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___________________________________________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____________________________________________</w:t>
      </w:r>
    </w:p>
    <w:p>
      <w:pPr>
        <w:spacing w:after="0" w:line="232" w:lineRule="exact"/>
        <w:rPr>
          <w:sz w:val="24"/>
          <w:szCs w:val="24"/>
          <w:color w:val="auto"/>
        </w:rPr>
      </w:pPr>
    </w:p>
    <w:p>
      <w:pPr>
        <w:ind w:left="3900" w:right="780" w:hanging="3676"/>
        <w:spacing w:after="0" w:line="383" w:lineRule="auto"/>
        <w:tabs>
          <w:tab w:leader="none" w:pos="130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April 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320" w:right="800" w:hanging="4130"/>
        <w:spacing w:after="0" w:line="649" w:lineRule="auto"/>
        <w:tabs>
          <w:tab w:leader="none" w:pos="127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 .</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001-33296</w:t>
      </w:r>
    </w:p>
    <w:p>
      <w:pPr>
        <w:spacing w:after="0" w:line="63"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81280</wp:posOffset>
            </wp:positionV>
            <wp:extent cx="140589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CINEMEDIA,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240"/>
          </w:cols>
          <w:pgMar w:left="320" w:top="773" w:right="339" w:bottom="1440" w:gutter="0" w:footer="0" w:header="0"/>
        </w:sectPr>
      </w:pPr>
    </w:p>
    <w:p>
      <w:pPr>
        <w:spacing w:after="0" w:line="124" w:lineRule="exact"/>
        <w:rPr>
          <w:sz w:val="24"/>
          <w:szCs w:val="24"/>
          <w:color w:val="auto"/>
        </w:rPr>
      </w:pPr>
    </w:p>
    <w:p>
      <w:pPr>
        <w:ind w:left="20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20-5665602</w:t>
      </w:r>
    </w:p>
    <w:p>
      <w:pPr>
        <w:spacing w:after="0" w:line="31" w:lineRule="exact"/>
        <w:rPr>
          <w:sz w:val="24"/>
          <w:szCs w:val="24"/>
          <w:color w:val="auto"/>
        </w:rPr>
      </w:pPr>
    </w:p>
    <w:p>
      <w:pPr>
        <w:sectPr>
          <w:pgSz w:w="11900" w:h="16838" w:orient="portrait"/>
          <w:cols w:equalWidth="0" w:num="2">
            <w:col w:w="7420" w:space="720"/>
            <w:col w:w="3100"/>
          </w:cols>
          <w:pgMar w:left="320" w:top="773" w:right="339" w:bottom="1440" w:gutter="0" w:footer="0" w:header="0"/>
          <w:type w:val="continuous"/>
        </w:sectPr>
      </w:pPr>
    </w:p>
    <w:p>
      <w:pPr>
        <w:spacing w:after="0" w:line="12"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(State or Other Jurisdiction of</w:t>
      </w:r>
    </w:p>
    <w:p>
      <w:pPr>
        <w:ind w:left="14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7300" w:space="720"/>
            <w:col w:w="3220"/>
          </w:cols>
          <w:pgMar w:left="320" w:top="773" w:right="339" w:bottom="1440" w:gutter="0" w:footer="0" w:header="0"/>
          <w:type w:val="continuous"/>
        </w:sectPr>
      </w:pPr>
    </w:p>
    <w:p>
      <w:pPr>
        <w:ind w:left="1220"/>
        <w:spacing w:after="0"/>
        <w:rPr>
          <w:sz w:val="20"/>
          <w:szCs w:val="20"/>
          <w:color w:val="auto"/>
        </w:rPr>
      </w:pPr>
      <w:r>
        <w:rPr>
          <w:rFonts w:ascii="Arial" w:cs="Arial" w:eastAsia="Arial" w:hAnsi="Arial"/>
          <w:sz w:val="15"/>
          <w:szCs w:val="15"/>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80111</w:t>
      </w:r>
    </w:p>
    <w:p>
      <w:pPr>
        <w:spacing w:after="0" w:line="61" w:lineRule="exact"/>
        <w:rPr>
          <w:sz w:val="24"/>
          <w:szCs w:val="24"/>
          <w:color w:val="auto"/>
        </w:rPr>
      </w:pPr>
    </w:p>
    <w:p>
      <w:pPr>
        <w:sectPr>
          <w:pgSz w:w="11900" w:h="16838" w:orient="portrait"/>
          <w:cols w:equalWidth="0" w:num="4">
            <w:col w:w="3840" w:space="720"/>
            <w:col w:w="840" w:space="320"/>
            <w:col w:w="1920" w:space="720"/>
            <w:col w:w="2880"/>
          </w:cols>
          <w:pgMar w:left="320" w:top="773" w:right="339" w:bottom="1440" w:gutter="0" w:footer="0" w:header="0"/>
          <w:type w:val="continuous"/>
        </w:sectPr>
      </w:pPr>
    </w:p>
    <w:p>
      <w:pPr>
        <w:ind w:left="12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520" w:space="720"/>
            <w:col w:w="3000"/>
          </w:cols>
          <w:pgMar w:left="320" w:top="773"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(303) 792-3600</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773" w:right="339" w:bottom="1440" w:gutter="0" w:footer="0" w:header="0"/>
          <w:type w:val="continuous"/>
        </w:sectPr>
      </w:pPr>
    </w:p>
    <w:p>
      <w:pPr>
        <w:spacing w:after="0" w:line="135" w:lineRule="exact"/>
        <w:rPr>
          <w:sz w:val="24"/>
          <w:szCs w:val="24"/>
          <w:color w:val="auto"/>
        </w:rPr>
      </w:pPr>
    </w:p>
    <w:p>
      <w:pPr>
        <w:jc w:val="center"/>
        <w:ind w:left="160"/>
        <w:spacing w:after="0"/>
        <w:rPr>
          <w:sz w:val="20"/>
          <w:szCs w:val="20"/>
          <w:color w:val="auto"/>
        </w:rPr>
      </w:pPr>
      <w:r>
        <w:rPr>
          <w:rFonts w:ascii="Arial" w:cs="Arial" w:eastAsia="Arial" w:hAnsi="Arial"/>
          <w:sz w:val="16"/>
          <w:szCs w:val="16"/>
          <w:color w:val="auto"/>
        </w:rPr>
        <w:t>Common Stock, par value $0.01 per share</w:t>
      </w:r>
    </w:p>
    <w:p>
      <w:pPr>
        <w:spacing w:after="0" w:line="46" w:lineRule="exact"/>
        <w:rPr>
          <w:sz w:val="24"/>
          <w:szCs w:val="24"/>
          <w:color w:val="auto"/>
        </w:rPr>
      </w:pPr>
    </w:p>
    <w:p>
      <w:pPr>
        <w:jc w:val="center"/>
        <w:ind w:left="16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NCMI</w:t>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The Nasdaq Stock Market LLC</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(Name of each exchange on which registered)</w:t>
      </w:r>
    </w:p>
    <w:p>
      <w:pPr>
        <w:spacing w:after="0" w:line="120" w:lineRule="exact"/>
        <w:rPr>
          <w:sz w:val="24"/>
          <w:szCs w:val="24"/>
          <w:color w:val="auto"/>
        </w:rPr>
      </w:pPr>
    </w:p>
    <w:p>
      <w:pPr>
        <w:sectPr>
          <w:pgSz w:w="11900" w:h="16838" w:orient="portrait"/>
          <w:cols w:equalWidth="0" w:num="3">
            <w:col w:w="4160" w:space="720"/>
            <w:col w:w="1720" w:space="720"/>
            <w:col w:w="3920"/>
          </w:cols>
          <w:pgMar w:left="320" w:top="773" w:right="339" w:bottom="1440" w:gutter="0" w:footer="0" w:header="0"/>
          <w:type w:val="continuous"/>
        </w:sectPr>
      </w:pPr>
    </w:p>
    <w:p>
      <w:pPr>
        <w:ind w:left="3960"/>
        <w:spacing w:after="0"/>
        <w:rPr>
          <w:sz w:val="20"/>
          <w:szCs w:val="20"/>
          <w:color w:val="auto"/>
        </w:rPr>
      </w:pPr>
      <w:r>
        <w:rPr>
          <w:rFonts w:ascii="Arial" w:cs="Arial" w:eastAsia="Arial" w:hAnsi="Arial"/>
          <w:sz w:val="14"/>
          <w:szCs w:val="14"/>
          <w:color w:val="auto"/>
        </w:rPr>
        <w:t>______________________________________________</w:t>
      </w:r>
    </w:p>
    <w:p>
      <w:pPr>
        <w:spacing w:after="0" w:line="21" w:lineRule="exact"/>
        <w:rPr>
          <w:sz w:val="24"/>
          <w:szCs w:val="24"/>
          <w:color w:val="auto"/>
        </w:rPr>
      </w:pPr>
    </w:p>
    <w:p>
      <w:pPr>
        <w:ind w:right="30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90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986"/>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 of May 7, 2021, 80,835,165 shares of the registrant’s common stock (including unvested restricted shares), par value of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19"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gridSpan w:val="11"/>
          </w:tcPr>
          <w:p>
            <w:pPr>
              <w:jc w:val="center"/>
              <w:ind w:right="3140"/>
              <w:spacing w:after="0"/>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1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4040" w:type="dxa"/>
            <w:vAlign w:val="bottom"/>
            <w:gridSpan w:val="1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Unaudited Financial Statements</w:t>
              </w:r>
            </w:hyperlink>
          </w:p>
        </w:tc>
        <w:tc>
          <w:tcPr>
            <w:tcW w:w="580" w:type="dxa"/>
            <w:vAlign w:val="bottom"/>
            <w:tcBorders>
              <w:top w:val="single" w:sz="8" w:color="0000FF"/>
            </w:tcBorders>
            <w:gridSpan w:val="3"/>
          </w:tcPr>
          <w:p>
            <w:pPr>
              <w:spacing w:after="0"/>
              <w:rPr>
                <w:sz w:val="24"/>
                <w:szCs w:val="24"/>
                <w:color w:val="auto"/>
              </w:rPr>
            </w:pPr>
          </w:p>
        </w:tc>
        <w:tc>
          <w:tcPr>
            <w:tcW w:w="3180" w:type="dxa"/>
            <w:vAlign w:val="bottom"/>
            <w:gridSpan w:val="7"/>
          </w:tcPr>
          <w:p>
            <w:pPr>
              <w:spacing w:after="0"/>
              <w:rPr>
                <w:sz w:val="24"/>
                <w:szCs w:val="24"/>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Unaudited Condensed Consolidated Balance Sheets</w:t>
              </w:r>
            </w:hyperlink>
          </w:p>
        </w:tc>
        <w:tc>
          <w:tcPr>
            <w:tcW w:w="3860" w:type="dxa"/>
            <w:vAlign w:val="bottom"/>
            <w:gridSpan w:val="12"/>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 Condensed Consolidated Statements of Income and Comprehensive Income</w:t>
              </w:r>
            </w:hyperlink>
          </w:p>
        </w:tc>
        <w:tc>
          <w:tcPr>
            <w:tcW w:w="1320" w:type="dxa"/>
            <w:vAlign w:val="bottom"/>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Unaudited Condensed Consolidated Statements of Cash Flows</w:t>
              </w:r>
            </w:hyperlink>
          </w:p>
        </w:tc>
        <w:tc>
          <w:tcPr>
            <w:tcW w:w="3080" w:type="dxa"/>
            <w:vAlign w:val="bottom"/>
            <w:gridSpan w:val="5"/>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80" w:type="dxa"/>
            <w:vAlign w:val="bottom"/>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Unaudited Condensed Consolidated Statements of Equity/(Deficit)</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Unaudited Condensed Consolidated Financial Statements</w:t>
              </w:r>
            </w:hyperlink>
          </w:p>
        </w:tc>
        <w:tc>
          <w:tcPr>
            <w:tcW w:w="20" w:type="dxa"/>
            <w:vAlign w:val="bottom"/>
            <w:tcBorders>
              <w:top w:val="single" w:sz="8" w:color="0000FF"/>
            </w:tcBorders>
          </w:tcPr>
          <w:p>
            <w:pPr>
              <w:spacing w:after="0"/>
              <w:rPr>
                <w:sz w:val="18"/>
                <w:szCs w:val="18"/>
                <w:color w:val="auto"/>
              </w:rPr>
            </w:pPr>
          </w:p>
        </w:tc>
        <w:tc>
          <w:tcPr>
            <w:tcW w:w="2780" w:type="dxa"/>
            <w:vAlign w:val="bottom"/>
            <w:gridSpan w:val="3"/>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23">
              <w:r>
                <w:rPr>
                  <w:rFonts w:ascii="Arial" w:cs="Arial" w:eastAsia="Arial" w:hAnsi="Arial"/>
                  <w:sz w:val="18"/>
                  <w:szCs w:val="18"/>
                  <w:color w:val="auto"/>
                </w:rPr>
                <w:t>Item 2.</w:t>
              </w:r>
            </w:hyperlink>
          </w:p>
        </w:tc>
        <w:tc>
          <w:tcPr>
            <w:tcW w:w="7800" w:type="dxa"/>
            <w:vAlign w:val="bottom"/>
            <w:gridSpan w:val="21"/>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23">
              <w:r>
                <w:rPr>
                  <w:rFonts w:ascii="Arial" w:cs="Arial" w:eastAsia="Arial" w:hAnsi="Arial"/>
                  <w:sz w:val="18"/>
                  <w:szCs w:val="18"/>
                  <w:color w:val="auto"/>
                </w:rPr>
                <w:t>21</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3.</w:t>
              </w:r>
            </w:hyperlink>
          </w:p>
        </w:tc>
        <w:tc>
          <w:tcPr>
            <w:tcW w:w="43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7"/>
          </w:tcPr>
          <w:p>
            <w:pPr>
              <w:spacing w:after="0"/>
              <w:rPr>
                <w:sz w:val="18"/>
                <w:szCs w:val="18"/>
                <w:color w:val="auto"/>
              </w:rPr>
            </w:pPr>
          </w:p>
        </w:tc>
        <w:tc>
          <w:tcPr>
            <w:tcW w:w="1340" w:type="dxa"/>
            <w:vAlign w:val="bottom"/>
            <w:gridSpan w:val="2"/>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5">
              <w:r>
                <w:rPr>
                  <w:rFonts w:ascii="Arial" w:cs="Arial" w:eastAsia="Arial" w:hAnsi="Arial"/>
                  <w:sz w:val="18"/>
                  <w:szCs w:val="18"/>
                  <w:color w:val="auto"/>
                </w:rPr>
                <w:t>32</w:t>
              </w:r>
            </w:hyperlink>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5">
              <w:r>
                <w:rPr>
                  <w:rFonts w:ascii="Arial" w:cs="Arial" w:eastAsia="Arial" w:hAnsi="Arial"/>
                  <w:sz w:val="18"/>
                  <w:szCs w:val="18"/>
                  <w:color w:val="auto"/>
                </w:rPr>
                <w:t>Item 4.</w:t>
              </w:r>
            </w:hyperlink>
          </w:p>
        </w:tc>
        <w:tc>
          <w:tcPr>
            <w:tcW w:w="7800" w:type="dxa"/>
            <w:vAlign w:val="bottom"/>
            <w:gridSpan w:val="21"/>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Controls and Procedures</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35">
              <w:r>
                <w:rPr>
                  <w:rFonts w:ascii="Arial" w:cs="Arial" w:eastAsia="Arial" w:hAnsi="Arial"/>
                  <w:sz w:val="18"/>
                  <w:szCs w:val="18"/>
                  <w:color w:val="auto"/>
                </w:rPr>
                <w:t>32</w:t>
              </w:r>
            </w:hyperlink>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w:t>
              </w:r>
            </w:hyperlink>
          </w:p>
        </w:tc>
        <w:tc>
          <w:tcPr>
            <w:tcW w:w="314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w:t>
              </w:r>
            </w:hyperlink>
          </w:p>
        </w:tc>
        <w:tc>
          <w:tcPr>
            <w:tcW w:w="7800" w:type="dxa"/>
            <w:vAlign w:val="bottom"/>
            <w:gridSpan w:val="2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Legal Proceedings</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1A.</w:t>
              </w:r>
            </w:hyperlink>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Risk Factors</w:t>
              </w:r>
            </w:hyperlink>
          </w:p>
        </w:tc>
        <w:tc>
          <w:tcPr>
            <w:tcW w:w="420" w:type="dxa"/>
            <w:vAlign w:val="bottom"/>
            <w:tcBorders>
              <w:top w:val="single" w:sz="8" w:color="0000FF"/>
            </w:tcBorders>
            <w:gridSpan w:val="2"/>
          </w:tcPr>
          <w:p>
            <w:pPr>
              <w:spacing w:after="0"/>
              <w:rPr>
                <w:sz w:val="18"/>
                <w:szCs w:val="18"/>
                <w:color w:val="auto"/>
              </w:rPr>
            </w:pPr>
          </w:p>
        </w:tc>
        <w:tc>
          <w:tcPr>
            <w:tcW w:w="6460" w:type="dxa"/>
            <w:vAlign w:val="bottom"/>
            <w:gridSpan w:val="16"/>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2.</w:t>
              </w:r>
            </w:hyperlink>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Unregistered Sales of Equity Securities and Use of Proceeds</w:t>
              </w:r>
            </w:hyperlink>
          </w:p>
        </w:tc>
        <w:tc>
          <w:tcPr>
            <w:tcW w:w="3440" w:type="dxa"/>
            <w:vAlign w:val="bottom"/>
            <w:gridSpan w:val="8"/>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234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Defaults Upon Senior Securities</w:t>
              </w:r>
            </w:hyperlink>
          </w:p>
        </w:tc>
        <w:tc>
          <w:tcPr>
            <w:tcW w:w="5460" w:type="dxa"/>
            <w:vAlign w:val="bottom"/>
            <w:gridSpan w:val="13"/>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4.</w:t>
              </w:r>
            </w:hyperlink>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Mine Safety Disclosures</w:t>
              </w:r>
            </w:hyperlink>
          </w:p>
        </w:tc>
        <w:tc>
          <w:tcPr>
            <w:tcW w:w="6020" w:type="dxa"/>
            <w:vAlign w:val="bottom"/>
            <w:gridSpan w:val="15"/>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5.</w:t>
              </w:r>
            </w:hyperlink>
          </w:p>
        </w:tc>
        <w:tc>
          <w:tcPr>
            <w:tcW w:w="7800" w:type="dxa"/>
            <w:vAlign w:val="bottom"/>
            <w:gridSpan w:val="21"/>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Other Information</w:t>
              </w:r>
            </w:hyperlink>
          </w:p>
        </w:tc>
        <w:tc>
          <w:tcPr>
            <w:tcW w:w="2180" w:type="dxa"/>
            <w:vAlign w:val="bottom"/>
            <w:gridSpan w:val="3"/>
          </w:tcPr>
          <w:p>
            <w:pPr>
              <w:jc w:val="right"/>
              <w:ind w:right="60"/>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6.</w:t>
              </w:r>
            </w:hyperlink>
          </w:p>
        </w:tc>
        <w:tc>
          <w:tcPr>
            <w:tcW w:w="1320" w:type="dxa"/>
            <w:vAlign w:val="bottom"/>
            <w:tcBorders>
              <w:top w:val="single" w:sz="8" w:color="0000FF"/>
            </w:tcBorders>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6480" w:type="dxa"/>
            <w:vAlign w:val="bottom"/>
            <w:gridSpan w:val="17"/>
          </w:tcPr>
          <w:p>
            <w:pPr>
              <w:spacing w:after="0"/>
              <w:rPr>
                <w:sz w:val="18"/>
                <w:szCs w:val="18"/>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Signatures</w:t>
              </w:r>
            </w:hyperlink>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80" w:type="dxa"/>
            <w:vAlign w:val="bottom"/>
            <w:gridSpan w:val="3"/>
          </w:tcPr>
          <w:p>
            <w:pPr>
              <w:jc w:val="right"/>
              <w:ind w:right="60"/>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98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 2021</w:t>
            </w:r>
          </w:p>
        </w:tc>
        <w:tc>
          <w:tcPr>
            <w:tcW w:w="20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57"/>
        </w:trPr>
        <w:tc>
          <w:tcPr>
            <w:tcW w:w="77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ASSETS</w:t>
            </w:r>
          </w:p>
        </w:tc>
        <w:tc>
          <w:tcPr>
            <w:tcW w:w="28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Short-term marketable securities</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Receivables, net of allowance of $1.9 and $2.3, respectively</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current assets and prepaid expenses</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current assets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NON-CURRENT ASSETS:</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Property and equipment, net of accumulated depreciation of $55.3 and $77.7, respectively</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Intangible assets, net of accumulated amortization of $229.2 and $223.0, respectively</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626.5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627.8</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Deferred tax assets, net of valuation allowance of $217.6 and $212.0, respectively</w:t>
            </w:r>
          </w:p>
        </w:tc>
        <w:tc>
          <w:tcPr>
            <w:tcW w:w="2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Long-term marketable securities</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Debt issuance costs, net</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assets</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non-current assets</w:t>
            </w:r>
          </w:p>
        </w:tc>
        <w:tc>
          <w:tcPr>
            <w:tcW w:w="2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686.3</w:t>
            </w:r>
          </w:p>
        </w:tc>
        <w:tc>
          <w:tcPr>
            <w:tcW w:w="0" w:type="dxa"/>
            <w:vAlign w:val="bottom"/>
          </w:tcPr>
          <w:p>
            <w:pPr>
              <w:spacing w:after="0"/>
              <w:rPr>
                <w:sz w:val="1"/>
                <w:szCs w:val="1"/>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886.2</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0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LIABILITIES AND EQUITY/(DEFICIT)</w:t>
            </w: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Amounts due to founding members, net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21"/>
        </w:trPr>
        <w:tc>
          <w:tcPr>
            <w:tcW w:w="7700" w:type="dxa"/>
            <w:vAlign w:val="bottom"/>
          </w:tcPr>
          <w:p>
            <w:pPr>
              <w:ind w:left="480"/>
              <w:spacing w:after="0" w:line="122"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280" w:type="dxa"/>
            <w:vAlign w:val="bottom"/>
          </w:tcPr>
          <w:p>
            <w:pPr>
              <w:spacing w:after="0"/>
              <w:rPr>
                <w:sz w:val="10"/>
                <w:szCs w:val="10"/>
                <w:color w:val="auto"/>
              </w:rPr>
            </w:pP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9"/>
        </w:trPr>
        <w:tc>
          <w:tcPr>
            <w:tcW w:w="7700" w:type="dxa"/>
            <w:vAlign w:val="bottom"/>
          </w:tcPr>
          <w:p>
            <w:pPr>
              <w:ind w:left="560"/>
              <w:spacing w:after="0"/>
              <w:rPr>
                <w:sz w:val="20"/>
                <w:szCs w:val="20"/>
                <w:color w:val="auto"/>
              </w:rPr>
            </w:pPr>
            <w:r>
              <w:rPr>
                <w:rFonts w:ascii="Arial" w:cs="Arial" w:eastAsia="Arial" w:hAnsi="Arial"/>
                <w:sz w:val="13"/>
                <w:szCs w:val="13"/>
                <w:color w:val="auto"/>
              </w:rPr>
              <w:t>parties of $0.0 and $0.6, respectively)</w:t>
            </w:r>
          </w:p>
        </w:tc>
        <w:tc>
          <w:tcPr>
            <w:tcW w:w="2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Accrued expenses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Accrued payroll and related expenses</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Accounts payable</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86"/>
        </w:trPr>
        <w:tc>
          <w:tcPr>
            <w:tcW w:w="7700" w:type="dxa"/>
            <w:vAlign w:val="bottom"/>
          </w:tcPr>
          <w:p>
            <w:pPr>
              <w:ind w:left="480"/>
              <w:spacing w:after="0"/>
              <w:rPr>
                <w:sz w:val="20"/>
                <w:szCs w:val="20"/>
                <w:color w:val="auto"/>
              </w:rPr>
            </w:pPr>
            <w:r>
              <w:rPr>
                <w:rFonts w:ascii="Arial" w:cs="Arial" w:eastAsia="Arial" w:hAnsi="Arial"/>
                <w:sz w:val="13"/>
                <w:szCs w:val="13"/>
                <w:color w:val="auto"/>
              </w:rPr>
              <w:t>Deferred revenue</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Short-term debt</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current liabilities</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current liabilities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NON-CURRENT LIABILITIES:</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Long-term debt, net of debt issuance costs of $10.0 and $8.0, respectively</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1,049.6</w:t>
            </w:r>
          </w:p>
        </w:tc>
        <w:tc>
          <w:tcPr>
            <w:tcW w:w="0" w:type="dxa"/>
            <w:vAlign w:val="bottom"/>
          </w:tcPr>
          <w:p>
            <w:pPr>
              <w:spacing w:after="0"/>
              <w:rPr>
                <w:sz w:val="1"/>
                <w:szCs w:val="1"/>
                <w:color w:val="auto"/>
              </w:rPr>
            </w:pPr>
          </w:p>
        </w:tc>
      </w:tr>
      <w:tr>
        <w:trPr>
          <w:trHeight w:val="122"/>
        </w:trPr>
        <w:tc>
          <w:tcPr>
            <w:tcW w:w="7700" w:type="dxa"/>
            <w:vAlign w:val="bottom"/>
          </w:tcPr>
          <w:p>
            <w:pPr>
              <w:ind w:left="480"/>
              <w:spacing w:after="0" w:line="122"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28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69"/>
        </w:trPr>
        <w:tc>
          <w:tcPr>
            <w:tcW w:w="7700" w:type="dxa"/>
            <w:vAlign w:val="bottom"/>
          </w:tcPr>
          <w:p>
            <w:pPr>
              <w:ind w:left="560"/>
              <w:spacing w:after="0"/>
              <w:rPr>
                <w:sz w:val="20"/>
                <w:szCs w:val="20"/>
                <w:color w:val="auto"/>
              </w:rPr>
            </w:pPr>
            <w:r>
              <w:rPr>
                <w:rFonts w:ascii="Arial" w:cs="Arial" w:eastAsia="Arial" w:hAnsi="Arial"/>
                <w:sz w:val="13"/>
                <w:szCs w:val="13"/>
                <w:color w:val="auto"/>
              </w:rPr>
              <w:t>parties of $22.6 and $23.7, respectively)</w:t>
            </w: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3"/>
        </w:trPr>
        <w:tc>
          <w:tcPr>
            <w:tcW w:w="770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Total non-current liabilities</w:t>
            </w: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1,104.8</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1,154.8</w:t>
            </w:r>
          </w:p>
        </w:tc>
        <w:tc>
          <w:tcPr>
            <w:tcW w:w="0" w:type="dxa"/>
            <w:vAlign w:val="bottom"/>
          </w:tcPr>
          <w:p>
            <w:pPr>
              <w:spacing w:after="0"/>
              <w:rPr>
                <w:sz w:val="1"/>
                <w:szCs w:val="1"/>
                <w:color w:val="auto"/>
              </w:rPr>
            </w:pPr>
          </w:p>
        </w:tc>
      </w:tr>
      <w:tr>
        <w:trPr>
          <w:trHeight w:val="148"/>
        </w:trPr>
        <w:tc>
          <w:tcPr>
            <w:tcW w:w="7700" w:type="dxa"/>
            <w:vAlign w:val="bottom"/>
          </w:tcPr>
          <w:p>
            <w:pPr>
              <w:ind w:left="20"/>
              <w:spacing w:after="0" w:line="141" w:lineRule="exact"/>
              <w:rPr>
                <w:sz w:val="20"/>
                <w:szCs w:val="20"/>
                <w:color w:val="auto"/>
              </w:rPr>
            </w:pPr>
            <w:r>
              <w:rPr>
                <w:rFonts w:ascii="Arial" w:cs="Arial" w:eastAsia="Arial" w:hAnsi="Arial"/>
                <w:sz w:val="13"/>
                <w:szCs w:val="13"/>
                <w:color w:val="auto"/>
              </w:rPr>
              <w:t>COMMITMENTS AND CONTINGENCIES (NOTE 8)</w:t>
            </w: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EQUITY/(DEFICIT):</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700" w:type="dxa"/>
            <w:vAlign w:val="bottom"/>
          </w:tcPr>
          <w:p>
            <w:pPr>
              <w:ind w:left="220"/>
              <w:spacing w:after="0"/>
              <w:rPr>
                <w:sz w:val="20"/>
                <w:szCs w:val="20"/>
                <w:color w:val="auto"/>
              </w:rPr>
            </w:pPr>
            <w:r>
              <w:rPr>
                <w:rFonts w:ascii="Arial" w:cs="Arial" w:eastAsia="Arial" w:hAnsi="Arial"/>
                <w:sz w:val="13"/>
                <w:szCs w:val="13"/>
                <w:color w:val="auto"/>
              </w:rPr>
              <w:t>NCM, Inc. Stockholders’ Equity/(Deficit):</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700" w:type="dxa"/>
            <w:vAlign w:val="bottom"/>
            <w:shd w:val="clear" w:color="auto" w:fill="CCEEFF"/>
          </w:tcPr>
          <w:p>
            <w:pPr>
              <w:ind w:left="480"/>
              <w:spacing w:after="0" w:line="129" w:lineRule="exact"/>
              <w:rPr>
                <w:sz w:val="20"/>
                <w:szCs w:val="20"/>
                <w:color w:val="auto"/>
              </w:rPr>
            </w:pPr>
            <w:r>
              <w:rPr>
                <w:rFonts w:ascii="Arial" w:cs="Arial" w:eastAsia="Arial" w:hAnsi="Arial"/>
                <w:sz w:val="13"/>
                <w:szCs w:val="13"/>
                <w:color w:val="auto"/>
              </w:rPr>
              <w:t>Preferred stock, $0.01 par value; 10,000,000 shares authorized, none issued and outstanding,</w:t>
            </w:r>
          </w:p>
        </w:tc>
        <w:tc>
          <w:tcPr>
            <w:tcW w:w="28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00" w:type="dxa"/>
            <w:vAlign w:val="bottom"/>
            <w:shd w:val="clear" w:color="auto" w:fill="CCEEFF"/>
          </w:tcPr>
          <w:p>
            <w:pPr>
              <w:ind w:left="560"/>
              <w:spacing w:after="0"/>
              <w:rPr>
                <w:sz w:val="20"/>
                <w:szCs w:val="20"/>
                <w:color w:val="auto"/>
              </w:rPr>
            </w:pPr>
            <w:r>
              <w:rPr>
                <w:rFonts w:ascii="Arial" w:cs="Arial" w:eastAsia="Arial" w:hAnsi="Arial"/>
                <w:sz w:val="13"/>
                <w:szCs w:val="13"/>
                <w:color w:val="auto"/>
              </w:rPr>
              <w:t>respectively</w:t>
            </w:r>
          </w:p>
        </w:tc>
        <w:tc>
          <w:tcPr>
            <w:tcW w:w="28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7700" w:type="dxa"/>
            <w:vAlign w:val="bottom"/>
          </w:tcPr>
          <w:p>
            <w:pPr>
              <w:ind w:left="480"/>
              <w:spacing w:after="0" w:line="122" w:lineRule="exact"/>
              <w:rPr>
                <w:sz w:val="20"/>
                <w:szCs w:val="20"/>
                <w:color w:val="auto"/>
              </w:rPr>
            </w:pPr>
            <w:r>
              <w:rPr>
                <w:rFonts w:ascii="Arial" w:cs="Arial" w:eastAsia="Arial" w:hAnsi="Arial"/>
                <w:sz w:val="13"/>
                <w:szCs w:val="13"/>
                <w:color w:val="auto"/>
              </w:rPr>
              <w:t>Common stock, $0.01 par value; 175,000,000 shares authorized, 80,017,551 and 78,040,818 issued</w:t>
            </w:r>
          </w:p>
        </w:tc>
        <w:tc>
          <w:tcPr>
            <w:tcW w:w="28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0"/>
        </w:trPr>
        <w:tc>
          <w:tcPr>
            <w:tcW w:w="7700" w:type="dxa"/>
            <w:vAlign w:val="bottom"/>
          </w:tcPr>
          <w:p>
            <w:pPr>
              <w:ind w:left="560"/>
              <w:spacing w:after="0"/>
              <w:rPr>
                <w:sz w:val="20"/>
                <w:szCs w:val="20"/>
                <w:color w:val="auto"/>
              </w:rPr>
            </w:pPr>
            <w:r>
              <w:rPr>
                <w:rFonts w:ascii="Arial" w:cs="Arial" w:eastAsia="Arial" w:hAnsi="Arial"/>
                <w:sz w:val="13"/>
                <w:szCs w:val="13"/>
                <w:color w:val="auto"/>
              </w:rPr>
              <w:t>and outstanding, respectively</w:t>
            </w:r>
          </w:p>
        </w:tc>
        <w:tc>
          <w:tcPr>
            <w:tcW w:w="2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shd w:val="clear" w:color="auto" w:fill="CCEEFF"/>
          </w:tcPr>
          <w:p>
            <w:pPr>
              <w:ind w:left="480"/>
              <w:spacing w:after="0"/>
              <w:rPr>
                <w:sz w:val="20"/>
                <w:szCs w:val="20"/>
                <w:color w:val="auto"/>
              </w:rPr>
            </w:pPr>
            <w:r>
              <w:rPr>
                <w:rFonts w:ascii="Arial" w:cs="Arial" w:eastAsia="Arial" w:hAnsi="Arial"/>
                <w:sz w:val="13"/>
                <w:szCs w:val="13"/>
                <w:color w:val="auto"/>
              </w:rPr>
              <w:t>Additional paid in capital/(deficit)</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Retained earnings (distributions in excess of earnings)</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(266.4)</w:t>
            </w: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NCM, Inc. stockholders’ equity/(deficit)</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w:t>
            </w:r>
          </w:p>
        </w:tc>
        <w:tc>
          <w:tcPr>
            <w:tcW w:w="0" w:type="dxa"/>
            <w:vAlign w:val="bottom"/>
          </w:tcPr>
          <w:p>
            <w:pPr>
              <w:spacing w:after="0"/>
              <w:rPr>
                <w:sz w:val="1"/>
                <w:szCs w:val="1"/>
                <w:color w:val="auto"/>
              </w:rPr>
            </w:pPr>
          </w:p>
        </w:tc>
      </w:tr>
      <w:tr>
        <w:trPr>
          <w:trHeight w:val="186"/>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Noncontrolling interests</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680"/>
              <w:spacing w:after="0"/>
              <w:rPr>
                <w:sz w:val="20"/>
                <w:szCs w:val="20"/>
                <w:color w:val="auto"/>
              </w:rPr>
            </w:pPr>
            <w:r>
              <w:rPr>
                <w:rFonts w:ascii="Arial" w:cs="Arial" w:eastAsia="Arial" w:hAnsi="Arial"/>
                <w:sz w:val="13"/>
                <w:szCs w:val="13"/>
                <w:color w:val="auto"/>
              </w:rPr>
              <w:t>Total equity/(deficit)</w:t>
            </w:r>
          </w:p>
        </w:tc>
        <w:tc>
          <w:tcPr>
            <w:tcW w:w="2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186"/>
        </w:trPr>
        <w:tc>
          <w:tcPr>
            <w:tcW w:w="7700" w:type="dxa"/>
            <w:vAlign w:val="bottom"/>
          </w:tcPr>
          <w:p>
            <w:pPr>
              <w:ind w:left="20"/>
              <w:spacing w:after="0"/>
              <w:rPr>
                <w:sz w:val="20"/>
                <w:szCs w:val="20"/>
                <w:color w:val="auto"/>
              </w:rPr>
            </w:pPr>
            <w:r>
              <w:rPr>
                <w:rFonts w:ascii="Arial" w:cs="Arial" w:eastAsia="Arial" w:hAnsi="Arial"/>
                <w:sz w:val="13"/>
                <w:szCs w:val="13"/>
                <w:color w:val="auto"/>
              </w:rPr>
              <w:t>TOTAL LIABILITIES AND EQUITY/(DEFICIT)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 AND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1, 2021</w:t>
            </w:r>
          </w:p>
        </w:tc>
        <w:tc>
          <w:tcPr>
            <w:tcW w:w="1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March 26, 2020</w:t>
            </w:r>
          </w:p>
        </w:tc>
      </w:tr>
      <w:tr>
        <w:trPr>
          <w:trHeight w:val="184"/>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(including revenue from related parties of $0.4 and $4.3, respectively)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w:t>
            </w:r>
          </w:p>
        </w:tc>
      </w:tr>
      <w:tr>
        <w:trPr>
          <w:trHeight w:val="186"/>
        </w:trPr>
        <w:tc>
          <w:tcPr>
            <w:tcW w:w="86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Advertising operating costs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6"/>
        </w:trPr>
        <w:tc>
          <w:tcPr>
            <w:tcW w:w="8680" w:type="dxa"/>
            <w:vAlign w:val="bottom"/>
          </w:tcPr>
          <w:p>
            <w:pPr>
              <w:ind w:left="220"/>
              <w:spacing w:after="0"/>
              <w:rPr>
                <w:sz w:val="20"/>
                <w:szCs w:val="20"/>
                <w:color w:val="auto"/>
              </w:rPr>
            </w:pPr>
            <w:r>
              <w:rPr>
                <w:rFonts w:ascii="Arial" w:cs="Arial" w:eastAsia="Arial" w:hAnsi="Arial"/>
                <w:sz w:val="14"/>
                <w:szCs w:val="14"/>
                <w:color w:val="auto"/>
              </w:rPr>
              <w:t>Network costs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92"/>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Theater access fees and revenue share to founding members (including fees to related parties of $1.3 and $12.5, respectively)</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r>
      <w:tr>
        <w:trPr>
          <w:trHeight w:val="186"/>
        </w:trPr>
        <w:tc>
          <w:tcPr>
            <w:tcW w:w="8680" w:type="dxa"/>
            <w:vAlign w:val="bottom"/>
          </w:tcPr>
          <w:p>
            <w:pPr>
              <w:ind w:left="220"/>
              <w:spacing w:after="0"/>
              <w:rPr>
                <w:sz w:val="20"/>
                <w:szCs w:val="20"/>
                <w:color w:val="auto"/>
              </w:rPr>
            </w:pPr>
            <w:r>
              <w:rPr>
                <w:rFonts w:ascii="Arial" w:cs="Arial" w:eastAsia="Arial" w:hAnsi="Arial"/>
                <w:sz w:val="14"/>
                <w:szCs w:val="14"/>
                <w:color w:val="auto"/>
              </w:rPr>
              <w:t>Selling and marketing costs</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192"/>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Administrative and other costs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86"/>
        </w:trPr>
        <w:tc>
          <w:tcPr>
            <w:tcW w:w="8680" w:type="dxa"/>
            <w:vAlign w:val="bottom"/>
          </w:tcPr>
          <w:p>
            <w:pPr>
              <w:ind w:left="220"/>
              <w:spacing w:after="0"/>
              <w:rPr>
                <w:sz w:val="20"/>
                <w:szCs w:val="20"/>
                <w:color w:val="auto"/>
              </w:rPr>
            </w:pPr>
            <w:r>
              <w:rPr>
                <w:rFonts w:ascii="Arial" w:cs="Arial" w:eastAsia="Arial" w:hAnsi="Arial"/>
                <w:sz w:val="14"/>
                <w:szCs w:val="14"/>
                <w:color w:val="auto"/>
              </w:rPr>
              <w:t>Depreciation expense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2"/>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79"/>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w:t>
            </w:r>
          </w:p>
        </w:tc>
      </w:tr>
      <w:tr>
        <w:trPr>
          <w:trHeight w:val="186"/>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OPERATING (LOSS) INCOME</w:t>
            </w: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66"/>
        </w:trPr>
        <w:tc>
          <w:tcPr>
            <w:tcW w:w="8680" w:type="dxa"/>
            <w:vAlign w:val="bottom"/>
          </w:tcPr>
          <w:p>
            <w:pPr>
              <w:ind w:left="20"/>
              <w:spacing w:after="0"/>
              <w:rPr>
                <w:sz w:val="20"/>
                <w:szCs w:val="20"/>
                <w:color w:val="auto"/>
              </w:rPr>
            </w:pPr>
            <w:r>
              <w:rPr>
                <w:rFonts w:ascii="Arial" w:cs="Arial" w:eastAsia="Arial" w:hAnsi="Arial"/>
                <w:sz w:val="14"/>
                <w:szCs w:val="14"/>
                <w:color w:val="auto"/>
              </w:rPr>
              <w:t>NON-OPERATING EXPENSES: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on borrowings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86"/>
        </w:trPr>
        <w:tc>
          <w:tcPr>
            <w:tcW w:w="868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modification and retirement of debt, net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680" w:type="dxa"/>
            <w:vAlign w:val="bottom"/>
          </w:tcPr>
          <w:p>
            <w:pPr>
              <w:ind w:left="220"/>
              <w:spacing w:after="0"/>
              <w:rPr>
                <w:sz w:val="20"/>
                <w:szCs w:val="20"/>
                <w:color w:val="auto"/>
              </w:rPr>
            </w:pPr>
            <w:r>
              <w:rPr>
                <w:rFonts w:ascii="Arial" w:cs="Arial" w:eastAsia="Arial" w:hAnsi="Arial"/>
                <w:sz w:val="14"/>
                <w:szCs w:val="14"/>
                <w:color w:val="auto"/>
              </w:rPr>
              <w:t>(Gain) loss on re-measurement of the payable to founding members under the tax receivable agreement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92"/>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non-operating expense (income)</w:t>
            </w:r>
          </w:p>
        </w:tc>
        <w:tc>
          <w:tcPr>
            <w:tcW w:w="1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9"/>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18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86"/>
        </w:trPr>
        <w:tc>
          <w:tcPr>
            <w:tcW w:w="8680" w:type="dxa"/>
            <w:vAlign w:val="bottom"/>
          </w:tcPr>
          <w:p>
            <w:pPr>
              <w:ind w:left="220"/>
              <w:spacing w:after="0"/>
              <w:rPr>
                <w:sz w:val="20"/>
                <w:szCs w:val="20"/>
                <w:color w:val="auto"/>
              </w:rPr>
            </w:pPr>
            <w:r>
              <w:rPr>
                <w:rFonts w:ascii="Arial" w:cs="Arial" w:eastAsia="Arial" w:hAnsi="Arial"/>
                <w:sz w:val="14"/>
                <w:szCs w:val="14"/>
                <w:color w:val="auto"/>
              </w:rPr>
              <w:t>Income tax benefit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186"/>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CONSOLIDATED NET LOSS</w:t>
            </w:r>
          </w:p>
        </w:tc>
        <w:tc>
          <w:tcPr>
            <w:tcW w:w="1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86"/>
        </w:trPr>
        <w:tc>
          <w:tcPr>
            <w:tcW w:w="86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Less: Net loss attributable to noncontrolling interests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r>
      <w:tr>
        <w:trPr>
          <w:trHeight w:val="18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NCM,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6"/>
        </w:trPr>
        <w:tc>
          <w:tcPr>
            <w:tcW w:w="8680" w:type="dxa"/>
            <w:vAlign w:val="bottom"/>
          </w:tcPr>
          <w:p>
            <w:pPr>
              <w:ind w:left="20"/>
              <w:spacing w:after="0"/>
              <w:rPr>
                <w:sz w:val="20"/>
                <w:szCs w:val="20"/>
                <w:color w:val="auto"/>
              </w:rPr>
            </w:pPr>
            <w:r>
              <w:rPr>
                <w:rFonts w:ascii="Arial" w:cs="Arial" w:eastAsia="Arial" w:hAnsi="Arial"/>
                <w:sz w:val="14"/>
                <w:szCs w:val="14"/>
                <w:color w:val="auto"/>
              </w:rPr>
              <w:t>COMPREHENSIVE LOSS ATTRIBUTABLE TO NCM,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8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86"/>
        </w:trPr>
        <w:tc>
          <w:tcPr>
            <w:tcW w:w="8680" w:type="dxa"/>
            <w:vAlign w:val="bottom"/>
          </w:tcPr>
          <w:p>
            <w:pPr>
              <w:ind w:left="20"/>
              <w:spacing w:after="0"/>
              <w:rPr>
                <w:sz w:val="20"/>
                <w:szCs w:val="20"/>
                <w:color w:val="auto"/>
              </w:rPr>
            </w:pPr>
            <w:r>
              <w:rPr>
                <w:rFonts w:ascii="Arial" w:cs="Arial" w:eastAsia="Arial" w:hAnsi="Arial"/>
                <w:sz w:val="14"/>
                <w:szCs w:val="14"/>
                <w:color w:val="auto"/>
              </w:rPr>
              <w:t>NET LOSS PER NCM, INC. COMMON SHARE:</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r>
      <w:tr>
        <w:trPr>
          <w:trHeight w:val="186"/>
        </w:trPr>
        <w:tc>
          <w:tcPr>
            <w:tcW w:w="8680" w:type="dxa"/>
            <w:vAlign w:val="bottom"/>
          </w:tcPr>
          <w:p>
            <w:pPr>
              <w:ind w:left="22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(0.05)</w:t>
            </w:r>
          </w:p>
        </w:tc>
      </w:tr>
      <w:tr>
        <w:trPr>
          <w:trHeight w:val="192"/>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6"/>
        </w:trPr>
        <w:tc>
          <w:tcPr>
            <w:tcW w:w="8680" w:type="dxa"/>
            <w:vAlign w:val="bottom"/>
          </w:tcPr>
          <w:p>
            <w:pPr>
              <w:ind w:left="220"/>
              <w:spacing w:after="0"/>
              <w:rPr>
                <w:sz w:val="20"/>
                <w:szCs w:val="20"/>
                <w:color w:val="auto"/>
              </w:rPr>
            </w:pPr>
            <w:r>
              <w:rPr>
                <w:rFonts w:ascii="Arial" w:cs="Arial" w:eastAsia="Arial" w:hAnsi="Arial"/>
                <w:sz w:val="14"/>
                <w:szCs w:val="14"/>
                <w:color w:val="auto"/>
              </w:rPr>
              <w:t>Basic</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78,481,355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77,763,967</w:t>
            </w:r>
          </w:p>
        </w:tc>
      </w:tr>
      <w:tr>
        <w:trPr>
          <w:trHeight w:val="192"/>
        </w:trPr>
        <w:tc>
          <w:tcPr>
            <w:tcW w:w="8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78,481,355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77,763,967</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April 1, 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March 26, 2020</w:t>
            </w:r>
          </w:p>
        </w:tc>
        <w:tc>
          <w:tcPr>
            <w:tcW w:w="0" w:type="dxa"/>
            <w:vAlign w:val="bottom"/>
          </w:tcPr>
          <w:p>
            <w:pPr>
              <w:spacing w:after="0"/>
              <w:rPr>
                <w:sz w:val="1"/>
                <w:szCs w:val="1"/>
                <w:color w:val="auto"/>
              </w:rPr>
            </w:pPr>
          </w:p>
        </w:tc>
      </w:tr>
      <w:tr>
        <w:trPr>
          <w:trHeight w:val="170"/>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140"/>
              <w:spacing w:after="0"/>
              <w:rPr>
                <w:sz w:val="20"/>
                <w:szCs w:val="20"/>
                <w:color w:val="auto"/>
              </w:rPr>
            </w:pPr>
            <w:r>
              <w:rPr>
                <w:rFonts w:ascii="Arial" w:cs="Arial" w:eastAsia="Arial" w:hAnsi="Arial"/>
                <w:sz w:val="14"/>
                <w:szCs w:val="14"/>
                <w:color w:val="auto"/>
              </w:rPr>
              <w:t>Consolidated net loss</w:t>
            </w:r>
          </w:p>
        </w:tc>
        <w:tc>
          <w:tcPr>
            <w:tcW w:w="1640" w:type="dxa"/>
            <w:vAlign w:val="bottom"/>
          </w:tcPr>
          <w:p>
            <w:pPr>
              <w:jc w:val="right"/>
              <w:ind w:right="14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16"/>
                <w:szCs w:val="16"/>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consolidated net loss to net cash (used in) provided by operating activities:</w:t>
            </w:r>
          </w:p>
        </w:tc>
        <w:tc>
          <w:tcPr>
            <w:tcW w:w="16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Deferred income tax benefit</w:t>
            </w:r>
          </w:p>
        </w:tc>
        <w:tc>
          <w:tcPr>
            <w:tcW w:w="16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expense</w:t>
            </w:r>
          </w:p>
        </w:tc>
        <w:tc>
          <w:tcPr>
            <w:tcW w:w="16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6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Non-cash share-based compensation</w:t>
            </w:r>
          </w:p>
        </w:tc>
        <w:tc>
          <w:tcPr>
            <w:tcW w:w="16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Amortization of debt issuance costs</w:t>
            </w:r>
          </w:p>
        </w:tc>
        <w:tc>
          <w:tcPr>
            <w:tcW w:w="16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on modification and retirement of debt, net</w:t>
            </w:r>
          </w:p>
        </w:tc>
        <w:tc>
          <w:tcPr>
            <w:tcW w:w="16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6520" w:type="dxa"/>
            <w:vAlign w:val="bottom"/>
          </w:tcPr>
          <w:p>
            <w:pPr>
              <w:ind w:left="360"/>
              <w:spacing w:after="0" w:line="135" w:lineRule="exact"/>
              <w:rPr>
                <w:sz w:val="20"/>
                <w:szCs w:val="20"/>
                <w:color w:val="auto"/>
              </w:rPr>
            </w:pPr>
            <w:r>
              <w:rPr>
                <w:rFonts w:ascii="Arial" w:cs="Arial" w:eastAsia="Arial" w:hAnsi="Arial"/>
                <w:sz w:val="14"/>
                <w:szCs w:val="14"/>
                <w:color w:val="auto"/>
              </w:rPr>
              <w:t>Non-cash (gain) loss on re-measurement of the payable to founding members under</w:t>
            </w:r>
          </w:p>
        </w:tc>
        <w:tc>
          <w:tcPr>
            <w:tcW w:w="16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6520" w:type="dxa"/>
            <w:vAlign w:val="bottom"/>
          </w:tcPr>
          <w:p>
            <w:pPr>
              <w:ind w:left="460"/>
              <w:spacing w:after="0"/>
              <w:rPr>
                <w:sz w:val="20"/>
                <w:szCs w:val="20"/>
                <w:color w:val="auto"/>
              </w:rPr>
            </w:pPr>
            <w:r>
              <w:rPr>
                <w:rFonts w:ascii="Arial" w:cs="Arial" w:eastAsia="Arial" w:hAnsi="Arial"/>
                <w:sz w:val="14"/>
                <w:szCs w:val="14"/>
                <w:color w:val="auto"/>
              </w:rPr>
              <w:t>the tax receivable agreement</w:t>
            </w:r>
          </w:p>
        </w:tc>
        <w:tc>
          <w:tcPr>
            <w:tcW w:w="16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52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Founding member integration and other encumbered theater payments (including</w:t>
            </w:r>
          </w:p>
        </w:tc>
        <w:tc>
          <w:tcPr>
            <w:tcW w:w="16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from related parties of $0.0 and $0.1, respectively)</w:t>
            </w:r>
          </w:p>
        </w:tc>
        <w:tc>
          <w:tcPr>
            <w:tcW w:w="16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520" w:type="dxa"/>
            <w:vAlign w:val="bottom"/>
          </w:tcPr>
          <w:p>
            <w:pPr>
              <w:ind w:left="220"/>
              <w:spacing w:after="0" w:line="135" w:lineRule="exact"/>
              <w:rPr>
                <w:sz w:val="20"/>
                <w:szCs w:val="20"/>
                <w:color w:val="auto"/>
              </w:rPr>
            </w:pPr>
            <w:r>
              <w:rPr>
                <w:rFonts w:ascii="Arial" w:cs="Arial" w:eastAsia="Arial" w:hAnsi="Arial"/>
                <w:sz w:val="14"/>
                <w:szCs w:val="14"/>
                <w:color w:val="auto"/>
              </w:rPr>
              <w:t>Payment to the founding members under tax receivable agreement (including</w:t>
            </w:r>
          </w:p>
        </w:tc>
        <w:tc>
          <w:tcPr>
            <w:tcW w:w="16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520" w:type="dxa"/>
            <w:vAlign w:val="bottom"/>
          </w:tcPr>
          <w:p>
            <w:pPr>
              <w:ind w:left="340"/>
              <w:spacing w:after="0"/>
              <w:rPr>
                <w:sz w:val="20"/>
                <w:szCs w:val="20"/>
                <w:color w:val="auto"/>
              </w:rPr>
            </w:pPr>
            <w:r>
              <w:rPr>
                <w:rFonts w:ascii="Arial" w:cs="Arial" w:eastAsia="Arial" w:hAnsi="Arial"/>
                <w:sz w:val="14"/>
                <w:szCs w:val="14"/>
                <w:color w:val="auto"/>
              </w:rPr>
              <w:t>payments to related parties of $0.6 and $0.0, respectively)</w:t>
            </w:r>
          </w:p>
        </w:tc>
        <w:tc>
          <w:tcPr>
            <w:tcW w:w="16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cash flows from operating activities</w:t>
            </w:r>
          </w:p>
        </w:tc>
        <w:tc>
          <w:tcPr>
            <w:tcW w:w="16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652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Receivables, net</w:t>
            </w:r>
          </w:p>
        </w:tc>
        <w:tc>
          <w:tcPr>
            <w:tcW w:w="16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Accounts payable and accrued expenses</w:t>
            </w:r>
          </w:p>
        </w:tc>
        <w:tc>
          <w:tcPr>
            <w:tcW w:w="16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Amounts due to/from founding members, net</w:t>
            </w:r>
          </w:p>
        </w:tc>
        <w:tc>
          <w:tcPr>
            <w:tcW w:w="16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16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net</w:t>
            </w:r>
          </w:p>
        </w:tc>
        <w:tc>
          <w:tcPr>
            <w:tcW w:w="16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9"/>
        </w:trPr>
        <w:tc>
          <w:tcPr>
            <w:tcW w:w="652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provided by operating activities</w:t>
            </w:r>
          </w:p>
        </w:tc>
        <w:tc>
          <w:tcPr>
            <w:tcW w:w="1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72"/>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Purchases of property and equipment</w:t>
            </w:r>
          </w:p>
        </w:tc>
        <w:tc>
          <w:tcPr>
            <w:tcW w:w="16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marketable securities</w:t>
            </w:r>
          </w:p>
        </w:tc>
        <w:tc>
          <w:tcPr>
            <w:tcW w:w="16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Proceeds from sale and maturities of marketable securities</w:t>
            </w:r>
          </w:p>
        </w:tc>
        <w:tc>
          <w:tcPr>
            <w:tcW w:w="16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86"/>
        </w:trPr>
        <w:tc>
          <w:tcPr>
            <w:tcW w:w="65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provided by investing activities</w:t>
            </w:r>
          </w:p>
        </w:tc>
        <w:tc>
          <w:tcPr>
            <w:tcW w:w="164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spacing w:after="0"/>
              <w:rPr>
                <w:sz w:val="16"/>
                <w:szCs w:val="16"/>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6"/>
        </w:trPr>
        <w:tc>
          <w:tcPr>
            <w:tcW w:w="65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 of dividends</w:t>
            </w:r>
          </w:p>
        </w:tc>
        <w:tc>
          <w:tcPr>
            <w:tcW w:w="16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Proceeds from revolving credit facility</w:t>
            </w:r>
          </w:p>
        </w:tc>
        <w:tc>
          <w:tcPr>
            <w:tcW w:w="16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Repayments of revolving credit facility</w:t>
            </w:r>
          </w:p>
        </w:tc>
        <w:tc>
          <w:tcPr>
            <w:tcW w:w="16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Issuance of term loans</w:t>
            </w:r>
          </w:p>
        </w:tc>
        <w:tc>
          <w:tcPr>
            <w:tcW w:w="16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 of term loan facility</w:t>
            </w:r>
          </w:p>
        </w:tc>
        <w:tc>
          <w:tcPr>
            <w:tcW w:w="16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Payment of debt issuance costs</w:t>
            </w:r>
          </w:p>
        </w:tc>
        <w:tc>
          <w:tcPr>
            <w:tcW w:w="16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Distributions to founding members</w:t>
            </w:r>
          </w:p>
        </w:tc>
        <w:tc>
          <w:tcPr>
            <w:tcW w:w="16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86"/>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Repurchase of stock for restricted stock tax withholding</w:t>
            </w:r>
          </w:p>
        </w:tc>
        <w:tc>
          <w:tcPr>
            <w:tcW w:w="16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6"/>
        </w:trPr>
        <w:tc>
          <w:tcPr>
            <w:tcW w:w="65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16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179"/>
        </w:trPr>
        <w:tc>
          <w:tcPr>
            <w:tcW w:w="6520" w:type="dxa"/>
            <w:vAlign w:val="bottom"/>
          </w:tcPr>
          <w:p>
            <w:pPr>
              <w:ind w:left="20"/>
              <w:spacing w:after="0"/>
              <w:rPr>
                <w:sz w:val="20"/>
                <w:szCs w:val="20"/>
                <w:color w:val="auto"/>
              </w:rPr>
            </w:pPr>
            <w:r>
              <w:rPr>
                <w:rFonts w:ascii="Arial" w:cs="Arial" w:eastAsia="Arial" w:hAnsi="Arial"/>
                <w:sz w:val="14"/>
                <w:szCs w:val="14"/>
                <w:color w:val="auto"/>
              </w:rPr>
              <w:t>CHANGE IN CASH AND CASH EQUIVALENTS:</w:t>
            </w:r>
          </w:p>
        </w:tc>
        <w:tc>
          <w:tcPr>
            <w:tcW w:w="16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 at beginning of period</w:t>
            </w:r>
          </w:p>
        </w:tc>
        <w:tc>
          <w:tcPr>
            <w:tcW w:w="16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86"/>
        </w:trPr>
        <w:tc>
          <w:tcPr>
            <w:tcW w:w="6520" w:type="dxa"/>
            <w:vAlign w:val="bottom"/>
          </w:tcPr>
          <w:p>
            <w:pPr>
              <w:ind w:left="360"/>
              <w:spacing w:after="0"/>
              <w:rPr>
                <w:sz w:val="20"/>
                <w:szCs w:val="20"/>
                <w:color w:val="auto"/>
              </w:rPr>
            </w:pPr>
            <w:r>
              <w:rPr>
                <w:rFonts w:ascii="Arial" w:cs="Arial" w:eastAsia="Arial" w:hAnsi="Arial"/>
                <w:sz w:val="14"/>
                <w:szCs w:val="14"/>
                <w:color w:val="auto"/>
              </w:rPr>
              <w:t>Cash and cash equivalents at end of period</w:t>
            </w:r>
          </w:p>
        </w:tc>
        <w:tc>
          <w:tcPr>
            <w:tcW w:w="1640" w:type="dxa"/>
            <w:vAlign w:val="bottom"/>
            <w:tcBorders>
              <w:bottom w:val="single" w:sz="8" w:color="auto"/>
            </w:tcBorders>
          </w:tcPr>
          <w:p>
            <w:pPr>
              <w:jc w:val="right"/>
              <w:ind w:right="14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6"/>
                <w:szCs w:val="16"/>
                <w:color w:val="auto"/>
              </w:rPr>
            </w:pP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2021</w:t>
            </w:r>
          </w:p>
        </w:tc>
        <w:tc>
          <w:tcPr>
            <w:tcW w:w="220" w:type="dxa"/>
            <w:vAlign w:val="bottom"/>
          </w:tcPr>
          <w:p>
            <w:pPr>
              <w:spacing w:after="0"/>
              <w:rPr>
                <w:sz w:val="16"/>
                <w:szCs w:val="16"/>
                <w:color w:val="auto"/>
              </w:rPr>
            </w:pPr>
          </w:p>
        </w:tc>
        <w:tc>
          <w:tcPr>
            <w:tcW w:w="144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26, 2020</w:t>
            </w:r>
          </w:p>
        </w:tc>
        <w:tc>
          <w:tcPr>
            <w:tcW w:w="0" w:type="dxa"/>
            <w:vAlign w:val="bottom"/>
          </w:tcPr>
          <w:p>
            <w:pPr>
              <w:spacing w:after="0"/>
              <w:rPr>
                <w:sz w:val="1"/>
                <w:szCs w:val="1"/>
                <w:color w:val="auto"/>
              </w:rPr>
            </w:pPr>
          </w:p>
        </w:tc>
      </w:tr>
      <w:tr>
        <w:trPr>
          <w:trHeight w:val="170"/>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2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20"/>
              <w:spacing w:after="0"/>
              <w:rPr>
                <w:sz w:val="20"/>
                <w:szCs w:val="20"/>
                <w:color w:val="auto"/>
              </w:rPr>
            </w:pPr>
            <w:r>
              <w:rPr>
                <w:rFonts w:ascii="Arial" w:cs="Arial" w:eastAsia="Arial" w:hAnsi="Arial"/>
                <w:sz w:val="14"/>
                <w:szCs w:val="14"/>
                <w:color w:val="auto"/>
              </w:rPr>
              <w:t>Purchase of an intangible asset with NCM LLC equity</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8"/>
        </w:trPr>
        <w:tc>
          <w:tcPr>
            <w:tcW w:w="768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Accrued distributions to founding members (including accrued distributions to related parties of $0.0</w:t>
            </w: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7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and $4.3, respectively)</w:t>
            </w:r>
          </w:p>
        </w:tc>
        <w:tc>
          <w:tcPr>
            <w:tcW w:w="26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20"/>
              <w:spacing w:after="0"/>
              <w:rPr>
                <w:sz w:val="20"/>
                <w:szCs w:val="20"/>
                <w:color w:val="auto"/>
              </w:rPr>
            </w:pPr>
            <w:r>
              <w:rPr>
                <w:rFonts w:ascii="Arial" w:cs="Arial" w:eastAsia="Arial" w:hAnsi="Arial"/>
                <w:sz w:val="14"/>
                <w:szCs w:val="14"/>
                <w:color w:val="auto"/>
              </w:rPr>
              <w:t>Accrued integration and other encumbered theater payments due from founding members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subsidiary equity with NCM, Inc. equity</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680" w:type="dxa"/>
            <w:vAlign w:val="bottom"/>
          </w:tcPr>
          <w:p>
            <w:pPr>
              <w:ind w:left="220"/>
              <w:spacing w:after="0"/>
              <w:rPr>
                <w:sz w:val="20"/>
                <w:szCs w:val="20"/>
                <w:color w:val="auto"/>
              </w:rPr>
            </w:pPr>
            <w:r>
              <w:rPr>
                <w:rFonts w:ascii="Arial" w:cs="Arial" w:eastAsia="Arial" w:hAnsi="Arial"/>
                <w:sz w:val="14"/>
                <w:szCs w:val="14"/>
                <w:color w:val="auto"/>
              </w:rPr>
              <w:t>Increase (decrease) in dividend equivalent accrual not requiring cash in the period</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80" w:type="dxa"/>
            <w:vAlign w:val="bottom"/>
          </w:tcPr>
          <w:p>
            <w:pPr>
              <w:ind w:left="220"/>
              <w:spacing w:after="0"/>
              <w:rPr>
                <w:sz w:val="20"/>
                <w:szCs w:val="20"/>
                <w:color w:val="auto"/>
              </w:rPr>
            </w:pPr>
            <w:r>
              <w:rPr>
                <w:rFonts w:ascii="Arial" w:cs="Arial" w:eastAsia="Arial" w:hAnsi="Arial"/>
                <w:sz w:val="14"/>
                <w:szCs w:val="14"/>
                <w:color w:val="auto"/>
              </w:rPr>
              <w:t>Cash paid for interest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(refunds) payments for income taxes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EQUITY/(DEFICIT)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NCM, Inc.</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4"/>
            <w:vMerge w:val="restart"/>
          </w:tcPr>
          <w:p>
            <w:pPr>
              <w:jc w:val="right"/>
              <w:ind w:right="4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Paid in</w:t>
            </w:r>
          </w:p>
        </w:tc>
        <w:tc>
          <w:tcPr>
            <w:tcW w:w="100" w:type="dxa"/>
            <w:vAlign w:val="bottom"/>
          </w:tcPr>
          <w:p>
            <w:pPr>
              <w:spacing w:after="0"/>
              <w:rPr>
                <w:sz w:val="11"/>
                <w:szCs w:val="11"/>
                <w:color w:val="auto"/>
              </w:rPr>
            </w:pPr>
          </w:p>
        </w:tc>
        <w:tc>
          <w:tcPr>
            <w:tcW w:w="11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(Distribution in</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8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8"/>
                <w:szCs w:val="8"/>
                <w:color w:val="auto"/>
              </w:rPr>
            </w:pPr>
          </w:p>
        </w:tc>
        <w:tc>
          <w:tcPr>
            <w:tcW w:w="118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Excess of</w:t>
            </w:r>
          </w:p>
        </w:tc>
        <w:tc>
          <w:tcPr>
            <w:tcW w:w="140" w:type="dxa"/>
            <w:vAlign w:val="bottom"/>
          </w:tcPr>
          <w:p>
            <w:pPr>
              <w:spacing w:after="0"/>
              <w:rPr>
                <w:sz w:val="8"/>
                <w:szCs w:val="8"/>
                <w:color w:val="auto"/>
              </w:rPr>
            </w:pPr>
          </w:p>
        </w:tc>
        <w:tc>
          <w:tcPr>
            <w:tcW w:w="1140" w:type="dxa"/>
            <w:vAlign w:val="bottom"/>
          </w:tcPr>
          <w:p>
            <w:pPr>
              <w:jc w:val="right"/>
              <w:ind w:right="109"/>
              <w:spacing w:after="0" w:line="102" w:lineRule="exact"/>
              <w:rPr>
                <w:sz w:val="20"/>
                <w:szCs w:val="20"/>
                <w:color w:val="auto"/>
              </w:rPr>
            </w:pPr>
            <w:r>
              <w:rPr>
                <w:rFonts w:ascii="Arial" w:cs="Arial" w:eastAsia="Arial" w:hAnsi="Arial"/>
                <w:sz w:val="11"/>
                <w:szCs w:val="11"/>
                <w:b w:val="1"/>
                <w:bCs w:val="1"/>
                <w:color w:val="auto"/>
              </w:rPr>
              <w:t>Noncontrolling</w:t>
            </w:r>
          </w:p>
        </w:tc>
        <w:tc>
          <w:tcPr>
            <w:tcW w:w="0" w:type="dxa"/>
            <w:vAlign w:val="bottom"/>
          </w:tcPr>
          <w:p>
            <w:pPr>
              <w:spacing w:after="0"/>
              <w:rPr>
                <w:sz w:val="1"/>
                <w:szCs w:val="1"/>
                <w:color w:val="auto"/>
              </w:rPr>
            </w:pPr>
          </w:p>
        </w:tc>
      </w:tr>
      <w:tr>
        <w:trPr>
          <w:trHeight w:val="201"/>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(Deficit)</w:t>
            </w: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Earnings)</w:t>
            </w:r>
          </w:p>
        </w:tc>
        <w:tc>
          <w:tcPr>
            <w:tcW w:w="140" w:type="dxa"/>
            <w:vAlign w:val="bottom"/>
          </w:tcPr>
          <w:p>
            <w:pPr>
              <w:spacing w:after="0"/>
              <w:rPr>
                <w:sz w:val="17"/>
                <w:szCs w:val="17"/>
                <w:color w:val="auto"/>
              </w:rPr>
            </w:pPr>
          </w:p>
        </w:tc>
        <w:tc>
          <w:tcPr>
            <w:tcW w:w="1140" w:type="dxa"/>
            <w:vAlign w:val="bottom"/>
          </w:tcPr>
          <w:p>
            <w:pPr>
              <w:jc w:val="right"/>
              <w:ind w:right="329"/>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4"/>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27,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77,568,986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w w:val="98"/>
              </w:rPr>
              <w:t>Cumulative-effect adjustment for adoption of ASU 2016-13, net of tax</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Comprehensive income, net of tax</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404,662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$0.19 per share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Balance—March 26,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(136.3)</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77,973,648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260.3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Balance—December 31, 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(268.6)</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78,040,818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(207.5)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(266.4)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shares</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1,390,567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NCM LLC common membership unit redemption</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 net of tax</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Share-based compensation issued</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586,166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Cash dividends declared $0.05 per share</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Balance—April 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80,017,551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6" w:right="35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40" w:firstLine="526"/>
        <w:spacing w:after="0" w:line="254" w:lineRule="auto"/>
        <w:rPr>
          <w:sz w:val="20"/>
          <w:szCs w:val="20"/>
          <w:color w:val="auto"/>
        </w:rPr>
      </w:pPr>
      <w:r>
        <w:rPr>
          <w:rFonts w:ascii="Arial" w:cs="Arial" w:eastAsia="Arial" w:hAnsi="Arial"/>
          <w:sz w:val="17"/>
          <w:szCs w:val="17"/>
          <w:color w:val="auto"/>
        </w:rPr>
        <w:t>National CineMedia, Inc. (“NCM, Inc.”) was incorporated in Delaware as a holding company with the sole purpose of becoming a member and sole manager of National CineMedia, LLC (“NCM LLC”), a limited liability company. NCM LLC is currently owned by NCM, Inc., Regal Cinemas, Inc. and Regal CineMedia Corporation, wholly owned subsidiaries of Cineworld Group plc and Regal Entertainment Group (“Regal”) and Cinemark Media, Inc. and Cinemark USA, Inc., wholly owned subsidiaries of Cinemark Holdings, Inc. (“Cinemark”). The terms “NCM”, “the Company” or “we” shall, unless the context otherwise requires, be deemed to include the consolidated entity. On March 23, 2021 American Multi-Cinema, Inc., a wholly owned subsidiary of AMC Entertainment, Inc. (“AMC”) redeemed 1,390,567 membership units, which were issued to AMC in accordance with the terms of the common unit adjustment agreement with the founding members, in exchange for shares of NCM, Inc. common stock, reducing AMC’s ownership to 0.0% as of April 1, 2021. AMC, Regal, Cinemark and their affiliates are referred to in this document as “founding members”.</w:t>
      </w:r>
    </w:p>
    <w:p>
      <w:pPr>
        <w:spacing w:after="0" w:line="127" w:lineRule="exact"/>
        <w:rPr>
          <w:sz w:val="20"/>
          <w:szCs w:val="20"/>
          <w:color w:val="auto"/>
        </w:rPr>
      </w:pPr>
    </w:p>
    <w:p>
      <w:pPr>
        <w:ind w:firstLine="526"/>
        <w:spacing w:after="0" w:line="253" w:lineRule="auto"/>
        <w:rPr>
          <w:sz w:val="20"/>
          <w:szCs w:val="20"/>
          <w:color w:val="auto"/>
        </w:rPr>
      </w:pPr>
      <w:r>
        <w:rPr>
          <w:rFonts w:ascii="Arial" w:cs="Arial" w:eastAsia="Arial" w:hAnsi="Arial"/>
          <w:sz w:val="17"/>
          <w:szCs w:val="17"/>
          <w:color w:val="auto"/>
        </w:rPr>
        <w:t>The Company operates the largest cinema advertising network reaching movie audiences in the U.S., allowing NCM LLC to sell advertising under long-term exhibitor service agreements (“ESAs”) with the founding members and certain third-party network affiliates, under long-term network affiliate agreements. In March 2020, each of the Company’s founding members and all of its network affiliates announced that their theaters would be temporarily closed to address the COVID-19 Pandemic and almost all of the theaters within the Company’s network remained closed until late August 2020. The Company generated no in-theater advertising revenue for the period that the theaters were closed. On September 4, 2020, the Company resumed advertising within the theaters that were open in its network, however, in-theater advertising revenue continues to be adversely impacted as attendance remains lower than historical levels due to government restrictions, including mandated patron capacity limitations and a continued lack of new major motion picture releases. As of April 1, 2021, approximately 60.0% of the theaters within the Company’s network were open. These developments are referred to as the “COVID-19 Pandemic.”</w:t>
      </w:r>
    </w:p>
    <w:p>
      <w:pPr>
        <w:spacing w:after="0" w:line="76" w:lineRule="exact"/>
        <w:rPr>
          <w:sz w:val="20"/>
          <w:szCs w:val="20"/>
          <w:color w:val="auto"/>
        </w:rPr>
      </w:pPr>
    </w:p>
    <w:p>
      <w:pPr>
        <w:ind w:right="40" w:firstLine="526"/>
        <w:spacing w:after="0" w:line="259" w:lineRule="auto"/>
        <w:rPr>
          <w:sz w:val="20"/>
          <w:szCs w:val="20"/>
          <w:color w:val="auto"/>
        </w:rPr>
      </w:pPr>
      <w:r>
        <w:rPr>
          <w:rFonts w:ascii="Arial" w:cs="Arial" w:eastAsia="Arial" w:hAnsi="Arial"/>
          <w:sz w:val="17"/>
          <w:szCs w:val="17"/>
          <w:color w:val="auto"/>
        </w:rPr>
        <w:t>On September 17,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(based upon pre-COVID-19 attendance levels) of approximately 18.5 years as of April 1, 2021. The network affiliate agreements expire at various dates between May 2021 and December 2037. The weighted average remaining term of the ESAs and the network affiliate agreements together is 20.9 years as of April 1, 2021 (based upon pre-COVID-19 attendance levels).</w:t>
      </w:r>
    </w:p>
    <w:p>
      <w:pPr>
        <w:spacing w:after="0" w:line="120" w:lineRule="exact"/>
        <w:rPr>
          <w:sz w:val="20"/>
          <w:szCs w:val="20"/>
          <w:color w:val="auto"/>
        </w:rPr>
      </w:pPr>
    </w:p>
    <w:p>
      <w:pPr>
        <w:ind w:right="60" w:firstLine="526"/>
        <w:spacing w:after="0" w:line="248" w:lineRule="auto"/>
        <w:rPr>
          <w:sz w:val="20"/>
          <w:szCs w:val="20"/>
          <w:color w:val="auto"/>
        </w:rPr>
      </w:pPr>
      <w:r>
        <w:rPr>
          <w:rFonts w:ascii="Arial" w:cs="Arial" w:eastAsia="Arial" w:hAnsi="Arial"/>
          <w:sz w:val="18"/>
          <w:szCs w:val="18"/>
          <w:color w:val="auto"/>
        </w:rPr>
        <w:t>As of April 1, 2021, NCM LLC had 166,205,895 common membership units outstanding, of which 80,017,551 (48.1%) were owned by NCM, Inc., 43,026,794 (25.9%) were owned by Regal and 43,161,550 (26.0%) were owned by Cinemark. The membership units held by the founding members are exchangeable into NCM, Inc. common stock on a one-for-one basis.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40" w:firstLine="526"/>
        <w:spacing w:after="0" w:line="257" w:lineRule="auto"/>
        <w:rPr>
          <w:sz w:val="20"/>
          <w:szCs w:val="20"/>
          <w:color w:val="auto"/>
        </w:rPr>
      </w:pPr>
      <w:r>
        <w:rPr>
          <w:rFonts w:ascii="Arial" w:cs="Arial" w:eastAsia="Arial" w:hAnsi="Arial"/>
          <w:sz w:val="17"/>
          <w:szCs w:val="17"/>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31, 2020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31, 2020.</w:t>
      </w:r>
    </w:p>
    <w:p>
      <w:pPr>
        <w:spacing w:after="0" w:line="121" w:lineRule="exact"/>
        <w:rPr>
          <w:sz w:val="20"/>
          <w:szCs w:val="20"/>
          <w:color w:val="auto"/>
        </w:rPr>
      </w:pPr>
    </w:p>
    <w:p>
      <w:pPr>
        <w:ind w:right="60" w:firstLine="526"/>
        <w:spacing w:after="0" w:line="293" w:lineRule="auto"/>
        <w:rPr>
          <w:sz w:val="20"/>
          <w:szCs w:val="20"/>
          <w:color w:val="auto"/>
        </w:rPr>
      </w:pPr>
      <w:r>
        <w:rPr>
          <w:rFonts w:ascii="Arial" w:cs="Arial" w:eastAsia="Arial" w:hAnsi="Arial"/>
          <w:sz w:val="16"/>
          <w:szCs w:val="16"/>
          <w:color w:val="auto"/>
        </w:rPr>
        <w:t>In the opinion of management, all adjustments necessary to present fairly in all material respects the financial position, results of operations and cash flows for all periods presented have been made. Historically, the Company’s business has been seasonal and for this and other reasons operating results for interim periods have not been indicative of the Company’s full year results or future performance. Given the impact of the COVID-19 Pandemic during 2021, management expects the Company's 2021 quarterly results to vary from historical trends. As a result of the various related party agreements discussed in Note 5—</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10" w:lineRule="exact"/>
        <w:rPr>
          <w:sz w:val="20"/>
          <w:szCs w:val="20"/>
          <w:color w:val="auto"/>
        </w:rPr>
      </w:pPr>
    </w:p>
    <w:p>
      <w:pPr>
        <w:ind w:right="320" w:firstLine="526"/>
        <w:spacing w:after="0" w:line="277"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reported amounts of assets and liabilities and disclosure of contingent assets 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620" w:firstLine="526"/>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31, 2020 contain a complete discussion of the Company’s significant accounting policies. Following is additional information related to the Company’s accounting policies.</w:t>
      </w:r>
    </w:p>
    <w:p>
      <w:pPr>
        <w:spacing w:after="0" w:line="70" w:lineRule="exact"/>
        <w:rPr>
          <w:sz w:val="20"/>
          <w:szCs w:val="20"/>
          <w:color w:val="auto"/>
        </w:rPr>
      </w:pPr>
    </w:p>
    <w:p>
      <w:pPr>
        <w:ind w:right="140" w:firstLine="526"/>
        <w:spacing w:after="0" w:line="301"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derives revenue principally from the advertising business, which includes on-screen and lobby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 advertising and lobby promotions and advertising on websites, mobile applications and out-of-home locations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103" w:lineRule="exact"/>
        <w:rPr>
          <w:sz w:val="20"/>
          <w:szCs w:val="20"/>
          <w:color w:val="auto"/>
        </w:rPr>
      </w:pPr>
    </w:p>
    <w:p>
      <w:pPr>
        <w:ind w:right="140" w:firstLine="526"/>
        <w:spacing w:after="0" w:line="287"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—The risk of credit loss related to the Company's trade receivables and unbilled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and represent smaller receivable balances per customer and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w:t>
      </w:r>
    </w:p>
    <w:p>
      <w:pPr>
        <w:spacing w:after="0" w:line="118" w:lineRule="exact"/>
        <w:rPr>
          <w:sz w:val="20"/>
          <w:szCs w:val="20"/>
          <w:color w:val="auto"/>
        </w:rPr>
      </w:pPr>
    </w:p>
    <w:p>
      <w:pPr>
        <w:ind w:firstLine="526"/>
        <w:spacing w:after="0" w:line="259" w:lineRule="auto"/>
        <w:rPr>
          <w:sz w:val="20"/>
          <w:szCs w:val="20"/>
          <w:color w:val="auto"/>
        </w:rPr>
      </w:pPr>
      <w:r>
        <w:rPr>
          <w:rFonts w:ascii="Arial" w:cs="Arial" w:eastAsia="Arial" w:hAnsi="Arial"/>
          <w:sz w:val="18"/>
          <w:szCs w:val="18"/>
          <w:color w:val="auto"/>
        </w:rPr>
        <w:t>The Company had one agency through which the Company sourced advertising revenue that accounted for 16.6% and 10.1% of the Company's gross outstanding receivable balance as of April 1, 2021 and December 31, 2020, respectively. During the three months ended April 1, 2021, the Company had one customer that accounted for 14.0% of the Company's revenue. During the three months ended March 26, 2020, the Company had no customers that accounted for more than 10% of revenue.</w:t>
      </w:r>
    </w:p>
    <w:p>
      <w:pPr>
        <w:spacing w:after="0" w:line="133" w:lineRule="exact"/>
        <w:rPr>
          <w:sz w:val="20"/>
          <w:szCs w:val="20"/>
          <w:color w:val="auto"/>
        </w:rPr>
      </w:pPr>
    </w:p>
    <w:p>
      <w:pPr>
        <w:ind w:right="220" w:firstLine="526"/>
        <w:spacing w:after="0" w:line="277"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—The Company assesses impairment of long-lived assets pursuant to ASC 360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This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whether certain triggering events have occurred that could affect the value of an asset.</w:t>
      </w:r>
    </w:p>
    <w:p>
      <w:pPr>
        <w:spacing w:after="0" w:line="116" w:lineRule="exact"/>
        <w:rPr>
          <w:sz w:val="20"/>
          <w:szCs w:val="20"/>
          <w:color w:val="auto"/>
        </w:rPr>
      </w:pPr>
    </w:p>
    <w:p>
      <w:pPr>
        <w:ind w:right="40" w:firstLine="526"/>
        <w:spacing w:after="0" w:line="287"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Company has issued stock options, restricted stock, and restricted stock units to certain employees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directors. The restricted stock and restricted stock unit grants for Company management vest upon the achievement of Company performance measures and/or service conditions, while non-management grants vest only upon the achievement of service conditions. Compensation expense of restricted stock and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and restricted stock units expected to vest. Ultimately, the Company adjusts the expense recognized to reflect the actual vested shares following the resolution of the performance conditions. Dividends are accrued when declared on unvested restricted stock and restricted stock units that are expected to vest and are only paid with respect to shares that actually vest. On February 28, 2021 and March 2, 2021, the Company’s Board of Directors approved certain modifications to equity awards awarded under the Company’s 2016 Equity Incentive Plan to adjust performance metrics, vesting amount and future goals performance goals in light of the COVID-19 Pandemic resulting in incremental share-based compensation expense of $1.3 million for the three months ended April 1, 2021. During the three months ended April 1, 2021 and March 26, 2020, 843,729 and 524,303 shares of restricted stock and restricted stock units vested, respectively.</w:t>
      </w:r>
    </w:p>
    <w:p>
      <w:pPr>
        <w:spacing w:after="0" w:line="114" w:lineRule="exact"/>
        <w:rPr>
          <w:sz w:val="20"/>
          <w:szCs w:val="20"/>
          <w:color w:val="auto"/>
        </w:rPr>
      </w:pPr>
    </w:p>
    <w:p>
      <w:pPr>
        <w:ind w:right="80" w:firstLine="526"/>
        <w:spacing w:after="0" w:line="342"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provisions of ASC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color w:val="auto"/>
        </w:rPr>
        <w:t>. The following table presents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changes in NCM, Inc.’s equity resulting from net income attributable to NCM, Inc. and transfers to or from noncontrolling interests (in millions):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1, 2021</w:t>
            </w:r>
          </w:p>
        </w:tc>
        <w:tc>
          <w:tcPr>
            <w:tcW w:w="160" w:type="dxa"/>
            <w:vAlign w:val="bottom"/>
          </w:tcPr>
          <w:p>
            <w:pPr>
              <w:spacing w:after="0"/>
              <w:rPr>
                <w:sz w:val="16"/>
                <w:szCs w:val="16"/>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26, 2020</w:t>
            </w:r>
          </w:p>
        </w:tc>
      </w:tr>
      <w:tr>
        <w:trPr>
          <w:trHeight w:val="224"/>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NCM, Inc.</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NCM LLC equity issued for purchase of intangible asset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and other impacts of subsidiary ownership changes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Issuance of shares to founding members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from net loss income attributable to NCM, Inc. and transfers from noncontrolling interests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100" w:firstLine="526"/>
        <w:spacing w:after="0" w:line="296" w:lineRule="auto"/>
        <w:rPr>
          <w:sz w:val="20"/>
          <w:szCs w:val="20"/>
          <w:color w:val="auto"/>
        </w:rPr>
      </w:pPr>
      <w:r>
        <w:rPr>
          <w:rFonts w:ascii="Arial" w:cs="Arial" w:eastAsia="Arial" w:hAnsi="Arial"/>
          <w:sz w:val="16"/>
          <w:szCs w:val="16"/>
          <w:color w:val="auto"/>
        </w:rPr>
        <w:t xml:space="preserve">During the first quarter of 2021, the Company adopted Accounting Standards Update 2019-12, Income Taxes (Topic 740):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(“ASU 2019-12”), which removes the following exceptions for the Company to analyze in a given period: the exception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incremental approach for intraperiod tax allocation; the exception to accounting for basis differences when there are ownership changes in foreign investments; and the exception in interim periods income tax accounting for year-to-date losses that exceed anticipated losses. The Company’s adoption of ASU 2019-12 did not have a material impact on the unaudited Condensed Consolidated Financial Statements or notes thereto.</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The Company is currently assessing the impact of the LIBOR transition and ASU 2020-04 on the Company’s unaudited Condensed Consolidated Financial Statements.</w:t>
      </w:r>
    </w:p>
    <w:p>
      <w:pPr>
        <w:spacing w:after="0" w:line="138" w:lineRule="exact"/>
        <w:rPr>
          <w:sz w:val="20"/>
          <w:szCs w:val="20"/>
          <w:color w:val="auto"/>
        </w:rPr>
      </w:pPr>
    </w:p>
    <w:p>
      <w:pPr>
        <w:ind w:right="16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112" w:lineRule="exact"/>
        <w:rPr>
          <w:sz w:val="20"/>
          <w:szCs w:val="20"/>
          <w:color w:val="auto"/>
        </w:rPr>
      </w:pPr>
    </w:p>
    <w:p>
      <w:pPr>
        <w:ind w:right="3920"/>
        <w:spacing w:after="0" w:line="378" w:lineRule="auto"/>
        <w:rPr>
          <w:sz w:val="20"/>
          <w:szCs w:val="20"/>
          <w:color w:val="auto"/>
        </w:rPr>
      </w:pPr>
      <w:r>
        <w:rPr>
          <w:rFonts w:ascii="Arial" w:cs="Arial" w:eastAsia="Arial" w:hAnsi="Arial"/>
          <w:sz w:val="18"/>
          <w:szCs w:val="18"/>
          <w:b w:val="1"/>
          <w:bCs w:val="1"/>
          <w:color w:val="auto"/>
        </w:rPr>
        <w:t xml:space="preserve">2. REVENUE FROM CONTRACTS WITH CUSTOMERS AND ACCOUNTS RECEIVABLE </w:t>
      </w:r>
      <w:r>
        <w:rPr>
          <w:rFonts w:ascii="Arial" w:cs="Arial" w:eastAsia="Arial" w:hAnsi="Arial"/>
          <w:sz w:val="18"/>
          <w:szCs w:val="18"/>
          <w:b w:val="1"/>
          <w:bCs w:val="1"/>
          <w:i w:val="1"/>
          <w:iCs w:val="1"/>
          <w:color w:val="auto"/>
        </w:rPr>
        <w:t>Revenue Recognition</w:t>
      </w:r>
    </w:p>
    <w:p>
      <w:pPr>
        <w:ind w:right="40" w:firstLine="526"/>
        <w:spacing w:after="0" w:line="272" w:lineRule="auto"/>
        <w:rPr>
          <w:sz w:val="20"/>
          <w:szCs w:val="20"/>
          <w:color w:val="auto"/>
        </w:rPr>
      </w:pPr>
      <w:r>
        <w:rPr>
          <w:rFonts w:ascii="Arial" w:cs="Arial" w:eastAsia="Arial" w:hAnsi="Arial"/>
          <w:sz w:val="17"/>
          <w:szCs w:val="17"/>
          <w:color w:val="auto"/>
        </w:rPr>
        <w:t xml:space="preserve">The Company derives revenue principally from the sale of advertising to national, regional and local businesses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through </w:t>
      </w:r>
      <w:r>
        <w:rPr>
          <w:rFonts w:ascii="Arial" w:cs="Arial" w:eastAsia="Arial" w:hAnsi="Arial"/>
          <w:sz w:val="17"/>
          <w:szCs w:val="17"/>
          <w:i w:val="1"/>
          <w:iCs w:val="1"/>
          <w:color w:val="auto"/>
        </w:rPr>
        <w:t>Noovie Audience Accelerator</w:t>
      </w:r>
      <w:r>
        <w:rPr>
          <w:rFonts w:ascii="Arial" w:cs="Arial" w:eastAsia="Arial" w:hAnsi="Arial"/>
          <w:sz w:val="17"/>
          <w:szCs w:val="17"/>
          <w:color w:val="auto"/>
        </w:rPr>
        <w:t xml:space="preserve"> and NCM's digital gaming products including </w:t>
      </w:r>
      <w:r>
        <w:rPr>
          <w:rFonts w:ascii="Arial" w:cs="Arial" w:eastAsia="Arial" w:hAnsi="Arial"/>
          <w:sz w:val="17"/>
          <w:szCs w:val="17"/>
          <w:i w:val="1"/>
          <w:iCs w:val="1"/>
          <w:color w:val="auto"/>
        </w:rPr>
        <w:t>Noovie Trivia</w:t>
      </w:r>
      <w:r>
        <w:rPr>
          <w:rFonts w:ascii="Arial" w:cs="Arial" w:eastAsia="Arial" w:hAnsi="Arial"/>
          <w:sz w:val="17"/>
          <w:szCs w:val="17"/>
          <w:color w:val="auto"/>
        </w:rPr>
        <w:t xml:space="preserve">, </w:t>
      </w:r>
      <w:r>
        <w:rPr>
          <w:rFonts w:ascii="Arial" w:cs="Arial" w:eastAsia="Arial" w:hAnsi="Arial"/>
          <w:sz w:val="17"/>
          <w:szCs w:val="17"/>
          <w:i w:val="1"/>
          <w:iCs w:val="1"/>
          <w:color w:val="auto"/>
        </w:rPr>
        <w:t>Noovie ARcade, Name That Movie</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 Shuffle,</w:t>
      </w:r>
      <w:r>
        <w:rPr>
          <w:rFonts w:ascii="Arial" w:cs="Arial" w:eastAsia="Arial" w:hAnsi="Arial"/>
          <w:sz w:val="17"/>
          <w:szCs w:val="17"/>
          <w:color w:val="auto"/>
        </w:rPr>
        <w:t xml:space="preserve"> which can be played on the mobile apps or at </w:t>
      </w:r>
      <w:r>
        <w:rPr>
          <w:rFonts w:ascii="Arial" w:cs="Arial" w:eastAsia="Arial" w:hAnsi="Arial"/>
          <w:sz w:val="17"/>
          <w:szCs w:val="17"/>
          <w:i w:val="1"/>
          <w:iCs w:val="1"/>
          <w:color w:val="auto"/>
        </w:rPr>
        <w:t>Noovie.com.</w:t>
      </w:r>
      <w:r>
        <w:rPr>
          <w:rFonts w:ascii="Arial" w:cs="Arial" w:eastAsia="Arial" w:hAnsi="Arial"/>
          <w:sz w:val="17"/>
          <w:szCs w:val="17"/>
          <w:color w:val="auto"/>
        </w:rPr>
        <w:t xml:space="preserve"> Further the Company sells advertising in a variety of complementary out of home venues, including restaurants, retail locations, convenience stores and office and residential buildings. The Company also has a long-term agreement to exhibit the advertising of the founding members’ beverage suppliers.</w:t>
      </w:r>
    </w:p>
    <w:p>
      <w:pPr>
        <w:spacing w:after="0" w:line="69" w:lineRule="exact"/>
        <w:rPr>
          <w:sz w:val="20"/>
          <w:szCs w:val="20"/>
          <w:color w:val="auto"/>
        </w:rPr>
      </w:pPr>
    </w:p>
    <w:p>
      <w:pPr>
        <w:ind w:right="60" w:firstLine="526"/>
        <w:spacing w:after="0" w:line="255" w:lineRule="auto"/>
        <w:rPr>
          <w:sz w:val="20"/>
          <w:szCs w:val="20"/>
          <w:color w:val="auto"/>
        </w:rPr>
      </w:pPr>
      <w:r>
        <w:rPr>
          <w:rFonts w:ascii="Arial" w:cs="Arial" w:eastAsia="Arial" w:hAnsi="Arial"/>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theater attendance specified in the advertising contract. The make-good provision is recorded within accrued expenses in the unaudited Condensed Consolidated Balance Sheet. As of April 1, 2021 and December 31, 2020, the Company had a make-good provision of $4.5 million and $7.1 million, respectively.</w:t>
      </w:r>
    </w:p>
    <w:p>
      <w:pPr>
        <w:spacing w:after="0" w:line="84" w:lineRule="exact"/>
        <w:rPr>
          <w:sz w:val="20"/>
          <w:szCs w:val="20"/>
          <w:color w:val="auto"/>
        </w:rPr>
      </w:pPr>
    </w:p>
    <w:p>
      <w:pPr>
        <w:ind w:right="100" w:firstLine="526"/>
        <w:spacing w:after="0" w:line="311" w:lineRule="auto"/>
        <w:rPr>
          <w:sz w:val="20"/>
          <w:szCs w:val="20"/>
          <w:color w:val="auto"/>
        </w:rPr>
      </w:pPr>
      <w:r>
        <w:rPr>
          <w:rFonts w:ascii="Arial" w:cs="Arial" w:eastAsia="Arial" w:hAnsi="Arial"/>
          <w:sz w:val="16"/>
          <w:szCs w:val="16"/>
          <w:color w:val="auto"/>
        </w:rPr>
        <w:t>The Company does not have any contracts with customers with terms in excess of one year that are noncancellable as of April 1, 2021. Agreements with a duration less than one year are not included within this disclosure as the Company elected to use the practical expedient in ASC 606-10-50-14 for those contracts. In addition, other of the Company’s contracts longer than one year that are cancellable are not included within this disclosure.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ind w:right="320" w:firstLine="526"/>
        <w:spacing w:after="0" w:line="342" w:lineRule="auto"/>
        <w:rPr>
          <w:sz w:val="20"/>
          <w:szCs w:val="20"/>
          <w:color w:val="auto"/>
        </w:rPr>
      </w:pPr>
      <w:r>
        <w:rPr>
          <w:rFonts w:ascii="Arial" w:cs="Arial" w:eastAsia="Arial" w:hAnsi="Arial"/>
          <w:sz w:val="16"/>
          <w:szCs w:val="16"/>
          <w:color w:val="auto"/>
        </w:rPr>
        <w:t>The Company disaggregates revenue based upon the type of customer: national and regional, local and beverage concessionaire. This method of disaggregation is in alignment with how revenue is reviewed by management and discussed with and historically disclosed to investors.</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revenue from contracts with customers for the three months ended April 1, 2021 and March 26, 2020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1, 2021</w:t>
            </w:r>
          </w:p>
        </w:tc>
        <w:tc>
          <w:tcPr>
            <w:tcW w:w="140" w:type="dxa"/>
            <w:vAlign w:val="bottom"/>
          </w:tcPr>
          <w:p>
            <w:pPr>
              <w:spacing w:after="0"/>
              <w:rPr>
                <w:sz w:val="16"/>
                <w:szCs w:val="16"/>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March 26, 2020</w:t>
            </w:r>
          </w:p>
        </w:tc>
      </w:tr>
      <w:tr>
        <w:trPr>
          <w:trHeight w:val="224"/>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Local advertising revenue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Founding member advertising revenue from beverage concessionaire agreements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848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r>
      <w:tr>
        <w:trPr>
          <w:trHeight w:val="21"/>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deferred revenue for the three months ended April 1, 2021 were as follows (in millions):</w:t>
      </w:r>
    </w:p>
    <w:p>
      <w:pPr>
        <w:spacing w:after="0" w:line="203"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23495</wp:posOffset>
            </wp:positionV>
            <wp:extent cx="18084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2"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April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contract liabilities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Performance obligations satisfied</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center"/>
              <w:ind w:left="1070"/>
              <w:spacing w:after="0"/>
              <w:rPr>
                <w:sz w:val="20"/>
                <w:szCs w:val="20"/>
                <w:color w:val="auto"/>
              </w:rPr>
            </w:pPr>
            <w:r>
              <w:rPr>
                <w:rFonts w:ascii="Arial" w:cs="Arial" w:eastAsia="Arial" w:hAnsi="Arial"/>
                <w:sz w:val="18"/>
                <w:szCs w:val="18"/>
                <w:color w:val="auto"/>
                <w:w w:val="97"/>
              </w:rPr>
              <w:t>(5.1)</w:t>
            </w:r>
          </w:p>
        </w:tc>
      </w:tr>
      <w:tr>
        <w:trPr>
          <w:trHeight w:val="229"/>
        </w:trPr>
        <w:tc>
          <w:tcPr>
            <w:tcW w:w="1280" w:type="dxa"/>
            <w:vAlign w:val="bottom"/>
          </w:tcPr>
          <w:p>
            <w:pPr>
              <w:spacing w:after="0"/>
              <w:rPr>
                <w:sz w:val="19"/>
                <w:szCs w:val="19"/>
                <w:color w:val="auto"/>
              </w:rPr>
            </w:pPr>
          </w:p>
        </w:tc>
        <w:tc>
          <w:tcPr>
            <w:tcW w:w="1560" w:type="dxa"/>
            <w:vAlign w:val="bottom"/>
          </w:tcPr>
          <w:p>
            <w:pPr>
              <w:jc w:val="center"/>
              <w:ind w:left="1070"/>
              <w:spacing w:after="0"/>
              <w:rPr>
                <w:sz w:val="20"/>
                <w:szCs w:val="20"/>
                <w:color w:val="auto"/>
              </w:rPr>
            </w:pPr>
            <w:r>
              <w:rPr>
                <w:rFonts w:ascii="Arial" w:cs="Arial" w:eastAsia="Arial" w:hAnsi="Arial"/>
                <w:sz w:val="18"/>
                <w:szCs w:val="18"/>
                <w:color w:val="auto"/>
                <w:w w:val="97"/>
              </w:rPr>
              <w:t>(1.2)</w:t>
            </w:r>
          </w:p>
        </w:tc>
      </w:tr>
      <w:tr>
        <w:trPr>
          <w:trHeight w:val="230"/>
        </w:trPr>
        <w:tc>
          <w:tcPr>
            <w:tcW w:w="1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color w:val="auto"/>
                <w:w w:val="87"/>
              </w:rPr>
              <w:t>1.4</w:t>
            </w:r>
          </w:p>
        </w:tc>
      </w:tr>
      <w:tr>
        <w:trPr>
          <w:trHeight w:val="223"/>
        </w:trPr>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7"/>
              </w:rPr>
              <w:t>(4.9)</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-334010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2840"/>
          </w:cols>
          <w:pgMar w:left="320" w:top="121" w:right="339" w:bottom="1440" w:gutter="0" w:footer="0" w:header="0"/>
          <w:type w:val="continuous"/>
        </w:sectPr>
      </w:pPr>
    </w:p>
    <w:p>
      <w:pPr>
        <w:spacing w:after="0" w:line="42" w:lineRule="exact"/>
        <w:rPr>
          <w:sz w:val="20"/>
          <w:szCs w:val="20"/>
          <w:color w:val="auto"/>
        </w:rPr>
      </w:pPr>
    </w:p>
    <w:p>
      <w:pPr>
        <w:ind w:right="760" w:firstLine="526"/>
        <w:spacing w:after="0" w:line="344" w:lineRule="auto"/>
        <w:rPr>
          <w:sz w:val="20"/>
          <w:szCs w:val="20"/>
          <w:color w:val="auto"/>
        </w:rPr>
      </w:pPr>
      <w:r>
        <w:rPr>
          <w:rFonts w:ascii="Arial" w:cs="Arial" w:eastAsia="Arial" w:hAnsi="Arial"/>
          <w:sz w:val="18"/>
          <w:szCs w:val="18"/>
          <w:color w:val="auto"/>
        </w:rPr>
        <w:t xml:space="preserve">As of April 1, 2021 and December 31, 2020, the Company had $2.1 million and $2.5 million in unbilled accounts receivable, respectively. </w:t>
      </w:r>
      <w:r>
        <w:rPr>
          <w:rFonts w:ascii="Arial" w:cs="Arial" w:eastAsia="Arial" w:hAnsi="Arial"/>
          <w:sz w:val="18"/>
          <w:szCs w:val="18"/>
          <w:b w:val="1"/>
          <w:bCs w:val="1"/>
          <w:i w:val="1"/>
          <w:iCs w:val="1"/>
          <w:color w:val="auto"/>
        </w:rPr>
        <w:t>Allowance for Doubtful Accounts</w:t>
      </w:r>
    </w:p>
    <w:p>
      <w:pPr>
        <w:spacing w:after="0" w:line="1"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The allowance for doubtful accounts balance is determined separately for each pool of the Company's receivables with similar risk characteristics. The Company has determined that two pools, national customers and local/ regional customers, is appropriate. The changes within the allowance for doubtful accounts balances for the three months ended April 1, 2021 were as follows (in millions):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at beginning of period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Provision for bad debt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Write-offs, net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39516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April 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20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4"/>
                <w:szCs w:val="14"/>
                <w:b w:val="1"/>
                <w:bCs w:val="1"/>
                <w:color w:val="auto"/>
              </w:rPr>
              <w:t>Allowance for National Customer Receivables</w:t>
            </w:r>
          </w:p>
        </w:tc>
        <w:tc>
          <w:tcPr>
            <w:tcW w:w="180" w:type="dxa"/>
            <w:vAlign w:val="bottom"/>
            <w:tcBorders>
              <w:top w:val="single" w:sz="8" w:color="auto"/>
            </w:tcBorders>
          </w:tcPr>
          <w:p>
            <w:pPr>
              <w:spacing w:after="0"/>
              <w:rPr>
                <w:sz w:val="12"/>
                <w:szCs w:val="12"/>
                <w:color w:val="auto"/>
              </w:rPr>
            </w:pPr>
          </w:p>
        </w:tc>
        <w:tc>
          <w:tcPr>
            <w:tcW w:w="2860" w:type="dxa"/>
            <w:vAlign w:val="bottom"/>
            <w:tcBorders>
              <w:top w:val="single" w:sz="8" w:color="auto"/>
            </w:tcBorders>
          </w:tcPr>
          <w:p>
            <w:pPr>
              <w:jc w:val="center"/>
              <w:ind w:right="116"/>
              <w:spacing w:after="0" w:line="141" w:lineRule="exact"/>
              <w:rPr>
                <w:sz w:val="20"/>
                <w:szCs w:val="20"/>
                <w:color w:val="auto"/>
              </w:rPr>
            </w:pPr>
            <w:r>
              <w:rPr>
                <w:rFonts w:ascii="Arial" w:cs="Arial" w:eastAsia="Arial" w:hAnsi="Arial"/>
                <w:sz w:val="14"/>
                <w:szCs w:val="14"/>
                <w:b w:val="1"/>
                <w:bCs w:val="1"/>
                <w:color w:val="auto"/>
                <w:w w:val="93"/>
              </w:rPr>
              <w:t>Allowance for Local/ Regional Customer</w:t>
            </w:r>
          </w:p>
        </w:tc>
        <w:tc>
          <w:tcPr>
            <w:tcW w:w="0" w:type="dxa"/>
            <w:vAlign w:val="bottom"/>
          </w:tcPr>
          <w:p>
            <w:pPr>
              <w:spacing w:after="0"/>
              <w:rPr>
                <w:sz w:val="1"/>
                <w:szCs w:val="1"/>
                <w:color w:val="auto"/>
              </w:rPr>
            </w:pPr>
          </w:p>
        </w:tc>
      </w:tr>
      <w:tr>
        <w:trPr>
          <w:trHeight w:val="188"/>
        </w:trPr>
        <w:tc>
          <w:tcPr>
            <w:tcW w:w="320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24"/>
        </w:trPr>
        <w:tc>
          <w:tcPr>
            <w:tcW w:w="1420" w:type="dxa"/>
            <w:vAlign w:val="bottom"/>
          </w:tcPr>
          <w:p>
            <w:pPr>
              <w:jc w:val="right"/>
              <w:ind w:right="1216"/>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60" w:type="dxa"/>
            <w:vAlign w:val="bottom"/>
          </w:tcPr>
          <w:p>
            <w:pPr>
              <w:jc w:val="center"/>
              <w:ind w:left="2396"/>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860" w:type="dxa"/>
            <w:vAlign w:val="bottom"/>
          </w:tcPr>
          <w:p>
            <w:pPr>
              <w:jc w:val="center"/>
              <w:ind w:left="2356"/>
              <w:spacing w:after="0"/>
              <w:rPr>
                <w:sz w:val="20"/>
                <w:szCs w:val="20"/>
                <w:color w:val="auto"/>
              </w:rPr>
            </w:pPr>
            <w:r>
              <w:rPr>
                <w:rFonts w:ascii="Arial" w:cs="Arial" w:eastAsia="Arial" w:hAnsi="Arial"/>
                <w:sz w:val="18"/>
                <w:szCs w:val="18"/>
                <w:color w:val="auto"/>
                <w:w w:val="91"/>
              </w:rPr>
              <w:t>(0.3)</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60" w:type="dxa"/>
            <w:vAlign w:val="bottom"/>
          </w:tcPr>
          <w:p>
            <w:pPr>
              <w:jc w:val="center"/>
              <w:ind w:left="2356"/>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23"/>
        </w:trPr>
        <w:tc>
          <w:tcPr>
            <w:tcW w:w="1420" w:type="dxa"/>
            <w:vAlign w:val="bottom"/>
            <w:tcBorders>
              <w:top w:val="single" w:sz="8" w:color="auto"/>
              <w:bottom w:val="single" w:sz="8" w:color="auto"/>
            </w:tcBorders>
          </w:tcPr>
          <w:p>
            <w:pPr>
              <w:jc w:val="right"/>
              <w:ind w:right="1216"/>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60" w:type="dxa"/>
            <w:vAlign w:val="bottom"/>
            <w:tcBorders>
              <w:top w:val="single" w:sz="8" w:color="auto"/>
              <w:bottom w:val="single" w:sz="8" w:color="auto"/>
            </w:tcBorders>
          </w:tcPr>
          <w:p>
            <w:pPr>
              <w:jc w:val="center"/>
              <w:ind w:left="2396"/>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-633730</wp:posOffset>
            </wp:positionV>
            <wp:extent cx="711517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-334010</wp:posOffset>
            </wp:positionV>
            <wp:extent cx="711517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4260" w:space="720"/>
            <w:col w:w="6260"/>
          </w:cols>
          <w:pgMar w:left="320" w:top="121" w:right="339" w:bottom="1440" w:gutter="0" w:footer="0" w:header="0"/>
          <w:type w:val="continuous"/>
        </w:sectPr>
      </w:pPr>
    </w:p>
    <w:p>
      <w:pPr>
        <w:ind w:right="60" w:firstLine="526"/>
        <w:spacing w:after="0" w:line="311" w:lineRule="auto"/>
        <w:rPr>
          <w:sz w:val="20"/>
          <w:szCs w:val="20"/>
          <w:color w:val="auto"/>
        </w:rPr>
      </w:pPr>
      <w:r>
        <w:rPr>
          <w:rFonts w:ascii="Arial" w:cs="Arial" w:eastAsia="Arial" w:hAnsi="Arial"/>
          <w:sz w:val="16"/>
          <w:szCs w:val="16"/>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restricted stock units using the treasury stock method. The components of basic and diluted loss per NCM, Inc. share are as follows: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8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1, 2021</w:t>
            </w: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March 26, 2020</w:t>
            </w:r>
          </w:p>
        </w:tc>
        <w:tc>
          <w:tcPr>
            <w:tcW w:w="0" w:type="dxa"/>
            <w:vAlign w:val="bottom"/>
          </w:tcPr>
          <w:p>
            <w:pPr>
              <w:spacing w:after="0"/>
              <w:rPr>
                <w:sz w:val="1"/>
                <w:szCs w:val="1"/>
                <w:color w:val="auto"/>
              </w:rPr>
            </w:pPr>
          </w:p>
        </w:tc>
      </w:tr>
      <w:tr>
        <w:trPr>
          <w:trHeight w:val="224"/>
        </w:trPr>
        <w:tc>
          <w:tcPr>
            <w:tcW w:w="8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NCM, Inc. (in millions)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78,481,355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77,763,967</w:t>
            </w: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Add: Dilutive effect of stock options, restricted stock and exchangeable membership units</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5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78,481,355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77,763,967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earnings per NCM, Inc.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40" w:firstLine="526"/>
        <w:spacing w:after="0" w:line="255" w:lineRule="auto"/>
        <w:rPr>
          <w:sz w:val="20"/>
          <w:szCs w:val="20"/>
          <w:color w:val="auto"/>
        </w:rPr>
      </w:pPr>
      <w:r>
        <w:rPr>
          <w:rFonts w:ascii="Arial" w:cs="Arial" w:eastAsia="Arial" w:hAnsi="Arial"/>
          <w:sz w:val="18"/>
          <w:szCs w:val="18"/>
          <w:color w:val="auto"/>
        </w:rPr>
        <w:t>The effect of 84,427,289 and 81,973,440 weighted average exchangeable NCM LLC common units held by the founding members for the three months ended April 1, 2021 and March 26, 2020, respectively, have been excluded from the calculation of diluted weighted average shares and loss per NCM, Inc. share as they were anti-dilutive. NCM LLC common units do not participate in dividends paid on NCM, Inc.’s common stock. In addition, there were 5,523,285 and 3,821,388, stock options and non-vested (restricted) shares for the three months ended April 1, 2021 and March 26, 2020, respectively, excluded from the calculation as they were anti-dilutive. The Company’s non-vested (restricted) shares do not meet the definition of a participating security as the dividends will not be paid if the shares do not vest.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21" w:lineRule="exact"/>
        <w:rPr>
          <w:sz w:val="20"/>
          <w:szCs w:val="20"/>
          <w:color w:val="auto"/>
        </w:rPr>
      </w:pPr>
    </w:p>
    <w:p>
      <w:pPr>
        <w:ind w:firstLine="526"/>
        <w:spacing w:after="0" w:line="285" w:lineRule="auto"/>
        <w:rPr>
          <w:sz w:val="20"/>
          <w:szCs w:val="20"/>
          <w:color w:val="auto"/>
        </w:rPr>
      </w:pPr>
      <w:r>
        <w:rPr>
          <w:rFonts w:ascii="Arial" w:cs="Arial" w:eastAsia="Arial" w:hAnsi="Arial"/>
          <w:sz w:val="16"/>
          <w:szCs w:val="16"/>
          <w:color w:val="auto"/>
        </w:rPr>
        <w:t xml:space="preserve">Intangible assets consist of contractual rights to provide the Company’s services within the theaters of the founding members and network affiliates and are stated at cost, net of accumulated amortization. The Company’s intangible assets with its founding members are recorded at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During 2020, the Company determined that recent adverse changes in macroeconomic trends, reduced cash flows as a consequence of the temporary closure of the theaters within the Company's network in response to the outbreak of the COVID-19 Pandemic, a decline in the fair value of NCM LLC’s debt and the further sustained decline in the market price of NCM, Inc.'s common stock constituted a triggering event for its intangible assets under </w:t>
      </w:r>
      <w:r>
        <w:rPr>
          <w:rFonts w:ascii="Arial" w:cs="Arial" w:eastAsia="Arial" w:hAnsi="Arial"/>
          <w:sz w:val="16"/>
          <w:szCs w:val="16"/>
          <w:i w:val="1"/>
          <w:iCs w:val="1"/>
          <w:color w:val="auto"/>
        </w:rPr>
        <w:t>Accounting Standards Certification No. 360, Impairment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Disposal of Long-Lived Assets. </w:t>
      </w:r>
      <w:r>
        <w:rPr>
          <w:rFonts w:ascii="Arial" w:cs="Arial" w:eastAsia="Arial" w:hAnsi="Arial"/>
          <w:sz w:val="16"/>
          <w:szCs w:val="16"/>
          <w:color w:val="auto"/>
        </w:rPr>
        <w:t>Management considered possible scenarios in a probability-weighted estimated future undiscounted cash flow analysis,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potential of further delays in major motion picture releases, a recurrence of the temporary theater closures and other potential adverse impacts to NCM LLC's founding members' and affiliates' financial liquidity related to the COVID-19 Pandemic. The estimated future cash flows from the affiliate agreements and ESAs calculated within the probability-weighted analyses were in excess of the net book value of these intangible assets and no impairment charges were recorded in the year ended December 31, 2020. Such analysis required management to make estimates and assumptions based on historical data and consideration of future market conditions. Given the uncertainty inherent in any projection, heightened by the possibility of unforeseen additional effects of the COVID-19 Pandemic, including potential adverse impacts to NCM LLC's founding members' and affiliates' financial liquidity, actual results may differ from the estimates and assumptions used, or conditions may change, which could result in impairment charges in the future.</w:t>
      </w:r>
    </w:p>
    <w:p>
      <w:pPr>
        <w:spacing w:after="0" w:line="120" w:lineRule="exact"/>
        <w:rPr>
          <w:sz w:val="20"/>
          <w:szCs w:val="20"/>
          <w:color w:val="auto"/>
        </w:rPr>
      </w:pPr>
    </w:p>
    <w:p>
      <w:pPr>
        <w:ind w:right="20" w:firstLine="526"/>
        <w:spacing w:after="0" w:line="254" w:lineRule="auto"/>
        <w:rPr>
          <w:sz w:val="20"/>
          <w:szCs w:val="20"/>
          <w:color w:val="auto"/>
        </w:rPr>
      </w:pPr>
      <w:r>
        <w:rPr>
          <w:rFonts w:ascii="Arial" w:cs="Arial" w:eastAsia="Arial" w:hAnsi="Arial"/>
          <w:sz w:val="18"/>
          <w:szCs w:val="18"/>
          <w:b w:val="1"/>
          <w:bCs w:val="1"/>
          <w:i w:val="1"/>
          <w:iCs w:val="1"/>
          <w:color w:val="auto"/>
        </w:rPr>
        <w:t>Common Unit Adjustments</w:t>
      </w:r>
      <w:r>
        <w:rPr>
          <w:rFonts w:ascii="Arial" w:cs="Arial" w:eastAsia="Arial" w:hAnsi="Arial"/>
          <w:sz w:val="18"/>
          <w:szCs w:val="18"/>
          <w:color w:val="auto"/>
        </w:rPr>
        <w:t>—In accordance with NCM LLC’s Common Unit Adjustment Agreement with its founding members, on an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NCM LLC determines the amount of common membership units to be issued to or returned by the founding members based on theater additions or dispositions during the previous year. In the event a founding member does not have sufficient common membership units to return, the adjustment is satisfied in cash in an amount calculated pursuant to NCM LLC’s Common Unit Adjustment Agreement.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41" w:lineRule="exact"/>
        <w:rPr>
          <w:sz w:val="20"/>
          <w:szCs w:val="20"/>
          <w:color w:val="auto"/>
        </w:rPr>
      </w:pPr>
    </w:p>
    <w:p>
      <w:pPr>
        <w:ind w:firstLine="526"/>
        <w:spacing w:after="0" w:line="263" w:lineRule="auto"/>
        <w:rPr>
          <w:sz w:val="20"/>
          <w:szCs w:val="20"/>
          <w:color w:val="auto"/>
        </w:rPr>
      </w:pPr>
      <w:r>
        <w:rPr>
          <w:rFonts w:ascii="Arial" w:cs="Arial" w:eastAsia="Arial" w:hAnsi="Arial"/>
          <w:sz w:val="18"/>
          <w:szCs w:val="18"/>
          <w:color w:val="auto"/>
        </w:rPr>
        <w:t>During the first quarter of 2021, NCM LLC issued 3,047,582 common membership units to two founding members for the rights to exclusive access to the theater screens and attendees added, net of dispositions, to NCM LLC’s network during the 2020 fiscal year and calculated a negative common membership unit adjustment for one founding member resulting in a</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receivable included within “Other assets and prepaid expenses” on the unaudited Consolidated Balance Sheet. The net impact as a result of the Common Unit Adjustment to the intangible asset was $4.8 million during the first quarter of 2021.</w:t>
      </w:r>
    </w:p>
    <w:p>
      <w:pPr>
        <w:spacing w:after="0" w:line="116" w:lineRule="exact"/>
        <w:rPr>
          <w:sz w:val="20"/>
          <w:szCs w:val="20"/>
          <w:color w:val="auto"/>
        </w:rPr>
      </w:pPr>
    </w:p>
    <w:p>
      <w:pPr>
        <w:jc w:val="both"/>
        <w:ind w:right="20" w:firstLine="526"/>
        <w:spacing w:after="0" w:line="286" w:lineRule="auto"/>
        <w:rPr>
          <w:sz w:val="20"/>
          <w:szCs w:val="20"/>
          <w:color w:val="auto"/>
        </w:rPr>
      </w:pPr>
      <w:r>
        <w:rPr>
          <w:rFonts w:ascii="Arial" w:cs="Arial" w:eastAsia="Arial" w:hAnsi="Arial"/>
          <w:sz w:val="17"/>
          <w:szCs w:val="17"/>
          <w:color w:val="auto"/>
        </w:rPr>
        <w:t>During the first quarter of 2020, NCM LLC issued 3,022,959 common membership units to its founding members for the rights to exclusive access to the theater screens and attendees added, net of dispositions by the founding members to NCM LLC’s network during the 2019 fiscal year and NCM LLC recorded a net intangible asset of $10.5 million during the first quarter of 2020 as a result of the Common Unit Adjustment.</w:t>
      </w:r>
    </w:p>
    <w:p>
      <w:pPr>
        <w:spacing w:after="0" w:line="111" w:lineRule="exact"/>
        <w:rPr>
          <w:sz w:val="20"/>
          <w:szCs w:val="20"/>
          <w:color w:val="auto"/>
        </w:rPr>
      </w:pPr>
    </w:p>
    <w:p>
      <w:pPr>
        <w:ind w:right="20" w:firstLine="526"/>
        <w:spacing w:after="0" w:line="285" w:lineRule="auto"/>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founding members’ on-screen advertising commitments under their beverage concessionaire agreements for encumbered theaters. These payments are also accounted for as a reduction to the intangible assets. During the three months ended April 1, 2021 and March 26, 2020, the Company recorded a reduction to net intangible assets of $0.0 million and $1.4 million, respectively, related to integration and other encumbered theater payments. No integrations payments were earned for the three months ended April 1, 2021 because the Company generated negative Adjusted Operating Income Before Depreciation and Amortization (“Adjusted OIBDA”) during this period. During the three months ended April 1, 2021 and March 26, 2020, AMC and Cinemark paid a total of $0.0 million and $8.5 million, respectively, in integration and other encumbered theater payments (as payments are made one quarter and one month in arrears, respectively). The payments received during the three months ended March 26, 2020 primarily relate to AMC's acquisition of theaters from Carmike.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ind w:right="40" w:firstLine="526"/>
        <w:spacing w:after="0" w:line="290" w:lineRule="auto"/>
        <w:rPr>
          <w:sz w:val="20"/>
          <w:szCs w:val="20"/>
          <w:color w:val="auto"/>
        </w:rPr>
      </w:pPr>
      <w:r>
        <w:rPr>
          <w:rFonts w:ascii="Arial" w:cs="Arial" w:eastAsia="Arial" w:hAnsi="Arial"/>
          <w:sz w:val="16"/>
          <w:szCs w:val="16"/>
          <w:b w:val="1"/>
          <w:bCs w:val="1"/>
          <w:i w:val="1"/>
          <w:iCs w:val="1"/>
          <w:color w:val="auto"/>
        </w:rPr>
        <w:t>Founding Member Transactions</w:t>
      </w:r>
      <w:r>
        <w:rPr>
          <w:rFonts w:ascii="Arial" w:cs="Arial" w:eastAsia="Arial" w:hAnsi="Arial"/>
          <w:sz w:val="16"/>
          <w:szCs w:val="16"/>
          <w:color w:val="auto"/>
        </w:rPr>
        <w:t>—In connection with NCM, Inc.’s initial public offering (“IPO”), the Company entered into several agreements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 and regulate the relationships among NCM, Inc., NCM LLC and the founding members which are outlined below. As AMC owns less than 5% of NCM LLC as of April 1, 2021, AMC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TRA payments and theater access fees. Further, AMC will continue to pay beverage revenue, among other things. AMC's ownership percentage does not impact future integration payments and other encumbered theater payments owed to NCM LLC by AMC. As of April 1, 2021, AMC’s ownership was 0.0%.</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material agreements with the founding members are as follows:</w:t>
      </w:r>
    </w:p>
    <w:p>
      <w:pPr>
        <w:spacing w:after="0" w:line="167" w:lineRule="exact"/>
        <w:rPr>
          <w:sz w:val="20"/>
          <w:szCs w:val="20"/>
          <w:color w:val="auto"/>
        </w:rPr>
      </w:pPr>
    </w:p>
    <w:p>
      <w:pPr>
        <w:ind w:left="1100" w:hanging="323"/>
        <w:spacing w:after="0" w:line="270" w:lineRule="auto"/>
        <w:tabs>
          <w:tab w:leader="none" w:pos="109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ESAs. </w:t>
      </w:r>
      <w:r>
        <w:rPr>
          <w:rFonts w:ascii="Arial" w:cs="Arial" w:eastAsia="Arial" w:hAnsi="Arial"/>
          <w:sz w:val="17"/>
          <w:szCs w:val="17"/>
          <w:color w:val="auto"/>
        </w:rPr>
        <w:t>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use of the LEN and rights to sell and display certain lobby promotions. Further, 30 seconds to 60 seconds of advertising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sold to NCM LLC’s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agreed to pay Cinemark and Regal incremental monthly theater access fees and, subject to NCM LLC's use of specified inventory, a revenue share in consideration for NCM LLC's access to certain on-screen advertising inventory after the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left="1100" w:right="360"/>
        <w:spacing w:after="0" w:line="308" w:lineRule="auto"/>
        <w:rPr>
          <w:sz w:val="20"/>
          <w:szCs w:val="20"/>
          <w:color w:val="auto"/>
        </w:rPr>
      </w:pPr>
      <w:r>
        <w:rPr>
          <w:rFonts w:ascii="Arial" w:cs="Arial" w:eastAsia="Arial" w:hAnsi="Arial"/>
          <w:sz w:val="17"/>
          <w:szCs w:val="17"/>
          <w:color w:val="auto"/>
        </w:rPr>
        <w:t>advertised showtime of a feature film beginning November 1, 2019 and the underlying term of the ESAs were extended until 2041. The ESAs and 2019 ESA Amendments with Cinemark and Regal are considered leases with related parties under ASC 842.</w:t>
      </w:r>
    </w:p>
    <w:p>
      <w:pPr>
        <w:spacing w:after="0" w:line="88" w:lineRule="exact"/>
        <w:rPr>
          <w:sz w:val="20"/>
          <w:szCs w:val="20"/>
          <w:color w:val="auto"/>
        </w:rPr>
      </w:pPr>
    </w:p>
    <w:p>
      <w:pPr>
        <w:ind w:left="1100" w:right="60" w:hanging="323"/>
        <w:spacing w:after="0" w:line="266" w:lineRule="auto"/>
        <w:tabs>
          <w:tab w:leader="none" w:pos="10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theaters or sale or closure of theaters that are operated by each founding member and included in NCM LLC’s network.</w:t>
      </w:r>
    </w:p>
    <w:p>
      <w:pPr>
        <w:spacing w:after="0" w:line="121" w:lineRule="exact"/>
        <w:rPr>
          <w:rFonts w:ascii="Arial" w:cs="Arial" w:eastAsia="Arial" w:hAnsi="Arial"/>
          <w:sz w:val="18"/>
          <w:szCs w:val="18"/>
          <w:color w:val="auto"/>
        </w:rPr>
      </w:pPr>
    </w:p>
    <w:p>
      <w:pPr>
        <w:ind w:left="1100" w:right="100" w:hanging="323"/>
        <w:spacing w:after="0" w:line="314" w:lineRule="auto"/>
        <w:tabs>
          <w:tab w:leader="none" w:pos="109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87" w:lineRule="exact"/>
        <w:rPr>
          <w:rFonts w:ascii="Arial" w:cs="Arial" w:eastAsia="Arial" w:hAnsi="Arial"/>
          <w:sz w:val="16"/>
          <w:szCs w:val="16"/>
          <w:color w:val="auto"/>
        </w:rPr>
      </w:pPr>
    </w:p>
    <w:p>
      <w:pPr>
        <w:ind w:left="1100" w:right="100" w:hanging="323"/>
        <w:spacing w:after="0" w:line="303" w:lineRule="auto"/>
        <w:tabs>
          <w:tab w:leader="none" w:pos="109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the Company’s IPO, NCM LLC was granted a perpetual, royalty-free license from NCM</w:t>
      </w:r>
      <w:r>
        <w:rPr>
          <w:rFonts w:ascii="Arial" w:cs="Arial" w:eastAsia="Arial" w:hAnsi="Arial"/>
          <w:sz w:val="16"/>
          <w:szCs w:val="16"/>
          <w:b w:val="1"/>
          <w:bCs w:val="1"/>
          <w:color w:val="auto"/>
        </w:rPr>
        <w:t xml:space="preserve"> </w:t>
      </w:r>
      <w:r>
        <w:rPr>
          <w:rFonts w:ascii="Arial" w:cs="Arial" w:eastAsia="Arial" w:hAnsi="Arial"/>
          <w:sz w:val="16"/>
          <w:szCs w:val="16"/>
          <w:color w:val="auto"/>
        </w:rPr>
        <w:t>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872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Statements of Income:</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1, 2021</w:t>
            </w:r>
          </w:p>
        </w:tc>
        <w:tc>
          <w:tcPr>
            <w:tcW w:w="120" w:type="dxa"/>
            <w:vAlign w:val="bottom"/>
          </w:tcPr>
          <w:p>
            <w:pPr>
              <w:spacing w:after="0"/>
              <w:rPr>
                <w:sz w:val="16"/>
                <w:szCs w:val="16"/>
                <w:color w:val="auto"/>
              </w:rPr>
            </w:pPr>
          </w:p>
        </w:tc>
        <w:tc>
          <w:tcPr>
            <w:tcW w:w="1080" w:type="dxa"/>
            <w:vAlign w:val="bottom"/>
          </w:tcPr>
          <w:p>
            <w:pPr>
              <w:jc w:val="right"/>
              <w:ind w:right="34"/>
              <w:spacing w:after="0"/>
              <w:rPr>
                <w:sz w:val="20"/>
                <w:szCs w:val="20"/>
                <w:color w:val="auto"/>
              </w:rPr>
            </w:pPr>
            <w:r>
              <w:rPr>
                <w:rFonts w:ascii="Arial" w:cs="Arial" w:eastAsia="Arial" w:hAnsi="Arial"/>
                <w:sz w:val="14"/>
                <w:szCs w:val="14"/>
                <w:b w:val="1"/>
                <w:bCs w:val="1"/>
                <w:color w:val="auto"/>
                <w:w w:val="94"/>
              </w:rPr>
              <w:t>March 26, 2020</w:t>
            </w:r>
          </w:p>
        </w:tc>
      </w:tr>
      <w:tr>
        <w:trPr>
          <w:trHeight w:val="170"/>
        </w:trPr>
        <w:tc>
          <w:tcPr>
            <w:tcW w:w="220" w:type="dxa"/>
            <w:vAlign w:val="bottom"/>
            <w:tcBorders>
              <w:top w:val="single" w:sz="8" w:color="CCEEFF"/>
            </w:tcBorders>
            <w:shd w:val="clear" w:color="auto" w:fill="CCEEFF"/>
          </w:tcPr>
          <w:p>
            <w:pPr>
              <w:spacing w:after="0"/>
              <w:rPr>
                <w:sz w:val="14"/>
                <w:szCs w:val="14"/>
                <w:color w:val="auto"/>
              </w:rPr>
            </w:pPr>
          </w:p>
        </w:tc>
        <w:tc>
          <w:tcPr>
            <w:tcW w:w="850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r>
      <w:tr>
        <w:trPr>
          <w:trHeight w:val="21"/>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8500" w:type="dxa"/>
            <w:vAlign w:val="bottom"/>
            <w:gridSpan w:val="3"/>
          </w:tcPr>
          <w:p>
            <w:pPr>
              <w:ind w:left="22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87"/>
              </w:rPr>
              <w:t>Operating expenses:</w:t>
            </w:r>
          </w:p>
        </w:tc>
        <w:tc>
          <w:tcPr>
            <w:tcW w:w="7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29"/>
        </w:trPr>
        <w:tc>
          <w:tcPr>
            <w:tcW w:w="220" w:type="dxa"/>
            <w:vAlign w:val="bottom"/>
          </w:tcPr>
          <w:p>
            <w:pPr>
              <w:spacing w:after="0"/>
              <w:rPr>
                <w:sz w:val="19"/>
                <w:szCs w:val="19"/>
                <w:color w:val="auto"/>
              </w:rPr>
            </w:pPr>
          </w:p>
        </w:tc>
        <w:tc>
          <w:tcPr>
            <w:tcW w:w="8500" w:type="dxa"/>
            <w:vAlign w:val="bottom"/>
            <w:gridSpan w:val="3"/>
          </w:tcPr>
          <w:p>
            <w:pPr>
              <w:ind w:left="180"/>
              <w:spacing w:after="0"/>
              <w:rPr>
                <w:sz w:val="20"/>
                <w:szCs w:val="20"/>
                <w:color w:val="auto"/>
              </w:rPr>
            </w:pPr>
            <w:r>
              <w:rPr>
                <w:rFonts w:ascii="Arial" w:cs="Arial" w:eastAsia="Arial" w:hAnsi="Arial"/>
                <w:sz w:val="18"/>
                <w:szCs w:val="18"/>
                <w:color w:val="auto"/>
              </w:rPr>
              <w:t xml:space="preserve">Theater access fee and revenue share to founding members </w:t>
            </w:r>
            <w:r>
              <w:rPr>
                <w:rFonts w:ascii="Arial" w:cs="Arial" w:eastAsia="Arial" w:hAnsi="Arial"/>
                <w:sz w:val="18"/>
                <w:szCs w:val="18"/>
                <w:i w:val="1"/>
                <w:iCs w:val="1"/>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220" w:type="dxa"/>
            <w:vAlign w:val="bottom"/>
            <w:shd w:val="clear" w:color="auto" w:fill="CCEEFF"/>
          </w:tcPr>
          <w:p>
            <w:pPr>
              <w:spacing w:after="0"/>
              <w:rPr>
                <w:sz w:val="19"/>
                <w:szCs w:val="19"/>
                <w:color w:val="auto"/>
              </w:rPr>
            </w:pPr>
          </w:p>
        </w:tc>
        <w:tc>
          <w:tcPr>
            <w:tcW w:w="85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 xml:space="preserve">Selling and marketing costs </w:t>
            </w:r>
            <w:r>
              <w:rPr>
                <w:rFonts w:ascii="Arial" w:cs="Arial" w:eastAsia="Arial" w:hAnsi="Arial"/>
                <w:sz w:val="18"/>
                <w:szCs w:val="18"/>
                <w:i w:val="1"/>
                <w:iCs w:val="1"/>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220" w:type="dxa"/>
            <w:vAlign w:val="bottom"/>
          </w:tcPr>
          <w:p>
            <w:pPr>
              <w:spacing w:after="0"/>
              <w:rPr>
                <w:sz w:val="20"/>
                <w:szCs w:val="20"/>
                <w:color w:val="auto"/>
              </w:rPr>
            </w:pPr>
          </w:p>
        </w:tc>
        <w:tc>
          <w:tcPr>
            <w:tcW w:w="8500" w:type="dxa"/>
            <w:vAlign w:val="bottom"/>
            <w:gridSpan w:val="3"/>
          </w:tcPr>
          <w:p>
            <w:pPr>
              <w:ind w:left="220"/>
              <w:spacing w:after="0"/>
              <w:rPr>
                <w:sz w:val="20"/>
                <w:szCs w:val="20"/>
                <w:color w:val="auto"/>
              </w:rPr>
            </w:pPr>
            <w:r>
              <w:rPr>
                <w:rFonts w:ascii="Arial" w:cs="Arial" w:eastAsia="Arial" w:hAnsi="Arial"/>
                <w:sz w:val="18"/>
                <w:szCs w:val="18"/>
                <w:color w:val="auto"/>
              </w:rPr>
              <w:t xml:space="preserve">Advertising operating costs </w:t>
            </w:r>
            <w:r>
              <w:rPr>
                <w:rFonts w:ascii="Arial" w:cs="Arial" w:eastAsia="Arial" w:hAnsi="Arial"/>
                <w:sz w:val="18"/>
                <w:szCs w:val="18"/>
                <w:i w:val="1"/>
                <w:iCs w:val="1"/>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1" w:lineRule="exact"/>
        <w:rPr>
          <w:sz w:val="20"/>
          <w:szCs w:val="20"/>
          <w:color w:val="auto"/>
        </w:rPr>
      </w:pPr>
    </w:p>
    <w:p>
      <w:pPr>
        <w:ind w:left="340" w:hanging="332"/>
        <w:spacing w:after="0" w:line="269" w:lineRule="auto"/>
        <w:tabs>
          <w:tab w:leader="none" w:pos="334" w:val="left"/>
        </w:tabs>
        <w:numPr>
          <w:ilvl w:val="0"/>
          <w:numId w:val="5"/>
        </w:numPr>
        <w:rPr>
          <w:rFonts w:ascii="Arial" w:cs="Arial" w:eastAsia="Arial" w:hAnsi="Arial"/>
          <w:sz w:val="17"/>
          <w:szCs w:val="17"/>
          <w:i w:val="1"/>
          <w:iCs w:val="1"/>
          <w:color w:val="auto"/>
        </w:rPr>
      </w:pPr>
      <w:r>
        <w:rPr>
          <w:rFonts w:ascii="Arial" w:cs="Arial" w:eastAsia="Arial" w:hAnsi="Arial"/>
          <w:sz w:val="17"/>
          <w:szCs w:val="17"/>
          <w:color w:val="auto"/>
        </w:rPr>
        <w:t>For the three months ended April 1, 2021 and March 26, 2020, Cinemark and Regal purchased 60 seconds of on-screen advertising time from NCM LLC to satisfy their obligations under their beverage concessionaire agreements at a 30 seconds equivalent CPM rate specified by the ESA. No beverage revenue was generated for the period of time that the theaters within NCM LLC's network were temporarily closed as there were no attendees upon which beverage revenue is generated and limited for periods of reduced attendance due to the COVID-19 Pandemic.</w:t>
      </w:r>
    </w:p>
    <w:p>
      <w:pPr>
        <w:spacing w:after="0" w:line="1" w:lineRule="exact"/>
        <w:rPr>
          <w:rFonts w:ascii="Arial" w:cs="Arial" w:eastAsia="Arial" w:hAnsi="Arial"/>
          <w:sz w:val="17"/>
          <w:szCs w:val="17"/>
          <w:i w:val="1"/>
          <w:iCs w:val="1"/>
          <w:color w:val="auto"/>
        </w:rPr>
      </w:pPr>
    </w:p>
    <w:p>
      <w:pPr>
        <w:ind w:left="340" w:right="100" w:hanging="332"/>
        <w:spacing w:after="0" w:line="250" w:lineRule="auto"/>
        <w:tabs>
          <w:tab w:leader="none" w:pos="33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 xml:space="preserve">Comprised of payments per theater attendee, payments per digital screen with respect to the founding member theaters included in the Company’s network and payments for access to higher quality digital cinema equipment. Following the 2019 ESA Amendments this also includes payments to Cinemark and Regal for their share of the revenue from the sale of an additional single unit that is either 30 or 60 seconds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in the trailer position directly prior to the “attached” trailers preceding the feature film (the “Platinum Spot”). There was no theater access fee or revenue share expense for the period of time that the theaters within NCM LLC's network were temporarily closed and reduced fees for periods of reduced attendance due to the COVID-19 Pandemic.</w:t>
      </w:r>
    </w:p>
    <w:p>
      <w:pPr>
        <w:spacing w:after="0" w:line="2" w:lineRule="exact"/>
        <w:rPr>
          <w:rFonts w:ascii="Arial" w:cs="Arial" w:eastAsia="Arial" w:hAnsi="Arial"/>
          <w:sz w:val="18"/>
          <w:szCs w:val="18"/>
          <w:i w:val="1"/>
          <w:iCs w:val="1"/>
          <w:color w:val="auto"/>
        </w:rPr>
      </w:pPr>
    </w:p>
    <w:p>
      <w:pPr>
        <w:ind w:left="340" w:right="240" w:hanging="332"/>
        <w:spacing w:after="0" w:line="245" w:lineRule="auto"/>
        <w:tabs>
          <w:tab w:leader="none" w:pos="334"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Includes purchase of movie tickets, concession products, rental of theater space primarily for marketing to NCM LLC’s advertising clients and other payments made to the founding members in the ordinary course of business.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Balance Sheets: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1, 2021</w:t>
            </w:r>
          </w:p>
        </w:tc>
        <w:tc>
          <w:tcPr>
            <w:tcW w:w="120" w:type="dxa"/>
            <w:vAlign w:val="bottom"/>
          </w:tcPr>
          <w:p>
            <w:pPr>
              <w:spacing w:after="0"/>
              <w:rPr>
                <w:sz w:val="16"/>
                <w:szCs w:val="16"/>
                <w:color w:val="auto"/>
              </w:rPr>
            </w:pPr>
          </w:p>
        </w:tc>
        <w:tc>
          <w:tcPr>
            <w:tcW w:w="128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57"/>
        </w:trPr>
        <w:tc>
          <w:tcPr>
            <w:tcW w:w="8020" w:type="dxa"/>
            <w:vAlign w:val="bottom"/>
            <w:tcBorders>
              <w:top w:val="single" w:sz="8" w:color="CCEEFF"/>
            </w:tcBorders>
            <w:shd w:val="clear" w:color="auto" w:fill="CCEEFF"/>
          </w:tcPr>
          <w:p>
            <w:pPr>
              <w:ind w:left="260"/>
              <w:spacing w:after="0" w:line="157" w:lineRule="exact"/>
              <w:rPr>
                <w:sz w:val="20"/>
                <w:szCs w:val="20"/>
                <w:color w:val="auto"/>
              </w:rPr>
            </w:pPr>
            <w:r>
              <w:rPr>
                <w:rFonts w:ascii="Arial" w:cs="Arial" w:eastAsia="Arial" w:hAnsi="Arial"/>
                <w:sz w:val="18"/>
                <w:szCs w:val="18"/>
                <w:color w:val="auto"/>
                <w:w w:val="99"/>
              </w:rPr>
              <w:t>Common unit adjustments and ESA extension costs, net of amortization and integration payments</w:t>
            </w: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(included in intangible assets) </w:t>
            </w:r>
            <w:r>
              <w:rPr>
                <w:rFonts w:ascii="Arial" w:cs="Arial" w:eastAsia="Arial" w:hAnsi="Arial"/>
                <w:sz w:val="18"/>
                <w:szCs w:val="18"/>
                <w:i w:val="1"/>
                <w:iCs w:val="1"/>
                <w:color w:val="auto"/>
              </w:rPr>
              <w:t>(1)</w:t>
            </w:r>
          </w:p>
        </w:tc>
        <w:tc>
          <w:tcPr>
            <w:tcW w:w="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60"/>
              <w:spacing w:after="0"/>
              <w:rPr>
                <w:sz w:val="20"/>
                <w:szCs w:val="20"/>
                <w:color w:val="auto"/>
              </w:rPr>
            </w:pPr>
            <w:r>
              <w:rPr>
                <w:rFonts w:ascii="Arial" w:cs="Arial" w:eastAsia="Arial" w:hAnsi="Arial"/>
                <w:sz w:val="18"/>
                <w:szCs w:val="18"/>
                <w:color w:val="auto"/>
              </w:rPr>
              <w:t xml:space="preserve">Current payable to founding members under tax receivable agreement </w:t>
            </w:r>
            <w:r>
              <w:rPr>
                <w:rFonts w:ascii="Arial" w:cs="Arial" w:eastAsia="Arial" w:hAnsi="Arial"/>
                <w:sz w:val="18"/>
                <w:szCs w:val="18"/>
                <w:i w:val="1"/>
                <w:iCs w:val="1"/>
                <w:color w:val="auto"/>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Long-term payable to founding members under tax receivable agreement </w:t>
            </w:r>
            <w:r>
              <w:rPr>
                <w:rFonts w:ascii="Arial" w:cs="Arial" w:eastAsia="Arial" w:hAnsi="Arial"/>
                <w:sz w:val="18"/>
                <w:szCs w:val="18"/>
                <w:i w:val="1"/>
                <w:iCs w:val="1"/>
                <w:color w:val="auto"/>
              </w:rPr>
              <w:t>(2)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 xml:space="preserve">Other payables to founding members </w:t>
            </w:r>
            <w:r>
              <w:rPr>
                <w:rFonts w:ascii="Arial" w:cs="Arial" w:eastAsia="Arial" w:hAnsi="Arial"/>
                <w:sz w:val="18"/>
                <w:szCs w:val="18"/>
                <w:i w:val="1"/>
                <w:iCs w:val="1"/>
                <w:color w:val="auto"/>
              </w:rPr>
              <w:t>(3)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left="980" w:right="380" w:hanging="324"/>
        <w:spacing w:after="0" w:line="255" w:lineRule="auto"/>
        <w:tabs>
          <w:tab w:leader="none" w:pos="974"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 This balance includes common unit adjustments issued to all of the founding members (including AMC) as the Company's intangible balance is considered one asset inclusive of all common unit adjustment activity.</w:t>
      </w:r>
    </w:p>
    <w:p>
      <w:pPr>
        <w:spacing w:after="0" w:line="2" w:lineRule="exact"/>
        <w:rPr>
          <w:rFonts w:ascii="Arial" w:cs="Arial" w:eastAsia="Arial" w:hAnsi="Arial"/>
          <w:sz w:val="18"/>
          <w:szCs w:val="18"/>
          <w:i w:val="1"/>
          <w:iCs w:val="1"/>
          <w:color w:val="auto"/>
        </w:rPr>
      </w:pPr>
    </w:p>
    <w:p>
      <w:pPr>
        <w:ind w:left="980" w:right="860" w:hanging="324"/>
        <w:spacing w:after="0" w:line="250" w:lineRule="auto"/>
        <w:tabs>
          <w:tab w:leader="none" w:pos="974"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The Company paid Cinemark and Regal $0.2 million and $0.4 million during 2021 and $3.2 million and $5.8 million during 2020, respectively, in payments pursuant to the TRA which were for the 2019 tax year.</w:t>
      </w: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Includes other payments made to the founding members in the ordinary course of business.</w:t>
      </w:r>
    </w:p>
    <w:p>
      <w:pPr>
        <w:spacing w:after="0" w:line="238" w:lineRule="exact"/>
        <w:rPr>
          <w:sz w:val="20"/>
          <w:szCs w:val="20"/>
          <w:color w:val="auto"/>
        </w:rPr>
      </w:pPr>
    </w:p>
    <w:p>
      <w:pPr>
        <w:jc w:val="both"/>
        <w:ind w:right="160" w:firstLine="526"/>
        <w:spacing w:after="0" w:line="311" w:lineRule="auto"/>
        <w:rPr>
          <w:sz w:val="20"/>
          <w:szCs w:val="20"/>
          <w:color w:val="auto"/>
        </w:rPr>
      </w:pPr>
      <w:r>
        <w:rPr>
          <w:rFonts w:ascii="Arial" w:cs="Arial" w:eastAsia="Arial" w:hAnsi="Arial"/>
          <w:sz w:val="16"/>
          <w:szCs w:val="16"/>
          <w:color w:val="auto"/>
        </w:rPr>
        <w:t>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Mandatory distributions of available cash for the three months ended April 1, 2021 and March 26, 2020 were as follows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4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1, 2021</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8"/>
              </w:rPr>
              <w:t>March 26, 2020</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Cinemark</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Regal</w:t>
            </w:r>
          </w:p>
        </w:tc>
        <w:tc>
          <w:tcPr>
            <w:tcW w:w="108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4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distributions to related parties</w:t>
            </w:r>
          </w:p>
        </w:tc>
        <w:tc>
          <w:tcPr>
            <w:tcW w:w="10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NCM, Inc.</w:t>
            </w:r>
          </w:p>
        </w:tc>
        <w:tc>
          <w:tcPr>
            <w:tcW w:w="108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84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40" w:firstLine="567"/>
        <w:spacing w:after="0" w:line="254" w:lineRule="auto"/>
        <w:rPr>
          <w:sz w:val="20"/>
          <w:szCs w:val="20"/>
          <w:color w:val="auto"/>
        </w:rPr>
      </w:pPr>
      <w:r>
        <w:rPr>
          <w:rFonts w:ascii="Arial" w:cs="Arial" w:eastAsia="Arial" w:hAnsi="Arial"/>
          <w:sz w:val="18"/>
          <w:szCs w:val="18"/>
          <w:color w:val="auto"/>
        </w:rPr>
        <w:t>Due to the temporary closure of the theaters within NCM LLC's network during a portion of the three months ended April 1, 2021, the mandatory distributions of available cash by NCM LLC to its related party founding members and NCM, Inc. for the three months ended April 1, 2021 were calculated as negative $30.9 million (including negative $8.0 million for Cinemark, negative $8.0 million for Regal and negative $14.9 million for NCM, Inc.). Therefore, there will be no payment made for the first quarter of 2021. Under the terms of the NCM LLC Operating Agreement, these negative amounts will be netted against future positive available cash distributions after the extended covenant waiver holiday, contingent upon the Company's compliance with the covenants outlined within the Credit Agreement Second Amendment defined within Note 6—</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in accordance with the NCM LLC Operating Agreement.</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related party founding members, net, as of April 1, 2021 were comprised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Cinemark</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Regal</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718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w w:val="91"/>
              </w:rPr>
              <w:t>Theater access fees and revenue share, net of beverage revenues and other encumbered theater</w:t>
            </w:r>
          </w:p>
        </w:tc>
        <w:tc>
          <w:tcPr>
            <w:tcW w:w="960" w:type="dxa"/>
            <w:vAlign w:val="bottom"/>
            <w:vMerge w:val="restart"/>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center"/>
              <w:ind w:left="515"/>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96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Cost and other reimbursement</w:t>
            </w:r>
          </w:p>
        </w:tc>
        <w:tc>
          <w:tcPr>
            <w:tcW w:w="9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center"/>
              <w:ind w:left="495"/>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48"/>
        </w:trPr>
        <w:tc>
          <w:tcPr>
            <w:tcW w:w="7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amounts due to founding members, net</w:t>
            </w: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related party founding members, net as of December 31, 2020 were comprised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Regal</w:t>
            </w:r>
          </w:p>
        </w:tc>
        <w:tc>
          <w:tcPr>
            <w:tcW w:w="280" w:type="dxa"/>
            <w:vAlign w:val="bottom"/>
          </w:tcPr>
          <w:p>
            <w:pPr>
              <w:spacing w:after="0"/>
              <w:rPr>
                <w:sz w:val="16"/>
                <w:szCs w:val="16"/>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718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w w:val="91"/>
              </w:rPr>
              <w:t>Theater access fees and revenue share, net of beverage revenues and other encumbered theater</w:t>
            </w: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center"/>
              <w:ind w:left="595"/>
              <w:spacing w:after="0"/>
              <w:rPr>
                <w:sz w:val="20"/>
                <w:szCs w:val="20"/>
                <w:color w:val="auto"/>
              </w:rPr>
            </w:pPr>
            <w:r>
              <w:rPr>
                <w:rFonts w:ascii="Arial" w:cs="Arial" w:eastAsia="Arial" w:hAnsi="Arial"/>
                <w:sz w:val="18"/>
                <w:szCs w:val="18"/>
                <w:color w:val="auto"/>
                <w:w w:val="95"/>
              </w:rPr>
              <w:t>0.6</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center"/>
              <w:ind w:left="535"/>
              <w:spacing w:after="0"/>
              <w:rPr>
                <w:sz w:val="20"/>
                <w:szCs w:val="20"/>
                <w:color w:val="auto"/>
              </w:rPr>
            </w:pPr>
            <w:r>
              <w:rPr>
                <w:rFonts w:ascii="Arial" w:cs="Arial" w:eastAsia="Arial" w:hAnsi="Arial"/>
                <w:sz w:val="18"/>
                <w:szCs w:val="18"/>
                <w:color w:val="auto"/>
                <w:w w:val="95"/>
              </w:rPr>
              <w:t>0.9</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shd w:val="clear" w:color="auto" w:fill="CCEEFF"/>
          </w:tcPr>
          <w:p>
            <w:pPr>
              <w:jc w:val="center"/>
              <w:ind w:left="515"/>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Integration payments due from founding members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75"/>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95"/>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amounts due to founding members,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95"/>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95"/>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ind w:right="120" w:firstLine="526"/>
        <w:spacing w:after="0" w:line="269"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NCM LLC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$0.7 million and $0.7 million as of April 1, 2021 and December 31, 2020, respectively. Equity in (losses) earnings from AC JV, LLC of $(0.1) million and $0.1 million for the three months ended April 1, 2021 and March 26, 2020, respectively, is included in “Other non-operating income” in the unaudited Condensed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right="420" w:firstLine="526"/>
        <w:spacing w:after="0" w:line="277" w:lineRule="auto"/>
        <w:rPr>
          <w:sz w:val="20"/>
          <w:szCs w:val="20"/>
          <w:color w:val="auto"/>
        </w:rPr>
      </w:pPr>
      <w:r>
        <w:rPr>
          <w:rFonts w:ascii="Arial" w:cs="Arial" w:eastAsia="Arial" w:hAnsi="Arial"/>
          <w:sz w:val="18"/>
          <w:szCs w:val="18"/>
          <w:color w:val="auto"/>
        </w:rPr>
        <w:t>The following table summarizes NCM LLC’s total outstanding debt as of April 1, 2021 and December 31, 2020 and the significant terms of its borrowing arrangements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Outstanding Balance as of</w:t>
            </w: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Borrowings</w:t>
            </w:r>
          </w:p>
        </w:tc>
        <w:tc>
          <w:tcPr>
            <w:tcW w:w="16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April 1, 2021</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Pr>
          <w:p>
            <w:pPr>
              <w:spacing w:after="0"/>
              <w:rPr>
                <w:sz w:val="10"/>
                <w:szCs w:val="10"/>
                <w:color w:val="auto"/>
              </w:rPr>
            </w:pPr>
          </w:p>
        </w:tc>
        <w:tc>
          <w:tcPr>
            <w:tcW w:w="210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rPr>
              <w:t>Maturity</w:t>
            </w:r>
          </w:p>
        </w:tc>
        <w:tc>
          <w:tcPr>
            <w:tcW w:w="106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88"/>
        </w:trPr>
        <w:tc>
          <w:tcPr>
            <w:tcW w:w="4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24"/>
        </w:trPr>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20, 2023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Term loans - first tranche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2025</w:t>
            </w:r>
          </w:p>
        </w:tc>
        <w:tc>
          <w:tcPr>
            <w:tcW w:w="106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loans - second tranche</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20, 2024</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Senior unsecured notes due 2026</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15, 2026</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5.750%</w:t>
            </w: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notes due 2028</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15, 2028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5.875%</w:t>
            </w:r>
          </w:p>
        </w:tc>
        <w:tc>
          <w:tcPr>
            <w:tcW w:w="0" w:type="dxa"/>
            <w:vAlign w:val="bottom"/>
          </w:tcPr>
          <w:p>
            <w:pPr>
              <w:spacing w:after="0"/>
              <w:rPr>
                <w:sz w:val="1"/>
                <w:szCs w:val="1"/>
                <w:color w:val="auto"/>
              </w:rPr>
            </w:pPr>
          </w:p>
        </w:tc>
      </w:tr>
      <w:tr>
        <w:trPr>
          <w:trHeight w:val="22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Total borrowings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1,060.3</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Less: debt issuance costs and debt discounts related to term loans</w:t>
            </w: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senior notes</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Total borrowings,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1,052.3</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portion of debt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220"/>
              <w:spacing w:after="0"/>
              <w:rPr>
                <w:sz w:val="20"/>
                <w:szCs w:val="20"/>
                <w:color w:val="auto"/>
              </w:rPr>
            </w:pPr>
            <w:r>
              <w:rPr>
                <w:rFonts w:ascii="Arial" w:cs="Arial" w:eastAsia="Arial" w:hAnsi="Arial"/>
                <w:sz w:val="18"/>
                <w:szCs w:val="18"/>
                <w:color w:val="auto"/>
              </w:rPr>
              <w:t>Carrying value of long-term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1,094.1</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1,049.6</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___________________________________________________</w:t>
      </w:r>
    </w:p>
    <w:p>
      <w:pPr>
        <w:spacing w:after="0" w:line="171"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loans are described below.</w:t>
      </w:r>
    </w:p>
    <w:p>
      <w:pPr>
        <w:spacing w:after="0" w:line="171" w:lineRule="exact"/>
        <w:rPr>
          <w:sz w:val="20"/>
          <w:szCs w:val="20"/>
          <w:color w:val="auto"/>
        </w:rPr>
      </w:pPr>
    </w:p>
    <w:p>
      <w:pPr>
        <w:ind w:right="120" w:firstLine="526"/>
        <w:spacing w:after="0" w:line="259"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—NCM LLC’s credit agreement (the “Credit Agreement”) consists of a term loan facility and a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As of April 1, 2021, NCM LLC’s senior secured credit facility consisted of a $175.0 million revolving credit facility, a $262.6 million term loan (first tranche) and a $50.0 million term loan (second tranche). The obligations under the senior secured credit facility are secured by a lien on substantially all of the assets of NCM LLC.</w:t>
      </w:r>
    </w:p>
    <w:p>
      <w:pPr>
        <w:spacing w:after="0" w:line="133" w:lineRule="exact"/>
        <w:rPr>
          <w:sz w:val="20"/>
          <w:szCs w:val="20"/>
          <w:color w:val="auto"/>
        </w:rPr>
      </w:pPr>
    </w:p>
    <w:p>
      <w:pPr>
        <w:ind w:firstLine="526"/>
        <w:spacing w:after="0" w:line="271" w:lineRule="auto"/>
        <w:rPr>
          <w:sz w:val="20"/>
          <w:szCs w:val="20"/>
          <w:color w:val="auto"/>
        </w:rPr>
      </w:pPr>
      <w:r>
        <w:rPr>
          <w:rFonts w:ascii="Arial" w:cs="Arial" w:eastAsia="Arial" w:hAnsi="Arial"/>
          <w:sz w:val="17"/>
          <w:szCs w:val="17"/>
          <w:color w:val="auto"/>
        </w:rPr>
        <w:t>On March 8, 2021, NCM LLC entered into an amendment to its Credit Agreement (“Credit Agreement Second Amendment”). Among other things, the Credit Agreement Second Amendment provides for certain modifications to the negative covenants, with respect to NCM LLC’s audited financial statements for the fiscal year ended December 31, 2020, a waiver of the requirement to deliver such financial statements without a “going concern” or like qualification or exception, additional waivers and term changes outlined below and grants security interests in certain assets of NCM LLC and other potential loan parties that are not currently pledged to the lenders. In addition, pursuant to the Credit Agreement Second Amendment, NCM LLC incurred a second tranche of the term loans in an aggregate principal amount of $50.0 million, the net proceeds of $43.8 million will be used for general corporate purposes. Upon execution of the Credit Agreement Second Amendment, the Company recorded $2.3 million as a discount, $3.5 million as debt issuance costs and $0.4 million within “Loss on modification and retirement of debt, net”.</w:t>
      </w:r>
    </w:p>
    <w:p>
      <w:pPr>
        <w:spacing w:after="0" w:line="124" w:lineRule="exact"/>
        <w:rPr>
          <w:sz w:val="20"/>
          <w:szCs w:val="20"/>
          <w:color w:val="auto"/>
        </w:rPr>
      </w:pPr>
    </w:p>
    <w:p>
      <w:pPr>
        <w:ind w:right="40" w:firstLine="526"/>
        <w:spacing w:after="0" w:line="257"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NCM LLC’s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NCM LLC in the ordinary course of business and for other transactions permitted under the senior secured credit facility, and a portion is available for letters of credit. During March 2020, NCM LLC drew down an additional $110.0 million on the revolving credit facility to fund operations during the period of expected disrupted cash flows due to the temporary closure of the theaters within NCM LLC's network to address the COVID-19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Pandemic. As of April 1, 2021, NCM LLC’s total availability under the $175.0 million revolving credit facility was $5.6 million, net of $167.0 million outstanding and $2.4 million in letters of credit. The unused line fee is 0.50% per annum which is consistent with the previous facility. Following the Credit Agreement Second Amendment effective March 8, 2021, the applicable margin for the LIBOR index increased from a range of 1.75% to 2.25% to a range of 2.75% to 3.25% and the applicable margin for the base rate increased from a range of 0.75% to 1.25% to a range of 1.75% to 2.25%.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 The weighted-average interest rate on the revolving credit facility as of April 1, 2021 was 4.50%.</w:t>
      </w:r>
    </w:p>
    <w:p>
      <w:pPr>
        <w:spacing w:after="0" w:line="111" w:lineRule="exact"/>
        <w:rPr>
          <w:sz w:val="20"/>
          <w:szCs w:val="20"/>
          <w:color w:val="auto"/>
        </w:rPr>
      </w:pPr>
    </w:p>
    <w:p>
      <w:pPr>
        <w:ind w:right="120" w:firstLine="526"/>
        <w:spacing w:after="0" w:line="257"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w:t>
      </w:r>
      <w:r>
        <w:rPr>
          <w:rFonts w:ascii="Arial" w:cs="Arial" w:eastAsia="Arial" w:hAnsi="Arial"/>
          <w:sz w:val="18"/>
          <w:szCs w:val="18"/>
          <w:i w:val="1"/>
          <w:iCs w:val="1"/>
          <w:color w:val="auto"/>
        </w:rPr>
        <w:t>First Tranche</w:t>
      </w:r>
      <w:r>
        <w:rPr>
          <w:rFonts w:ascii="Arial" w:cs="Arial" w:eastAsia="Arial" w:hAnsi="Arial"/>
          <w:sz w:val="18"/>
          <w:szCs w:val="18"/>
          <w:color w:val="auto"/>
        </w:rPr>
        <w:t>—The interest rate on the initial tranche of term loans was originally a rate chosen at NCM LLC’s option of either the</w:t>
      </w:r>
      <w:r>
        <w:rPr>
          <w:rFonts w:ascii="Arial" w:cs="Arial" w:eastAsia="Arial" w:hAnsi="Arial"/>
          <w:sz w:val="18"/>
          <w:szCs w:val="18"/>
          <w:i w:val="1"/>
          <w:iCs w:val="1"/>
          <w:color w:val="auto"/>
        </w:rPr>
        <w:t xml:space="preserve"> </w:t>
      </w:r>
      <w:r>
        <w:rPr>
          <w:rFonts w:ascii="Arial" w:cs="Arial" w:eastAsia="Arial" w:hAnsi="Arial"/>
          <w:sz w:val="18"/>
          <w:szCs w:val="18"/>
          <w:color w:val="auto"/>
        </w:rPr>
        <w:t>LIBOR index plus 3.00% or the base rate plus 2.00%. Following the Credit Agreement Second Amendment effective March 8, 2021, the rate is either the LIBOR index plus 4.00% or the base rate plus 3.00%. The interest rate on the term loans as of April 1, 2021 was 5.00%. The term loans amortize at a rate equal to 1.00% annually, to be paid in equal quarterly installments. As of April 1, 2021, NCM LLC has paid principal of $7.4 million, reducing the outstanding balance to $262.6 million.</w:t>
      </w:r>
    </w:p>
    <w:p>
      <w:pPr>
        <w:spacing w:after="0" w:line="134" w:lineRule="exact"/>
        <w:rPr>
          <w:sz w:val="20"/>
          <w:szCs w:val="20"/>
          <w:color w:val="auto"/>
        </w:rPr>
      </w:pPr>
    </w:p>
    <w:p>
      <w:pPr>
        <w:ind w:right="140" w:firstLine="526"/>
        <w:spacing w:after="0" w:line="308" w:lineRule="auto"/>
        <w:rPr>
          <w:sz w:val="20"/>
          <w:szCs w:val="20"/>
          <w:color w:val="auto"/>
        </w:rPr>
      </w:pPr>
      <w:r>
        <w:rPr>
          <w:rFonts w:ascii="Arial" w:cs="Arial" w:eastAsia="Arial" w:hAnsi="Arial"/>
          <w:sz w:val="17"/>
          <w:szCs w:val="17"/>
          <w:i w:val="1"/>
          <w:iCs w:val="1"/>
          <w:color w:val="auto"/>
        </w:rPr>
        <w:t>Term Loans</w:t>
      </w:r>
      <w:r>
        <w:rPr>
          <w:rFonts w:ascii="Arial" w:cs="Arial" w:eastAsia="Arial" w:hAnsi="Arial"/>
          <w:sz w:val="17"/>
          <w:szCs w:val="17"/>
          <w:color w:val="auto"/>
        </w:rPr>
        <w:t>—</w:t>
      </w:r>
      <w:r>
        <w:rPr>
          <w:rFonts w:ascii="Arial" w:cs="Arial" w:eastAsia="Arial" w:hAnsi="Arial"/>
          <w:sz w:val="17"/>
          <w:szCs w:val="17"/>
          <w:i w:val="1"/>
          <w:iCs w:val="1"/>
          <w:color w:val="auto"/>
        </w:rPr>
        <w:t>Second Tranche</w:t>
      </w:r>
      <w:r>
        <w:rPr>
          <w:rFonts w:ascii="Arial" w:cs="Arial" w:eastAsia="Arial" w:hAnsi="Arial"/>
          <w:sz w:val="17"/>
          <w:szCs w:val="17"/>
          <w:color w:val="auto"/>
        </w:rPr>
        <w:t>—The interest rate on the second tranche of term loans is the LIBOR index plus 8.00%. The interest rate on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loans as of April 1, 2021 was 9.00%. The term loans amortize at a rate equal to 1.00% annually, to be paid in equal quarterly installments.</w:t>
      </w:r>
    </w:p>
    <w:p>
      <w:pPr>
        <w:spacing w:after="0" w:line="92" w:lineRule="exact"/>
        <w:rPr>
          <w:sz w:val="20"/>
          <w:szCs w:val="20"/>
          <w:color w:val="auto"/>
        </w:rPr>
      </w:pPr>
    </w:p>
    <w:p>
      <w:pPr>
        <w:ind w:right="20" w:firstLine="526"/>
        <w:spacing w:after="0" w:line="286" w:lineRule="auto"/>
        <w:rPr>
          <w:sz w:val="20"/>
          <w:szCs w:val="20"/>
          <w:color w:val="auto"/>
        </w:rPr>
      </w:pPr>
      <w:r>
        <w:rPr>
          <w:rFonts w:ascii="Arial" w:cs="Arial" w:eastAsia="Arial" w:hAnsi="Arial"/>
          <w:sz w:val="16"/>
          <w:szCs w:val="16"/>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Following the Credit Agreement Second Amendment, the Company has a waiver of non-compliance with the consolidated Net Total Leverage and Consolidated Net Senior Secured Leverage financial covenants through the quarter ending June 30, 2022 (“Extended Covenant Waiver Holiday”) and the Consolidated Net Total Leverage Ratio and Consolidated Net Senior Secured Leverage Ratio financial covenants to be set to 6.75 to 1.00 and 5.50 to 1.00, respectively, for the quarter ending on or about September 29, 2022. Under the Credit Agreement,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Pursuant to the terms of the Credit Agreement Second Amendment, NCM LLC is restricted from making available cash distributions until after NCM LLC delivers a compliance certificate for the quarter ending on or about September 29, 2022, and, thereafter, NCM LLC may only make available cash distributions if: (i) no default or event of default under the Credit Agreement has occurred and is continuing; (ii) the senior secured financial covenant leverage ratio is equal to or less than 4.00 to 1.00; and (iii) the aggregate principal amount of all outstanding revolving loans under the Credit Agreement is $39.0 million or less. As of April 1, 2021, NCM LLC was in compliance with the requirements of the Credit Agreement Second Amendment described above and the noncompliance with the financial covenants was automatically waived.</w:t>
      </w:r>
    </w:p>
    <w:p>
      <w:pPr>
        <w:spacing w:after="0" w:line="113" w:lineRule="exact"/>
        <w:rPr>
          <w:sz w:val="20"/>
          <w:szCs w:val="20"/>
          <w:color w:val="auto"/>
        </w:rPr>
      </w:pPr>
    </w:p>
    <w:p>
      <w:pPr>
        <w:ind w:right="60" w:firstLine="526"/>
        <w:spacing w:after="0" w:line="296"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NCM LLC completed a private placement of $250.0 million in aggregate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NCM LLC repurchased and canceled a total of $20.0 million of the Notes due 2026 during 2019 and 2018, respectively, reducing the principal amount to $230.0 million as of April 1, 2021.</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Senior Secured Notes due 2028</w:t>
      </w:r>
      <w:r>
        <w:rPr>
          <w:rFonts w:ascii="Arial" w:cs="Arial" w:eastAsia="Arial" w:hAnsi="Arial"/>
          <w:sz w:val="17"/>
          <w:szCs w:val="17"/>
          <w:color w:val="auto"/>
        </w:rPr>
        <w:t>—On October 8, 2019, NCM LLC completed a private offering of $400.0 million aggregate principal amount</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 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 The Notes due 2028 were issued at 100% of the face amount thereof and share in the same collateral that secures NCM LLC's obligations under the senior secured credit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140" w:firstLine="526"/>
        <w:spacing w:after="0" w:line="277" w:lineRule="auto"/>
        <w:rPr>
          <w:sz w:val="20"/>
          <w:szCs w:val="20"/>
          <w:color w:val="auto"/>
        </w:rPr>
      </w:pPr>
      <w:r>
        <w:rPr>
          <w:rFonts w:ascii="Arial" w:cs="Arial" w:eastAsia="Arial" w:hAnsi="Arial"/>
          <w:sz w:val="18"/>
          <w:szCs w:val="18"/>
          <w:b w:val="1"/>
          <w:bCs w:val="1"/>
          <w:i w:val="1"/>
          <w:iCs w:val="1"/>
          <w:color w:val="auto"/>
        </w:rPr>
        <w:t>Changes in the Company’s Effective Tax Rate</w:t>
      </w:r>
      <w:r>
        <w:rPr>
          <w:rFonts w:ascii="Arial" w:cs="Arial" w:eastAsia="Arial" w:hAnsi="Arial"/>
          <w:sz w:val="18"/>
          <w:szCs w:val="18"/>
          <w:color w:val="auto"/>
        </w:rPr>
        <w:t>—The Company recorded an income tax benefit of $0.0 million for the three months ended April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compared to $0.4 million for the three months ended March 26, 2020 resulting in an effective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tax rate of 0.0% for the three months ended April 1, 2021 as compared to 8.8% for the three months ended March 26, 2020. The Company recorded a full valuation allowance on its net deferred tax assets as of December 31, 2020 following the determination it was more-likely-than-not that the Company will not be able to realize the benefit of those assets. The Company maintained a full valuation allowance as of April 1, 2021, reducing deferred tax expense to $0.0 million for the three months ended April 1, 2021 and the Company’s effective tax rate to 0.0%. The Company's current blended state and federal rate (net of federal benefit) was 24.6% as of April 1, 2021 and 24.4% as of March 26,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60" w:firstLine="526"/>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or in the aggregate on its financial position, results of operations or cash flows.</w:t>
      </w:r>
    </w:p>
    <w:p>
      <w:pPr>
        <w:spacing w:after="0" w:line="62" w:lineRule="exact"/>
        <w:rPr>
          <w:sz w:val="20"/>
          <w:szCs w:val="20"/>
          <w:color w:val="auto"/>
        </w:rPr>
      </w:pPr>
    </w:p>
    <w:p>
      <w:pPr>
        <w:ind w:right="80" w:firstLine="526"/>
        <w:spacing w:after="0" w:line="270" w:lineRule="auto"/>
        <w:rPr>
          <w:sz w:val="20"/>
          <w:szCs w:val="20"/>
          <w:color w:val="auto"/>
        </w:rPr>
      </w:pPr>
      <w:r>
        <w:rPr>
          <w:rFonts w:ascii="Arial" w:cs="Arial" w:eastAsia="Arial" w:hAnsi="Arial"/>
          <w:sz w:val="17"/>
          <w:szCs w:val="17"/>
          <w:b w:val="1"/>
          <w:bCs w:val="1"/>
          <w:i w:val="1"/>
          <w:iCs w:val="1"/>
          <w:color w:val="auto"/>
        </w:rPr>
        <w:t>Operating Commitments - Facilities</w:t>
      </w:r>
      <w:r>
        <w:rPr>
          <w:rFonts w:ascii="Arial" w:cs="Arial" w:eastAsia="Arial" w:hAnsi="Arial"/>
          <w:sz w:val="17"/>
          <w:szCs w:val="17"/>
          <w:color w:val="auto"/>
        </w:rPr>
        <w:t>—The Company has entered into operating lease agreements for its corporate headquarters and other regional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The Company has right-of-use (“ROU”) assets of $20.1 million and short-term and long-term lease liabilities of $1.8 million and $22.2 million, respectively, on the balance sheet as of April 1, 2021 for all material leases with terms longer than twelve months. These balances are included within “Other assets”, “Other current liabilities” and “Other liabilities”, respectively, on the unaudited Condensed Consolidated Balance Sheets. As of April 1, 2021, the Company had a weighted average remaining lease term of 8.9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April 1, 2021, the Company’s weighted average annual discount rate used to establish the ROU assets and lease liabilities was 7.35%.</w:t>
      </w:r>
    </w:p>
    <w:p>
      <w:pPr>
        <w:spacing w:after="0" w:line="73" w:lineRule="exact"/>
        <w:rPr>
          <w:sz w:val="20"/>
          <w:szCs w:val="20"/>
          <w:color w:val="auto"/>
        </w:rPr>
      </w:pPr>
    </w:p>
    <w:p>
      <w:pPr>
        <w:ind w:right="580" w:firstLine="567"/>
        <w:spacing w:after="0" w:line="263" w:lineRule="auto"/>
        <w:rPr>
          <w:sz w:val="20"/>
          <w:szCs w:val="20"/>
          <w:color w:val="auto"/>
        </w:rPr>
      </w:pPr>
      <w:r>
        <w:rPr>
          <w:rFonts w:ascii="Arial" w:cs="Arial" w:eastAsia="Arial" w:hAnsi="Arial"/>
          <w:sz w:val="18"/>
          <w:szCs w:val="18"/>
          <w:color w:val="auto"/>
        </w:rPr>
        <w:t>During the three months ended April 1, 2021 and March 26, 2020, the Company recognized the following components of total lease cost (in millions). These costs are presented within “Selling and marketing costs” and “Administrative and other costs” within the unaudited Condensed Consolidated Statements of Income depending upon the nature of the use of the facility.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r>
      <w:tr>
        <w:trPr>
          <w:trHeight w:val="187"/>
        </w:trPr>
        <w:tc>
          <w:tcPr>
            <w:tcW w:w="8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 2021</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26, 2020</w:t>
            </w:r>
          </w:p>
        </w:tc>
      </w:tr>
      <w:tr>
        <w:trPr>
          <w:trHeight w:val="224"/>
        </w:trPr>
        <w:tc>
          <w:tcPr>
            <w:tcW w:w="8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40" w:firstLine="526"/>
        <w:spacing w:after="0" w:line="263" w:lineRule="auto"/>
        <w:rPr>
          <w:sz w:val="20"/>
          <w:szCs w:val="20"/>
          <w:color w:val="auto"/>
        </w:rPr>
      </w:pPr>
      <w:r>
        <w:rPr>
          <w:rFonts w:ascii="Arial" w:cs="Arial" w:eastAsia="Arial" w:hAnsi="Arial"/>
          <w:sz w:val="18"/>
          <w:szCs w:val="18"/>
          <w:color w:val="auto"/>
        </w:rPr>
        <w:t>The Company made total lease payments of $0.9 million and $0.9 million during the three months ended April 1, 2021 and March 26, 2020, respectively. These payments are included within cash flows from operating activities within the unaudited Condensed Consolidated Statement of Cash Flows.</w:t>
      </w:r>
    </w:p>
    <w:p>
      <w:pPr>
        <w:spacing w:after="0" w:line="76"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b w:val="1"/>
          <w:bCs w:val="1"/>
          <w:i w:val="1"/>
          <w:iCs w:val="1"/>
          <w:color w:val="auto"/>
        </w:rPr>
        <w:t>Operating Commitments - ESAs and Affiliate Agreements</w:t>
      </w:r>
      <w:r>
        <w:rPr>
          <w:rFonts w:ascii="Arial" w:cs="Arial" w:eastAsia="Arial" w:hAnsi="Arial"/>
          <w:sz w:val="16"/>
          <w:szCs w:val="16"/>
          <w:color w:val="auto"/>
        </w:rPr>
        <w:t xml:space="preserve">—The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4 - </w:t>
      </w:r>
      <w:r>
        <w:rPr>
          <w:rFonts w:ascii="Arial" w:cs="Arial" w:eastAsia="Arial" w:hAnsi="Arial"/>
          <w:sz w:val="16"/>
          <w:szCs w:val="16"/>
          <w:i w:val="1"/>
          <w:iCs w:val="1"/>
          <w:color w:val="auto"/>
        </w:rPr>
        <w:t>Intangible Assets</w:t>
      </w:r>
      <w:r>
        <w:rPr>
          <w:rFonts w:ascii="Arial" w:cs="Arial" w:eastAsia="Arial" w:hAnsi="Arial"/>
          <w:sz w:val="16"/>
          <w:szCs w:val="16"/>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of intangibles recorded for network theater screen leases” within the unaudited Condensed Consolidated Statement of Income.</w:t>
      </w:r>
    </w:p>
    <w:p>
      <w:pPr>
        <w:spacing w:after="0" w:line="118" w:lineRule="exact"/>
        <w:rPr>
          <w:sz w:val="20"/>
          <w:szCs w:val="20"/>
          <w:color w:val="auto"/>
        </w:rPr>
      </w:pPr>
    </w:p>
    <w:p>
      <w:pPr>
        <w:ind w:right="20" w:firstLine="526"/>
        <w:spacing w:after="0" w:line="259" w:lineRule="auto"/>
        <w:rPr>
          <w:sz w:val="20"/>
          <w:szCs w:val="20"/>
          <w:color w:val="auto"/>
        </w:rPr>
      </w:pPr>
      <w:r>
        <w:rPr>
          <w:rFonts w:ascii="Arial" w:cs="Arial" w:eastAsia="Arial" w:hAnsi="Arial"/>
          <w:sz w:val="18"/>
          <w:szCs w:val="18"/>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payment per theater patron increases by 8% every five years, with this next increase occurring in fiscal year 2022,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April 1, 2021 and December 31, 2020, the Company had no liabilities recorded for the minimum payment, as the theater access fee was in excess of the minimum.</w:t>
      </w:r>
    </w:p>
    <w:p>
      <w:pPr>
        <w:spacing w:after="0" w:line="103" w:lineRule="exact"/>
        <w:rPr>
          <w:sz w:val="20"/>
          <w:szCs w:val="20"/>
          <w:color w:val="auto"/>
        </w:rPr>
      </w:pPr>
    </w:p>
    <w:p>
      <w:pPr>
        <w:ind w:right="20" w:firstLine="526"/>
        <w:spacing w:after="0" w:line="285" w:lineRule="auto"/>
        <w:rPr>
          <w:sz w:val="20"/>
          <w:szCs w:val="20"/>
          <w:color w:val="auto"/>
        </w:rPr>
      </w:pPr>
      <w:r>
        <w:rPr>
          <w:rFonts w:ascii="Arial" w:cs="Arial" w:eastAsia="Arial" w:hAnsi="Arial"/>
          <w:sz w:val="16"/>
          <w:szCs w:val="16"/>
          <w:color w:val="auto"/>
        </w:rPr>
        <w:t xml:space="preserve">Following the 2019 ESA Amendments, Cinemark and Regal receive an additional monthly theater access fee that began on November 1, 2019 in consideration for NCM LLC's access to certain on-screen advertising inventory after the advertised showtime of a feature film. These fees are also based upon a fixed payment per patron: (i) beginning at $0.025 per patron on November 1, 2019, (ii) $0.0375 per patron beginning on November 1, 2020, (iii) $0.05 per patron beginning on November 1, 2021, (iv) $0.052 per patron beginning on November 1, 2022 and (v) increase 8% every five years beginning November 1, 2027. Additionally, following the 2019 ESA Amendments, beginning on November 1, 2019, NCM LLC is entitled to display the Platinum Spot, an additional single unit that is either 30 or 60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trailer position directly prior to the “attached” trailers preceding the feature film. The “attached” trailers are those provided by studios to Cinemark and Regal that are with the feature film, which is at least one trailer, but sometimes two or more trailers. In consideration for the utilization of the theaters for the Platinum Spots, Cinemark and Regal are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does not owe the founding members any theater access fees or any Platinum Spot revenue share when the theaters are not displaying the Company's pre-show or when the Company does not have access to the theaters. As such, the Company did not and will not owe these fees for the period of time the founding members' theaters were temporarily closed due to the COVID-19 Pandemic and future fees will be reduced if attendance remains lower than historical levels. The digital screen fee is calculated based upon average screens in use during each month. No digital screen fees were or will be incurred for the period of time the founding member's theaters were temporarily closed due to the COVID-19 Pandemic and future fees will be reduced for months where screens are in use for only part of the month.</w:t>
      </w:r>
    </w:p>
    <w:p>
      <w:pPr>
        <w:spacing w:after="0" w:line="122" w:lineRule="exact"/>
        <w:rPr>
          <w:sz w:val="20"/>
          <w:szCs w:val="20"/>
          <w:color w:val="auto"/>
        </w:rPr>
      </w:pPr>
    </w:p>
    <w:p>
      <w:pPr>
        <w:ind w:right="100" w:firstLine="526"/>
        <w:spacing w:after="0" w:line="286" w:lineRule="auto"/>
        <w:rPr>
          <w:sz w:val="20"/>
          <w:szCs w:val="20"/>
          <w:color w:val="auto"/>
        </w:rPr>
      </w:pPr>
      <w:r>
        <w:rPr>
          <w:rFonts w:ascii="Arial" w:cs="Arial" w:eastAsia="Arial" w:hAnsi="Arial"/>
          <w:sz w:val="16"/>
          <w:szCs w:val="16"/>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April 1, 2021, the maximum potential amount of future payments the Company could be required to make pursuant to the minimum revenue guarantees is $113.3 million over the remaining terms of the network affiliate agreements. These minimum guarantees relate to various affiliate agreements ranging in term from three years to twenty years, prior to any renewal periods of which some are at the option of the Company. The Company accrued $0.0 million and $0.0 million related to affiliate agreements with guaranteed minimums in excess of the revenue share agreement as of April 1, 2021 and December 31, 2020, respectively. As the guaranteed minimums are based upon agreed upon minimum attendance or affiliate revenue levels, the Company did not incur minimum revenue share fees during the period of time the respective affiliate's theaters were temporarily closed due to the COVID-19 Pandemic and will not for the remaining duration an affiliate's theater attendance or revenue levels are low as the minimum levels must first be met by the affiliate.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firstLine="526"/>
        <w:spacing w:after="0" w:line="311"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ind w:right="60" w:firstLine="526"/>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130" w:lineRule="exact"/>
        <w:rPr>
          <w:sz w:val="20"/>
          <w:szCs w:val="20"/>
          <w:color w:val="auto"/>
        </w:rPr>
      </w:pPr>
    </w:p>
    <w:p>
      <w:pPr>
        <w:ind w:right="200" w:firstLine="526"/>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0" w:lineRule="exact"/>
        <w:rPr>
          <w:sz w:val="20"/>
          <w:szCs w:val="20"/>
          <w:color w:val="auto"/>
        </w:rPr>
      </w:pPr>
    </w:p>
    <w:p>
      <w:pPr>
        <w:ind w:right="160" w:firstLine="526"/>
        <w:spacing w:after="0" w:line="263"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ongoing basis but are subject to fair value adjustments in certain circumstances. These assets include long-lived assets, intangible assets, other investments, notes receivable and borrowings.</w:t>
      </w:r>
    </w:p>
    <w:p>
      <w:pPr>
        <w:spacing w:after="0" w:line="130" w:lineRule="exact"/>
        <w:rPr>
          <w:sz w:val="20"/>
          <w:szCs w:val="20"/>
          <w:color w:val="auto"/>
        </w:rPr>
      </w:pPr>
    </w:p>
    <w:p>
      <w:pPr>
        <w:ind w:right="60" w:firstLine="526"/>
        <w:spacing w:after="0" w:line="301" w:lineRule="auto"/>
        <w:rPr>
          <w:sz w:val="20"/>
          <w:szCs w:val="20"/>
          <w:color w:val="auto"/>
        </w:rPr>
      </w:pPr>
      <w:r>
        <w:rPr>
          <w:rFonts w:ascii="Arial" w:cs="Arial" w:eastAsia="Arial" w:hAnsi="Arial"/>
          <w:sz w:val="16"/>
          <w:szCs w:val="16"/>
          <w:i w:val="1"/>
          <w:iCs w:val="1"/>
          <w:color w:val="auto"/>
        </w:rPr>
        <w:t>Long-Lived Assets, Intangible Assets and Other Investments</w:t>
      </w:r>
      <w:r>
        <w:rPr>
          <w:rFonts w:ascii="Arial" w:cs="Arial" w:eastAsia="Arial" w:hAnsi="Arial"/>
          <w:sz w:val="16"/>
          <w:szCs w:val="16"/>
          <w:color w:val="auto"/>
        </w:rPr>
        <w:t>—The Company regularly reviews long-lived assets (primarily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1, 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1"/>
              </w:rPr>
              <w:t>December 31, 2020</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w:t>
            </w: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6"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This investment is accounted for utilizing the equity method.</w:t>
      </w:r>
    </w:p>
    <w:p>
      <w:pPr>
        <w:spacing w:after="0" w:line="155" w:lineRule="exact"/>
        <w:rPr>
          <w:sz w:val="20"/>
          <w:szCs w:val="20"/>
          <w:color w:val="auto"/>
        </w:rPr>
      </w:pPr>
    </w:p>
    <w:p>
      <w:pPr>
        <w:ind w:right="120" w:firstLine="526"/>
        <w:spacing w:after="0" w:line="257" w:lineRule="auto"/>
        <w:rPr>
          <w:sz w:val="20"/>
          <w:szCs w:val="20"/>
          <w:color w:val="auto"/>
        </w:rPr>
      </w:pPr>
      <w:r>
        <w:rPr>
          <w:rFonts w:ascii="Arial" w:cs="Arial" w:eastAsia="Arial" w:hAnsi="Arial"/>
          <w:sz w:val="18"/>
          <w:szCs w:val="18"/>
          <w:color w:val="auto"/>
        </w:rPr>
        <w:t>As of April 1, 2021,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34" w:lineRule="exact"/>
        <w:rPr>
          <w:sz w:val="20"/>
          <w:szCs w:val="20"/>
          <w:color w:val="auto"/>
        </w:rPr>
      </w:pPr>
    </w:p>
    <w:p>
      <w:pPr>
        <w:ind w:firstLine="526"/>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600"/>
              <w:spacing w:after="0"/>
              <w:rPr>
                <w:sz w:val="20"/>
                <w:szCs w:val="20"/>
                <w:color w:val="auto"/>
              </w:rPr>
            </w:pPr>
            <w:r>
              <w:rPr>
                <w:rFonts w:ascii="Arial" w:cs="Arial" w:eastAsia="Arial" w:hAnsi="Arial"/>
                <w:sz w:val="14"/>
                <w:szCs w:val="14"/>
                <w:b w:val="1"/>
                <w:bCs w:val="1"/>
                <w:color w:val="auto"/>
              </w:rPr>
              <w:t>As of April 1, 2021</w:t>
            </w:r>
          </w:p>
        </w:tc>
        <w:tc>
          <w:tcPr>
            <w:tcW w:w="12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As of December 31, 2020</w:t>
            </w:r>
          </w:p>
        </w:tc>
      </w:tr>
      <w:tr>
        <w:trPr>
          <w:trHeight w:val="187"/>
        </w:trPr>
        <w:tc>
          <w:tcPr>
            <w:tcW w:w="5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4"/>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loans - first tranche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Term loans - second tranche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Notes due 2028</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337.5</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6" w:lineRule="exact"/>
        <w:rPr>
          <w:sz w:val="20"/>
          <w:szCs w:val="20"/>
          <w:color w:val="auto"/>
        </w:rPr>
      </w:pPr>
    </w:p>
    <w:p>
      <w:pPr>
        <w:ind w:left="340" w:hanging="332"/>
        <w:spacing w:after="0" w:line="258" w:lineRule="auto"/>
        <w:tabs>
          <w:tab w:leader="none" w:pos="334"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If the Company were to measure the borrowings in the above table at fair value on the balance sheet they would be classified as Level 2 based upon the inputs utilized.</w:t>
      </w:r>
    </w:p>
    <w:p>
      <w:pPr>
        <w:spacing w:after="0" w:line="133" w:lineRule="exact"/>
        <w:rPr>
          <w:sz w:val="20"/>
          <w:szCs w:val="20"/>
          <w:color w:val="auto"/>
        </w:rPr>
      </w:pPr>
    </w:p>
    <w:p>
      <w:pPr>
        <w:ind w:right="320" w:firstLine="526"/>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 as of April</w:t>
            </w: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14"/>
              <w:spacing w:after="0"/>
              <w:rPr>
                <w:sz w:val="20"/>
                <w:szCs w:val="20"/>
                <w:color w:val="auto"/>
              </w:rPr>
            </w:pPr>
            <w:r>
              <w:rPr>
                <w:rFonts w:ascii="Arial" w:cs="Arial" w:eastAsia="Arial" w:hAnsi="Arial"/>
                <w:sz w:val="14"/>
                <w:szCs w:val="14"/>
                <w:b w:val="1"/>
                <w:bCs w:val="1"/>
                <w:color w:val="auto"/>
              </w:rPr>
              <w:t>1, 2021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Fair Value as of</w:t>
            </w: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660" w:right="20" w:hanging="328"/>
        <w:spacing w:after="0" w:line="302" w:lineRule="auto"/>
        <w:tabs>
          <w:tab w:leader="none" w:pos="654"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Cash Equivalents</w:t>
      </w:r>
      <w:r>
        <w:rPr>
          <w:rFonts w:ascii="Arial" w:cs="Arial" w:eastAsia="Arial" w:hAnsi="Arial"/>
          <w:sz w:val="16"/>
          <w:szCs w:val="16"/>
          <w:color w:val="auto"/>
        </w:rPr>
        <w:t>—The Company’s cash equivalents are carried at estimated fair value following the Company's election of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Cash equivalents consist of money market accounts which the Company has classified as Level 1 given the active market for these accounts and commercial paper with original maturities of three months or less, which are classified as Level 2 and are valued as described below.</w:t>
      </w:r>
    </w:p>
    <w:p>
      <w:pPr>
        <w:spacing w:after="0" w:line="47" w:lineRule="exact"/>
        <w:rPr>
          <w:rFonts w:ascii="Arial" w:cs="Arial" w:eastAsia="Arial" w:hAnsi="Arial"/>
          <w:sz w:val="16"/>
          <w:szCs w:val="16"/>
          <w:i w:val="1"/>
          <w:iCs w:val="1"/>
          <w:color w:val="auto"/>
        </w:rPr>
      </w:pPr>
    </w:p>
    <w:p>
      <w:pPr>
        <w:ind w:left="660" w:hanging="328"/>
        <w:spacing w:after="0" w:line="269" w:lineRule="auto"/>
        <w:tabs>
          <w:tab w:leader="none" w:pos="654"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Short-Term and Long-Term Marketable Securities</w:t>
      </w:r>
      <w:r>
        <w:rPr>
          <w:rFonts w:ascii="Arial" w:cs="Arial" w:eastAsia="Arial" w:hAnsi="Arial"/>
          <w:sz w:val="17"/>
          <w:szCs w:val="17"/>
          <w:color w:val="auto"/>
        </w:rPr>
        <w:t>—The carrying amount and fair value of the marketable securities are equivalent since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As of April 1, 2021 and December 31, 2020, there were $0.0 million and $1.3 million, respectively, of available-for-sale debt securities in unrealized loss positions without an allowance for credit losses. The Company has not recorded an allowance for credit losses for the marketable securities balance as of April 1, 2021 or December 31, 2020 given the immaterial difference between the amortized cost basis and the aggregate fair value of the Company's securities.</w:t>
      </w:r>
    </w:p>
    <w:p>
      <w:pPr>
        <w:spacing w:after="0" w:line="128" w:lineRule="exact"/>
        <w:rPr>
          <w:sz w:val="20"/>
          <w:szCs w:val="20"/>
          <w:color w:val="auto"/>
        </w:rPr>
      </w:pPr>
    </w:p>
    <w:p>
      <w:pPr>
        <w:ind w:right="160" w:firstLine="526"/>
        <w:spacing w:after="0" w:line="277"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April 1, 2021 and December 31, 2020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As of April 1, 2021</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30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5"/>
              </w:rPr>
              <w:t>Aggregate Fair</w:t>
            </w:r>
          </w:p>
        </w:tc>
        <w:tc>
          <w:tcPr>
            <w:tcW w:w="120" w:type="dxa"/>
            <w:vAlign w:val="bottom"/>
          </w:tcPr>
          <w:p>
            <w:pPr>
              <w:spacing w:after="0"/>
              <w:rPr>
                <w:sz w:val="11"/>
                <w:szCs w:val="11"/>
                <w:color w:val="auto"/>
              </w:rPr>
            </w:pPr>
          </w:p>
        </w:tc>
        <w:tc>
          <w:tcPr>
            <w:tcW w:w="14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 xml:space="preserve">Maturities </w:t>
            </w:r>
            <w:r>
              <w:rPr>
                <w:rFonts w:ascii="Arial" w:cs="Arial" w:eastAsia="Arial" w:hAnsi="Arial"/>
                <w:sz w:val="14"/>
                <w:szCs w:val="14"/>
                <w:b w:val="1"/>
                <w:bCs w:val="1"/>
                <w:i w:val="1"/>
                <w:iCs w:val="1"/>
                <w:color w:val="auto"/>
              </w:rPr>
              <w:t>(1)</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1"/>
                <w:szCs w:val="11"/>
                <w:color w:val="auto"/>
              </w:rPr>
            </w:pPr>
          </w:p>
        </w:tc>
        <w:tc>
          <w:tcPr>
            <w:tcW w:w="130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30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420" w:type="dxa"/>
            <w:vAlign w:val="bottom"/>
          </w:tcPr>
          <w:p>
            <w:pPr>
              <w:jc w:val="right"/>
              <w:ind w:right="348"/>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1"/>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Short-term certificates of deposit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certificates of deposit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long-term marketable securities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jc w:val="center"/>
        <w:ind w:left="400" w:right="260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 2020</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4"/>
              </w:rPr>
              <w:t>Amortized Cost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Aggregate Fair</w:t>
            </w:r>
          </w:p>
        </w:tc>
        <w:tc>
          <w:tcPr>
            <w:tcW w:w="14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 xml:space="preserve">Maturities </w:t>
            </w:r>
            <w:r>
              <w:rPr>
                <w:rFonts w:ascii="Arial" w:cs="Arial" w:eastAsia="Arial" w:hAnsi="Arial"/>
                <w:sz w:val="14"/>
                <w:szCs w:val="14"/>
                <w:b w:val="1"/>
                <w:bCs w:val="1"/>
                <w:i w:val="1"/>
                <w:iCs w:val="1"/>
                <w:color w:val="auto"/>
              </w:rPr>
              <w:t>(1)</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85"/>
              </w:rPr>
              <w:t>Basis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Value</w:t>
            </w: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420" w:type="dxa"/>
            <w:vAlign w:val="bottom"/>
          </w:tcPr>
          <w:p>
            <w:pPr>
              <w:jc w:val="right"/>
              <w:ind w:right="339"/>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11"/>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Short-term certificates of deposit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certificates of deposit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marketable securities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1140" w:right="260" w:hanging="322"/>
        <w:spacing w:after="0" w:line="260" w:lineRule="auto"/>
        <w:tabs>
          <w:tab w:leader="none" w:pos="1134" w:val="left"/>
        </w:tabs>
        <w:numPr>
          <w:ilvl w:val="1"/>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—Securities available for sale include obligations with various contractual maturity dates some of which are greater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Company considers the securities to be liquid and convertible to cash within 30 days.</w:t>
      </w:r>
    </w:p>
    <w:p>
      <w:pPr>
        <w:spacing w:after="0" w:line="127" w:lineRule="exact"/>
        <w:rPr>
          <w:rFonts w:ascii="Arial" w:cs="Arial" w:eastAsia="Arial" w:hAnsi="Arial"/>
          <w:sz w:val="18"/>
          <w:szCs w:val="18"/>
          <w:i w:val="1"/>
          <w:iCs w:val="1"/>
          <w:color w:val="auto"/>
        </w:rPr>
      </w:pPr>
    </w:p>
    <w:p>
      <w:pPr>
        <w:ind w:left="320" w:hanging="312"/>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firstLine="180"/>
        <w:spacing w:after="0" w:line="263" w:lineRule="auto"/>
        <w:rPr>
          <w:sz w:val="20"/>
          <w:szCs w:val="20"/>
          <w:color w:val="auto"/>
        </w:rPr>
      </w:pPr>
      <w:r>
        <w:rPr>
          <w:rFonts w:ascii="Arial" w:cs="Arial" w:eastAsia="Arial" w:hAnsi="Arial"/>
          <w:sz w:val="18"/>
          <w:szCs w:val="18"/>
          <w:color w:val="auto"/>
        </w:rPr>
        <w:t>On May 10, 2021, the Company declared a cash dividend of $0.05 per share (approximately $4.0 million) on each share of the Company’s common stock (not including outstanding restricted stock which will accrue dividends until the shares vest) to stockholders of record on May 21, 2021 to be paid on June 7, 2021.</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firstLine="52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and statements related to the impact of the current COVID-19 Pandemic on our business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in our annual report on Form 10-K for the Company’s fiscal year ended December 31, 2020. Among other risks, we face significant risk and volatility related to the COVID-19 Pandemic as discussed in this report.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31, 2020. In the following discussion and analysis, the term net income refers to net income attributable to NCM,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40" w:firstLine="526"/>
        <w:spacing w:after="0" w:line="263" w:lineRule="auto"/>
        <w:rPr>
          <w:sz w:val="20"/>
          <w:szCs w:val="20"/>
          <w:color w:val="auto"/>
        </w:rPr>
      </w:pPr>
      <w:r>
        <w:rPr>
          <w:rFonts w:ascii="Arial" w:cs="Arial" w:eastAsia="Arial" w:hAnsi="Arial"/>
          <w:sz w:val="18"/>
          <w:szCs w:val="18"/>
          <w:color w:val="auto"/>
        </w:rPr>
        <w:t xml:space="preserve">We are America's Movie Network. As the largest cinema advertising network in the U.S., we unite brands with the power of movies and engage movie fans anytime and anywhere. We currently derive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our cinema advertising and entertainment pre-show seen on movie screens across the U.S.</w:t>
      </w:r>
    </w:p>
    <w:p>
      <w:pPr>
        <w:spacing w:after="0" w:line="130" w:lineRule="exact"/>
        <w:rPr>
          <w:sz w:val="20"/>
          <w:szCs w:val="20"/>
          <w:color w:val="auto"/>
        </w:rPr>
      </w:pPr>
    </w:p>
    <w:p>
      <w:pPr>
        <w:ind w:right="40" w:firstLine="526"/>
        <w:spacing w:after="0" w:line="293" w:lineRule="auto"/>
        <w:rPr>
          <w:sz w:val="20"/>
          <w:szCs w:val="20"/>
          <w:color w:val="auto"/>
        </w:rPr>
      </w:pPr>
      <w:r>
        <w:rPr>
          <w:rFonts w:ascii="Arial" w:cs="Arial" w:eastAsia="Arial" w:hAnsi="Arial"/>
          <w:sz w:val="16"/>
          <w:szCs w:val="16"/>
          <w:color w:val="auto"/>
        </w:rPr>
        <w:t xml:space="preserve">We present two different formats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depending on the theater circuit in which it runs. In Regal and Cinemark and 15 of our network affiliates' theaters, </w:t>
      </w:r>
      <w:r>
        <w:rPr>
          <w:rFonts w:ascii="Arial" w:cs="Arial" w:eastAsia="Arial" w:hAnsi="Arial"/>
          <w:sz w:val="16"/>
          <w:szCs w:val="16"/>
          <w:i w:val="1"/>
          <w:iCs w:val="1"/>
          <w:color w:val="auto"/>
        </w:rPr>
        <w:t>Noovie</w:t>
      </w:r>
      <w:r>
        <w:rPr>
          <w:rFonts w:ascii="Arial" w:cs="Arial" w:eastAsia="Arial" w:hAnsi="Arial"/>
          <w:sz w:val="16"/>
          <w:szCs w:val="16"/>
          <w:color w:val="auto"/>
        </w:rPr>
        <w:t xml:space="preserve"> now includes advertising inventory after the advertised showtime consisting of (1) the lights down segment that runs for five minutes after the advertised showtime with trailer lighting and (2) the 30- or 60-second Platinum Spot (together, the “Post-Showtime Inventory”). As of April 1, 2021, theaters presenting the new </w:t>
      </w:r>
      <w:r>
        <w:rPr>
          <w:rFonts w:ascii="Arial" w:cs="Arial" w:eastAsia="Arial" w:hAnsi="Arial"/>
          <w:sz w:val="16"/>
          <w:szCs w:val="16"/>
          <w:i w:val="1"/>
          <w:iCs w:val="1"/>
          <w:color w:val="auto"/>
        </w:rPr>
        <w:t>Noovie</w:t>
      </w:r>
      <w:r>
        <w:rPr>
          <w:rFonts w:ascii="Arial" w:cs="Arial" w:eastAsia="Arial" w:hAnsi="Arial"/>
          <w:sz w:val="16"/>
          <w:szCs w:val="16"/>
          <w:color w:val="auto"/>
        </w:rPr>
        <w:t xml:space="preserve"> format with Post-Showtime Inventory made up approximately 59% of our network. All other NCM network theater circuits, which make up the remaining 41% of our network, present the Classic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which ends approximately at the advertised movie showtime when the movie trailers begin. The movie trailers that run before the feature film are not part of </w:t>
      </w:r>
      <w:r>
        <w:rPr>
          <w:rFonts w:ascii="Arial" w:cs="Arial" w:eastAsia="Arial" w:hAnsi="Arial"/>
          <w:sz w:val="16"/>
          <w:szCs w:val="16"/>
          <w:i w:val="1"/>
          <w:iCs w:val="1"/>
          <w:color w:val="auto"/>
        </w:rPr>
        <w:t>Noovie</w:t>
      </w:r>
      <w:r>
        <w:rPr>
          <w:rFonts w:ascii="Arial" w:cs="Arial" w:eastAsia="Arial" w:hAnsi="Arial"/>
          <w:sz w:val="16"/>
          <w:szCs w:val="16"/>
          <w:color w:val="auto"/>
        </w:rPr>
        <w:t>.</w:t>
      </w:r>
    </w:p>
    <w:p>
      <w:pPr>
        <w:spacing w:after="0" w:line="110" w:lineRule="exact"/>
        <w:rPr>
          <w:sz w:val="20"/>
          <w:szCs w:val="20"/>
          <w:color w:val="auto"/>
        </w:rPr>
      </w:pPr>
    </w:p>
    <w:p>
      <w:pPr>
        <w:ind w:right="200" w:firstLine="526"/>
        <w:spacing w:after="0" w:line="274" w:lineRule="auto"/>
        <w:rPr>
          <w:sz w:val="20"/>
          <w:szCs w:val="20"/>
          <w:color w:val="auto"/>
        </w:rPr>
      </w:pPr>
      <w:r>
        <w:rPr>
          <w:rFonts w:ascii="Arial" w:cs="Arial" w:eastAsia="Arial" w:hAnsi="Arial"/>
          <w:sz w:val="16"/>
          <w:szCs w:val="16"/>
          <w:color w:val="auto"/>
        </w:rPr>
        <w:t xml:space="preserve">We also sell advertising on our LEN, a series of strategically placed screens located in movie theater lobbies, as well as other forms of advertising and promotions in theater lobbies. In addition, we sell online and mobile advertising through our </w:t>
      </w:r>
      <w:r>
        <w:rPr>
          <w:rFonts w:ascii="Arial" w:cs="Arial" w:eastAsia="Arial" w:hAnsi="Arial"/>
          <w:sz w:val="16"/>
          <w:szCs w:val="16"/>
          <w:i w:val="1"/>
          <w:iCs w:val="1"/>
          <w:color w:val="auto"/>
        </w:rPr>
        <w:t>Noovie Audience Accelerator,</w:t>
      </w:r>
      <w:r>
        <w:rPr>
          <w:rFonts w:ascii="Arial" w:cs="Arial" w:eastAsia="Arial" w:hAnsi="Arial"/>
          <w:sz w:val="16"/>
          <w:szCs w:val="16"/>
          <w:color w:val="auto"/>
        </w:rPr>
        <w:t xml:space="preserve"> across our suite</w:t>
      </w:r>
    </w:p>
    <w:p>
      <w:pPr>
        <w:spacing w:after="0" w:line="1"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 xml:space="preserve">of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properties, including </w:t>
      </w:r>
      <w:r>
        <w:rPr>
          <w:rFonts w:ascii="Arial" w:cs="Arial" w:eastAsia="Arial" w:hAnsi="Arial"/>
          <w:sz w:val="17"/>
          <w:szCs w:val="17"/>
          <w:i w:val="1"/>
          <w:iCs w:val="1"/>
          <w:color w:val="auto"/>
        </w:rPr>
        <w:t>Noovie.com</w:t>
      </w:r>
      <w:r>
        <w:rPr>
          <w:rFonts w:ascii="Arial" w:cs="Arial" w:eastAsia="Arial" w:hAnsi="Arial"/>
          <w:sz w:val="17"/>
          <w:szCs w:val="17"/>
          <w:color w:val="auto"/>
        </w:rPr>
        <w:t xml:space="preserve">, </w:t>
      </w:r>
      <w:r>
        <w:rPr>
          <w:rFonts w:ascii="Arial" w:cs="Arial" w:eastAsia="Arial" w:hAnsi="Arial"/>
          <w:sz w:val="17"/>
          <w:szCs w:val="17"/>
          <w:i w:val="1"/>
          <w:iCs w:val="1"/>
          <w:color w:val="auto"/>
        </w:rPr>
        <w:t>Noovie Shuffle</w:t>
      </w:r>
      <w:r>
        <w:rPr>
          <w:rFonts w:ascii="Arial" w:cs="Arial" w:eastAsia="Arial" w:hAnsi="Arial"/>
          <w:sz w:val="17"/>
          <w:szCs w:val="17"/>
          <w:color w:val="auto"/>
        </w:rPr>
        <w:t xml:space="preserve">, </w:t>
      </w:r>
      <w:r>
        <w:rPr>
          <w:rFonts w:ascii="Arial" w:cs="Arial" w:eastAsia="Arial" w:hAnsi="Arial"/>
          <w:sz w:val="17"/>
          <w:szCs w:val="17"/>
          <w:i w:val="1"/>
          <w:iCs w:val="1"/>
          <w:color w:val="auto"/>
        </w:rPr>
        <w:t>Name That Movie</w:t>
      </w:r>
      <w:r>
        <w:rPr>
          <w:rFonts w:ascii="Arial" w:cs="Arial" w:eastAsia="Arial" w:hAnsi="Arial"/>
          <w:sz w:val="17"/>
          <w:szCs w:val="17"/>
          <w:color w:val="auto"/>
        </w:rPr>
        <w:t xml:space="preserve"> and </w:t>
      </w:r>
      <w:r>
        <w:rPr>
          <w:rFonts w:ascii="Arial" w:cs="Arial" w:eastAsia="Arial" w:hAnsi="Arial"/>
          <w:sz w:val="17"/>
          <w:szCs w:val="17"/>
          <w:i w:val="1"/>
          <w:iCs w:val="1"/>
          <w:color w:val="auto"/>
        </w:rPr>
        <w:t>Noovie Arcade,</w:t>
      </w:r>
      <w:r>
        <w:rPr>
          <w:rFonts w:ascii="Arial" w:cs="Arial" w:eastAsia="Arial" w:hAnsi="Arial"/>
          <w:sz w:val="17"/>
          <w:szCs w:val="17"/>
          <w:color w:val="auto"/>
        </w:rPr>
        <w:t xml:space="preserve"> as well as a variety of complementary out of home venues, including restaurants, retail locations, convenience stores and office and residential buildings, in order to reach entertainment audiences beyond the theater. As of April 1, 2021, approximately 5.2 million moviegoers have downloaded our mobile apps. These downloads and the acquisition of second party data have resulted in first- and second-party data sets of over 183.7 million as of April 1, 2021. We have long-term ESAs (approximately 18.5 weighted average years remaining based on pre-COVID-19 attendance levels) with the founding members and multi-year agreements with our network affiliates, which expire at various dates between May 2021 and December 2037. The weighted average remaining term of the ESAs and the network affiliate agreements is 20.9 years as of April 1, 2021. The ESAs and network affiliate agreements grant NCM LLC exclusive rights in their theaters to sell advertising, subject to limited exceptions.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are distributed predominantly via satellite through our proprietary digital content network “DCN”.</w:t>
      </w:r>
    </w:p>
    <w:p>
      <w:pPr>
        <w:spacing w:after="0" w:line="75" w:lineRule="exact"/>
        <w:rPr>
          <w:sz w:val="20"/>
          <w:szCs w:val="20"/>
          <w:color w:val="auto"/>
        </w:rPr>
      </w:pPr>
    </w:p>
    <w:p>
      <w:pPr>
        <w:ind w:right="120" w:firstLine="526"/>
        <w:spacing w:after="0" w:line="271"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screen per week, national and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ind w:right="580"/>
        <w:spacing w:after="0" w:line="277" w:lineRule="auto"/>
        <w:rPr>
          <w:sz w:val="20"/>
          <w:szCs w:val="20"/>
          <w:color w:val="auto"/>
        </w:rPr>
      </w:pPr>
      <w:r>
        <w:rPr>
          <w:rFonts w:ascii="Arial" w:cs="Arial" w:eastAsia="Arial" w:hAnsi="Arial"/>
          <w:sz w:val="18"/>
          <w:szCs w:val="18"/>
          <w:color w:val="auto"/>
        </w:rPr>
        <w:t>there is adequate cash availability to fund our working capital needs and debt obligations and current and future dividends declared by our Board of Directors.</w:t>
      </w:r>
    </w:p>
    <w:p>
      <w:pPr>
        <w:spacing w:after="0" w:line="116" w:lineRule="exact"/>
        <w:rPr>
          <w:sz w:val="20"/>
          <w:szCs w:val="20"/>
          <w:color w:val="auto"/>
        </w:rPr>
      </w:pPr>
    </w:p>
    <w:p>
      <w:pPr>
        <w:ind w:right="460" w:firstLine="526"/>
        <w:spacing w:after="0" w:line="308" w:lineRule="auto"/>
        <w:rPr>
          <w:sz w:val="20"/>
          <w:szCs w:val="20"/>
          <w:color w:val="auto"/>
        </w:rPr>
      </w:pPr>
      <w:r>
        <w:rPr>
          <w:rFonts w:ascii="Arial" w:cs="Arial" w:eastAsia="Arial" w:hAnsi="Arial"/>
          <w:sz w:val="17"/>
          <w:szCs w:val="17"/>
          <w:color w:val="auto"/>
        </w:rPr>
        <w:t>Our operating results may be affected by a variety of internal and external factors and trends described more fully in the section entitled “Risk Factors” below and in our annual report on Form 10-K filed with the SEC on March 8, 2021 for our fiscal year ended December 31, 2020.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62" w:lineRule="exact"/>
        <w:rPr>
          <w:sz w:val="20"/>
          <w:szCs w:val="20"/>
          <w:color w:val="auto"/>
        </w:rPr>
      </w:pPr>
    </w:p>
    <w:p>
      <w:pPr>
        <w:ind w:firstLine="526"/>
        <w:spacing w:after="0" w:line="290" w:lineRule="auto"/>
        <w:rPr>
          <w:sz w:val="20"/>
          <w:szCs w:val="20"/>
          <w:color w:val="auto"/>
        </w:rPr>
      </w:pPr>
      <w:r>
        <w:rPr>
          <w:rFonts w:ascii="Arial" w:cs="Arial" w:eastAsia="Arial" w:hAnsi="Arial"/>
          <w:sz w:val="16"/>
          <w:szCs w:val="16"/>
          <w:b w:val="1"/>
          <w:bCs w:val="1"/>
          <w:i w:val="1"/>
          <w:iCs w:val="1"/>
          <w:color w:val="auto"/>
        </w:rPr>
        <w:t>COVID-19</w:t>
      </w:r>
      <w:r>
        <w:rPr>
          <w:rFonts w:ascii="Arial" w:cs="Arial" w:eastAsia="Arial" w:hAnsi="Arial"/>
          <w:sz w:val="16"/>
          <w:szCs w:val="16"/>
          <w:color w:val="auto"/>
        </w:rPr>
        <w:t>—Following the World Health Organization’s declaration of the COVID-19 virus as a pandemic in March 2020, the United 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 and other state and local governments issued precautionary restrictions on travel, public gatherings and other events and issued social distancing guidelines. Beginning in mid-March 2020, each of our founding members and all of our network affiliates announced that their theaters would be temporarily closed and almost all of the theaters within our network remained closed until late August 2020, with Regal temporarily re-closing its theaters again in October 2020. As of April 1, 2021, approximately 60.0% of the theaters within our network had reopened. Many of the open theaters are operating at reduced hours and offering a limited number of movie showtimes and attendance at open theaters has not returned to historical levels. Major motion picture releases expected to occur during the temporary closure period were delayed until 2021 or have been released directly to alternative delivery methods bypassing the theater entirely. As of May 7, 2021, approximately 77.0% of the theaters within our network have reopened.</w:t>
      </w:r>
    </w:p>
    <w:p>
      <w:pPr>
        <w:spacing w:after="0" w:line="57" w:lineRule="exact"/>
        <w:rPr>
          <w:sz w:val="20"/>
          <w:szCs w:val="20"/>
          <w:color w:val="auto"/>
        </w:rPr>
      </w:pPr>
    </w:p>
    <w:p>
      <w:pPr>
        <w:ind w:firstLine="526"/>
        <w:spacing w:after="0" w:line="257" w:lineRule="auto"/>
        <w:rPr>
          <w:sz w:val="20"/>
          <w:szCs w:val="20"/>
          <w:color w:val="auto"/>
        </w:rPr>
      </w:pPr>
      <w:r>
        <w:rPr>
          <w:rFonts w:ascii="Arial" w:cs="Arial" w:eastAsia="Arial" w:hAnsi="Arial"/>
          <w:sz w:val="18"/>
          <w:szCs w:val="18"/>
          <w:color w:val="auto"/>
        </w:rPr>
        <w:t>The Company generated no in-theater advertising revenue for the approximate six months that the theaters were closed and on September 4, 2020 the Company resumed advertising within the theaters that were open in our network; however, in-theater advertising revenue continues to be adversely impacted as attendance at the reopened theaters has been significantly less than normal given COVID-19 restrictions around patron capacity limitations and a continued lack of new major motion picture releases. The results of operations for the three months ended April 1, 2021 were significantly impacted by the COVID-19 Pandemic.</w:t>
      </w:r>
    </w:p>
    <w:p>
      <w:pPr>
        <w:spacing w:after="0" w:line="80" w:lineRule="exact"/>
        <w:rPr>
          <w:sz w:val="20"/>
          <w:szCs w:val="20"/>
          <w:color w:val="auto"/>
        </w:rPr>
      </w:pPr>
    </w:p>
    <w:p>
      <w:pPr>
        <w:ind w:right="80" w:firstLine="526"/>
        <w:spacing w:after="0" w:line="290" w:lineRule="auto"/>
        <w:rPr>
          <w:sz w:val="20"/>
          <w:szCs w:val="20"/>
          <w:color w:val="auto"/>
        </w:rPr>
      </w:pPr>
      <w:r>
        <w:rPr>
          <w:rFonts w:ascii="Arial" w:cs="Arial" w:eastAsia="Arial" w:hAnsi="Arial"/>
          <w:sz w:val="16"/>
          <w:szCs w:val="16"/>
          <w:color w:val="auto"/>
        </w:rPr>
        <w:t>The Company's ability to advertise has been and will continue to be limited due to the portion of our network that is closed, reduced movie schedules and patron capacities at many network theaters and the timing and frequency of major motion picture releases as compared to prior years due to the COVID-19 Pandemic. Our theater access fees, network affiliate payments and Platinum Spot revenue share payments are driven by attendance, active screens and/or in-theater advertising revenue, and therefore, were not incurred for the duration of time that the theaters were closed and attendance-based fees will continue to be reduced for the period of time that attendance is lower than historical levels. Even though our ability to generate in-theater advertising revenue will be negatively impacted by government mandated capacity restrictions and the limited new content currently available, we are still required to pay these screen-based fees when theaters are open, which may be reduced for months where screens are in use for only part of the month. We have been working to preserve cash and ensure sufficient liquidity to endure the impacts of the COVID-19 Pandemic, even if prolonged.</w:t>
      </w:r>
    </w:p>
    <w:p>
      <w:pPr>
        <w:spacing w:after="0" w:line="57" w:lineRule="exact"/>
        <w:rPr>
          <w:sz w:val="20"/>
          <w:szCs w:val="20"/>
          <w:color w:val="auto"/>
        </w:rPr>
      </w:pPr>
    </w:p>
    <w:p>
      <w:pPr>
        <w:ind w:right="40" w:firstLine="526"/>
        <w:spacing w:after="0" w:line="286" w:lineRule="auto"/>
        <w:rPr>
          <w:sz w:val="20"/>
          <w:szCs w:val="20"/>
          <w:color w:val="auto"/>
        </w:rPr>
      </w:pPr>
      <w:r>
        <w:rPr>
          <w:rFonts w:ascii="Arial" w:cs="Arial" w:eastAsia="Arial" w:hAnsi="Arial"/>
          <w:sz w:val="17"/>
          <w:szCs w:val="17"/>
          <w:color w:val="auto"/>
        </w:rPr>
        <w:t>Given the limited attendance levels and delay in new movie releases, during the three months ended April 1, 2021, over 75% of our current employee base continued to be furloughed or had salary reductions of up to 50% (“Temporary Salary and Wage Reductions”). Further, since the start of the COVID-19 Pandemic our total headcount has been reduced by almost 30% from pre-COVID-19 Pandemic headcount levels.</w:t>
      </w:r>
    </w:p>
    <w:p>
      <w:pPr>
        <w:spacing w:after="0" w:line="57" w:lineRule="exact"/>
        <w:rPr>
          <w:sz w:val="20"/>
          <w:szCs w:val="20"/>
          <w:color w:val="auto"/>
        </w:rPr>
      </w:pPr>
    </w:p>
    <w:p>
      <w:pPr>
        <w:ind w:right="280" w:firstLine="526"/>
        <w:spacing w:after="0" w:line="277" w:lineRule="auto"/>
        <w:rPr>
          <w:sz w:val="20"/>
          <w:szCs w:val="20"/>
          <w:color w:val="auto"/>
        </w:rPr>
      </w:pPr>
      <w:r>
        <w:rPr>
          <w:rFonts w:ascii="Arial" w:cs="Arial" w:eastAsia="Arial" w:hAnsi="Arial"/>
          <w:sz w:val="18"/>
          <w:szCs w:val="18"/>
          <w:color w:val="auto"/>
        </w:rPr>
        <w:t>Since the start of the COVID-19 Pandemic and during the three months ended April 1, 2021, we have also taken the following cash preservation actions that the Company anticipates continuing until the Company’s operations normalize:</w:t>
      </w:r>
    </w:p>
    <w:p>
      <w:pPr>
        <w:spacing w:after="0" w:line="62" w:lineRule="exact"/>
        <w:rPr>
          <w:sz w:val="20"/>
          <w:szCs w:val="20"/>
          <w:color w:val="auto"/>
        </w:rPr>
      </w:pPr>
    </w:p>
    <w:p>
      <w:pPr>
        <w:ind w:left="660" w:right="3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Temporarily reduced cash compensation of the Company's Board of Directors by 20% and offered the option for the Board to receive the cash retainers for the first and second quarter in equivalent value of the Company’s common stock in lieu of cash;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Suspended certain non-essential operating expenditures, including marketing, research, employee travel and consulting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Temporarily suspended the 401K employee match program;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Terminated or deferred certain non-essential capital expenditures;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Strategically worked with our vendors, and other business partners to manage, defer, and/or abate certain costs during the disruptions caused by the COVID-19 Pandemic;</w:t>
      </w:r>
    </w:p>
    <w:p>
      <w:pPr>
        <w:spacing w:after="0" w:line="62" w:lineRule="exact"/>
        <w:rPr>
          <w:rFonts w:ascii="Arial" w:cs="Arial" w:eastAsia="Arial" w:hAnsi="Arial"/>
          <w:sz w:val="18"/>
          <w:szCs w:val="18"/>
          <w:color w:val="auto"/>
        </w:rPr>
      </w:pPr>
    </w:p>
    <w:p>
      <w:pPr>
        <w:ind w:left="660" w:right="6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Decreased our quarterly dividend to $0.07 per share for the first three quarters of 2020 and to $0.05 for the fourth quarter of 2020 and first quarter of 2021 from $0.19 per share in the fourth quarter of 2019. When compared to the first quarter of 2020 this results in a cash savings of $11.2 million in the first quarter of 2021 and cash savings of $41.6 million for NCM, Inc. since the beginning of the pandemic;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5" w:name="page26"/>
    <w:bookmarkEnd w:id="25"/>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Introduced an active cash management process, which, among other things, requires CEO approval of all outgoing payments.</w:t>
      </w:r>
    </w:p>
    <w:p>
      <w:pPr>
        <w:spacing w:after="0" w:line="117" w:lineRule="exact"/>
        <w:rPr>
          <w:sz w:val="20"/>
          <w:szCs w:val="20"/>
          <w:color w:val="auto"/>
        </w:rPr>
      </w:pPr>
    </w:p>
    <w:p>
      <w:pPr>
        <w:ind w:right="80" w:firstLine="526"/>
        <w:spacing w:after="0" w:line="272" w:lineRule="auto"/>
        <w:rPr>
          <w:sz w:val="20"/>
          <w:szCs w:val="20"/>
          <w:color w:val="auto"/>
        </w:rPr>
      </w:pPr>
      <w:r>
        <w:rPr>
          <w:rFonts w:ascii="Arial" w:cs="Arial" w:eastAsia="Arial" w:hAnsi="Arial"/>
          <w:sz w:val="17"/>
          <w:szCs w:val="17"/>
          <w:color w:val="auto"/>
        </w:rPr>
        <w:t>The Company's ability to normalize operations is dependent upon the reopening of the remaining theaters within our network, the release of major motion pictures to the theaters, and the attendance of theater patrons. As of the filing date, multiple COVID-19 vaccines have been developed and immunizations are under way throughout the United States. Because of this, cases of the COVID-19 virus have decreased from the peak numbers experienced in late 2020 and government restrictions have lessened allowing theaters in key markets to reopen. Regal also began a phased reopening of its theaters within our network beginning in April 2021 and multiple major motion picture releases are scheduled beginning in May 2021. However, there can be no assurance that the cases of the COVID-19 virus will continue to decline, when theaters within our network will return to normal operations, that the theaters which have reopened will remain open or that patrons will return to the theaters at historical levels.</w:t>
      </w:r>
    </w:p>
    <w:p>
      <w:pPr>
        <w:spacing w:after="0" w:line="69"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color w:val="auto"/>
        </w:rPr>
        <w:t>We believe that the exhibition industry has historically fared well during periods of economic stress, and we remain optimistic, though cannot guarantee, that our founding members and network affiliates will rebound and attendance figures will benefit from pent-up social demand as state and local restrictions or other social distancing orders subside and people seek togetherness with a return to normalcy. However, the ultimate significance of the COVID-19 Pandemic, including the extent of the adverse impact on our financial and operational results, will be dictated by the currently unknowable duration of the pandemic, the effect of the pandemic on the overall economy and the advertising market and responsive governmental regulations, including mandated business closures which could recur after a reopening causing subsequent closure periods, social distancing guidelines, theater capacity restrictions, shifting movie slates, voluntary theater closures and the level of theater attendance. Our business also could be significantly affected should the disruptions caused by the COVID-19 Pandemic lead to changes in consumer behavior (such as the movie audience’s willingness to return to the movie theaters and the impacts of social distancing, facemask requirements and other measures on the movie going experience), or further reductions or impacts to the customary theatrical release window. The COVID-19 Pandemic also makes it more challenging for management to estimate the future performance of our business, particularly over the near to medium term. We are monitoring the rapidly evolving situation and its potential impacts on our financial position, results of operations, liquidity and cash flows.</w:t>
      </w:r>
    </w:p>
    <w:p>
      <w:pPr>
        <w:spacing w:after="0" w:line="71" w:lineRule="exact"/>
        <w:rPr>
          <w:sz w:val="20"/>
          <w:szCs w:val="20"/>
          <w:color w:val="auto"/>
        </w:rPr>
      </w:pPr>
    </w:p>
    <w:p>
      <w:pPr>
        <w:ind w:firstLine="526"/>
        <w:spacing w:after="0" w:line="271" w:lineRule="auto"/>
        <w:rPr>
          <w:sz w:val="20"/>
          <w:szCs w:val="20"/>
          <w:color w:val="auto"/>
        </w:rPr>
      </w:pPr>
      <w:r>
        <w:rPr>
          <w:rFonts w:ascii="Arial" w:cs="Arial" w:eastAsia="Arial" w:hAnsi="Arial"/>
          <w:sz w:val="17"/>
          <w:szCs w:val="17"/>
          <w:color w:val="auto"/>
        </w:rPr>
        <w:t>On March 8, 2021, NCM LLC entered into the Credit Agreement Second Amendment. Among other things, the Credit Agreement Second Amendment provides for certain modifications to the negative covenants, with respect to NCM LLC’s audited financial statements for the fiscal year ended December 31, 2020, a waiver of the requirement to deliver such financial statements without a “going concern” or like qualification or exception, additional waivers and term changes outlined below and grants security interests in certain assets of NCM LLC and other potential loan parties that are not currently pledged to the lenders. In addition, pursuant to the Credit Agreement Second Amendment, NCM LLC incurred a second tranche of the term loans in an aggregate principal amount of $50.0 million, the net proceeds of $43.8 million will be used for general corporate purposes. Upon execution of the Credit Agreement Second Amendment, the Company recorded $2.3 million as a discount, $3.5 million as debt issuance costs and $0.4 million within “Loss on modification and retirement of debt, net”.</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75" w:lineRule="exact"/>
        <w:rPr>
          <w:sz w:val="20"/>
          <w:szCs w:val="20"/>
          <w:color w:val="auto"/>
        </w:rPr>
      </w:pPr>
    </w:p>
    <w:p>
      <w:pPr>
        <w:ind w:right="240" w:firstLine="526"/>
        <w:spacing w:after="0" w:line="277"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Our Operating Data</w:t>
      </w:r>
      <w:r>
        <w:rPr>
          <w:rFonts w:ascii="Arial" w:cs="Arial" w:eastAsia="Arial" w:hAnsi="Arial"/>
          <w:sz w:val="18"/>
          <w:szCs w:val="18"/>
          <w:color w:val="auto"/>
        </w:rPr>
        <w:t>—The following table presents operating data and Adjusted OIBDA (dollars in millions, except share and margin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5"/>
        </w:trPr>
        <w:tc>
          <w:tcPr>
            <w:tcW w:w="7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Q1 2021</w:t>
            </w:r>
          </w:p>
        </w:tc>
        <w:tc>
          <w:tcPr>
            <w:tcW w:w="240" w:type="dxa"/>
            <w:vAlign w:val="bottom"/>
          </w:tcPr>
          <w:p>
            <w:pPr>
              <w:spacing w:after="0"/>
              <w:rPr>
                <w:sz w:val="11"/>
                <w:szCs w:val="11"/>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Q1 2020</w:t>
            </w:r>
          </w:p>
        </w:tc>
        <w:tc>
          <w:tcPr>
            <w:tcW w:w="1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Q1 2021 to Q1</w:t>
            </w:r>
          </w:p>
        </w:tc>
        <w:tc>
          <w:tcPr>
            <w:tcW w:w="0" w:type="dxa"/>
            <w:vAlign w:val="bottom"/>
          </w:tcPr>
          <w:p>
            <w:pPr>
              <w:spacing w:after="0"/>
              <w:rPr>
                <w:sz w:val="1"/>
                <w:szCs w:val="1"/>
                <w:color w:val="auto"/>
              </w:rPr>
            </w:pPr>
          </w:p>
        </w:tc>
      </w:tr>
      <w:tr>
        <w:trPr>
          <w:trHeight w:val="188"/>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36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64.7</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36.8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Network, administrative and unallocated costs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23.0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59.8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402.2 %</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Net loss attributable to NCM,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424.3 %</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Net loss per NCM, Inc. basic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(0.05)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400.0 %</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NCM, Inc. diluted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(0.05)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400.0 %</w:t>
            </w:r>
          </w:p>
        </w:tc>
        <w:tc>
          <w:tcPr>
            <w:tcW w:w="0" w:type="dxa"/>
            <w:vAlign w:val="bottom"/>
          </w:tcPr>
          <w:p>
            <w:pPr>
              <w:spacing w:after="0"/>
              <w:rPr>
                <w:sz w:val="1"/>
                <w:szCs w:val="1"/>
                <w:color w:val="auto"/>
              </w:rPr>
            </w:pPr>
          </w:p>
        </w:tc>
      </w:tr>
      <w:tr>
        <w:trPr>
          <w:trHeight w:val="162"/>
        </w:trPr>
        <w:tc>
          <w:tcPr>
            <w:tcW w:w="7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OIBDA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Adjusted OIBDA margin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120.4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_________________________</w:t>
      </w:r>
    </w:p>
    <w:p>
      <w:pPr>
        <w:spacing w:after="0" w:line="171" w:lineRule="exact"/>
        <w:rPr>
          <w:sz w:val="20"/>
          <w:szCs w:val="20"/>
          <w:color w:val="auto"/>
        </w:rPr>
      </w:pPr>
    </w:p>
    <w:p>
      <w:pPr>
        <w:ind w:left="660" w:right="180" w:hanging="328"/>
        <w:spacing w:after="0" w:line="263" w:lineRule="auto"/>
        <w:tabs>
          <w:tab w:leader="none" w:pos="654"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for certain periods presented. Refer to Note 4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20" w:firstLine="526"/>
        <w:spacing w:after="0" w:line="285" w:lineRule="auto"/>
        <w:rPr>
          <w:sz w:val="20"/>
          <w:szCs w:val="20"/>
          <w:color w:val="auto"/>
        </w:rPr>
      </w:pPr>
      <w:r>
        <w:rPr>
          <w:rFonts w:ascii="Arial" w:cs="Arial" w:eastAsia="Arial" w:hAnsi="Arial"/>
          <w:sz w:val="16"/>
          <w:szCs w:val="16"/>
          <w:color w:val="auto"/>
        </w:rPr>
        <w:t>Adjusted Operating Income Before Depreciation and Amortization (“Adjusted OIBDA”) and Adjusted OIBDA margin are not financial measures calculated in accordance with GAAP in the United States. Adjusted OIBDA represents operating income before depreciation expense adjusted to also exclude amortization of intangibles recorded for network theater screen leases and non-cash share-based compensation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the Company's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policies, amortization of intangibles recorded for network theater screen leases, non-cash share based compensation programs, interest rates, debt levels or income tax rates. A limitation of these measures, however, is that they exclude depreciation and amortization of intangibles recorded for network theater screen leases, which represent a proxy for the periodic costs of certain capitalized tangible and intangible assets used in generating revenues in the Company’s business. In addition, Adjusted OIBDA has the limitation of not reflecting the effect of the Company’s share-based payment costs.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reconciles operating income to Adjusted OIBDA for the periods presented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Q1 2021</w:t>
            </w:r>
          </w:p>
        </w:tc>
        <w:tc>
          <w:tcPr>
            <w:tcW w:w="260" w:type="dxa"/>
            <w:vAlign w:val="bottom"/>
          </w:tcPr>
          <w:p>
            <w:pPr>
              <w:spacing w:after="0"/>
              <w:rPr>
                <w:sz w:val="16"/>
                <w:szCs w:val="16"/>
                <w:color w:val="auto"/>
              </w:rPr>
            </w:pP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rPr>
              <w:t>Q1 2020</w:t>
            </w:r>
          </w:p>
        </w:tc>
        <w:tc>
          <w:tcPr>
            <w:tcW w:w="0" w:type="dxa"/>
            <w:vAlign w:val="bottom"/>
          </w:tcPr>
          <w:p>
            <w:pPr>
              <w:spacing w:after="0"/>
              <w:rPr>
                <w:sz w:val="1"/>
                <w:szCs w:val="1"/>
                <w:color w:val="auto"/>
              </w:rPr>
            </w:pP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(28.3)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 recorded for network theater screen leases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OIBDA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2"/>
              <w:spacing w:after="0" w:line="203"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OIBDA margin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171" w:lineRule="exact"/>
        <w:rPr>
          <w:sz w:val="20"/>
          <w:szCs w:val="20"/>
          <w:color w:val="auto"/>
        </w:rPr>
      </w:pPr>
    </w:p>
    <w:p>
      <w:pPr>
        <w:ind w:left="660" w:right="520" w:hanging="328"/>
        <w:spacing w:after="0" w:line="277" w:lineRule="auto"/>
        <w:tabs>
          <w:tab w:leader="none" w:pos="654"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the accompanying unaudited Condensed Consolidated Financial Statements.</w:t>
      </w:r>
    </w:p>
    <w:p>
      <w:pPr>
        <w:spacing w:after="0" w:line="197" w:lineRule="exact"/>
        <w:rPr>
          <w:sz w:val="20"/>
          <w:szCs w:val="20"/>
          <w:color w:val="auto"/>
        </w:rPr>
      </w:pPr>
    </w:p>
    <w:p>
      <w:pPr>
        <w:ind w:right="60" w:firstLine="526"/>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1, 2021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Number of screens</w:t>
            </w:r>
          </w:p>
        </w:tc>
        <w:tc>
          <w:tcPr>
            <w:tcW w:w="1500" w:type="dxa"/>
            <w:vAlign w:val="bottom"/>
            <w:tcBorders>
              <w:bottom w:val="single" w:sz="8" w:color="auto"/>
            </w:tcBorders>
          </w:tcPr>
          <w:p>
            <w:pPr>
              <w:spacing w:after="0"/>
              <w:rPr>
                <w:sz w:val="16"/>
                <w:szCs w:val="16"/>
                <w:color w:val="auto"/>
              </w:rPr>
            </w:pPr>
          </w:p>
        </w:tc>
      </w:tr>
      <w:tr>
        <w:trPr>
          <w:trHeight w:val="209"/>
        </w:trPr>
        <w:tc>
          <w:tcPr>
            <w:tcW w:w="652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Founding Members</w:t>
            </w: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Network Affiliates</w:t>
            </w:r>
          </w:p>
        </w:tc>
        <w:tc>
          <w:tcPr>
            <w:tcW w:w="1500" w:type="dxa"/>
            <w:vAlign w:val="bottom"/>
          </w:tcPr>
          <w:p>
            <w:pPr>
              <w:jc w:val="right"/>
              <w:ind w:right="514"/>
              <w:spacing w:after="0"/>
              <w:rPr>
                <w:sz w:val="20"/>
                <w:szCs w:val="20"/>
                <w:color w:val="auto"/>
              </w:rPr>
            </w:pPr>
            <w:r>
              <w:rPr>
                <w:rFonts w:ascii="Arial" w:cs="Arial" w:eastAsia="Arial" w:hAnsi="Arial"/>
                <w:sz w:val="14"/>
                <w:szCs w:val="14"/>
                <w:b w:val="1"/>
                <w:bCs w:val="1"/>
                <w:color w:val="auto"/>
              </w:rPr>
              <w:t>Total</w:t>
            </w:r>
          </w:p>
        </w:tc>
      </w:tr>
      <w:tr>
        <w:trPr>
          <w:trHeight w:val="229"/>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20,450</w:t>
            </w: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 xml:space="preserve">New affiliates, net of lost affiliates </w:t>
            </w:r>
            <w:r>
              <w:rPr>
                <w:rFonts w:ascii="Arial" w:cs="Arial" w:eastAsia="Arial" w:hAnsi="Arial"/>
                <w:sz w:val="18"/>
                <w:szCs w:val="18"/>
                <w:i w:val="1"/>
                <w:iCs w:val="1"/>
                <w:color w:val="auto"/>
              </w:rPr>
              <w:t>(1)</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Closures, net of openings </w:t>
            </w:r>
            <w:r>
              <w:rPr>
                <w:rFonts w:ascii="Arial" w:cs="Arial" w:eastAsia="Arial" w:hAnsi="Arial"/>
                <w:sz w:val="18"/>
                <w:szCs w:val="18"/>
                <w:i w:val="1"/>
                <w:iCs w:val="1"/>
                <w:color w:val="auto"/>
              </w:rPr>
              <w:t>(2)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Balance as of April 1,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16,434</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20,658</w:t>
            </w:r>
          </w:p>
        </w:tc>
      </w:tr>
      <w:tr>
        <w:trPr>
          <w:trHeight w:val="21"/>
        </w:trPr>
        <w:tc>
          <w:tcPr>
            <w:tcW w:w="65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jc w:val="both"/>
        <w:ind w:left="660" w:right="180" w:hanging="328"/>
        <w:spacing w:after="0" w:line="255" w:lineRule="auto"/>
        <w:tabs>
          <w:tab w:leader="none" w:pos="654"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Represents the addition of one new affiliate which added 363 new screens to our network, offset by the loss of one of our affiliates that closed as of the end of the first three months of 2021 resulting in a reduction of 23 affiliate screens to our network during the three months ended April 1, 2021.</w:t>
      </w:r>
    </w:p>
    <w:p>
      <w:pPr>
        <w:spacing w:after="0" w:line="27" w:lineRule="exact"/>
        <w:rPr>
          <w:rFonts w:ascii="Arial" w:cs="Arial" w:eastAsia="Arial" w:hAnsi="Arial"/>
          <w:sz w:val="18"/>
          <w:szCs w:val="18"/>
          <w:i w:val="1"/>
          <w:iCs w:val="1"/>
          <w:color w:val="auto"/>
        </w:rPr>
      </w:pPr>
    </w:p>
    <w:p>
      <w:pPr>
        <w:ind w:left="640" w:hanging="308"/>
        <w:spacing w:after="0"/>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Excludes the temporary theater closures in response to the COVID-19 Pandemic.</w:t>
      </w:r>
    </w:p>
    <w:p>
      <w:pPr>
        <w:spacing w:after="0" w:line="117" w:lineRule="exact"/>
        <w:rPr>
          <w:sz w:val="20"/>
          <w:szCs w:val="20"/>
          <w:color w:val="auto"/>
        </w:rPr>
      </w:pPr>
    </w:p>
    <w:p>
      <w:pPr>
        <w:ind w:right="80" w:firstLine="526"/>
        <w:spacing w:after="0" w:line="279" w:lineRule="auto"/>
        <w:rPr>
          <w:sz w:val="20"/>
          <w:szCs w:val="20"/>
          <w:color w:val="auto"/>
        </w:rPr>
      </w:pPr>
      <w:r>
        <w:rPr>
          <w:rFonts w:ascii="Arial" w:cs="Arial" w:eastAsia="Arial" w:hAnsi="Arial"/>
          <w:sz w:val="17"/>
          <w:szCs w:val="17"/>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out-of-home video advertising platforms by allowing advertisers the broad reach and national scale that they need to effectively reach their target audiences.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60" w:firstLine="526"/>
        <w:spacing w:after="0" w:line="263" w:lineRule="auto"/>
        <w:rPr>
          <w:sz w:val="20"/>
          <w:szCs w:val="20"/>
          <w:color w:val="auto"/>
        </w:rPr>
      </w:pPr>
      <w:r>
        <w:rPr>
          <w:rFonts w:ascii="Arial" w:cs="Arial" w:eastAsia="Arial" w:hAnsi="Arial"/>
          <w:sz w:val="18"/>
          <w:szCs w:val="18"/>
          <w:color w:val="auto"/>
        </w:rPr>
        <w:t>The results of operations data for the three months ended April 1, 2021 (first quarter of 2021) and March 26, 2020 (first quarter of 2020) was derived from the unaudited Condensed Consolidated Financial Statements and accounting records of NCM, Inc. and should be read in conjunction with the notes thereto.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2021 and First Quarter of 2020</w:t>
      </w:r>
    </w:p>
    <w:p>
      <w:pPr>
        <w:spacing w:after="0" w:line="171"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91.7%, from $64.7 million for the first quarter of 2020 to $5.4 million for the first quarter of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54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Q1 2021</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Q1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Q1 2021 to Q1 2020</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Q1 2021 to Q1 2020</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Local advertising revenue</w:t>
            </w:r>
          </w:p>
        </w:tc>
        <w:tc>
          <w:tcPr>
            <w:tcW w:w="9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Founding member advertising revenue from</w:t>
            </w:r>
          </w:p>
        </w:tc>
        <w:tc>
          <w:tcPr>
            <w:tcW w:w="96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concessionaire agreements</w:t>
            </w:r>
          </w:p>
        </w:tc>
        <w:tc>
          <w:tcPr>
            <w:tcW w:w="9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64.7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data on theater attendance and revenue per attendee for the three months ended April 1, 2021 and March 26, 2020:</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Q1 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Q1 2020</w:t>
            </w:r>
          </w:p>
        </w:tc>
        <w:tc>
          <w:tcPr>
            <w:tcW w:w="2240" w:type="dxa"/>
            <w:vAlign w:val="bottom"/>
          </w:tcPr>
          <w:p>
            <w:pPr>
              <w:jc w:val="right"/>
              <w:ind w:right="435"/>
              <w:spacing w:after="0"/>
              <w:rPr>
                <w:sz w:val="20"/>
                <w:szCs w:val="20"/>
                <w:color w:val="auto"/>
              </w:rPr>
            </w:pPr>
            <w:r>
              <w:rPr>
                <w:rFonts w:ascii="Arial" w:cs="Arial" w:eastAsia="Arial" w:hAnsi="Arial"/>
                <w:sz w:val="14"/>
                <w:szCs w:val="14"/>
                <w:b w:val="1"/>
                <w:bCs w:val="1"/>
                <w:color w:val="auto"/>
              </w:rPr>
              <w:t>Q1 2021 to Q1 2020</w:t>
            </w:r>
          </w:p>
        </w:tc>
        <w:tc>
          <w:tcPr>
            <w:tcW w:w="0" w:type="dxa"/>
            <w:vAlign w:val="bottom"/>
          </w:tcPr>
          <w:p>
            <w:pPr>
              <w:spacing w:after="0"/>
              <w:rPr>
                <w:sz w:val="1"/>
                <w:szCs w:val="1"/>
                <w:color w:val="auto"/>
              </w:rPr>
            </w:pPr>
          </w:p>
        </w:tc>
      </w:tr>
      <w:tr>
        <w:trPr>
          <w:trHeight w:val="224"/>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and regional advertising revenue per attendee</w:t>
            </w:r>
          </w:p>
        </w:tc>
        <w:tc>
          <w:tcPr>
            <w:tcW w:w="1040" w:type="dxa"/>
            <w:vAlign w:val="bottom"/>
            <w:tcBorders>
              <w:top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0.268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0.414</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Local advertising revenue per attendee</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0.087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0.078</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176"/>
        </w:trPr>
        <w:tc>
          <w:tcPr>
            <w:tcW w:w="5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Total advertising revenue (excluding founding</w:t>
            </w:r>
          </w:p>
        </w:tc>
        <w:tc>
          <w:tcPr>
            <w:tcW w:w="1040" w:type="dxa"/>
            <w:vAlign w:val="bottom"/>
            <w:vMerge w:val="restart"/>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0.355</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0.492</w:t>
            </w:r>
          </w:p>
        </w:tc>
        <w:tc>
          <w:tcPr>
            <w:tcW w:w="100" w:type="dxa"/>
            <w:vAlign w:val="bottom"/>
            <w:shd w:val="clear" w:color="auto" w:fill="CCEEFF"/>
          </w:tcPr>
          <w:p>
            <w:pPr>
              <w:spacing w:after="0"/>
              <w:rPr>
                <w:sz w:val="15"/>
                <w:szCs w:val="15"/>
                <w:color w:val="auto"/>
              </w:rPr>
            </w:pPr>
          </w:p>
        </w:tc>
        <w:tc>
          <w:tcPr>
            <w:tcW w:w="2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 beverage revenue) per attendee</w:t>
            </w:r>
          </w:p>
        </w:tc>
        <w:tc>
          <w:tcPr>
            <w:tcW w:w="10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Total advertising revenue per attendee</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0.391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0.537</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52" w:lineRule="exact"/>
        <w:rPr>
          <w:sz w:val="20"/>
          <w:szCs w:val="20"/>
          <w:color w:val="auto"/>
        </w:rPr>
      </w:pPr>
    </w:p>
    <w:p>
      <w:pPr>
        <w:ind w:left="460" w:right="60" w:hanging="331"/>
        <w:spacing w:after="0" w:line="277" w:lineRule="auto"/>
        <w:tabs>
          <w:tab w:leader="none" w:pos="454"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for certain periods presented.</w:t>
      </w:r>
    </w:p>
    <w:p>
      <w:pPr>
        <w:spacing w:after="0" w:line="116" w:lineRule="exact"/>
        <w:rPr>
          <w:sz w:val="20"/>
          <w:szCs w:val="20"/>
          <w:color w:val="auto"/>
        </w:rPr>
      </w:pPr>
    </w:p>
    <w:p>
      <w:pPr>
        <w:jc w:val="both"/>
        <w:ind w:left="580" w:right="60"/>
        <w:spacing w:after="0" w:line="259" w:lineRule="auto"/>
        <w:rPr>
          <w:sz w:val="20"/>
          <w:szCs w:val="20"/>
          <w:color w:val="auto"/>
        </w:rPr>
      </w:pPr>
      <w:r>
        <w:rPr>
          <w:rFonts w:ascii="Arial" w:cs="Arial" w:eastAsia="Arial" w:hAnsi="Arial"/>
          <w:sz w:val="18"/>
          <w:szCs w:val="18"/>
          <w:u w:val="single" w:color="auto"/>
          <w:color w:val="auto"/>
        </w:rPr>
        <w:t>National and regional advertising revenue.</w:t>
      </w:r>
      <w:r>
        <w:rPr>
          <w:rFonts w:ascii="Arial" w:cs="Arial" w:eastAsia="Arial" w:hAnsi="Arial"/>
          <w:sz w:val="18"/>
          <w:szCs w:val="18"/>
          <w:color w:val="auto"/>
        </w:rPr>
        <w:t xml:space="preserve"> The $46.1 million, or 92.6%, decrease in national and regional advertising revenue (excluding beverage revenue from founding members) was due to an 95.4% decrease in impressions sold due to the continued temporary closure of approximately 40% of the theaters within our network in response to the COVID-19 Pandemic and the significant decrease in attendance from historical levels at open theaters during the first quarter of 2021.</w:t>
      </w:r>
    </w:p>
    <w:p>
      <w:pPr>
        <w:spacing w:after="0" w:line="133" w:lineRule="exact"/>
        <w:rPr>
          <w:sz w:val="20"/>
          <w:szCs w:val="20"/>
          <w:color w:val="auto"/>
        </w:rPr>
      </w:pPr>
    </w:p>
    <w:p>
      <w:pPr>
        <w:jc w:val="both"/>
        <w:ind w:left="580" w:right="580"/>
        <w:spacing w:after="0" w:line="263"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$8.2 million, or 87.2%, decrease in local advertising revenue was due to the continued temporary closure of approximately 40% the theaters within our network in response to the COVID-19 Pandemic and the significant decrease in attendance from historical levels at open theaters during the first quarter of 2021.</w:t>
      </w:r>
    </w:p>
    <w:p>
      <w:pPr>
        <w:spacing w:after="0" w:line="130" w:lineRule="exact"/>
        <w:rPr>
          <w:sz w:val="20"/>
          <w:szCs w:val="20"/>
          <w:color w:val="auto"/>
        </w:rPr>
      </w:pPr>
    </w:p>
    <w:p>
      <w:pPr>
        <w:ind w:left="580" w:right="20"/>
        <w:spacing w:after="0" w:line="311" w:lineRule="auto"/>
        <w:rPr>
          <w:sz w:val="20"/>
          <w:szCs w:val="20"/>
          <w:color w:val="auto"/>
        </w:rPr>
      </w:pPr>
      <w:r>
        <w:rPr>
          <w:rFonts w:ascii="Arial" w:cs="Arial" w:eastAsia="Arial" w:hAnsi="Arial"/>
          <w:sz w:val="16"/>
          <w:szCs w:val="16"/>
          <w:u w:val="single" w:color="auto"/>
          <w:color w:val="auto"/>
        </w:rPr>
        <w:t>Founding member beverage revenue.</w:t>
      </w:r>
      <w:r>
        <w:rPr>
          <w:rFonts w:ascii="Arial" w:cs="Arial" w:eastAsia="Arial" w:hAnsi="Arial"/>
          <w:sz w:val="16"/>
          <w:szCs w:val="16"/>
          <w:color w:val="auto"/>
        </w:rPr>
        <w:t xml:space="preserve"> The $5.0 million, or 90.9%, decrease in national advertising revenue from the founding members’ beverage concessionaire agreements was primarily due to an 89.7% decrease in founding member attendance for the first quarter of 2021, as compared to the first quarter of 2020, due to the continued temporary theater closures described above related to the COVID-19 Pandemic.</w:t>
      </w:r>
    </w:p>
    <w:p>
      <w:pPr>
        <w:spacing w:after="0" w:line="95" w:lineRule="exact"/>
        <w:rPr>
          <w:sz w:val="20"/>
          <w:szCs w:val="20"/>
          <w:color w:val="auto"/>
        </w:rPr>
      </w:pPr>
    </w:p>
    <w:p>
      <w:pPr>
        <w:ind w:right="160" w:firstLine="567"/>
        <w:spacing w:after="0" w:line="308"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Total operating expenses decreased $26.1 million, or 43.6%, from $59.8 million for the first quarter of 2020 to $33.7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first quarter of 2021. The following table shows the changes in operating expense for the first quarter of 2021 (in millions):</w:t>
      </w:r>
    </w:p>
    <w:p>
      <w:pPr>
        <w:sectPr>
          <w:pgSz w:w="11900" w:h="16838" w:orient="portrait"/>
          <w:cols w:equalWidth="0" w:num="1">
            <w:col w:w="11220"/>
          </w:cols>
          <w:pgMar w:left="320" w:top="11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Advertising operating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Network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Theater access fees and revenue share—founding members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Selling and marketing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Administrative and other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expense</w:t>
      </w:r>
    </w:p>
    <w:p>
      <w:pPr>
        <w:spacing w:after="0" w:line="23" w:lineRule="exact"/>
        <w:rPr>
          <w:sz w:val="20"/>
          <w:szCs w:val="20"/>
          <w:color w:val="auto"/>
        </w:rPr>
      </w:pPr>
    </w:p>
    <w:p>
      <w:pPr>
        <w:ind w:left="160" w:right="1860" w:hanging="134"/>
        <w:spacing w:after="0" w:line="234" w:lineRule="auto"/>
        <w:rPr>
          <w:sz w:val="20"/>
          <w:szCs w:val="20"/>
          <w:color w:val="auto"/>
        </w:rPr>
      </w:pPr>
      <w:r>
        <w:rPr>
          <w:rFonts w:ascii="Arial" w:cs="Arial" w:eastAsia="Arial" w:hAnsi="Arial"/>
          <w:sz w:val="18"/>
          <w:szCs w:val="18"/>
          <w:color w:val="auto"/>
        </w:rPr>
        <w:t>Amortization of intangibles recorded for network theater screen leases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Q1 2021</w:t>
            </w:r>
          </w:p>
        </w:tc>
        <w:tc>
          <w:tcPr>
            <w:tcW w:w="22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Q1 2020</w:t>
            </w:r>
          </w:p>
        </w:tc>
        <w:tc>
          <w:tcPr>
            <w:tcW w:w="120" w:type="dxa"/>
            <w:vAlign w:val="bottom"/>
          </w:tcPr>
          <w:p>
            <w:pPr>
              <w:spacing w:after="0"/>
              <w:rPr>
                <w:sz w:val="11"/>
                <w:szCs w:val="11"/>
                <w:color w:val="auto"/>
              </w:rPr>
            </w:pPr>
          </w:p>
        </w:tc>
        <w:tc>
          <w:tcPr>
            <w:tcW w:w="1000" w:type="dxa"/>
            <w:vAlign w:val="bottom"/>
          </w:tcPr>
          <w:p>
            <w:pPr>
              <w:jc w:val="center"/>
              <w:ind w:right="35"/>
              <w:spacing w:after="0" w:line="135" w:lineRule="exact"/>
              <w:rPr>
                <w:sz w:val="20"/>
                <w:szCs w:val="20"/>
                <w:color w:val="auto"/>
              </w:rPr>
            </w:pPr>
            <w:r>
              <w:rPr>
                <w:rFonts w:ascii="Arial" w:cs="Arial" w:eastAsia="Arial" w:hAnsi="Arial"/>
                <w:sz w:val="14"/>
                <w:szCs w:val="14"/>
                <w:b w:val="1"/>
                <w:bCs w:val="1"/>
                <w:color w:val="auto"/>
                <w:w w:val="94"/>
              </w:rPr>
              <w:t>Q1 2021 to Q1</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Q1 2021 to Q1 2020</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405"/>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91"/>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-1370965</wp:posOffset>
            </wp:positionV>
            <wp:extent cx="665226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-1071245</wp:posOffset>
            </wp:positionV>
            <wp:extent cx="665226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5226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-779145</wp:posOffset>
            </wp:positionV>
            <wp:extent cx="665226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5226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-488315</wp:posOffset>
            </wp:positionV>
            <wp:extent cx="665226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5226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00"/>
          </w:cols>
          <w:pgMar w:left="320" w:top="1102" w:right="35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type w:val="continuous"/>
        </w:sectPr>
      </w:pPr>
    </w:p>
    <w:bookmarkStart w:id="29" w:name="page30"/>
    <w:bookmarkEnd w:id="29"/>
    <w:p>
      <w:pPr>
        <w:ind w:left="580" w:right="40"/>
        <w:spacing w:after="0" w:line="25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decreased $4.7 million, or 75.8%, from $6.2 million for the first quarter of 2020 to $1.5 million for the first quarter of 2021. The decrease was due primarily to a $4.0 million decrease in advertising affiliate expense due to lower revenue in the first quarter of 2021 as compared to the first quarter of 2020 due to the COVID-19 Pandemic, and a $0.4 million decrease in personnel related expenses due to the Temporary Salary and Wage Reductions in place during the first quarter of 2021 in response to the COVID-19 Pandemic.</w:t>
      </w:r>
    </w:p>
    <w:p>
      <w:pPr>
        <w:spacing w:after="0" w:line="134" w:lineRule="exact"/>
        <w:rPr>
          <w:sz w:val="20"/>
          <w:szCs w:val="20"/>
          <w:color w:val="auto"/>
        </w:rPr>
      </w:pPr>
    </w:p>
    <w:p>
      <w:pPr>
        <w:ind w:left="580" w:right="180"/>
        <w:spacing w:after="0" w:line="257"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decreased $1.1 million, or 37.9%, from $2.9 million for the first quarter of 2020 to $1.8 million for the first quarter of 2021. The decrease was primarily related to a $0.9 million decrease in personnel related expenses related to the Temporary Salary and Wage Reductions in place during the first quarter of 2021 in response to the COVID-19 Pandemic and a $0.1 million decrease related to non-essential operating expenditures, including employee travel that was suspended as part of the measures taken to reduce expenses and preserve cash during the COVID-19 Pandemic.</w:t>
      </w:r>
    </w:p>
    <w:p>
      <w:pPr>
        <w:spacing w:after="0" w:line="134" w:lineRule="exact"/>
        <w:rPr>
          <w:sz w:val="20"/>
          <w:szCs w:val="20"/>
          <w:color w:val="auto"/>
        </w:rPr>
      </w:pPr>
    </w:p>
    <w:p>
      <w:pPr>
        <w:ind w:left="580" w:right="160"/>
        <w:spacing w:after="0" w:line="279" w:lineRule="auto"/>
        <w:rPr>
          <w:sz w:val="20"/>
          <w:szCs w:val="20"/>
          <w:color w:val="auto"/>
        </w:rPr>
      </w:pPr>
      <w:r>
        <w:rPr>
          <w:rFonts w:ascii="Arial" w:cs="Arial" w:eastAsia="Arial" w:hAnsi="Arial"/>
          <w:sz w:val="17"/>
          <w:szCs w:val="17"/>
          <w:u w:val="single" w:color="auto"/>
          <w:color w:val="auto"/>
        </w:rPr>
        <w:t>Theater access fees and revenue share—founding members.</w:t>
      </w:r>
      <w:r>
        <w:rPr>
          <w:rFonts w:ascii="Arial" w:cs="Arial" w:eastAsia="Arial" w:hAnsi="Arial"/>
          <w:sz w:val="17"/>
          <w:szCs w:val="17"/>
          <w:color w:val="auto"/>
        </w:rPr>
        <w:t xml:space="preserve"> Theater access fees and revenue share decreased $14.6 million, or 82.5%, from $17.7 million in the first quarter of 2020 to $3.1 million in the first quarter of 2021. The decrease was due to an 89.7% decrease in founding member attendance for the first quarter of 2021, as compared to first quarter of 2020, and fewer active founding member screens during the first quarter of 2021 due to the temporary closure of certain founding member theaters in response to the COVID-19 Pandemic.</w:t>
      </w:r>
    </w:p>
    <w:p>
      <w:pPr>
        <w:spacing w:after="0" w:line="117" w:lineRule="exact"/>
        <w:rPr>
          <w:sz w:val="20"/>
          <w:szCs w:val="20"/>
          <w:color w:val="auto"/>
        </w:rPr>
      </w:pPr>
    </w:p>
    <w:p>
      <w:pPr>
        <w:ind w:left="580"/>
        <w:spacing w:after="0" w:line="253"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decreased $6.2 million, or 44.6%, from $13.9 million for the first quarter of 2020 to $7.7 million for the first quarter of 2021. This decrease was primarily related to a $2.9 million decrease in personnel related expenses primarily due to a decrease in commission expense driven by the revenue declines during the first quarter of 2021, as compared to the first quarter of 2020, as well as other lower personnel related expenses related to the Temporary Salary and Wage Reductions in place during the first quarter of 2021 in response to the COVID-19 Pandemic, a $2.3 million decrease related to non-essential operating expenditures, including marketing, training, research, consulting and employee travel that were suspended as part of the measures taken to reduce expenses and preserve cash during the COVID-19 Pandemic and a $1.5 million decrease in bad debt expense and production and royalty related costs resulting from lower revenue in the first quarter of 2021, compared to the first quarter of 2020. These decreases were partially offset by a $0.5 million increase in expense associated with our </w:t>
      </w:r>
      <w:r>
        <w:rPr>
          <w:rFonts w:ascii="Arial" w:cs="Arial" w:eastAsia="Arial" w:hAnsi="Arial"/>
          <w:sz w:val="18"/>
          <w:szCs w:val="18"/>
          <w:i w:val="1"/>
          <w:iCs w:val="1"/>
          <w:color w:val="auto"/>
        </w:rPr>
        <w:t xml:space="preserve">Noovie® </w:t>
      </w:r>
      <w:r>
        <w:rPr>
          <w:rFonts w:ascii="Arial" w:cs="Arial" w:eastAsia="Arial" w:hAnsi="Arial"/>
          <w:sz w:val="18"/>
          <w:szCs w:val="18"/>
          <w:color w:val="auto"/>
        </w:rPr>
        <w:t>Audience Accelerator service offering in 2021, compared to 2020 due to higher digital revenue and a change in the mix of digital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140" w:lineRule="exact"/>
        <w:rPr>
          <w:sz w:val="20"/>
          <w:szCs w:val="20"/>
          <w:color w:val="auto"/>
        </w:rPr>
      </w:pPr>
    </w:p>
    <w:p>
      <w:pPr>
        <w:ind w:left="580" w:right="180"/>
        <w:spacing w:after="0" w:line="271"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$0.4 million, or 4.1%, from $9.8 million in the first quarter of 2020 to $10.2 million in the first quarter of 2021. This increase was primarily due to a $3.2 million increase in performance-based compensation expense following the modification of certain of the Company’s performance-based stock grants during the first quarter of 2021, issuance of retention related stock grants and higher projected performance against internal bonus targets, partially offset by a $1.9 million decrease in salary and other personnel related expenses related to the Temporary Salary and Wage Reductions in place during the first quarter of 2021 in response to the COVID-19 Pandemic, a $0.6 million decrease in legal and professional fees for the first quarter of 2021, as compared to the first quarter of 2020 and a $0.3 million decrease related to non-essential operating expenditures, including employee travel that was suspended as part of the measures taken to reduce expenses and preserve cash during the COVID-19 Pandemic.</w:t>
      </w:r>
    </w:p>
    <w:p>
      <w:pPr>
        <w:spacing w:after="0" w:line="124" w:lineRule="exact"/>
        <w:rPr>
          <w:sz w:val="20"/>
          <w:szCs w:val="20"/>
          <w:color w:val="auto"/>
        </w:rPr>
      </w:pPr>
    </w:p>
    <w:p>
      <w:pPr>
        <w:ind w:left="580" w:right="220"/>
        <w:spacing w:after="0" w:line="277"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increased $0.1 million, or 3.1%, from $3.2 million for the first quarter of 2020 to $3.3 million in the first quarter of 2021.</w:t>
      </w:r>
    </w:p>
    <w:p>
      <w:pPr>
        <w:spacing w:after="0" w:line="116" w:lineRule="exact"/>
        <w:rPr>
          <w:sz w:val="20"/>
          <w:szCs w:val="20"/>
          <w:color w:val="auto"/>
        </w:rPr>
      </w:pPr>
    </w:p>
    <w:p>
      <w:pPr>
        <w:ind w:left="580" w:right="440"/>
        <w:spacing w:after="0" w:line="277" w:lineRule="auto"/>
        <w:rPr>
          <w:sz w:val="20"/>
          <w:szCs w:val="20"/>
          <w:color w:val="auto"/>
        </w:rPr>
      </w:pPr>
      <w:r>
        <w:rPr>
          <w:rFonts w:ascii="Arial" w:cs="Arial" w:eastAsia="Arial" w:hAnsi="Arial"/>
          <w:sz w:val="18"/>
          <w:szCs w:val="18"/>
          <w:u w:val="single" w:color="auto"/>
          <w:color w:val="auto"/>
        </w:rPr>
        <w:t>Amortization of intangibles recorded for network theater screen leases.</w:t>
      </w:r>
      <w:r>
        <w:rPr>
          <w:rFonts w:ascii="Arial" w:cs="Arial" w:eastAsia="Arial" w:hAnsi="Arial"/>
          <w:sz w:val="18"/>
          <w:szCs w:val="18"/>
          <w:color w:val="auto"/>
        </w:rPr>
        <w:t xml:space="preserve"> Amortization of intangibles recorded for network theater screen leases remained consistent at $6.1 million for the first quarter of 2021 and 2020.</w:t>
      </w:r>
    </w:p>
    <w:p>
      <w:pPr>
        <w:spacing w:after="0" w:line="116" w:lineRule="exact"/>
        <w:rPr>
          <w:sz w:val="20"/>
          <w:szCs w:val="20"/>
          <w:color w:val="auto"/>
        </w:rPr>
      </w:pPr>
    </w:p>
    <w:p>
      <w:pPr>
        <w:ind w:right="280" w:firstLine="526"/>
        <w:spacing w:after="0" w:line="263"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increased $0.2 million, or 1.5%, from $13.5 million for the first quarter of 2020 to $13.7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first quarter of 2021. The following table shows the changes in non-operating expense for the first quarter of 2021 and the first quarter of 2020 (in millions):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Q1 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Q1 2020</w:t>
            </w:r>
          </w:p>
        </w:tc>
        <w:tc>
          <w:tcPr>
            <w:tcW w:w="140" w:type="dxa"/>
            <w:vAlign w:val="bottom"/>
          </w:tcPr>
          <w:p>
            <w:pPr>
              <w:spacing w:after="0"/>
              <w:rPr>
                <w:sz w:val="16"/>
                <w:szCs w:val="16"/>
                <w:color w:val="auto"/>
              </w:rPr>
            </w:pPr>
          </w:p>
        </w:tc>
        <w:tc>
          <w:tcPr>
            <w:tcW w:w="140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Q1 2021 to Q1 2020</w:t>
            </w:r>
          </w:p>
        </w:tc>
        <w:tc>
          <w:tcPr>
            <w:tcW w:w="100" w:type="dxa"/>
            <w:vAlign w:val="bottom"/>
          </w:tcPr>
          <w:p>
            <w:pPr>
              <w:spacing w:after="0"/>
              <w:rPr>
                <w:sz w:val="16"/>
                <w:szCs w:val="16"/>
                <w:color w:val="auto"/>
              </w:rPr>
            </w:pPr>
          </w:p>
        </w:tc>
        <w:tc>
          <w:tcPr>
            <w:tcW w:w="1700" w:type="dxa"/>
            <w:vAlign w:val="bottom"/>
          </w:tcPr>
          <w:p>
            <w:pPr>
              <w:jc w:val="right"/>
              <w:ind w:right="162"/>
              <w:spacing w:after="0"/>
              <w:rPr>
                <w:sz w:val="20"/>
                <w:szCs w:val="20"/>
                <w:color w:val="auto"/>
              </w:rPr>
            </w:pPr>
            <w:r>
              <w:rPr>
                <w:rFonts w:ascii="Arial" w:cs="Arial" w:eastAsia="Arial" w:hAnsi="Arial"/>
                <w:sz w:val="14"/>
                <w:szCs w:val="14"/>
                <w:b w:val="1"/>
                <w:bCs w:val="1"/>
                <w:color w:val="auto"/>
              </w:rPr>
              <w:t>Q1 2021 to Q1 2020</w:t>
            </w:r>
          </w:p>
        </w:tc>
        <w:tc>
          <w:tcPr>
            <w:tcW w:w="0" w:type="dxa"/>
            <w:vAlign w:val="bottom"/>
          </w:tcPr>
          <w:p>
            <w:pPr>
              <w:spacing w:after="0"/>
              <w:rPr>
                <w:sz w:val="1"/>
                <w:szCs w:val="1"/>
                <w:color w:val="auto"/>
              </w:rPr>
            </w:pPr>
          </w:p>
        </w:tc>
      </w:tr>
      <w:tr>
        <w:trPr>
          <w:trHeight w:val="224"/>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110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87"/>
              </w:rPr>
              <w:t>1.1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center"/>
              <w:ind w:left="935"/>
              <w:spacing w:after="0"/>
              <w:rPr>
                <w:sz w:val="20"/>
                <w:szCs w:val="20"/>
                <w:color w:val="auto"/>
              </w:rPr>
            </w:pPr>
            <w:r>
              <w:rPr>
                <w:rFonts w:ascii="Arial" w:cs="Arial" w:eastAsia="Arial" w:hAnsi="Arial"/>
                <w:sz w:val="18"/>
                <w:szCs w:val="18"/>
                <w:color w:val="auto"/>
                <w:w w:val="87"/>
              </w:rPr>
              <w:t>0.2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modification and retirement of debt, net</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5"/>
              <w:spacing w:after="0"/>
              <w:rPr>
                <w:sz w:val="20"/>
                <w:szCs w:val="20"/>
                <w:color w:val="auto"/>
              </w:rPr>
            </w:pPr>
            <w:r>
              <w:rPr>
                <w:rFonts w:ascii="Arial" w:cs="Arial" w:eastAsia="Arial" w:hAnsi="Arial"/>
                <w:sz w:val="18"/>
                <w:szCs w:val="18"/>
                <w:color w:val="auto"/>
                <w:w w:val="87"/>
              </w:rPr>
              <w:t>0.4</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(Gain) loss on the re-measurement of the payable</w:t>
            </w: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160"/>
              <w:spacing w:after="0" w:line="176" w:lineRule="exact"/>
              <w:rPr>
                <w:sz w:val="20"/>
                <w:szCs w:val="20"/>
                <w:color w:val="auto"/>
              </w:rPr>
            </w:pPr>
            <w:r>
              <w:rPr>
                <w:rFonts w:ascii="Arial" w:cs="Arial" w:eastAsia="Arial" w:hAnsi="Arial"/>
                <w:sz w:val="18"/>
                <w:szCs w:val="18"/>
                <w:color w:val="auto"/>
              </w:rPr>
              <w:t>to founding members under the tax receivable</w:t>
            </w:r>
          </w:p>
        </w:tc>
        <w:tc>
          <w:tcPr>
            <w:tcW w:w="11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jc w:val="center"/>
              <w:ind w:left="915"/>
              <w:spacing w:after="0"/>
              <w:rPr>
                <w:sz w:val="20"/>
                <w:szCs w:val="20"/>
                <w:color w:val="auto"/>
              </w:rPr>
            </w:pPr>
            <w:r>
              <w:rPr>
                <w:rFonts w:ascii="Arial" w:cs="Arial" w:eastAsia="Arial" w:hAnsi="Arial"/>
                <w:sz w:val="18"/>
                <w:szCs w:val="18"/>
                <w:color w:val="auto"/>
                <w:w w:val="97"/>
              </w:rPr>
              <w:t>(1.7)</w:t>
            </w:r>
          </w:p>
        </w:tc>
        <w:tc>
          <w:tcPr>
            <w:tcW w:w="1800" w:type="dxa"/>
            <w:vAlign w:val="bottom"/>
            <w:gridSpan w:val="2"/>
            <w:vMerge w:val="restart"/>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29"/>
        </w:trPr>
        <w:tc>
          <w:tcPr>
            <w:tcW w:w="4580" w:type="dxa"/>
            <w:vAlign w:val="bottom"/>
          </w:tcPr>
          <w:p>
            <w:pPr>
              <w:ind w:left="160"/>
              <w:spacing w:after="0"/>
              <w:rPr>
                <w:sz w:val="20"/>
                <w:szCs w:val="20"/>
                <w:color w:val="auto"/>
              </w:rPr>
            </w:pPr>
            <w:r>
              <w:rPr>
                <w:rFonts w:ascii="Arial" w:cs="Arial" w:eastAsia="Arial" w:hAnsi="Arial"/>
                <w:sz w:val="18"/>
                <w:szCs w:val="18"/>
                <w:color w:val="auto"/>
              </w:rPr>
              <w:t>agreement</w:t>
            </w:r>
          </w:p>
        </w:tc>
        <w:tc>
          <w:tcPr>
            <w:tcW w:w="11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w:t>
            </w:r>
          </w:p>
        </w:tc>
        <w:tc>
          <w:tcPr>
            <w:tcW w:w="1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ind w:left="935"/>
              <w:spacing w:after="0"/>
              <w:rPr>
                <w:sz w:val="20"/>
                <w:szCs w:val="20"/>
                <w:color w:val="auto"/>
              </w:rPr>
            </w:pPr>
            <w:r>
              <w:rPr>
                <w:rFonts w:ascii="Arial" w:cs="Arial" w:eastAsia="Arial" w:hAnsi="Arial"/>
                <w:sz w:val="18"/>
                <w:szCs w:val="18"/>
                <w:color w:val="auto"/>
                <w:w w:val="87"/>
              </w:rPr>
              <w:t>0.2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Total non-operating expenses</w:t>
            </w: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center"/>
              <w:ind w:left="935"/>
              <w:spacing w:after="0"/>
              <w:rPr>
                <w:sz w:val="20"/>
                <w:szCs w:val="20"/>
                <w:color w:val="auto"/>
              </w:rPr>
            </w:pPr>
            <w:r>
              <w:rPr>
                <w:rFonts w:ascii="Arial" w:cs="Arial" w:eastAsia="Arial" w:hAnsi="Arial"/>
                <w:sz w:val="18"/>
                <w:szCs w:val="18"/>
                <w:color w:val="auto"/>
                <w:w w:val="87"/>
              </w:rPr>
              <w:t>0.2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firstLine="526"/>
        <w:spacing w:after="0" w:line="272" w:lineRule="auto"/>
        <w:rPr>
          <w:sz w:val="20"/>
          <w:szCs w:val="20"/>
          <w:color w:val="auto"/>
        </w:rPr>
      </w:pPr>
      <w:r>
        <w:rPr>
          <w:rFonts w:ascii="Arial" w:cs="Arial" w:eastAsia="Arial" w:hAnsi="Arial"/>
          <w:sz w:val="17"/>
          <w:szCs w:val="17"/>
          <w:color w:val="auto"/>
        </w:rPr>
        <w:t>The increase in non-operating expense was primarily due to a $1.1 million increase in interest on borrowings primarily due to the increase in debt outstanding following the $110.0 million draw down on the revolving credit facility in late March 2020 and issuance of the second tranche of the terms loans under the Credit Agreement Second Amendment entered into on March 8, 2021 and a $0.4 million increase in the loss on modification and retirement of debt, net related to certain third party fees incurred in conjunction with the Credit Agreement Second Amendment, partially offset by a $1.7 million increase in the gain on the re-measurement of the payable to founding members under the Tax Receivable Agreement (“TRA”) due to a reduction in the payable to the founding members under the TRA following the recognition of certain deferred tax assets related to cancellation of debt income recognized for tax purposes in the first quarter of 2021 related to the Credit Agreement Second Amendment.</w:t>
      </w:r>
    </w:p>
    <w:p>
      <w:pPr>
        <w:spacing w:after="0" w:line="69" w:lineRule="exact"/>
        <w:rPr>
          <w:sz w:val="20"/>
          <w:szCs w:val="20"/>
          <w:color w:val="auto"/>
        </w:rPr>
      </w:pPr>
    </w:p>
    <w:p>
      <w:pPr>
        <w:ind w:right="160" w:firstLine="180"/>
        <w:spacing w:after="0" w:line="286" w:lineRule="auto"/>
        <w:rPr>
          <w:sz w:val="20"/>
          <w:szCs w:val="20"/>
          <w:color w:val="auto"/>
        </w:rPr>
      </w:pPr>
      <w:r>
        <w:rPr>
          <w:rFonts w:ascii="Arial" w:cs="Arial" w:eastAsia="Arial" w:hAnsi="Arial"/>
          <w:sz w:val="17"/>
          <w:szCs w:val="17"/>
          <w:i w:val="1"/>
          <w:iCs w:val="1"/>
          <w:color w:val="auto"/>
        </w:rPr>
        <w:t xml:space="preserve">Income Tax Benefit. </w:t>
      </w:r>
      <w:r>
        <w:rPr>
          <w:rFonts w:ascii="Arial" w:cs="Arial" w:eastAsia="Arial" w:hAnsi="Arial"/>
          <w:sz w:val="17"/>
          <w:szCs w:val="17"/>
          <w:color w:val="auto"/>
        </w:rPr>
        <w:t>Income tax benefit decreased from income tax benefit of $0.4 million for the first quarter of 2020 to $0.0 million of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for the first quarter of 2021. The decrease in income tax benefit was primarily due to the full valuation allowance recorded against the Company’s deferred tax assets as of April 1, 2021 which reduced deferred tax expense to $0.0 million for the three months ended April 1, 2021.</w:t>
      </w:r>
    </w:p>
    <w:p>
      <w:pPr>
        <w:spacing w:after="0" w:line="111" w:lineRule="exact"/>
        <w:rPr>
          <w:sz w:val="20"/>
          <w:szCs w:val="20"/>
          <w:color w:val="auto"/>
        </w:rPr>
      </w:pPr>
    </w:p>
    <w:p>
      <w:pPr>
        <w:ind w:right="140" w:firstLine="180"/>
        <w:spacing w:after="0" w:line="286" w:lineRule="auto"/>
        <w:rPr>
          <w:sz w:val="20"/>
          <w:szCs w:val="20"/>
          <w:color w:val="auto"/>
        </w:rPr>
      </w:pPr>
      <w:r>
        <w:rPr>
          <w:rFonts w:ascii="Arial" w:cs="Arial" w:eastAsia="Arial" w:hAnsi="Arial"/>
          <w:sz w:val="17"/>
          <w:szCs w:val="17"/>
          <w:i w:val="1"/>
          <w:iCs w:val="1"/>
          <w:color w:val="auto"/>
        </w:rPr>
        <w:t>Net Loss</w:t>
      </w:r>
      <w:r>
        <w:rPr>
          <w:rFonts w:ascii="Arial" w:cs="Arial" w:eastAsia="Arial" w:hAnsi="Arial"/>
          <w:sz w:val="17"/>
          <w:szCs w:val="17"/>
          <w:color w:val="auto"/>
        </w:rPr>
        <w:t>. Net loss increased $15.7 million from net loss of $3.7 million for the first quarter of 2020 to $19.4 million for the first quarter of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net loss was due to a $33.2 million increase in operating loss, a $0.4 million decrease in income tax benefit and a $0.2 million increase in non-operating expense, partially offset by an $18.1 million increase in net loss attributable to noncontrolling interests.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75" w:lineRule="exact"/>
        <w:rPr>
          <w:sz w:val="20"/>
          <w:szCs w:val="20"/>
          <w:color w:val="auto"/>
        </w:rPr>
      </w:pPr>
    </w:p>
    <w:p>
      <w:pPr>
        <w:ind w:right="100" w:firstLine="526"/>
        <w:spacing w:after="0" w:line="257" w:lineRule="auto"/>
        <w:rPr>
          <w:sz w:val="20"/>
          <w:szCs w:val="20"/>
          <w:color w:val="auto"/>
        </w:rPr>
      </w:pPr>
      <w:r>
        <w:rPr>
          <w:rFonts w:ascii="Arial" w:cs="Arial" w:eastAsia="Arial" w:hAnsi="Arial"/>
          <w:sz w:val="17"/>
          <w:szCs w:val="17"/>
          <w:b w:val="1"/>
          <w:bCs w:val="1"/>
          <w:i w:val="1"/>
          <w:iCs w:val="1"/>
          <w:color w:val="auto"/>
        </w:rPr>
        <w:t>COVID-19</w:t>
      </w:r>
      <w:r>
        <w:rPr>
          <w:rFonts w:ascii="Arial" w:cs="Arial" w:eastAsia="Arial" w:hAnsi="Arial"/>
          <w:sz w:val="17"/>
          <w:szCs w:val="17"/>
          <w:color w:val="auto"/>
        </w:rPr>
        <w:t>—As discussed within the ‘</w:t>
      </w:r>
      <w:r>
        <w:rPr>
          <w:rFonts w:ascii="Arial" w:cs="Arial" w:eastAsia="Arial" w:hAnsi="Arial"/>
          <w:sz w:val="17"/>
          <w:szCs w:val="17"/>
          <w:i w:val="1"/>
          <w:iCs w:val="1"/>
          <w:color w:val="auto"/>
        </w:rPr>
        <w:t>Recent Developments</w:t>
      </w:r>
      <w:r>
        <w:rPr>
          <w:rFonts w:ascii="Arial" w:cs="Arial" w:eastAsia="Arial" w:hAnsi="Arial"/>
          <w:sz w:val="17"/>
          <w:szCs w:val="17"/>
          <w:color w:val="auto"/>
        </w:rPr>
        <w:t>’ section, due to the COVID-19 Pandemic, approximately 40% of the theaters within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network remained temporarily closed as of April 1, 2021 and the Company's ability to advertise within the opened theaters has been and will continue to be limited due to reduced movie schedules and patron capacities at many network theaters and the timing and frequency of new major motion picture releases as compared to prior years due to the COVID-19 Pandemic. Our theater access fees, network affiliate payments and Platinum Spot revenue share payments are driven by attendance, active screens and/or revenue, and therefore, are not incurred when theaters are closed and attendance-based fees will be reduced for the period of time that attendance is lower than historical levels.</w:t>
      </w:r>
    </w:p>
    <w:p>
      <w:pPr>
        <w:spacing w:after="0" w:line="67" w:lineRule="exact"/>
        <w:rPr>
          <w:sz w:val="20"/>
          <w:szCs w:val="20"/>
          <w:color w:val="auto"/>
        </w:rPr>
      </w:pPr>
    </w:p>
    <w:p>
      <w:pPr>
        <w:ind w:right="200" w:firstLine="526"/>
        <w:spacing w:after="0" w:line="286" w:lineRule="auto"/>
        <w:rPr>
          <w:sz w:val="20"/>
          <w:szCs w:val="20"/>
          <w:color w:val="auto"/>
        </w:rPr>
      </w:pPr>
      <w:r>
        <w:rPr>
          <w:rFonts w:ascii="Arial" w:cs="Arial" w:eastAsia="Arial" w:hAnsi="Arial"/>
          <w:sz w:val="17"/>
          <w:szCs w:val="17"/>
          <w:color w:val="auto"/>
        </w:rPr>
        <w:t>Due to the rapidly changing business environment, unprecedented market volatility, and other circumstances resulting from the COVID-19 Pandemic, we are currently unable to fully determine the extent of the COVID-19 Pandemic’s impact on our business in future periods. However, we are monitoring the rapidly evolving situation and its potential impacts on our financial position, results of operations, liquidity and cash flows.</w:t>
      </w:r>
    </w:p>
    <w:p>
      <w:pPr>
        <w:spacing w:after="0" w:line="57" w:lineRule="exact"/>
        <w:rPr>
          <w:sz w:val="20"/>
          <w:szCs w:val="20"/>
          <w:color w:val="auto"/>
        </w:rPr>
      </w:pPr>
    </w:p>
    <w:p>
      <w:pPr>
        <w:ind w:right="100" w:firstLine="526"/>
        <w:spacing w:after="0" w:line="270" w:lineRule="auto"/>
        <w:rPr>
          <w:sz w:val="20"/>
          <w:szCs w:val="20"/>
          <w:color w:val="auto"/>
        </w:rPr>
      </w:pPr>
      <w:r>
        <w:rPr>
          <w:rFonts w:ascii="Arial" w:cs="Arial" w:eastAsia="Arial" w:hAnsi="Arial"/>
          <w:sz w:val="17"/>
          <w:szCs w:val="17"/>
          <w:b w:val="1"/>
          <w:bCs w:val="1"/>
          <w:i w:val="1"/>
          <w:iCs w:val="1"/>
          <w:color w:val="auto"/>
        </w:rPr>
        <w:t>CARES Act</w:t>
      </w:r>
      <w:r>
        <w:rPr>
          <w:rFonts w:ascii="Arial" w:cs="Arial" w:eastAsia="Arial" w:hAnsi="Arial"/>
          <w:sz w:val="17"/>
          <w:szCs w:val="17"/>
          <w:color w:val="auto"/>
        </w:rPr>
        <w:t>—On March 27, 2020, the U.S. Government enacted various relief and stimulus measures in response to the unprecedented adverse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economic impacts of the COVID-19 Pandemic, commonly referred to as the CARES Act. The CARES Act made changes to the U.S. tax code that affect our fiscal year ending December 31, 2020, including, but not limited to, (1) reducing the limitation on deductible interest expense, (2) changing uses and limitations of net operating losses generated in tax years 2018, 2019, and 2020, (3) deferring the payment of the 6.2% FICA portion of Company's payroll taxes beginning on the enactment date through December 31, 2020 until the end of 2021 for one-half of the tax and the remaining half to the end of 2022 resulting in the deferral of $1.3 million in qualifying payments in the year ended December 31, 2020 for the Company and (4) creating the Employee Retention Payroll Tax Credit for the Company's portion of the 6.2% FICA payroll tax for certain qualifying employees from March 13, 2020 through December 31, 2020. The Company will continue to monitor the provisions of the CARES Act and associated regulations and any other government action and intends to seek available potential benefits that would positively impact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31" w:name="page32"/>
    <w:bookmarkEnd w:id="31"/>
    <w:p>
      <w:pPr>
        <w:ind w:right="40" w:firstLine="526"/>
        <w:spacing w:after="0" w:line="268"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pre-show program can be sold to the founding members to satisfy their on-screen advertising commitments under their beverage concessionaire agreements. For the first three months of 2021 and 2020,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required as part of these beverage concessionaire agreements decline, this premium time will be available for sale to other clients. Per the ESA with AMC, the time sold to the founding member beverage supplier is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 the founding member’s theaters, limited to the highest advertising CPM being then-charged by NCM LLC. The CPM on our beverage concessionaire revenue related to AMC in 2021 did not change compared to 2020. Beginning in 2020 and in accordance with the 2019 ESA Amendments, the price for the time sold to Cinemark and Regal's beverage suppliers instead increased at a fixed rate of 2.0%. Founding member attendance has been and may continue to be lower than historical levels following the re-opening of theaters due to the COVID-19 Pandemic which could reduce the Company’s beverage revenue.</w:t>
      </w:r>
    </w:p>
    <w:p>
      <w:pPr>
        <w:spacing w:after="0" w:line="132" w:lineRule="exact"/>
        <w:rPr>
          <w:sz w:val="20"/>
          <w:szCs w:val="20"/>
          <w:color w:val="auto"/>
        </w:rPr>
      </w:pPr>
    </w:p>
    <w:p>
      <w:pPr>
        <w:ind w:right="20" w:firstLine="526"/>
        <w:spacing w:after="0" w:line="287" w:lineRule="auto"/>
        <w:rPr>
          <w:sz w:val="20"/>
          <w:szCs w:val="20"/>
          <w:color w:val="auto"/>
        </w:rPr>
      </w:pPr>
      <w:r>
        <w:rPr>
          <w:rFonts w:ascii="Arial" w:cs="Arial" w:eastAsia="Arial" w:hAnsi="Arial"/>
          <w:sz w:val="16"/>
          <w:szCs w:val="16"/>
          <w:b w:val="1"/>
          <w:bCs w:val="1"/>
          <w:i w:val="1"/>
          <w:iCs w:val="1"/>
          <w:color w:val="auto"/>
        </w:rPr>
        <w:t>Theater Access Fees</w:t>
      </w:r>
      <w:r>
        <w:rPr>
          <w:rFonts w:ascii="Arial" w:cs="Arial" w:eastAsia="Arial" w:hAnsi="Arial"/>
          <w:sz w:val="16"/>
          <w:szCs w:val="16"/>
          <w:color w:val="auto"/>
        </w:rPr>
        <w:t>—In consideration for NCM LLC’s access to the founding members’ theater attendees for on-screen advertising and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(i) beginning at $0.025 per patron on November 1, 2019, (ii) $0.0375 per patron beginning on November 1, 2020, (iii) $0.05 per patron beginning on November 1, 2021, (iv) $0.052 per patron beginning on November 1, 2022 and (v) increasing 8% every five years beginning November 1, 2027. The Company does not owe the founding members any theater access fees when the theaters are closed. The digital screen fee is calculated based upon screens in use during each month. No digital screen fees will be incurred for the months where a screen is not in use and fees may be reduced for months where screens are in use for only part of the month. Further, founding member attendance has been and may continue to be lower than historical levels following the re-opening of theaters which could reduce the Company’s theater access fees.</w:t>
      </w:r>
    </w:p>
    <w:p>
      <w:pPr>
        <w:spacing w:after="0" w:line="114" w:lineRule="exact"/>
        <w:rPr>
          <w:sz w:val="20"/>
          <w:szCs w:val="20"/>
          <w:color w:val="auto"/>
        </w:rPr>
      </w:pPr>
    </w:p>
    <w:p>
      <w:pPr>
        <w:ind w:right="280" w:firstLine="526"/>
        <w:spacing w:after="0" w:line="259" w:lineRule="auto"/>
        <w:rPr>
          <w:sz w:val="20"/>
          <w:szCs w:val="20"/>
          <w:color w:val="auto"/>
        </w:rPr>
      </w:pPr>
      <w:r>
        <w:rPr>
          <w:rFonts w:ascii="Arial" w:cs="Arial" w:eastAsia="Arial" w:hAnsi="Arial"/>
          <w:sz w:val="18"/>
          <w:szCs w:val="18"/>
          <w:b w:val="1"/>
          <w:bCs w:val="1"/>
          <w:i w:val="1"/>
          <w:iCs w:val="1"/>
          <w:color w:val="auto"/>
        </w:rPr>
        <w:t>Platinum Spot</w:t>
      </w:r>
      <w:r>
        <w:rPr>
          <w:rFonts w:ascii="Arial" w:cs="Arial" w:eastAsia="Arial" w:hAnsi="Arial"/>
          <w:sz w:val="18"/>
          <w:szCs w:val="18"/>
          <w:color w:val="auto"/>
        </w:rPr>
        <w:t>—In consideration for the utilization of the theaters post-showtime for Platinum Spots, Cinemark and Regal receive 25%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340" w:firstLine="526"/>
        <w:spacing w:after="0" w:line="279"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NCM LLC’s founding members, interest or principal payments on our term loans and the Notes due 2026 and Notes due 2028, income tax payments, TRA payments to NCM LLC’s founding members and amount of quarterly dividends to NCM, Inc.’s common stockholders.</w:t>
      </w:r>
    </w:p>
    <w:p>
      <w:pPr>
        <w:spacing w:after="0" w:line="117"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color w:val="auto"/>
        </w:rPr>
        <w:t>As discussed within the ‘</w:t>
      </w:r>
      <w:r>
        <w:rPr>
          <w:rFonts w:ascii="Arial" w:cs="Arial" w:eastAsia="Arial" w:hAnsi="Arial"/>
          <w:sz w:val="16"/>
          <w:szCs w:val="16"/>
          <w:i w:val="1"/>
          <w:iCs w:val="1"/>
          <w:color w:val="auto"/>
        </w:rPr>
        <w:t>Recent Developments’</w:t>
      </w:r>
      <w:r>
        <w:rPr>
          <w:rFonts w:ascii="Arial" w:cs="Arial" w:eastAsia="Arial" w:hAnsi="Arial"/>
          <w:sz w:val="16"/>
          <w:szCs w:val="16"/>
          <w:color w:val="auto"/>
        </w:rPr>
        <w:t xml:space="preserve"> section, due to the COVID-19 Pandemic, approximately 40% of the theaters within the Company’s network remained temporarily closed as of April 1, 2021 and the Company's ability to advertise within the reopened theaters has been and will continue to be limited due to reduced movie schedules and patron capacities at many network theaters and the timing and frequency of major motion picture releases as compared to prior years due to the COVID-19 Pandemic. The Company will have limited cash receipts until the full network of theaters reopen, major motion pictures are released and theater patrons feel comfortable returning to the theaters allowing attendance levels to normalize. Further, once the above conditions are met there will be a lag between when revenue is generated and when the Company ultimately collects the associated accounts receivable balance. The Company also has reduced cash payments during the period theaters within the Company's network are closed or attendance levels are low as expenses related to theater attendance are either not incurred or incurred at lower levels (i.e. theater access fees, Platinum Spot revenue share and network affiliate revenue share payments). The Company also implemented a number of cost-saving measures in order to preserve cash as further outlined within the ‘</w:t>
      </w:r>
      <w:r>
        <w:rPr>
          <w:rFonts w:ascii="Arial" w:cs="Arial" w:eastAsia="Arial" w:hAnsi="Arial"/>
          <w:sz w:val="16"/>
          <w:szCs w:val="16"/>
          <w:i w:val="1"/>
          <w:iCs w:val="1"/>
          <w:color w:val="auto"/>
        </w:rPr>
        <w:t>Recent Developments’</w:t>
      </w:r>
      <w:r>
        <w:rPr>
          <w:rFonts w:ascii="Arial" w:cs="Arial" w:eastAsia="Arial" w:hAnsi="Arial"/>
          <w:sz w:val="16"/>
          <w:szCs w:val="16"/>
          <w:color w:val="auto"/>
        </w:rPr>
        <w:t xml:space="preserve"> section above. In March 2020, we drew down an additional $110.0 million on our revolving credit facility and in March 2021 we received $43.8 million in proceeds under incremental term loans that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2" w:name="page33"/>
    <w:bookmarkEnd w:id="32"/>
    <w:p>
      <w:pPr>
        <w:ind w:right="140"/>
        <w:spacing w:after="0" w:line="263" w:lineRule="auto"/>
        <w:rPr>
          <w:sz w:val="20"/>
          <w:szCs w:val="20"/>
          <w:color w:val="auto"/>
        </w:rPr>
      </w:pPr>
      <w:r>
        <w:rPr>
          <w:rFonts w:ascii="Arial" w:cs="Arial" w:eastAsia="Arial" w:hAnsi="Arial"/>
          <w:sz w:val="18"/>
          <w:szCs w:val="18"/>
          <w:color w:val="auto"/>
        </w:rPr>
        <w:t>mature on December 20, 2024. The $139.4 million of cash at NCM LLC as of April 1, 2021 will be used to fund operations during the period of expected reduced cash flows. Cash at NCM, Inc. is held for future payment of dividends to NCM, Inc. shareholders, income tax payments, income tax receivable payments to NCM LLC’s founding members and other obligations.</w:t>
      </w:r>
    </w:p>
    <w:p>
      <w:pPr>
        <w:spacing w:after="0" w:line="130" w:lineRule="exact"/>
        <w:rPr>
          <w:sz w:val="20"/>
          <w:szCs w:val="20"/>
          <w:color w:val="auto"/>
        </w:rPr>
      </w:pPr>
    </w:p>
    <w:p>
      <w:pPr>
        <w:ind w:firstLine="526"/>
        <w:spacing w:after="0" w:line="239" w:lineRule="auto"/>
        <w:rPr>
          <w:sz w:val="20"/>
          <w:szCs w:val="20"/>
          <w:color w:val="auto"/>
        </w:rPr>
      </w:pPr>
      <w:r>
        <w:rPr>
          <w:rFonts w:ascii="Arial" w:cs="Arial" w:eastAsia="Arial" w:hAnsi="Arial"/>
          <w:sz w:val="18"/>
          <w:szCs w:val="18"/>
          <w:color w:val="auto"/>
        </w:rPr>
        <w:t>In accordance with the Credit Agreement amendment entered into on April 30, 2020 (“the Credit Agreement First Amendment”) and the Credit Agreement Second Amendment, for the period beginning in the second quarter of 2020 through the date that NCM LLC delivers a compliance certificate for the third quarter of 2022, NCM LLC must maintain a total balance of $55.0 million of a combination of unrestricted cash on hand and availability under NCM LLC's revolving credit facility. As of April 1, 2021, NCM LLC was in compliance with the requirements of the Credit Agreement, as amended. Management believes the Company can meet its obligations, including all interest and debt service payments within the twelve months following the date of issuance of these financial statements, based on its current financial position and liquidity sources, including current cash balances, and forecasted future cash flows.</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As of</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April 1, 2021</w:t>
            </w:r>
          </w:p>
        </w:tc>
        <w:tc>
          <w:tcPr>
            <w:tcW w:w="12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26, 2020</w:t>
            </w:r>
          </w:p>
        </w:tc>
        <w:tc>
          <w:tcPr>
            <w:tcW w:w="120" w:type="dxa"/>
            <w:vAlign w:val="bottom"/>
          </w:tcPr>
          <w:p>
            <w:pPr>
              <w:spacing w:after="0"/>
              <w:rPr>
                <w:sz w:val="11"/>
                <w:szCs w:val="11"/>
                <w:color w:val="auto"/>
              </w:rPr>
            </w:pPr>
          </w:p>
        </w:tc>
        <w:tc>
          <w:tcPr>
            <w:tcW w:w="10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6"/>
              </w:rPr>
              <w:t>Q1 2021 to YE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4"/>
              </w:rPr>
              <w:t>Q1 2021 to Q1</w:t>
            </w:r>
          </w:p>
        </w:tc>
        <w:tc>
          <w:tcPr>
            <w:tcW w:w="0" w:type="dxa"/>
            <w:vAlign w:val="bottom"/>
          </w:tcPr>
          <w:p>
            <w:pPr>
              <w:spacing w:after="0"/>
              <w:rPr>
                <w:sz w:val="1"/>
                <w:szCs w:val="1"/>
                <w:color w:val="auto"/>
              </w:rPr>
            </w:pPr>
          </w:p>
        </w:tc>
      </w:tr>
      <w:tr>
        <w:trPr>
          <w:trHeight w:val="188"/>
        </w:trPr>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NCM LLC revolver availability </w:t>
            </w:r>
            <w:r>
              <w:rPr>
                <w:rFonts w:ascii="Arial" w:cs="Arial" w:eastAsia="Arial" w:hAnsi="Arial"/>
                <w:sz w:val="18"/>
                <w:szCs w:val="18"/>
                <w:i w:val="1"/>
                <w:iCs w:val="1"/>
                <w:color w:val="auto"/>
              </w:rPr>
              <w:t>(2)</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liquidity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w:t>
      </w:r>
    </w:p>
    <w:p>
      <w:pPr>
        <w:spacing w:after="0" w:line="117" w:lineRule="exact"/>
        <w:rPr>
          <w:sz w:val="20"/>
          <w:szCs w:val="20"/>
          <w:color w:val="auto"/>
        </w:rPr>
      </w:pPr>
    </w:p>
    <w:p>
      <w:pPr>
        <w:ind w:left="340" w:right="120" w:hanging="332"/>
        <w:spacing w:after="0" w:line="255" w:lineRule="auto"/>
        <w:tabs>
          <w:tab w:leader="none" w:pos="334"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Included in cash, cash equivalents and marketable securities as of April 1, 2021, December 31, 2020 and March 26, 2020, was $139.4 million, $123.9 million and $132.2 million, respectively, of cash held by NCM LLC that is not available to satisfy dividends declared by NCM, Inc., income tax, tax receivable payments to NCM LLC’s founding members and other obligations.</w:t>
      </w:r>
    </w:p>
    <w:p>
      <w:pPr>
        <w:spacing w:after="0" w:line="2" w:lineRule="exact"/>
        <w:rPr>
          <w:rFonts w:ascii="Arial" w:cs="Arial" w:eastAsia="Arial" w:hAnsi="Arial"/>
          <w:sz w:val="18"/>
          <w:szCs w:val="18"/>
          <w:i w:val="1"/>
          <w:iCs w:val="1"/>
          <w:color w:val="auto"/>
        </w:rPr>
      </w:pPr>
    </w:p>
    <w:p>
      <w:pPr>
        <w:ind w:left="340" w:right="20" w:hanging="332"/>
        <w:spacing w:after="0" w:line="270" w:lineRule="auto"/>
        <w:tabs>
          <w:tab w:leader="none" w:pos="334" w:val="left"/>
        </w:tabs>
        <w:numPr>
          <w:ilvl w:val="0"/>
          <w:numId w:val="19"/>
        </w:numPr>
        <w:rPr>
          <w:rFonts w:ascii="Arial" w:cs="Arial" w:eastAsia="Arial" w:hAnsi="Arial"/>
          <w:sz w:val="17"/>
          <w:szCs w:val="17"/>
          <w:i w:val="1"/>
          <w:iCs w:val="1"/>
          <w:color w:val="auto"/>
        </w:rPr>
      </w:pPr>
      <w:r>
        <w:rPr>
          <w:rFonts w:ascii="Arial" w:cs="Arial" w:eastAsia="Arial" w:hAnsi="Arial"/>
          <w:sz w:val="17"/>
          <w:szCs w:val="17"/>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April 1, 2021, December 31, 2020 and March 26, 2020. As of April 1, 2021, December 31, 2020 and March 26, 2020, the amount available under the NCM LLC revolving credit facility in the table above, was net of the amount outstanding under the revolving credit facility of $167.0 million, $167.0 million and $167.0 million, respectively, and net letters of credit of $2.4 million, $3.6 million and $3.6 million, respectively.</w:t>
      </w:r>
    </w:p>
    <w:p>
      <w:pPr>
        <w:spacing w:after="0" w:line="124" w:lineRule="exact"/>
        <w:rPr>
          <w:sz w:val="20"/>
          <w:szCs w:val="20"/>
          <w:color w:val="auto"/>
        </w:rPr>
      </w:pPr>
    </w:p>
    <w:p>
      <w:pPr>
        <w:ind w:right="380" w:firstLine="526"/>
        <w:spacing w:after="0" w:line="286" w:lineRule="auto"/>
        <w:rPr>
          <w:sz w:val="20"/>
          <w:szCs w:val="20"/>
          <w:color w:val="auto"/>
        </w:rPr>
      </w:pPr>
      <w:r>
        <w:rPr>
          <w:rFonts w:ascii="Arial" w:cs="Arial" w:eastAsia="Arial" w:hAnsi="Arial"/>
          <w:sz w:val="17"/>
          <w:szCs w:val="17"/>
          <w:color w:val="auto"/>
        </w:rPr>
        <w:t>As of April 1, 2021, the weighted average remaining maturity of our debt was 5.2 years. As of April 1, 2021, approximately 57% of our total borrowings bear interest at fixed rates. The remaining 43% of our borrowings bear interest at variable rates and our net income and earnings per share could fluctuate with market interest rate fluctuations that could increase or decrease the interest paid on our borrowings.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used and generated cash as follows (in millions):</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1, 2021</w:t>
            </w:r>
          </w:p>
        </w:tc>
        <w:tc>
          <w:tcPr>
            <w:tcW w:w="160" w:type="dxa"/>
            <w:vAlign w:val="bottom"/>
          </w:tcPr>
          <w:p>
            <w:pPr>
              <w:spacing w:after="0"/>
              <w:rPr>
                <w:sz w:val="16"/>
                <w:szCs w:val="16"/>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March 26, 2020</w:t>
            </w:r>
          </w:p>
        </w:tc>
      </w:tr>
      <w:tr>
        <w:trPr>
          <w:trHeight w:val="224"/>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r>
    </w:tbl>
    <w:p>
      <w:pPr>
        <w:spacing w:after="0" w:line="242" w:lineRule="exact"/>
        <w:rPr>
          <w:sz w:val="20"/>
          <w:szCs w:val="20"/>
          <w:color w:val="auto"/>
        </w:rPr>
      </w:pPr>
    </w:p>
    <w:p>
      <w:pPr>
        <w:ind w:left="1060" w:hanging="404"/>
        <w:spacing w:after="0" w:line="291" w:lineRule="auto"/>
        <w:tabs>
          <w:tab w:leader="none" w:pos="1055"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The $83.1 million increase in cash used in operating activities for the first quarter of 2021, compared to the first quarter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2020 was primarily due to a $51.7 million decrease in accounts receivable collections during the first quarter of 2021, as compared to the first quarter of 2020, a $33.8 million increase in consolidated net loss, and a $8.5 million decrease in founding member integration and other encumbered theater payments. These decreases were due to the temporary closure of the theaters within our network in response to the COVID-19 Pandemic resulting in significantly decreased revenue and negative Adjusted OIBDA, from which integration payments are calculated. These decreased cash inflows were partially offset by a $10.9 million decrease in accounts payable and accrued expenses payments due to the cash preservation actions taken by the Company to mitigate the impact of the COVID-19 Pandemic.</w:t>
      </w:r>
    </w:p>
    <w:p>
      <w:pPr>
        <w:spacing w:after="0" w:line="112" w:lineRule="exact"/>
        <w:rPr>
          <w:rFonts w:ascii="Arial" w:cs="Arial" w:eastAsia="Arial" w:hAnsi="Arial"/>
          <w:sz w:val="16"/>
          <w:szCs w:val="16"/>
          <w:color w:val="auto"/>
        </w:rPr>
      </w:pPr>
    </w:p>
    <w:p>
      <w:pPr>
        <w:ind w:left="1100" w:right="120" w:hanging="404"/>
        <w:spacing w:after="0" w:line="277" w:lineRule="auto"/>
        <w:tabs>
          <w:tab w:leader="none" w:pos="1095" w:val="left"/>
        </w:tabs>
        <w:numPr>
          <w:ilvl w:val="1"/>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$2.8 million increase in cash used in investing activities for the first quarter of 2021, compared to the first quarter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2020 was primarily due to a $4.1 million decrease in proceeds from the sale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3" w:name="page34"/>
    <w:bookmarkEnd w:id="33"/>
    <w:p>
      <w:pPr>
        <w:ind w:left="1100"/>
        <w:spacing w:after="0" w:line="342" w:lineRule="auto"/>
        <w:rPr>
          <w:sz w:val="20"/>
          <w:szCs w:val="20"/>
          <w:color w:val="auto"/>
        </w:rPr>
      </w:pPr>
      <w:r>
        <w:rPr>
          <w:rFonts w:ascii="Arial" w:cs="Arial" w:eastAsia="Arial" w:hAnsi="Arial"/>
          <w:sz w:val="16"/>
          <w:szCs w:val="16"/>
          <w:color w:val="auto"/>
        </w:rPr>
        <w:t>marketable securities, net of purchases. This decrease was partially offset by a $1.3 million decrease in purchases of property and equipment in 2021, compared to 2020 due to the cash preservation actions taken by the Company to mitigate the impact of the COVID-19 Pandemic.</w:t>
      </w:r>
    </w:p>
    <w:p>
      <w:pPr>
        <w:spacing w:after="0" w:line="70" w:lineRule="exact"/>
        <w:rPr>
          <w:sz w:val="20"/>
          <w:szCs w:val="20"/>
          <w:color w:val="auto"/>
        </w:rPr>
      </w:pPr>
    </w:p>
    <w:p>
      <w:pPr>
        <w:ind w:left="1100" w:hanging="404"/>
        <w:spacing w:after="0" w:line="254" w:lineRule="auto"/>
        <w:tabs>
          <w:tab w:leader="none" w:pos="109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$41.0 million decrease in cash provided by financing activities for the first quarter of 2021, compared to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2020 was primarily due to a $128.0 million decrease in proceeds from the revolving credit facility, net of repayments and a $5.9 million increase in the payment of debt issuance costs related to Credit Agreement Second Amendment executed in the first quarter of 2021. These were partially offset by a $50.0 million increase in the issuance of term loans, a $32.4 million decrease in distributions to founding members in the first quarter of 2021, compared to the first quarter of 2020, and a $10.7 million decrease in dividends paid related to the decrease in the dividend amounts declared from $0.19 per share during the first quarter of 2020 to $0.05 per share during the first quarter of 2021.</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71" w:lineRule="exact"/>
        <w:rPr>
          <w:sz w:val="20"/>
          <w:szCs w:val="20"/>
          <w:color w:val="auto"/>
        </w:rPr>
      </w:pPr>
    </w:p>
    <w:p>
      <w:pPr>
        <w:ind w:right="40" w:firstLine="526"/>
        <w:spacing w:after="0" w:line="254" w:lineRule="auto"/>
        <w:rPr>
          <w:sz w:val="20"/>
          <w:szCs w:val="20"/>
          <w:color w:val="auto"/>
        </w:rPr>
      </w:pPr>
      <w:r>
        <w:rPr>
          <w:rFonts w:ascii="Arial" w:cs="Arial" w:eastAsia="Arial" w:hAnsi="Arial"/>
          <w:sz w:val="18"/>
          <w:szCs w:val="18"/>
          <w:color w:val="auto"/>
        </w:rPr>
        <w:t>NCM, Inc.’s primary source of liquidity and capital resources is the quarterly available cash distributions from NCM LLC as well as its existing cash balances and marketable securities, which as of April 1, 2021 were $52.8 million (excluding $139.4 million of cash held by NCM LLC). NCM LLC’s primary sources of liquidity and capital resources are its cash provided by operating activities, availability under its revolving credit facility and cash on hand. NCM LLC drew down an additional $110.0 million of its revolving credit facility in March 2020 and received net proceeds of $43.8 million from incremental terms loans in March 2021 in order to supplement the decrease in cash provided by operating activities during the period a portion or all of our network theaters are closed. The $139.4 million of cash at NCM LLC will be used to fund operations during the period of expected reduced cash flows. Cash at NCM, Inc. is used to fund income taxes, payments associated with the TRA with the founding members and for future payment of dividends to NCM, Inc. shareholders.</w:t>
      </w:r>
    </w:p>
    <w:p>
      <w:pPr>
        <w:spacing w:after="0" w:line="84" w:lineRule="exact"/>
        <w:rPr>
          <w:sz w:val="20"/>
          <w:szCs w:val="20"/>
          <w:color w:val="auto"/>
        </w:rPr>
      </w:pPr>
    </w:p>
    <w:p>
      <w:pPr>
        <w:ind w:right="60" w:firstLine="526"/>
        <w:spacing w:after="0" w:line="287" w:lineRule="auto"/>
        <w:rPr>
          <w:sz w:val="20"/>
          <w:szCs w:val="20"/>
          <w:color w:val="auto"/>
        </w:rPr>
      </w:pPr>
      <w:r>
        <w:rPr>
          <w:rFonts w:ascii="Arial" w:cs="Arial" w:eastAsia="Arial" w:hAnsi="Arial"/>
          <w:sz w:val="16"/>
          <w:szCs w:val="16"/>
          <w:color w:val="auto"/>
        </w:rPr>
        <w:t>Cash flows generated by NCM LLC’s distributions to NCM, Inc. and the founding members will be impacted by the temporary closure of our network theaters and may be deferred through the quarter ending September 29, 2022 or longer if NCM LLC is not in compliance with the following limitations: (i) no default or event of default under the Credit Agreement has occurred and is continuing; (ii) the senior secured financial covenant leverage ratio is equal to or less than 4.00 to 1.00; and (iii) the aggregate principal amount of all outstanding revolving loans under the Credit Agreement is $39.0 million or less. NCM LLC is required pursuant to the terms of the NCM LLC Operating Agreement to distribute its available cash, as defined in the operating agreement, unless prohibited by NCM LLC's Credit Agreement, quarterly to its members (Regal, Cinemark and NCM, Inc.). The available cash distribution to the members of NCM LLC for the three months ended April 1, 2021 was calculated as approximately negative $30.9 million, of which NCM, Inc.'s share is approximately negative $14.9 million. Further there was $85.9 million of negative available cash generated in during 2020. Pursuant to the NCM LLC Operating Agreement and the Credit Agreement amendments, there will be no available cash distributions made for the first quarter of 2021. Negative available cash distributions for the first quarter of 2021 and the negative available cash from 2020 are expected to be netted in accordance with the NCM LLC Operating Agreement against future positive available cash distributions after the Extended Covenant Waiver Holiday.</w:t>
      </w:r>
    </w:p>
    <w:p>
      <w:pPr>
        <w:spacing w:after="0" w:line="64" w:lineRule="exact"/>
        <w:rPr>
          <w:sz w:val="20"/>
          <w:szCs w:val="20"/>
          <w:color w:val="auto"/>
        </w:rPr>
      </w:pPr>
    </w:p>
    <w:p>
      <w:pPr>
        <w:ind w:right="100" w:firstLine="526"/>
        <w:spacing w:after="0" w:line="269" w:lineRule="auto"/>
        <w:rPr>
          <w:sz w:val="20"/>
          <w:szCs w:val="20"/>
          <w:color w:val="auto"/>
        </w:rPr>
      </w:pPr>
      <w:r>
        <w:rPr>
          <w:rFonts w:ascii="Arial" w:cs="Arial" w:eastAsia="Arial" w:hAnsi="Arial"/>
          <w:sz w:val="17"/>
          <w:szCs w:val="17"/>
          <w:color w:val="auto"/>
        </w:rPr>
        <w:t>NCM, Inc. expects to use its cash balances and cash received from future available cash distributions (as allowed for under the Amended Credit Agreement) to fund income taxes, payments associated with the TRA with the founding members, and current and future dividends as declared by the Board of Directors, including a dividend declared on May 10, 2021 of $0.05 per share (approximately $4.0 million) on each share of the Company’s common stock (not including outstanding restricted stock) to stockholders of record on May 21, 2021 to be paid on June 7, 2021. These items should be sufficient to fund payments associated with the TRA with the founding members, income taxes and its quarterly dividend for the foreseeable future at the discretion of the Board of Directors. The Company intends to pay a regular quarterly dividend for the foreseeable future at the discretion of the Board of Directors consistent with the Company’s intention to distribute substantially all its free cash flow to stockholders through its quarterly dividend. The declaration, payment, timing and amount of any future dividends payable will be at the sole discretion of the Board of Directors who will consider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COVID-19 Pandemic and restrictions under the NCM LLC Credit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60" w:firstLine="526"/>
        <w:spacing w:after="0" w:line="259"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filed for the fiscal year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34" w:name="page35"/>
    <w:bookmarkEnd w:id="34"/>
    <w:p>
      <w:pPr>
        <w:ind w:right="620"/>
        <w:spacing w:after="0" w:line="277" w:lineRule="auto"/>
        <w:rPr>
          <w:sz w:val="20"/>
          <w:szCs w:val="20"/>
          <w:color w:val="auto"/>
        </w:rPr>
      </w:pPr>
      <w:r>
        <w:rPr>
          <w:rFonts w:ascii="Arial" w:cs="Arial" w:eastAsia="Arial" w:hAnsi="Arial"/>
          <w:sz w:val="18"/>
          <w:szCs w:val="18"/>
          <w:color w:val="auto"/>
        </w:rPr>
        <w:t>ended December 31, 2020 and incorporated by reference herein. As of April 1, 2021, there were no significant changes in those critical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380" w:firstLine="526"/>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Consolidated Financial Statements in Part I, Item 1 of this Form 10-Q.</w:t>
      </w:r>
    </w:p>
    <w:p>
      <w:pPr>
        <w:spacing w:after="0" w:line="116" w:lineRule="exact"/>
        <w:rPr>
          <w:sz w:val="20"/>
          <w:szCs w:val="20"/>
          <w:color w:val="auto"/>
        </w:rPr>
      </w:pPr>
    </w:p>
    <w:p>
      <w:pPr>
        <w:ind w:right="14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right="120" w:firstLine="526"/>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Consolidated Financial Statements in Part I, Item 1 of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40" w:firstLine="526"/>
        <w:spacing w:after="0" w:line="277" w:lineRule="auto"/>
        <w:rPr>
          <w:sz w:val="20"/>
          <w:szCs w:val="20"/>
          <w:color w:val="auto"/>
        </w:rPr>
      </w:pPr>
      <w:r>
        <w:rPr>
          <w:rFonts w:ascii="Arial" w:cs="Arial" w:eastAsia="Arial" w:hAnsi="Arial"/>
          <w:sz w:val="18"/>
          <w:szCs w:val="18"/>
          <w:color w:val="auto"/>
        </w:rPr>
        <w:t>We do not believe the Company has any off-balance sheet arrangements that are material to our current or future financial condition, results of operations, liquidity, capital resources or capital expenditures.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75" w:lineRule="exact"/>
        <w:rPr>
          <w:sz w:val="20"/>
          <w:szCs w:val="20"/>
          <w:color w:val="auto"/>
        </w:rPr>
      </w:pPr>
    </w:p>
    <w:p>
      <w:pPr>
        <w:ind w:right="280" w:firstLine="526"/>
        <w:spacing w:after="0" w:line="263" w:lineRule="auto"/>
        <w:rPr>
          <w:sz w:val="20"/>
          <w:szCs w:val="20"/>
          <w:color w:val="auto"/>
        </w:rPr>
      </w:pPr>
      <w:r>
        <w:rPr>
          <w:rFonts w:ascii="Arial" w:cs="Arial" w:eastAsia="Arial" w:hAnsi="Arial"/>
          <w:sz w:val="18"/>
          <w:szCs w:val="18"/>
          <w:color w:val="auto"/>
        </w:rPr>
        <w:t>See Item 7. “Management’s Discussion and Analysis of Financial Condition and Results of Operations – Contractual and Other Obligations” contained in our annual report on Form 10-K for the fiscal year ended December 31, 2020 and incorporated by reference herein. There were no material changes to our contractual obligations during the three months ended April 1,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80" w:firstLine="526"/>
        <w:spacing w:after="0" w:line="275" w:lineRule="auto"/>
        <w:rPr>
          <w:sz w:val="20"/>
          <w:szCs w:val="20"/>
          <w:color w:val="auto"/>
        </w:rPr>
      </w:pPr>
      <w:r>
        <w:rPr>
          <w:rFonts w:ascii="Arial" w:cs="Arial" w:eastAsia="Arial" w:hAnsi="Arial"/>
          <w:sz w:val="17"/>
          <w:szCs w:val="17"/>
          <w:color w:val="auto"/>
        </w:rPr>
        <w:t>The primary market risk to which we are exposed is interest rate risk. The Notes due 2026 and the Notes due 2028 are at fixed rates, and therefore are not subject to market risk. As of April 1, 2021, the only interest rate risk that we are exposed to is related to our $175.0 million revolving credit facility and our term loans. A 100-basis point fluctuation in market interest rates underlying our term loans and revolving credit facility would have the effect of increasing or decreasing our cash interest expense by approximately $4.8 million for an annual period on the $167.0 million revolving credit balance, $262.6 million term loan and $50.0 million incremental term loan outstanding as of April 1, 2021.</w:t>
      </w:r>
    </w:p>
    <w:p>
      <w:pPr>
        <w:spacing w:after="0" w:line="122" w:lineRule="exact"/>
        <w:rPr>
          <w:sz w:val="20"/>
          <w:szCs w:val="20"/>
          <w:color w:val="auto"/>
        </w:rPr>
      </w:pPr>
    </w:p>
    <w:p>
      <w:pPr>
        <w:jc w:val="both"/>
        <w:ind w:right="320" w:firstLine="526"/>
        <w:spacing w:after="0" w:line="263" w:lineRule="auto"/>
        <w:rPr>
          <w:sz w:val="20"/>
          <w:szCs w:val="20"/>
          <w:color w:val="auto"/>
        </w:rPr>
      </w:pPr>
      <w:r>
        <w:rPr>
          <w:rFonts w:ascii="Arial" w:cs="Arial" w:eastAsia="Arial" w:hAnsi="Arial"/>
          <w:sz w:val="18"/>
          <w:szCs w:val="18"/>
          <w:color w:val="auto"/>
        </w:rPr>
        <w:t>In response to the COVID-19 Pandemic, the government lowered the Federal Reserve interest rate leading to historically low interest rates as of April 1, 2021 that has had the effect of reducing the Company's interest rate risk. If interest rates increase, this will increase the Company’s interest rate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right="40" w:firstLine="526"/>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and financial officer), as appropriate, to allow timely decisions regarding required disclosure.</w:t>
      </w:r>
    </w:p>
    <w:p>
      <w:pPr>
        <w:spacing w:after="0" w:line="66" w:lineRule="exact"/>
        <w:rPr>
          <w:sz w:val="20"/>
          <w:szCs w:val="20"/>
          <w:color w:val="auto"/>
        </w:rPr>
      </w:pPr>
    </w:p>
    <w:p>
      <w:pPr>
        <w:ind w:firstLine="526"/>
        <w:spacing w:after="0" w:line="259" w:lineRule="auto"/>
        <w:rPr>
          <w:sz w:val="20"/>
          <w:szCs w:val="20"/>
          <w:color w:val="auto"/>
        </w:rPr>
      </w:pPr>
      <w:r>
        <w:rPr>
          <w:rFonts w:ascii="Arial" w:cs="Arial" w:eastAsia="Arial" w:hAnsi="Arial"/>
          <w:sz w:val="18"/>
          <w:szCs w:val="18"/>
          <w:color w:val="auto"/>
        </w:rPr>
        <w:t>Management, with the participation of the Chief Executive Officer, performed an evaluation of the effectiveness of the Company’s disclosure controls and procedures pursuant to Rules 13a-15(e) and 15d-15(e) of the Exchange Act as of April 1, 2021, the end of the period covered by this Quarterly Report on Form 10-Q. Based on such evaluation, the Company’s Chief Executive Officer concluded that the Company’s disclosure controls and procedures as of April 1, 2021 were effective.</w:t>
      </w:r>
    </w:p>
    <w:p>
      <w:pPr>
        <w:spacing w:after="0" w:line="52" w:lineRule="exact"/>
        <w:rPr>
          <w:sz w:val="20"/>
          <w:szCs w:val="20"/>
          <w:color w:val="auto"/>
        </w:rPr>
      </w:pPr>
    </w:p>
    <w:p>
      <w:pPr>
        <w:ind w:right="380" w:firstLine="526"/>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400" w:firstLine="526"/>
        <w:spacing w:after="0" w:line="277" w:lineRule="auto"/>
        <w:rPr>
          <w:sz w:val="20"/>
          <w:szCs w:val="20"/>
          <w:color w:val="auto"/>
        </w:rPr>
      </w:pPr>
      <w:r>
        <w:rPr>
          <w:rFonts w:ascii="Arial" w:cs="Arial" w:eastAsia="Arial" w:hAnsi="Arial"/>
          <w:sz w:val="18"/>
          <w:szCs w:val="18"/>
          <w:color w:val="auto"/>
        </w:rPr>
        <w:t>In early 2021, we implemented a new end-to-end order management and scheduling system that impacts reporting of revenue and certain other costs. We have evaluated the impact of this system and designed, implemented and tested internal</w:t>
      </w:r>
    </w:p>
    <w:p>
      <w:pPr>
        <w:sectPr>
          <w:pgSz w:w="11900" w:h="16838" w:orient="portrait"/>
          <w:cols w:equalWidth="0" w:num="1">
            <w:col w:w="11220"/>
          </w:cols>
          <w:pgMar w:left="320" w:top="935" w:right="3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type w:val="continuous"/>
        </w:sectPr>
      </w:pPr>
    </w:p>
    <w:bookmarkStart w:id="35" w:name="page36"/>
    <w:bookmarkEnd w:id="35"/>
    <w:p>
      <w:pPr>
        <w:spacing w:after="0" w:line="342" w:lineRule="auto"/>
        <w:rPr>
          <w:sz w:val="20"/>
          <w:szCs w:val="20"/>
          <w:color w:val="auto"/>
        </w:rPr>
      </w:pPr>
      <w:r>
        <w:rPr>
          <w:rFonts w:ascii="Arial" w:cs="Arial" w:eastAsia="Arial" w:hAnsi="Arial"/>
          <w:sz w:val="16"/>
          <w:szCs w:val="16"/>
          <w:color w:val="auto"/>
        </w:rPr>
        <w:t>control procedures related to this new system where appropriate. There were no changes to our internal control over financial reporting that occurred during the quarter ended April 1, 2021 that have materially affected, or are reasonably likely to materially affect, our internal control over financial reporting.</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ind w:right="580" w:firstLine="526"/>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75" w:lineRule="exact"/>
        <w:rPr>
          <w:sz w:val="20"/>
          <w:szCs w:val="20"/>
          <w:color w:val="auto"/>
        </w:rPr>
      </w:pPr>
    </w:p>
    <w:p>
      <w:pPr>
        <w:ind w:right="240" w:firstLine="526"/>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8, 2021 for the fiscal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240" w:firstLine="526"/>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purpose of funding the recipient’s tax withholding obligations.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420" w:type="dxa"/>
            <w:vAlign w:val="bottom"/>
            <w:gridSpan w:val="2"/>
            <w:vMerge w:val="restart"/>
          </w:tcPr>
          <w:p>
            <w:pPr>
              <w:jc w:val="center"/>
              <w:ind w:left="697"/>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Average Price Paid</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Period</w:t>
            </w:r>
          </w:p>
        </w:tc>
        <w:tc>
          <w:tcPr>
            <w:tcW w:w="2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be Purchased under</w:t>
            </w:r>
          </w:p>
        </w:tc>
        <w:tc>
          <w:tcPr>
            <w:tcW w:w="0" w:type="dxa"/>
            <w:vAlign w:val="bottom"/>
          </w:tcPr>
          <w:p>
            <w:pPr>
              <w:spacing w:after="0"/>
              <w:rPr>
                <w:sz w:val="1"/>
                <w:szCs w:val="1"/>
                <w:color w:val="auto"/>
              </w:rPr>
            </w:pPr>
          </w:p>
        </w:tc>
      </w:tr>
      <w:tr>
        <w:trPr>
          <w:trHeight w:val="188"/>
        </w:trPr>
        <w:tc>
          <w:tcPr>
            <w:tcW w:w="4280" w:type="dxa"/>
            <w:vAlign w:val="bottom"/>
            <w:vMerge w:val="continue"/>
          </w:tcPr>
          <w:p>
            <w:pPr>
              <w:spacing w:after="0"/>
              <w:rPr>
                <w:sz w:val="16"/>
                <w:szCs w:val="16"/>
                <w:color w:val="auto"/>
              </w:rPr>
            </w:pPr>
          </w:p>
        </w:tc>
        <w:tc>
          <w:tcPr>
            <w:tcW w:w="2420" w:type="dxa"/>
            <w:vAlign w:val="bottom"/>
            <w:gridSpan w:val="2"/>
          </w:tcPr>
          <w:p>
            <w:pPr>
              <w:jc w:val="center"/>
              <w:ind w:left="697"/>
              <w:spacing w:after="0"/>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Programs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24"/>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2021 through January 28, 2021</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January 29, 2021 through February 25, 2021</w:t>
            </w:r>
          </w:p>
        </w:tc>
        <w:tc>
          <w:tcPr>
            <w:tcW w:w="2320" w:type="dxa"/>
            <w:vAlign w:val="bottom"/>
          </w:tcPr>
          <w:p>
            <w:pPr>
              <w:jc w:val="right"/>
              <w:spacing w:after="0"/>
              <w:rPr>
                <w:sz w:val="20"/>
                <w:szCs w:val="20"/>
                <w:color w:val="auto"/>
              </w:rPr>
            </w:pPr>
            <w:r>
              <w:rPr>
                <w:rFonts w:ascii="Arial" w:cs="Arial" w:eastAsia="Arial" w:hAnsi="Arial"/>
                <w:sz w:val="18"/>
                <w:szCs w:val="18"/>
                <w:color w:val="auto"/>
              </w:rPr>
              <w:t>108,323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40" w:type="dxa"/>
            <w:vAlign w:val="bottom"/>
          </w:tcPr>
          <w:p>
            <w:pPr>
              <w:ind w:left="1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26, 2021 through April 1, 2021</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Reference</w:t>
            </w:r>
          </w:p>
        </w:tc>
        <w:tc>
          <w:tcPr>
            <w:tcW w:w="820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rPr>
              <w:t>(1)</w:t>
            </w:r>
          </w:p>
        </w:tc>
        <w:tc>
          <w:tcPr>
            <w:tcW w:w="300" w:type="dxa"/>
            <w:vAlign w:val="bottom"/>
          </w:tcPr>
          <w:p>
            <w:pPr>
              <w:spacing w:after="0"/>
              <w:rPr>
                <w:sz w:val="24"/>
                <w:szCs w:val="24"/>
                <w:color w:val="auto"/>
              </w:rPr>
            </w:pPr>
          </w:p>
        </w:tc>
        <w:tc>
          <w:tcPr>
            <w:tcW w:w="4240" w:type="dxa"/>
            <w:vAlign w:val="bottom"/>
            <w:tcBorders>
              <w:bottom w:val="single" w:sz="8" w:color="0000FF"/>
            </w:tcBorders>
            <w:gridSpan w:val="2"/>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First Modification to the 2018 Restricted Stock Agreement</w:t>
              </w:r>
            </w:hyperlink>
          </w:p>
        </w:tc>
        <w:tc>
          <w:tcPr>
            <w:tcW w:w="3960" w:type="dxa"/>
            <w:vAlign w:val="bottom"/>
            <w:gridSpan w:val="5"/>
          </w:tcPr>
          <w:p>
            <w:pPr>
              <w:spacing w:after="0"/>
              <w:rPr>
                <w:sz w:val="24"/>
                <w:szCs w:val="24"/>
                <w:color w:val="auto"/>
              </w:rPr>
            </w:pP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rPr>
              <w:t>(2)</w:t>
            </w:r>
          </w:p>
        </w:tc>
        <w:tc>
          <w:tcPr>
            <w:tcW w:w="300" w:type="dxa"/>
            <w:vAlign w:val="bottom"/>
          </w:tcPr>
          <w:p>
            <w:pPr>
              <w:spacing w:after="0"/>
              <w:rPr>
                <w:sz w:val="18"/>
                <w:szCs w:val="18"/>
                <w:color w:val="auto"/>
              </w:rPr>
            </w:pPr>
          </w:p>
        </w:tc>
        <w:tc>
          <w:tcPr>
            <w:tcW w:w="4240" w:type="dxa"/>
            <w:vAlign w:val="bottom"/>
            <w:tcBorders>
              <w:bottom w:val="single" w:sz="8" w:color="0000FF"/>
            </w:tcBorders>
            <w:gridSpan w:val="2"/>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First Modification to the 2019 Restricted Stock Agreement</w:t>
              </w:r>
            </w:hyperlink>
          </w:p>
        </w:tc>
        <w:tc>
          <w:tcPr>
            <w:tcW w:w="3960" w:type="dxa"/>
            <w:vAlign w:val="bottom"/>
            <w:gridSpan w:val="5"/>
          </w:tcPr>
          <w:p>
            <w:pPr>
              <w:spacing w:after="0"/>
              <w:rPr>
                <w:sz w:val="18"/>
                <w:szCs w:val="18"/>
                <w:color w:val="auto"/>
              </w:rPr>
            </w:pP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rPr>
              <w:t>(3)</w:t>
            </w:r>
          </w:p>
        </w:tc>
        <w:tc>
          <w:tcPr>
            <w:tcW w:w="300" w:type="dxa"/>
            <w:vAlign w:val="bottom"/>
          </w:tcPr>
          <w:p>
            <w:pPr>
              <w:spacing w:after="0"/>
              <w:rPr>
                <w:sz w:val="18"/>
                <w:szCs w:val="18"/>
                <w:color w:val="auto"/>
              </w:rPr>
            </w:pPr>
          </w:p>
        </w:tc>
        <w:tc>
          <w:tcPr>
            <w:tcW w:w="4240" w:type="dxa"/>
            <w:vAlign w:val="bottom"/>
            <w:tcBorders>
              <w:bottom w:val="single" w:sz="8" w:color="0000FF"/>
            </w:tcBorders>
            <w:gridSpan w:val="2"/>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First Modification to the 2020 Restricted Stock Agreement</w:t>
              </w:r>
            </w:hyperlink>
          </w:p>
        </w:tc>
        <w:tc>
          <w:tcPr>
            <w:tcW w:w="3960" w:type="dxa"/>
            <w:vAlign w:val="bottom"/>
            <w:gridSpan w:val="5"/>
          </w:tcPr>
          <w:p>
            <w:pPr>
              <w:spacing w:after="0"/>
              <w:rPr>
                <w:sz w:val="18"/>
                <w:szCs w:val="18"/>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0" w:type="dxa"/>
            <w:vAlign w:val="bottom"/>
            <w:gridSpan w:val="7"/>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Amendment No. 2 to the Credit Agreement, dated as of March 8, 2021, by and among National CineMedia, LLC,</w:t>
              </w:r>
            </w:hyperlink>
          </w:p>
        </w:tc>
      </w:tr>
      <w:tr>
        <w:trPr>
          <w:trHeight w:val="156"/>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each lender party thereto, and JPMorgan Chase Bank, N.A., as administrative agent.</w:t>
              </w:r>
            </w:hyperlink>
          </w:p>
        </w:tc>
        <w:tc>
          <w:tcPr>
            <w:tcW w:w="21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30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267">
              <w:r>
                <w:rPr>
                  <w:rFonts w:ascii="Arial" w:cs="Arial" w:eastAsia="Arial" w:hAnsi="Arial"/>
                  <w:sz w:val="18"/>
                  <w:szCs w:val="18"/>
                  <w:color w:val="0000FF"/>
                  <w:w w:val="92"/>
                </w:rPr>
                <w:t>Rule 13a-14(a) Certification of Chief Executive Officer and Interim PFO.</w:t>
              </w:r>
            </w:hyperlink>
          </w:p>
        </w:tc>
        <w:tc>
          <w:tcPr>
            <w:tcW w:w="2900" w:type="dxa"/>
            <w:vAlign w:val="bottom"/>
            <w:gridSpan w:val="4"/>
          </w:tcPr>
          <w:p>
            <w:pPr>
              <w:spacing w:after="0"/>
              <w:rPr>
                <w:sz w:val="18"/>
                <w:szCs w:val="18"/>
                <w:color w:val="auto"/>
              </w:rPr>
            </w:pPr>
          </w:p>
        </w:tc>
      </w:tr>
      <w:tr>
        <w:trPr>
          <w:trHeight w:val="210"/>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7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268">
              <w:r>
                <w:rPr>
                  <w:rFonts w:ascii="Arial" w:cs="Arial" w:eastAsia="Arial" w:hAnsi="Arial"/>
                  <w:sz w:val="18"/>
                  <w:szCs w:val="18"/>
                  <w:color w:val="0000FF"/>
                  <w:w w:val="91"/>
                </w:rPr>
                <w:t>Certification of Chief Executive Officer and Interim PFO Pursuant to 18 U.S.C. Section 1350.</w:t>
              </w:r>
            </w:hyperlink>
          </w:p>
        </w:tc>
        <w:tc>
          <w:tcPr>
            <w:tcW w:w="1420" w:type="dxa"/>
            <w:vAlign w:val="bottom"/>
            <w:gridSpan w:val="2"/>
          </w:tcPr>
          <w:p>
            <w:pPr>
              <w:spacing w:after="0"/>
              <w:rPr>
                <w:sz w:val="18"/>
                <w:szCs w:val="18"/>
                <w:color w:val="auto"/>
              </w:rPr>
            </w:pPr>
          </w:p>
        </w:tc>
      </w:tr>
      <w:tr>
        <w:trPr>
          <w:trHeight w:val="249"/>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w:t>
      </w:r>
    </w:p>
    <w:p>
      <w:pPr>
        <w:spacing w:after="0" w:line="200" w:lineRule="exact"/>
        <w:rPr>
          <w:sz w:val="20"/>
          <w:szCs w:val="20"/>
          <w:color w:val="auto"/>
        </w:rPr>
      </w:pPr>
    </w:p>
    <w:p>
      <w:pPr>
        <w:spacing w:after="0" w:line="228" w:lineRule="exact"/>
        <w:rPr>
          <w:sz w:val="20"/>
          <w:szCs w:val="20"/>
          <w:color w:val="auto"/>
        </w:rPr>
      </w:pPr>
    </w:p>
    <w:p>
      <w:pPr>
        <w:ind w:left="400" w:hanging="374"/>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0" w:hanging="374"/>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400" w:hanging="374"/>
        <w:spacing w:after="0"/>
        <w:tabs>
          <w:tab w:leader="none" w:pos="400"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Exhibits 10.1 to the Company’s current report on Form 8-K (File No. 001-33296) filed on March 4, 2021.</w:t>
      </w:r>
    </w:p>
    <w:p>
      <w:pPr>
        <w:spacing w:after="0" w:line="45" w:lineRule="exact"/>
        <w:rPr>
          <w:rFonts w:ascii="Arial" w:cs="Arial" w:eastAsia="Arial" w:hAnsi="Arial"/>
          <w:sz w:val="16"/>
          <w:szCs w:val="16"/>
          <w:i w:val="1"/>
          <w:iCs w:val="1"/>
          <w:color w:val="auto"/>
        </w:rPr>
      </w:pPr>
    </w:p>
    <w:p>
      <w:pPr>
        <w:ind w:left="400" w:hanging="374"/>
        <w:spacing w:after="0"/>
        <w:tabs>
          <w:tab w:leader="none" w:pos="400"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Exhibits 10.2 to the Company’s current report on Form 8-K (File No. 001-33296) filed on March 4, 2021.</w:t>
      </w:r>
    </w:p>
    <w:p>
      <w:pPr>
        <w:spacing w:after="0" w:line="45" w:lineRule="exact"/>
        <w:rPr>
          <w:rFonts w:ascii="Arial" w:cs="Arial" w:eastAsia="Arial" w:hAnsi="Arial"/>
          <w:sz w:val="16"/>
          <w:szCs w:val="16"/>
          <w:i w:val="1"/>
          <w:iCs w:val="1"/>
          <w:color w:val="auto"/>
        </w:rPr>
      </w:pPr>
    </w:p>
    <w:p>
      <w:pPr>
        <w:ind w:left="400" w:hanging="374"/>
        <w:spacing w:after="0"/>
        <w:tabs>
          <w:tab w:leader="none" w:pos="400"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Exhibits 10.3 to the Company’s current report on Form 8-K (File No. 001-33296) filed on March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4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NATIONAL CINEMEDIA, INC.</w:t>
            </w:r>
          </w:p>
        </w:tc>
      </w:tr>
      <w:tr>
        <w:trPr>
          <w:trHeight w:val="230"/>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9"/>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Date:    May 10, 2021</w:t>
            </w:r>
          </w:p>
        </w:tc>
        <w:tc>
          <w:tcPr>
            <w:tcW w:w="4920" w:type="dxa"/>
            <w:vAlign w:val="bottom"/>
          </w:tcPr>
          <w:p>
            <w:pPr>
              <w:ind w:left="20"/>
              <w:spacing w:after="0"/>
              <w:rPr>
                <w:sz w:val="20"/>
                <w:szCs w:val="20"/>
                <w:color w:val="auto"/>
              </w:rPr>
            </w:pPr>
            <w:r>
              <w:rPr>
                <w:rFonts w:ascii="Arial" w:cs="Arial" w:eastAsia="Arial" w:hAnsi="Arial"/>
                <w:sz w:val="18"/>
                <w:szCs w:val="18"/>
                <w:color w:val="auto"/>
              </w:rPr>
              <w:t>/s/ Thomas F. Lesinski</w:t>
            </w:r>
          </w:p>
        </w:tc>
      </w:tr>
      <w:tr>
        <w:trPr>
          <w:trHeight w:val="222"/>
        </w:trPr>
        <w:tc>
          <w:tcPr>
            <w:tcW w:w="56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Thomas F. Lesinski</w:t>
            </w:r>
          </w:p>
        </w:tc>
      </w:tr>
      <w:tr>
        <w:trPr>
          <w:trHeight w:val="229"/>
        </w:trPr>
        <w:tc>
          <w:tcPr>
            <w:tcW w:w="5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176"/>
        </w:trPr>
        <w:tc>
          <w:tcPr>
            <w:tcW w:w="5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92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(Principal Executive Officer and Interim Principal Financial</w:t>
            </w:r>
          </w:p>
        </w:tc>
      </w:tr>
      <w:tr>
        <w:trPr>
          <w:trHeight w:val="230"/>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93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 to Credit Agreement</w:t>
      </w:r>
    </w:p>
    <w:p>
      <w:pPr>
        <w:spacing w:after="0" w:line="23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This AMENDMENT NO. 2 TO CREDIT AGREEMENT (this “</w:t>
      </w:r>
      <w:r>
        <w:rPr>
          <w:rFonts w:ascii="Arial" w:cs="Arial" w:eastAsia="Arial" w:hAnsi="Arial"/>
          <w:sz w:val="20"/>
          <w:szCs w:val="20"/>
          <w:u w:val="single" w:color="auto"/>
          <w:color w:val="auto"/>
        </w:rPr>
        <w:t>Amendment</w:t>
      </w:r>
      <w:r>
        <w:rPr>
          <w:rFonts w:ascii="Arial" w:cs="Arial" w:eastAsia="Arial" w:hAnsi="Arial"/>
          <w:sz w:val="19"/>
          <w:szCs w:val="19"/>
          <w:color w:val="auto"/>
        </w:rPr>
        <w:t>”) is entered into as of March 8, 2021, among National CineMedia, LLC, a Delaware limited liability company (the “</w:t>
      </w:r>
      <w:r>
        <w:rPr>
          <w:rFonts w:ascii="Arial" w:cs="Arial" w:eastAsia="Arial" w:hAnsi="Arial"/>
          <w:sz w:val="20"/>
          <w:szCs w:val="20"/>
          <w:u w:val="single" w:color="auto"/>
          <w:color w:val="auto"/>
        </w:rPr>
        <w:t>Borrower</w:t>
      </w:r>
      <w:r>
        <w:rPr>
          <w:rFonts w:ascii="Arial" w:cs="Arial" w:eastAsia="Arial" w:hAnsi="Arial"/>
          <w:sz w:val="19"/>
          <w:szCs w:val="19"/>
          <w:color w:val="auto"/>
        </w:rPr>
        <w:t>”), JPMorgan Chase Bank, N.A. (“</w:t>
      </w:r>
      <w:r>
        <w:rPr>
          <w:rFonts w:ascii="Arial" w:cs="Arial" w:eastAsia="Arial" w:hAnsi="Arial"/>
          <w:sz w:val="20"/>
          <w:szCs w:val="20"/>
          <w:u w:val="single" w:color="auto"/>
          <w:color w:val="auto"/>
        </w:rPr>
        <w:t>JPMorgan</w:t>
      </w:r>
      <w:r>
        <w:rPr>
          <w:rFonts w:ascii="Arial" w:cs="Arial" w:eastAsia="Arial" w:hAnsi="Arial"/>
          <w:sz w:val="19"/>
          <w:szCs w:val="19"/>
          <w:color w:val="auto"/>
        </w:rPr>
        <w:t>”),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19"/>
          <w:szCs w:val="19"/>
          <w:color w:val="auto"/>
        </w:rPr>
        <w:t>”) and each of the Lenders (as defined below) party hereto.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 E C I T A L S:</w:t>
      </w:r>
    </w:p>
    <w:p>
      <w:pPr>
        <w:spacing w:after="0" w:line="9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0"/>
          <w:szCs w:val="20"/>
          <w:color w:val="auto"/>
        </w:rPr>
        <w:t>A. The Borrower, the lenders from time to time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the Administrative Agent are parties to the Credit Agreement dated as of June 20, 2018 (as amended by that certain Amendment No. 1 to Credit Agreement, dated as of April 30, 2020, and as further amended, restated, amended and restated, extended, supplemented or otherwise modified prior to the date hereof,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75"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B. The Borrower has requested an amendment to the Credit Agreement that would (a) effect certain modifications thereto as set forth herein and (b) immediately following the effectiveness of such modifications described in clause (a), add a new Incremental Term Facility (the “</w:t>
      </w:r>
      <w:r>
        <w:rPr>
          <w:rFonts w:ascii="Arial" w:cs="Arial" w:eastAsia="Arial" w:hAnsi="Arial"/>
          <w:sz w:val="20"/>
          <w:szCs w:val="20"/>
          <w:u w:val="single" w:color="auto"/>
          <w:color w:val="auto"/>
        </w:rPr>
        <w:t>New Incremental Loan Facility</w:t>
      </w:r>
      <w:r>
        <w:rPr>
          <w:rFonts w:ascii="Arial" w:cs="Arial" w:eastAsia="Arial" w:hAnsi="Arial"/>
          <w:sz w:val="20"/>
          <w:szCs w:val="20"/>
          <w:color w:val="auto"/>
        </w:rPr>
        <w:t xml:space="preserve">”) in an aggregate principal amount of $50,000,000 pursuant to </w:t>
      </w:r>
      <w:r>
        <w:rPr>
          <w:rFonts w:ascii="Arial" w:cs="Arial" w:eastAsia="Arial" w:hAnsi="Arial"/>
          <w:sz w:val="20"/>
          <w:szCs w:val="20"/>
          <w:u w:val="single" w:color="auto"/>
          <w:color w:val="auto"/>
        </w:rPr>
        <w:t>Section 2.25</w:t>
      </w:r>
      <w:r>
        <w:rPr>
          <w:rFonts w:ascii="Arial" w:cs="Arial" w:eastAsia="Arial" w:hAnsi="Arial"/>
          <w:sz w:val="20"/>
          <w:szCs w:val="20"/>
          <w:color w:val="auto"/>
        </w:rPr>
        <w:t xml:space="preserve"> of the Amended Credit Agreement (the commitments provided hereunder, the “</w:t>
      </w:r>
      <w:r>
        <w:rPr>
          <w:rFonts w:ascii="Arial" w:cs="Arial" w:eastAsia="Arial" w:hAnsi="Arial"/>
          <w:sz w:val="20"/>
          <w:szCs w:val="20"/>
          <w:u w:val="single" w:color="auto"/>
          <w:color w:val="auto"/>
        </w:rPr>
        <w:t>New Incremental Loan Commitments</w:t>
      </w:r>
      <w:r>
        <w:rPr>
          <w:rFonts w:ascii="Arial" w:cs="Arial" w:eastAsia="Arial" w:hAnsi="Arial"/>
          <w:sz w:val="20"/>
          <w:szCs w:val="20"/>
          <w:color w:val="auto"/>
        </w:rPr>
        <w:t>” and the loans made pursuant thereto, the “</w:t>
      </w:r>
      <w:r>
        <w:rPr>
          <w:rFonts w:ascii="Arial" w:cs="Arial" w:eastAsia="Arial" w:hAnsi="Arial"/>
          <w:sz w:val="20"/>
          <w:szCs w:val="20"/>
          <w:u w:val="single" w:color="auto"/>
          <w:color w:val="auto"/>
        </w:rPr>
        <w:t>New Incremental Loans</w:t>
      </w:r>
      <w:r>
        <w:rPr>
          <w:rFonts w:ascii="Arial" w:cs="Arial" w:eastAsia="Arial" w:hAnsi="Arial"/>
          <w:sz w:val="20"/>
          <w:szCs w:val="20"/>
          <w:color w:val="auto"/>
        </w:rPr>
        <w:t>”). The Administrative Agent and each Lender party hereto, which constitutes the Required Lenders, consents to this Amendment.</w:t>
      </w:r>
    </w:p>
    <w:p>
      <w:pPr>
        <w:spacing w:after="0" w:line="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 Accordingly, in consideration of the premises made hereunder, and for good and valuable consideration, the receipt and sufficiency of which are hereby acknowledged, the parties hereto, intending to be legally bound, hereby agree as follows:</w:t>
      </w:r>
    </w:p>
    <w:p>
      <w:pPr>
        <w:spacing w:after="0" w:line="69"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8"/>
          <w:szCs w:val="18"/>
          <w:u w:val="single" w:color="auto"/>
          <w:color w:val="auto"/>
        </w:rPr>
        <w:t>Definitions and Interpretation</w:t>
      </w:r>
      <w:r>
        <w:rPr>
          <w:rFonts w:ascii="Arial" w:cs="Arial" w:eastAsia="Arial" w:hAnsi="Arial"/>
          <w:sz w:val="18"/>
          <w:szCs w:val="18"/>
          <w:color w:val="auto"/>
        </w:rPr>
        <w:t>.</w:t>
      </w:r>
    </w:p>
    <w:p>
      <w:pPr>
        <w:spacing w:after="0" w:line="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Definitions</w:t>
      </w:r>
      <w:r>
        <w:rPr>
          <w:rFonts w:ascii="Arial" w:cs="Arial" w:eastAsia="Arial" w:hAnsi="Arial"/>
          <w:sz w:val="20"/>
          <w:szCs w:val="20"/>
          <w:color w:val="auto"/>
        </w:rPr>
        <w:t>. Unless otherwise defined in this Amendment, capitalized terms used herein shall have the meanings given to them in the Credit Agreement as amended by this Amendment (the “</w:t>
      </w:r>
      <w:r>
        <w:rPr>
          <w:rFonts w:ascii="Arial" w:cs="Arial" w:eastAsia="Arial" w:hAnsi="Arial"/>
          <w:sz w:val="20"/>
          <w:szCs w:val="20"/>
          <w:u w:val="single" w:color="auto"/>
          <w:color w:val="auto"/>
        </w:rPr>
        <w:t>Amended Credit Agreement</w:t>
      </w:r>
      <w:r>
        <w:rPr>
          <w:rFonts w:ascii="Arial" w:cs="Arial" w:eastAsia="Arial" w:hAnsi="Arial"/>
          <w:sz w:val="20"/>
          <w:szCs w:val="20"/>
          <w:color w:val="auto"/>
        </w:rPr>
        <w:t>”).</w:t>
      </w:r>
    </w:p>
    <w:p>
      <w:pPr>
        <w:spacing w:after="0" w:line="6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Interpretation</w:t>
      </w:r>
      <w:r>
        <w:rPr>
          <w:rFonts w:ascii="Arial" w:cs="Arial" w:eastAsia="Arial" w:hAnsi="Arial"/>
          <w:sz w:val="20"/>
          <w:szCs w:val="20"/>
          <w:color w:val="auto"/>
        </w:rPr>
        <w:t>. This Amendment shall be construed and interpreted in accordance with the rules of construction set forth in Sections 1.2 of the Amended Credit Agreement.</w:t>
      </w:r>
    </w:p>
    <w:p>
      <w:pPr>
        <w:spacing w:after="0" w:line="69"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8"/>
          <w:szCs w:val="18"/>
          <w:u w:val="single" w:color="auto"/>
          <w:color w:val="auto"/>
        </w:rPr>
        <w:t>Incremental Commitment</w:t>
      </w:r>
      <w:r>
        <w:rPr>
          <w:rFonts w:ascii="Arial" w:cs="Arial" w:eastAsia="Arial" w:hAnsi="Arial"/>
          <w:sz w:val="18"/>
          <w:szCs w:val="18"/>
          <w:color w:val="auto"/>
        </w:rPr>
        <w: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94" w:lineRule="exact"/>
        <w:rPr>
          <w:sz w:val="20"/>
          <w:szCs w:val="20"/>
          <w:color w:val="auto"/>
        </w:rPr>
      </w:pPr>
    </w:p>
    <w:p>
      <w:pPr>
        <w:jc w:val="both"/>
        <w:ind w:left="1300" w:hanging="320"/>
        <w:spacing w:after="0" w:line="263" w:lineRule="auto"/>
        <w:tabs>
          <w:tab w:leader="none" w:pos="12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Lenders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(collectively, the “</w:t>
      </w:r>
      <w:r>
        <w:rPr>
          <w:rFonts w:ascii="Arial" w:cs="Arial" w:eastAsia="Arial" w:hAnsi="Arial"/>
          <w:sz w:val="18"/>
          <w:szCs w:val="18"/>
          <w:u w:val="single" w:color="auto"/>
          <w:color w:val="auto"/>
        </w:rPr>
        <w:t>New Incremental Loan Lenders</w:t>
      </w:r>
      <w:r>
        <w:rPr>
          <w:rFonts w:ascii="Arial" w:cs="Arial" w:eastAsia="Arial" w:hAnsi="Arial"/>
          <w:sz w:val="18"/>
          <w:szCs w:val="18"/>
          <w:color w:val="auto"/>
        </w:rPr>
        <w:t xml:space="preserve">”) hereby commit to provide to the Borrower with the New Incremental Loan Facility, on the terms of, and in accordance with, this Amendment, the Amended Credit Agreement and the other Loan Documents. Subject solely to the conditions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of the Amended Credit Agreement, the New Incremental Loan Lenders shall establish the New Incremental Loan Facility and fund the New Incremental Loans promptly following the occurrence of the Amendment No. 2 Effective Date.</w:t>
      </w:r>
    </w:p>
    <w:p>
      <w:pPr>
        <w:spacing w:after="0" w:line="53" w:lineRule="exact"/>
        <w:rPr>
          <w:rFonts w:ascii="Arial" w:cs="Arial" w:eastAsia="Arial" w:hAnsi="Arial"/>
          <w:sz w:val="18"/>
          <w:szCs w:val="18"/>
          <w:color w:val="auto"/>
        </w:rPr>
      </w:pPr>
    </w:p>
    <w:p>
      <w:pPr>
        <w:jc w:val="both"/>
        <w:ind w:left="1300" w:hanging="320"/>
        <w:spacing w:after="0" w:line="231" w:lineRule="auto"/>
        <w:tabs>
          <w:tab w:leader="none" w:pos="1288"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The terms and provisions of the New Incremental Loan Commitments and the New Incremental Loans shall be identical to the terms and provisions of the Initial Term Loan Commitments and the Initial Term Loans existing under the Credit Agreement except for additional terms, rights, remedies, privileges and protections applicable only to the New Incremental Loans as provided in this Amendment and the Amended Credit Agreement and any other related terms will have correlative meanings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with the terms in the Amended Credit Agreement except to the extent set forth in this Amendment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6" w:right="339" w:bottom="1440" w:gutter="0" w:footer="0" w:header="0"/>
        </w:sectPr>
      </w:pPr>
    </w:p>
    <w:bookmarkStart w:id="39" w:name="page40"/>
    <w:bookmarkEnd w:id="39"/>
    <w:p>
      <w:pPr>
        <w:spacing w:after="0" w:line="8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and the Amended Credit Agreement. The New Incremental Loans shall rank pari passu with the other Obligations.</w:t>
      </w:r>
    </w:p>
    <w:p>
      <w:pPr>
        <w:spacing w:after="0" w:line="106" w:lineRule="exact"/>
        <w:rPr>
          <w:sz w:val="20"/>
          <w:szCs w:val="20"/>
          <w:color w:val="auto"/>
        </w:rPr>
      </w:pPr>
    </w:p>
    <w:p>
      <w:pPr>
        <w:jc w:val="both"/>
        <w:ind w:left="960" w:hanging="320"/>
        <w:spacing w:after="0" w:line="229" w:lineRule="auto"/>
        <w:tabs>
          <w:tab w:leader="none" w:pos="950" w:val="left"/>
        </w:tabs>
        <w:numPr>
          <w:ilvl w:val="0"/>
          <w:numId w:val="26"/>
        </w:numPr>
        <w:rPr>
          <w:rFonts w:ascii="Arial" w:cs="Arial" w:eastAsia="Arial" w:hAnsi="Arial"/>
          <w:sz w:val="20"/>
          <w:szCs w:val="20"/>
          <w:color w:val="auto"/>
        </w:rPr>
      </w:pPr>
      <w:r>
        <w:rPr>
          <w:rFonts w:ascii="Arial" w:cs="Arial" w:eastAsia="Arial" w:hAnsi="Arial"/>
          <w:sz w:val="20"/>
          <w:szCs w:val="20"/>
          <w:color w:val="auto"/>
        </w:rPr>
        <w:t>Without limiting the generality of the foregoing and except as may otherwise be set forth in this Amendment, the New Incremental Loans shall: (i) constitute Obligations and have all of the benefits thereof, (ii) have terms, rights, remedies, privileges and protections identical to those applicable to the Initial Term Loans under the Credit Agreement and each of the other Loan Documents, except for additional terms, rights, remedies, privileges and protections applicable only to the New Incremental Loans as provided in this Amendment and the Amended Credit Agreement, (iii) will not trade fungibly with the existing Initial Term Loans and (iv) be secured and guaranteed on a pari passu basis by the Liens granted to the Administrative Agent for the benefit of the Secured Parties and the guarantees of the Obligations, in each case under the Guarantee and Collateral Agreement and each other Security Document and by certain other Liens described in this Amendment.</w:t>
      </w:r>
    </w:p>
    <w:p>
      <w:pPr>
        <w:spacing w:after="0" w:line="77" w:lineRule="exact"/>
        <w:rPr>
          <w:rFonts w:ascii="Arial" w:cs="Arial" w:eastAsia="Arial" w:hAnsi="Arial"/>
          <w:sz w:val="20"/>
          <w:szCs w:val="20"/>
          <w:color w:val="auto"/>
        </w:rPr>
      </w:pPr>
    </w:p>
    <w:p>
      <w:pPr>
        <w:jc w:val="both"/>
        <w:ind w:left="960" w:hanging="320"/>
        <w:spacing w:after="0" w:line="234" w:lineRule="auto"/>
        <w:tabs>
          <w:tab w:leader="none" w:pos="9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Unless otherwise provided in the Amended Credit Agreement or any other Loan Document, the reference to a “Term Loan” or “Loan”, or to “Term Loans” or “Loans”, in the Credit Agreement shall be deemed to include any New Incremental Loans made pursuant to the New Incremental Loan Commitments and references to Term Loan Lenders shall also include the New Incremental Loan Lenders.</w:t>
      </w:r>
    </w:p>
    <w:p>
      <w:pPr>
        <w:spacing w:after="0" w:line="75" w:lineRule="exact"/>
        <w:rPr>
          <w:rFonts w:ascii="Arial" w:cs="Arial" w:eastAsia="Arial" w:hAnsi="Arial"/>
          <w:sz w:val="20"/>
          <w:szCs w:val="20"/>
          <w:color w:val="auto"/>
        </w:rPr>
      </w:pPr>
    </w:p>
    <w:p>
      <w:pPr>
        <w:jc w:val="both"/>
        <w:ind w:left="960" w:hanging="320"/>
        <w:spacing w:after="0" w:line="234" w:lineRule="auto"/>
        <w:tabs>
          <w:tab w:leader="none" w:pos="95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After giving effect to the terms of this Amendment (other than those relating the New Incremental Loans), each Lender party hereto (which constitutes the Required Lenders) and the Administrative Agent hereby approve all the terms of the New Incremental Loans and agree that all conditions to the establishment thereof set forth in the Amended Credit Agreement are hereby satisfied or waived.</w:t>
      </w:r>
    </w:p>
    <w:p>
      <w:pPr>
        <w:spacing w:after="0" w:line="75" w:lineRule="exact"/>
        <w:rPr>
          <w:sz w:val="20"/>
          <w:szCs w:val="20"/>
          <w:color w:val="auto"/>
        </w:rPr>
      </w:pPr>
    </w:p>
    <w:p>
      <w:pPr>
        <w:jc w:val="both"/>
        <w:ind w:left="320" w:hanging="323"/>
        <w:spacing w:after="0" w:line="246"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New Incremental Loan Lenders</w:t>
      </w:r>
      <w:r>
        <w:rPr>
          <w:rFonts w:ascii="Arial" w:cs="Arial" w:eastAsia="Arial" w:hAnsi="Arial"/>
          <w:sz w:val="19"/>
          <w:szCs w:val="19"/>
          <w:color w:val="auto"/>
        </w:rPr>
        <w:t xml:space="preserve">. Each New Incremental Loan Lender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this Amendment hereby severally and not jointly commits to provide its respective New Incremental Loan Commitment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On the New Incremental Loan Funding Date, and subject solely to the conditions set forth in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of the Amended Credit Agreement, each New Incremental Loan Lender shall make New Incremental Loans to the Borrower, in an aggregate principal amount equal to (but not to exceed) such New Incremental Loan Lender’s New Incremental Loan Commitment.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Additional Provisions; Amendments to Loan Documents</w:t>
      </w:r>
      <w:r>
        <w:rPr>
          <w:rFonts w:ascii="Arial" w:cs="Arial" w:eastAsia="Arial" w:hAnsi="Arial"/>
          <w:sz w:val="20"/>
          <w:szCs w:val="20"/>
          <w:color w:val="auto"/>
        </w:rPr>
        <w:t>.</w:t>
      </w:r>
    </w:p>
    <w:p>
      <w:pPr>
        <w:spacing w:after="0" w:line="94" w:lineRule="exact"/>
        <w:rPr>
          <w:sz w:val="20"/>
          <w:szCs w:val="20"/>
          <w:color w:val="auto"/>
        </w:rPr>
      </w:pPr>
    </w:p>
    <w:p>
      <w:pPr>
        <w:jc w:val="both"/>
        <w:ind w:left="960" w:right="20" w:hanging="320"/>
        <w:spacing w:after="0" w:line="254" w:lineRule="auto"/>
        <w:tabs>
          <w:tab w:leader="none" w:pos="950" w:val="left"/>
        </w:tabs>
        <w:numPr>
          <w:ilvl w:val="0"/>
          <w:numId w:val="27"/>
        </w:numPr>
        <w:rPr>
          <w:rFonts w:ascii="Arial" w:cs="Arial" w:eastAsia="Arial" w:hAnsi="Arial"/>
          <w:sz w:val="19"/>
          <w:szCs w:val="19"/>
          <w:color w:val="auto"/>
        </w:rPr>
      </w:pPr>
      <w:r>
        <w:rPr>
          <w:rFonts w:ascii="Arial" w:cs="Arial" w:eastAsia="Arial" w:hAnsi="Arial"/>
          <w:sz w:val="19"/>
          <w:szCs w:val="19"/>
          <w:color w:val="auto"/>
        </w:rPr>
        <w:t>Unless previously terminated, the New Incremental Loan Commitments shall terminate immediately after the making of the New Incremental Loans to the Borrower on the New Incremental Funding Loan Date and the Administrative Agent is hereby authorized to mark the Register accordingly to reflect the loans and adjustments set forth herein.</w:t>
      </w:r>
    </w:p>
    <w:p>
      <w:pPr>
        <w:spacing w:after="0" w:line="62" w:lineRule="exact"/>
        <w:rPr>
          <w:rFonts w:ascii="Arial" w:cs="Arial" w:eastAsia="Arial" w:hAnsi="Arial"/>
          <w:sz w:val="19"/>
          <w:szCs w:val="19"/>
          <w:color w:val="auto"/>
        </w:rPr>
      </w:pPr>
    </w:p>
    <w:p>
      <w:pPr>
        <w:jc w:val="both"/>
        <w:ind w:left="960" w:hanging="320"/>
        <w:spacing w:after="0" w:line="231" w:lineRule="auto"/>
        <w:tabs>
          <w:tab w:leader="none" w:pos="9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Effective as of the Amendment No. 2 Effective Date, the Credit Agreement is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underlined text (indicated textually in the same manner as the following example: </w:t>
      </w:r>
      <w:r>
        <w:rPr>
          <w:rFonts w:ascii="Arial" w:cs="Arial" w:eastAsia="Arial" w:hAnsi="Arial"/>
          <w:sz w:val="20"/>
          <w:szCs w:val="20"/>
          <w:b w:val="1"/>
          <w:bCs w:val="1"/>
          <w:u w:val="single" w:color="auto"/>
          <w:color w:val="0000FF"/>
        </w:rPr>
        <w:t>double-underlined text</w:t>
      </w:r>
      <w:r>
        <w:rPr>
          <w:rFonts w:ascii="Arial" w:cs="Arial" w:eastAsia="Arial" w:hAnsi="Arial"/>
          <w:sz w:val="20"/>
          <w:szCs w:val="20"/>
          <w:color w:val="auto"/>
        </w:rPr>
        <w:t xml:space="preserve">) as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References in the Credit Agreement (including references to the Credit Agreement as amended hereby) to “this Agreement” (and indirect references such as “hereunder”, “hereby”, “herein” and “hereof”) shall be deemed to be references to the Credit Agreement as amended hereby.</w:t>
      </w:r>
    </w:p>
    <w:p>
      <w:pPr>
        <w:spacing w:after="0" w:line="75" w:lineRule="exact"/>
        <w:rPr>
          <w:rFonts w:ascii="Arial" w:cs="Arial" w:eastAsia="Arial" w:hAnsi="Arial"/>
          <w:sz w:val="20"/>
          <w:szCs w:val="20"/>
          <w:color w:val="auto"/>
        </w:rPr>
      </w:pPr>
    </w:p>
    <w:p>
      <w:pPr>
        <w:ind w:left="960" w:hanging="320"/>
        <w:spacing w:after="0"/>
        <w:tabs>
          <w:tab w:leader="none" w:pos="9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definition of “Excluded Collateral” in the Guarantee and Collateral Agreement is hereby amended as follows: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00"/>
          </w:cols>
          <w:pgMar w:left="660" w:top="1440" w:right="339" w:bottom="1440" w:gutter="0" w:footer="0" w:header="0"/>
        </w:sectPr>
      </w:pPr>
    </w:p>
    <w:bookmarkStart w:id="40" w:name="page41"/>
    <w:bookmarkEnd w:id="40"/>
    <w:p>
      <w:pPr>
        <w:spacing w:after="0" w:line="73"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500" w:type="dxa"/>
            <w:vAlign w:val="bottom"/>
          </w:tcPr>
          <w:p>
            <w:pPr>
              <w:jc w:val="right"/>
              <w:ind w:right="61"/>
              <w:spacing w:after="0"/>
              <w:rPr>
                <w:sz w:val="20"/>
                <w:szCs w:val="20"/>
                <w:color w:val="auto"/>
              </w:rPr>
            </w:pPr>
            <w:r>
              <w:rPr>
                <w:rFonts w:ascii="Arial" w:cs="Arial" w:eastAsia="Arial" w:hAnsi="Arial"/>
                <w:sz w:val="20"/>
                <w:szCs w:val="20"/>
                <w:color w:val="auto"/>
              </w:rPr>
              <w:t>(i.)</w:t>
            </w:r>
          </w:p>
        </w:tc>
        <w:tc>
          <w:tcPr>
            <w:tcW w:w="9460" w:type="dxa"/>
            <w:vAlign w:val="bottom"/>
            <w:gridSpan w:val="5"/>
          </w:tcPr>
          <w:p>
            <w:pPr>
              <w:ind w:left="180"/>
              <w:spacing w:after="0"/>
              <w:rPr>
                <w:sz w:val="20"/>
                <w:szCs w:val="20"/>
                <w:color w:val="auto"/>
              </w:rPr>
            </w:pPr>
            <w:r>
              <w:rPr>
                <w:rFonts w:ascii="Arial" w:cs="Arial" w:eastAsia="Arial" w:hAnsi="Arial"/>
                <w:sz w:val="20"/>
                <w:szCs w:val="20"/>
                <w:color w:val="auto"/>
                <w:w w:val="90"/>
              </w:rPr>
              <w:t>to fully amend and restate clause (ii) as follows: “the Capital Stock of any Excluded Subsidiary, to the extent that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460" w:type="dxa"/>
            <w:vAlign w:val="bottom"/>
            <w:gridSpan w:val="5"/>
          </w:tcPr>
          <w:p>
            <w:pPr>
              <w:ind w:left="180"/>
              <w:spacing w:after="0" w:line="216" w:lineRule="exact"/>
              <w:rPr>
                <w:sz w:val="20"/>
                <w:szCs w:val="20"/>
                <w:color w:val="auto"/>
              </w:rPr>
            </w:pPr>
            <w:r>
              <w:rPr>
                <w:rFonts w:ascii="Arial" w:cs="Arial" w:eastAsia="Arial" w:hAnsi="Arial"/>
                <w:sz w:val="20"/>
                <w:szCs w:val="20"/>
                <w:color w:val="auto"/>
                <w:w w:val="95"/>
              </w:rPr>
              <w:t>organizational documents thereof or other contractual arrangements relating thereto, provide that the grant or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460" w:type="dxa"/>
            <w:vAlign w:val="bottom"/>
            <w:gridSpan w:val="5"/>
          </w:tcPr>
          <w:p>
            <w:pPr>
              <w:ind w:left="180"/>
              <w:spacing w:after="0" w:line="216" w:lineRule="exact"/>
              <w:rPr>
                <w:sz w:val="20"/>
                <w:szCs w:val="20"/>
                <w:color w:val="auto"/>
              </w:rPr>
            </w:pPr>
            <w:r>
              <w:rPr>
                <w:rFonts w:ascii="Arial" w:cs="Arial" w:eastAsia="Arial" w:hAnsi="Arial"/>
                <w:sz w:val="20"/>
                <w:szCs w:val="20"/>
                <w:color w:val="auto"/>
                <w:w w:val="98"/>
              </w:rPr>
              <w:t>perfection of a security interest therein would (A) constitute a violation thereof or result in an abandonment,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460" w:type="dxa"/>
            <w:vAlign w:val="bottom"/>
            <w:gridSpan w:val="5"/>
          </w:tcPr>
          <w:p>
            <w:pPr>
              <w:ind w:left="180"/>
              <w:spacing w:after="0" w:line="216" w:lineRule="exact"/>
              <w:rPr>
                <w:sz w:val="20"/>
                <w:szCs w:val="20"/>
                <w:color w:val="auto"/>
              </w:rPr>
            </w:pPr>
            <w:r>
              <w:rPr>
                <w:rFonts w:ascii="Arial" w:cs="Arial" w:eastAsia="Arial" w:hAnsi="Arial"/>
                <w:sz w:val="20"/>
                <w:szCs w:val="20"/>
                <w:color w:val="auto"/>
                <w:w w:val="90"/>
              </w:rPr>
              <w:t>invalidation or unenforceability of any right or assets of the relevant Loan Party or (B) result in a breach, termination</w:t>
            </w:r>
          </w:p>
        </w:tc>
        <w:tc>
          <w:tcPr>
            <w:tcW w:w="0" w:type="dxa"/>
            <w:vAlign w:val="bottom"/>
          </w:tcPr>
          <w:p>
            <w:pPr>
              <w:spacing w:after="0"/>
              <w:rPr>
                <w:sz w:val="1"/>
                <w:szCs w:val="1"/>
                <w:color w:val="auto"/>
              </w:rPr>
            </w:pPr>
          </w:p>
        </w:tc>
      </w:tr>
      <w:tr>
        <w:trPr>
          <w:trHeight w:val="206"/>
        </w:trPr>
        <w:tc>
          <w:tcPr>
            <w:tcW w:w="500" w:type="dxa"/>
            <w:vAlign w:val="bottom"/>
          </w:tcPr>
          <w:p>
            <w:pPr>
              <w:spacing w:after="0"/>
              <w:rPr>
                <w:sz w:val="17"/>
                <w:szCs w:val="17"/>
                <w:color w:val="auto"/>
              </w:rPr>
            </w:pPr>
          </w:p>
        </w:tc>
        <w:tc>
          <w:tcPr>
            <w:tcW w:w="9460" w:type="dxa"/>
            <w:vAlign w:val="bottom"/>
            <w:gridSpan w:val="5"/>
          </w:tcPr>
          <w:p>
            <w:pPr>
              <w:ind w:left="180"/>
              <w:spacing w:after="0" w:line="206" w:lineRule="exact"/>
              <w:rPr>
                <w:sz w:val="20"/>
                <w:szCs w:val="20"/>
                <w:color w:val="auto"/>
              </w:rPr>
            </w:pPr>
            <w:r>
              <w:rPr>
                <w:rFonts w:ascii="Arial" w:cs="Arial" w:eastAsia="Arial" w:hAnsi="Arial"/>
                <w:sz w:val="20"/>
                <w:szCs w:val="20"/>
                <w:color w:val="auto"/>
                <w:w w:val="94"/>
              </w:rPr>
              <w:t>(or right of termination) or default under such contract, instrument or other document, provided, however, that in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300" w:type="dxa"/>
            <w:vAlign w:val="bottom"/>
            <w:vMerge w:val="restart"/>
          </w:tcPr>
          <w:p>
            <w:pPr>
              <w:ind w:left="180"/>
              <w:spacing w:after="0" w:line="227" w:lineRule="exact"/>
              <w:rPr>
                <w:sz w:val="20"/>
                <w:szCs w:val="20"/>
                <w:color w:val="auto"/>
              </w:rPr>
            </w:pPr>
            <w:r>
              <w:rPr>
                <w:rFonts w:ascii="Arial" w:cs="Arial" w:eastAsia="Arial" w:hAnsi="Arial"/>
                <w:sz w:val="20"/>
                <w:szCs w:val="20"/>
                <w:color w:val="auto"/>
                <w:w w:val="94"/>
              </w:rPr>
              <w:t>respect of any Bona Fide Joint Venture, this clause (ii) is only applicable to the extent</w:t>
            </w: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 w:type="dxa"/>
            <w:vAlign w:val="bottom"/>
          </w:tcPr>
          <w:p>
            <w:pPr>
              <w:spacing w:after="0"/>
              <w:rPr>
                <w:sz w:val="17"/>
                <w:szCs w:val="17"/>
                <w:color w:val="auto"/>
              </w:rPr>
            </w:pPr>
          </w:p>
        </w:tc>
        <w:tc>
          <w:tcPr>
            <w:tcW w:w="7300" w:type="dxa"/>
            <w:vAlign w:val="bottom"/>
            <w:vMerge w:val="continue"/>
          </w:tcPr>
          <w:p>
            <w:pPr>
              <w:spacing w:after="0"/>
              <w:rPr>
                <w:sz w:val="17"/>
                <w:szCs w:val="17"/>
                <w:color w:val="auto"/>
              </w:rPr>
            </w:pPr>
          </w:p>
        </w:tc>
        <w:tc>
          <w:tcPr>
            <w:tcW w:w="2160" w:type="dxa"/>
            <w:vAlign w:val="bottom"/>
            <w:gridSpan w:val="4"/>
          </w:tcPr>
          <w:p>
            <w:pPr>
              <w:ind w:left="180"/>
              <w:spacing w:after="0" w:line="207" w:lineRule="exact"/>
              <w:rPr>
                <w:sz w:val="20"/>
                <w:szCs w:val="20"/>
                <w:color w:val="auto"/>
              </w:rPr>
            </w:pPr>
            <w:r>
              <w:rPr>
                <w:rFonts w:ascii="Arial" w:cs="Arial" w:eastAsia="Arial" w:hAnsi="Arial"/>
                <w:sz w:val="20"/>
                <w:szCs w:val="20"/>
                <w:color w:val="auto"/>
                <w:w w:val="96"/>
              </w:rPr>
              <w:t>that the Borrower or its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460" w:type="dxa"/>
            <w:vAlign w:val="bottom"/>
            <w:gridSpan w:val="5"/>
          </w:tcPr>
          <w:p>
            <w:pPr>
              <w:ind w:left="180"/>
              <w:spacing w:after="0" w:line="216" w:lineRule="exact"/>
              <w:rPr>
                <w:sz w:val="20"/>
                <w:szCs w:val="20"/>
                <w:color w:val="auto"/>
              </w:rPr>
            </w:pPr>
            <w:r>
              <w:rPr>
                <w:rFonts w:ascii="Arial" w:cs="Arial" w:eastAsia="Arial" w:hAnsi="Arial"/>
                <w:sz w:val="20"/>
                <w:szCs w:val="20"/>
                <w:color w:val="auto"/>
                <w:w w:val="91"/>
              </w:rPr>
              <w:t>applicable Subsidiary has used commercially reasonable efforts to be permitted to pledge the Capital Stock of such</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9460" w:type="dxa"/>
            <w:vAlign w:val="bottom"/>
            <w:gridSpan w:val="5"/>
          </w:tcPr>
          <w:p>
            <w:pPr>
              <w:ind w:left="180"/>
              <w:spacing w:after="0"/>
              <w:rPr>
                <w:sz w:val="20"/>
                <w:szCs w:val="20"/>
                <w:color w:val="auto"/>
              </w:rPr>
            </w:pPr>
            <w:r>
              <w:rPr>
                <w:rFonts w:ascii="Arial" w:cs="Arial" w:eastAsia="Arial" w:hAnsi="Arial"/>
                <w:sz w:val="20"/>
                <w:szCs w:val="20"/>
                <w:color w:val="auto"/>
              </w:rPr>
              <w:t>Bona Fide Joint Venture,”</w:t>
            </w:r>
          </w:p>
        </w:tc>
        <w:tc>
          <w:tcPr>
            <w:tcW w:w="0" w:type="dxa"/>
            <w:vAlign w:val="bottom"/>
          </w:tcPr>
          <w:p>
            <w:pPr>
              <w:spacing w:after="0"/>
              <w:rPr>
                <w:sz w:val="1"/>
                <w:szCs w:val="1"/>
                <w:color w:val="auto"/>
              </w:rPr>
            </w:pPr>
          </w:p>
        </w:tc>
      </w:tr>
      <w:tr>
        <w:trPr>
          <w:trHeight w:val="290"/>
        </w:trPr>
        <w:tc>
          <w:tcPr>
            <w:tcW w:w="500" w:type="dxa"/>
            <w:vAlign w:val="bottom"/>
          </w:tcPr>
          <w:p>
            <w:pPr>
              <w:jc w:val="right"/>
              <w:ind w:right="61"/>
              <w:spacing w:after="0"/>
              <w:rPr>
                <w:sz w:val="20"/>
                <w:szCs w:val="20"/>
                <w:color w:val="auto"/>
              </w:rPr>
            </w:pPr>
            <w:r>
              <w:rPr>
                <w:rFonts w:ascii="Arial" w:cs="Arial" w:eastAsia="Arial" w:hAnsi="Arial"/>
                <w:sz w:val="20"/>
                <w:szCs w:val="20"/>
                <w:color w:val="auto"/>
              </w:rPr>
              <w:t>(ii.)</w:t>
            </w:r>
          </w:p>
        </w:tc>
        <w:tc>
          <w:tcPr>
            <w:tcW w:w="9460" w:type="dxa"/>
            <w:vAlign w:val="bottom"/>
            <w:gridSpan w:val="5"/>
          </w:tcPr>
          <w:p>
            <w:pPr>
              <w:ind w:left="180"/>
              <w:spacing w:after="0"/>
              <w:rPr>
                <w:sz w:val="20"/>
                <w:szCs w:val="20"/>
                <w:color w:val="auto"/>
              </w:rPr>
            </w:pPr>
            <w:r>
              <w:rPr>
                <w:rFonts w:ascii="Arial" w:cs="Arial" w:eastAsia="Arial" w:hAnsi="Arial"/>
                <w:sz w:val="20"/>
                <w:szCs w:val="20"/>
                <w:color w:val="auto"/>
                <w:w w:val="91"/>
              </w:rPr>
              <w:t>to fully amend and restate clause (iv) as follows: “except with respect to the Capital Stock of any foreign Subsidiary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460" w:type="dxa"/>
            <w:vAlign w:val="bottom"/>
            <w:gridSpan w:val="5"/>
          </w:tcPr>
          <w:p>
            <w:pPr>
              <w:ind w:left="180"/>
              <w:spacing w:after="0" w:line="216" w:lineRule="exact"/>
              <w:rPr>
                <w:sz w:val="20"/>
                <w:szCs w:val="20"/>
                <w:color w:val="auto"/>
              </w:rPr>
            </w:pPr>
            <w:r>
              <w:rPr>
                <w:rFonts w:ascii="Arial" w:cs="Arial" w:eastAsia="Arial" w:hAnsi="Arial"/>
                <w:sz w:val="20"/>
                <w:szCs w:val="20"/>
                <w:color w:val="auto"/>
                <w:w w:val="93"/>
              </w:rPr>
              <w:t>owned directly by a Grantor, any asset, the granting of a pledge or security interest in which could reasonably be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9460" w:type="dxa"/>
            <w:vAlign w:val="bottom"/>
            <w:gridSpan w:val="5"/>
          </w:tcPr>
          <w:p>
            <w:pPr>
              <w:ind w:left="180"/>
              <w:spacing w:after="0" w:line="216" w:lineRule="exact"/>
              <w:rPr>
                <w:sz w:val="20"/>
                <w:szCs w:val="20"/>
                <w:color w:val="auto"/>
              </w:rPr>
            </w:pPr>
            <w:r>
              <w:rPr>
                <w:rFonts w:ascii="Arial" w:cs="Arial" w:eastAsia="Arial" w:hAnsi="Arial"/>
                <w:sz w:val="20"/>
                <w:szCs w:val="20"/>
                <w:color w:val="auto"/>
                <w:w w:val="88"/>
              </w:rPr>
              <w:t>expected to result in material adverse tax consequences for any Grantor as reasonably determined by the Borrower in</w:t>
            </w: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9460" w:type="dxa"/>
            <w:vAlign w:val="bottom"/>
            <w:gridSpan w:val="5"/>
          </w:tcPr>
          <w:p>
            <w:pPr>
              <w:ind w:left="180"/>
              <w:spacing w:after="0"/>
              <w:rPr>
                <w:sz w:val="20"/>
                <w:szCs w:val="20"/>
                <w:color w:val="auto"/>
              </w:rPr>
            </w:pPr>
            <w:r>
              <w:rPr>
                <w:rFonts w:ascii="Arial" w:cs="Arial" w:eastAsia="Arial" w:hAnsi="Arial"/>
                <w:sz w:val="20"/>
                <w:szCs w:val="20"/>
                <w:color w:val="auto"/>
              </w:rPr>
              <w:t>consultation with the Administrative Agent (acting at the direction of the Required Lenders),” and</w:t>
            </w:r>
          </w:p>
        </w:tc>
        <w:tc>
          <w:tcPr>
            <w:tcW w:w="0" w:type="dxa"/>
            <w:vAlign w:val="bottom"/>
          </w:tcPr>
          <w:p>
            <w:pPr>
              <w:spacing w:after="0"/>
              <w:rPr>
                <w:sz w:val="1"/>
                <w:szCs w:val="1"/>
                <w:color w:val="auto"/>
              </w:rPr>
            </w:pPr>
          </w:p>
        </w:tc>
      </w:tr>
      <w:tr>
        <w:trPr>
          <w:trHeight w:val="324"/>
        </w:trPr>
        <w:tc>
          <w:tcPr>
            <w:tcW w:w="500" w:type="dxa"/>
            <w:vAlign w:val="bottom"/>
          </w:tcPr>
          <w:p>
            <w:pPr>
              <w:jc w:val="right"/>
              <w:ind w:right="61"/>
              <w:spacing w:after="0"/>
              <w:rPr>
                <w:sz w:val="20"/>
                <w:szCs w:val="20"/>
                <w:color w:val="auto"/>
              </w:rPr>
            </w:pPr>
            <w:r>
              <w:rPr>
                <w:rFonts w:ascii="Arial" w:cs="Arial" w:eastAsia="Arial" w:hAnsi="Arial"/>
                <w:sz w:val="20"/>
                <w:szCs w:val="20"/>
                <w:color w:val="auto"/>
                <w:w w:val="99"/>
              </w:rPr>
              <w:t>(iii.)</w:t>
            </w:r>
          </w:p>
        </w:tc>
        <w:tc>
          <w:tcPr>
            <w:tcW w:w="9460" w:type="dxa"/>
            <w:vAlign w:val="bottom"/>
            <w:gridSpan w:val="5"/>
          </w:tcPr>
          <w:p>
            <w:pPr>
              <w:ind w:left="180"/>
              <w:spacing w:after="0"/>
              <w:rPr>
                <w:sz w:val="20"/>
                <w:szCs w:val="20"/>
                <w:color w:val="auto"/>
              </w:rPr>
            </w:pPr>
            <w:r>
              <w:rPr>
                <w:rFonts w:ascii="Arial" w:cs="Arial" w:eastAsia="Arial" w:hAnsi="Arial"/>
                <w:sz w:val="20"/>
                <w:szCs w:val="20"/>
                <w:color w:val="auto"/>
              </w:rPr>
              <w:t>to fully amend and restate clause (vii) as follows: “any Excluded Account”; and</w:t>
            </w:r>
          </w:p>
        </w:tc>
        <w:tc>
          <w:tcPr>
            <w:tcW w:w="0" w:type="dxa"/>
            <w:vAlign w:val="bottom"/>
          </w:tcPr>
          <w:p>
            <w:pPr>
              <w:spacing w:after="0"/>
              <w:rPr>
                <w:sz w:val="1"/>
                <w:szCs w:val="1"/>
                <w:color w:val="auto"/>
              </w:rPr>
            </w:pPr>
          </w:p>
        </w:tc>
      </w:tr>
      <w:tr>
        <w:trPr>
          <w:trHeight w:val="324"/>
        </w:trPr>
        <w:tc>
          <w:tcPr>
            <w:tcW w:w="500" w:type="dxa"/>
            <w:vAlign w:val="bottom"/>
          </w:tcPr>
          <w:p>
            <w:pPr>
              <w:jc w:val="right"/>
              <w:ind w:right="61"/>
              <w:spacing w:after="0"/>
              <w:rPr>
                <w:sz w:val="20"/>
                <w:szCs w:val="20"/>
                <w:color w:val="auto"/>
              </w:rPr>
            </w:pPr>
            <w:r>
              <w:rPr>
                <w:rFonts w:ascii="Arial" w:cs="Arial" w:eastAsia="Arial" w:hAnsi="Arial"/>
                <w:sz w:val="20"/>
                <w:szCs w:val="20"/>
                <w:color w:val="auto"/>
                <w:w w:val="95"/>
              </w:rPr>
              <w:t>(iv.)</w:t>
            </w:r>
          </w:p>
        </w:tc>
        <w:tc>
          <w:tcPr>
            <w:tcW w:w="9460" w:type="dxa"/>
            <w:vAlign w:val="bottom"/>
            <w:gridSpan w:val="5"/>
          </w:tcPr>
          <w:p>
            <w:pPr>
              <w:ind w:left="160"/>
              <w:spacing w:after="0"/>
              <w:rPr>
                <w:sz w:val="20"/>
                <w:szCs w:val="20"/>
                <w:color w:val="auto"/>
              </w:rPr>
            </w:pPr>
            <w:r>
              <w:rPr>
                <w:rFonts w:ascii="Arial" w:cs="Arial" w:eastAsia="Arial" w:hAnsi="Arial"/>
                <w:sz w:val="20"/>
                <w:szCs w:val="20"/>
                <w:color w:val="auto"/>
              </w:rPr>
              <w:t>to fully amend and restate clause (viii) as follows: “[reserved]”;</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both"/>
        <w:ind w:left="960" w:hanging="320"/>
        <w:spacing w:after="0" w:line="248" w:lineRule="auto"/>
        <w:tabs>
          <w:tab w:leader="none" w:pos="948"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This Amendment constitutes an “Incremental Amendment” under the Credit Agreement. Each Lender party hereto, which constitutes the Required Lenders, hereby waives any conditions precedent to the making of the New Incremental Loans in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of the Credit Agreement and any other terms, conditions and/or requirements relating to Incremental Amendments and/or Incremental Facilities set forth in the Credit Agreement.</w:t>
      </w:r>
    </w:p>
    <w:p>
      <w:pPr>
        <w:spacing w:after="0" w:line="69" w:lineRule="exact"/>
        <w:rPr>
          <w:sz w:val="20"/>
          <w:szCs w:val="20"/>
          <w:color w:val="auto"/>
        </w:rPr>
      </w:pPr>
    </w:p>
    <w:p>
      <w:pPr>
        <w:jc w:val="both"/>
        <w:ind w:left="320" w:hanging="323"/>
        <w:spacing w:after="0" w:line="231"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Grant of Additional Security Interest</w:t>
      </w:r>
      <w:r>
        <w:rPr>
          <w:rFonts w:ascii="Arial" w:cs="Arial" w:eastAsia="Arial" w:hAnsi="Arial"/>
          <w:sz w:val="20"/>
          <w:szCs w:val="20"/>
          <w:color w:val="auto"/>
        </w:rPr>
        <w:t>. The Borrower hereby pledges, hypothecates and grants to the Administrative Agent for the ratable benefit of the Secured Parties a security interest in, and lien on, all of the following property now owned or at any time hereafter acquired by the Borrower or in which the Borrower has or at any time in the future may acquire any right, title or interest, as collateral security for the prompt and complete payment and performance when due (whether at stated maturity, by acceleration or otherwise) of the Obligations (in each case, other than to the extent the following would constitute Excluded Collateral after giving effect to this Amendment):</w:t>
      </w:r>
    </w:p>
    <w:p>
      <w:pPr>
        <w:spacing w:after="0" w:line="76" w:lineRule="exact"/>
        <w:rPr>
          <w:sz w:val="20"/>
          <w:szCs w:val="20"/>
          <w:color w:val="auto"/>
        </w:rPr>
      </w:pPr>
    </w:p>
    <w:p>
      <w:pPr>
        <w:ind w:left="960" w:hanging="320"/>
        <w:spacing w:after="0" w:line="246" w:lineRule="auto"/>
        <w:tabs>
          <w:tab w:leader="none" w:pos="95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Capital Stock of any Foreign Subsidiary and the Capital Stock of any entity that is not a Material Wholly Owned Domestic Subsidiary;</w:t>
      </w:r>
    </w:p>
    <w:p>
      <w:pPr>
        <w:spacing w:after="0" w:line="68" w:lineRule="exact"/>
        <w:rPr>
          <w:rFonts w:ascii="Arial" w:cs="Arial" w:eastAsia="Arial" w:hAnsi="Arial"/>
          <w:sz w:val="20"/>
          <w:szCs w:val="20"/>
          <w:color w:val="auto"/>
        </w:rPr>
      </w:pPr>
    </w:p>
    <w:p>
      <w:pPr>
        <w:ind w:left="960" w:hanging="320"/>
        <w:spacing w:after="0" w:line="300" w:lineRule="auto"/>
        <w:tabs>
          <w:tab w:leader="none" w:pos="94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Commercial Tort Claims (as defined in the UCC) with a value in excess of $1,000,000 and described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(as shall be promptly updated by a Loan Party upon such Loan Party acquiring rights to any Commercial Tort Claim);</w:t>
      </w:r>
    </w:p>
    <w:p>
      <w:pPr>
        <w:spacing w:after="0" w:line="22" w:lineRule="exact"/>
        <w:rPr>
          <w:rFonts w:ascii="Arial" w:cs="Arial" w:eastAsia="Arial" w:hAnsi="Arial"/>
          <w:sz w:val="18"/>
          <w:szCs w:val="18"/>
          <w:color w:val="auto"/>
        </w:rPr>
      </w:pPr>
    </w:p>
    <w:p>
      <w:pPr>
        <w:ind w:left="960" w:hanging="320"/>
        <w:spacing w:after="0"/>
        <w:tabs>
          <w:tab w:leader="none" w:pos="9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Securities Accounts (as defined in the UCC) (but excluding any Excluded Account); and</w:t>
      </w:r>
    </w:p>
    <w:p>
      <w:pPr>
        <w:spacing w:after="0" w:line="94" w:lineRule="exact"/>
        <w:rPr>
          <w:rFonts w:ascii="Arial" w:cs="Arial" w:eastAsia="Arial" w:hAnsi="Arial"/>
          <w:sz w:val="20"/>
          <w:szCs w:val="20"/>
          <w:color w:val="auto"/>
        </w:rPr>
      </w:pPr>
    </w:p>
    <w:p>
      <w:pPr>
        <w:jc w:val="both"/>
        <w:ind w:left="960" w:right="20" w:hanging="320"/>
        <w:spacing w:after="0" w:line="237" w:lineRule="auto"/>
        <w:tabs>
          <w:tab w:leader="none" w:pos="9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all Proceeds and products of each of the foregoing and all accessions to, substitutions and replacements for, and rents, profits and products of, each of the foregoing, and any and all Proceeds of any insurance, indemnity, warranty or guaranty payable to any Loan Party from time to time with respect to any of the foregoing.</w:t>
      </w:r>
    </w:p>
    <w:p>
      <w:pPr>
        <w:spacing w:after="0" w:line="75" w:lineRule="exact"/>
        <w:rPr>
          <w:sz w:val="20"/>
          <w:szCs w:val="20"/>
          <w:color w:val="auto"/>
        </w:rPr>
      </w:pPr>
    </w:p>
    <w:p>
      <w:pPr>
        <w:jc w:val="both"/>
        <w:ind w:left="320" w:hanging="323"/>
        <w:spacing w:after="0" w:line="254" w:lineRule="auto"/>
        <w:rPr>
          <w:sz w:val="20"/>
          <w:szCs w:val="20"/>
          <w:color w:val="auto"/>
        </w:rPr>
      </w:pPr>
      <w:r>
        <w:rPr>
          <w:rFonts w:ascii="Arial" w:cs="Arial" w:eastAsia="Arial" w:hAnsi="Arial"/>
          <w:sz w:val="20"/>
          <w:szCs w:val="20"/>
          <w:color w:val="auto"/>
        </w:rPr>
        <w:t>Section 3.</w:t>
      </w:r>
      <w:r>
        <w:rPr>
          <w:sz w:val="20"/>
          <w:szCs w:val="20"/>
          <w:color w:val="auto"/>
        </w:rPr>
        <w:t xml:space="preserve"> </w:t>
      </w:r>
      <w:r>
        <w:rPr>
          <w:rFonts w:ascii="Arial" w:cs="Arial" w:eastAsia="Arial" w:hAnsi="Arial"/>
          <w:sz w:val="19"/>
          <w:szCs w:val="19"/>
          <w:u w:val="single" w:color="auto"/>
          <w:color w:val="auto"/>
        </w:rPr>
        <w:t>Conditions to Effectiveness</w:t>
      </w:r>
      <w:r>
        <w:rPr>
          <w:rFonts w:ascii="Arial" w:cs="Arial" w:eastAsia="Arial" w:hAnsi="Arial"/>
          <w:sz w:val="19"/>
          <w:szCs w:val="19"/>
          <w:color w:val="auto"/>
        </w:rPr>
        <w:t>. This Amendment shall be legal, valid and binding on (and as of) the date hereof, and subject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the last paragraph of this Section 3, the amendments implemented pursuant to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2.3(c)</w:t>
      </w:r>
      <w:r>
        <w:rPr>
          <w:rFonts w:ascii="Arial" w:cs="Arial" w:eastAsia="Arial" w:hAnsi="Arial"/>
          <w:sz w:val="19"/>
          <w:szCs w:val="19"/>
          <w:color w:val="auto"/>
        </w:rPr>
        <w:t xml:space="preserve"> hereof shall become effective immediately upon the time at which the following conditions precedent are satisfied or waived by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00"/>
          </w:cols>
          <w:pgMar w:left="660" w:top="1440" w:right="339" w:bottom="1440" w:gutter="0" w:footer="0" w:header="0"/>
        </w:sectPr>
      </w:pPr>
    </w:p>
    <w:bookmarkStart w:id="41" w:name="page42"/>
    <w:bookmarkEnd w:id="41"/>
    <w:p>
      <w:pPr>
        <w:spacing w:after="0" w:line="8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Administrative Agent at the direction of the Required Lenders (without giving effect to the New Incremental Loan Commitments held by JPMorgan for purposes of determining Required Lenders at such time) (the date of such satisfaction, the “</w:t>
      </w:r>
      <w:r>
        <w:rPr>
          <w:rFonts w:ascii="Arial" w:cs="Arial" w:eastAsia="Arial" w:hAnsi="Arial"/>
          <w:sz w:val="20"/>
          <w:szCs w:val="20"/>
          <w:u w:val="single" w:color="auto"/>
          <w:color w:val="auto"/>
        </w:rPr>
        <w:t>Amendment No. 2</w:t>
      </w:r>
      <w:r>
        <w:rPr>
          <w:rFonts w:ascii="Arial" w:cs="Arial" w:eastAsia="Arial" w:hAnsi="Arial"/>
          <w:sz w:val="20"/>
          <w:szCs w:val="20"/>
          <w:color w:val="auto"/>
        </w:rPr>
        <w:t xml:space="preserv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75" w:lineRule="exact"/>
        <w:rPr>
          <w:sz w:val="20"/>
          <w:szCs w:val="20"/>
          <w:color w:val="auto"/>
        </w:rPr>
      </w:pPr>
    </w:p>
    <w:p>
      <w:pPr>
        <w:ind w:left="640" w:hanging="320"/>
        <w:spacing w:after="0" w:line="246" w:lineRule="auto"/>
        <w:tabs>
          <w:tab w:leader="none" w:pos="63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Administrative Agent shall have received each of the following, each in form and substance reasonably satisfactory to the Required Lenders and the New Incremental Loan Lenders:</w:t>
      </w:r>
    </w:p>
    <w:p>
      <w:pPr>
        <w:spacing w:after="0" w:line="68" w:lineRule="exact"/>
        <w:rPr>
          <w:rFonts w:ascii="Arial" w:cs="Arial" w:eastAsia="Arial" w:hAnsi="Arial"/>
          <w:sz w:val="20"/>
          <w:szCs w:val="20"/>
          <w:color w:val="auto"/>
        </w:rPr>
      </w:pPr>
    </w:p>
    <w:p>
      <w:pPr>
        <w:jc w:val="both"/>
        <w:ind w:left="1300" w:hanging="518"/>
        <w:spacing w:after="0" w:line="232" w:lineRule="auto"/>
        <w:tabs>
          <w:tab w:leader="none" w:pos="13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counterparts of this Amendment duly executed by the Borrower, the Administrative Agent, the Lenders that constitute the Required Lenders (determined without giving effect to any New Incremental Loan Commitments held by JPMorgan, but it being understood that the funding of the New Incremental Loans by JPMorgan are approved under this Amendment, and the New Incremental Loans and New Incremental Loan Commitments are hereby voted in favor of this Amendment);</w:t>
      </w:r>
    </w:p>
    <w:p>
      <w:pPr>
        <w:spacing w:after="0" w:line="76" w:lineRule="exact"/>
        <w:rPr>
          <w:rFonts w:ascii="Arial" w:cs="Arial" w:eastAsia="Arial" w:hAnsi="Arial"/>
          <w:sz w:val="20"/>
          <w:szCs w:val="20"/>
          <w:color w:val="auto"/>
        </w:rPr>
      </w:pPr>
    </w:p>
    <w:p>
      <w:pPr>
        <w:jc w:val="both"/>
        <w:ind w:left="1300" w:hanging="574"/>
        <w:spacing w:after="0" w:line="242" w:lineRule="auto"/>
        <w:tabs>
          <w:tab w:leader="none" w:pos="1300" w:val="left"/>
        </w:tabs>
        <w:numPr>
          <w:ilvl w:val="1"/>
          <w:numId w:val="30"/>
        </w:numPr>
        <w:rPr>
          <w:rFonts w:ascii="Arial" w:cs="Arial" w:eastAsia="Arial" w:hAnsi="Arial"/>
          <w:sz w:val="19"/>
          <w:szCs w:val="19"/>
          <w:color w:val="auto"/>
        </w:rPr>
      </w:pPr>
      <w:r>
        <w:rPr>
          <w:rFonts w:ascii="Arial" w:cs="Arial" w:eastAsia="Arial" w:hAnsi="Arial"/>
          <w:sz w:val="19"/>
          <w:szCs w:val="19"/>
          <w:color w:val="auto"/>
        </w:rPr>
        <w:t>(A) such customary certificates of resolutions or other action, incumbency certificates and/or other certificates of Responsible Officers of the Borrower as the Administrative Agent may reasonably require evidencing the identity, authority and capacity of each Responsible Officer thereof authorized to act as a Responsible Officer in connection with this Amendment and (B) such documents and certificates (including applicable organizational documents) and, if applicable, good standing certificates in the jurisdiction of organization of the applicable Loan Party) as the Administrative Agent may reasonably require to evidence that each Loan Party is duly organized and formed, and that each of them is validly existing and in good standing, except to the extent that failure to be so qualified could not reasonably be expected to have a Material Adverse Effect; and</w:t>
      </w:r>
    </w:p>
    <w:p>
      <w:pPr>
        <w:spacing w:after="0" w:line="73" w:lineRule="exact"/>
        <w:rPr>
          <w:rFonts w:ascii="Arial" w:cs="Arial" w:eastAsia="Arial" w:hAnsi="Arial"/>
          <w:sz w:val="19"/>
          <w:szCs w:val="19"/>
          <w:color w:val="auto"/>
        </w:rPr>
      </w:pPr>
    </w:p>
    <w:p>
      <w:pPr>
        <w:ind w:left="1300" w:hanging="628"/>
        <w:spacing w:after="0"/>
        <w:tabs>
          <w:tab w:leader="none" w:pos="13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a solvency certificate signed by an officer, director or authorized signatory of the Borrower.</w:t>
      </w:r>
    </w:p>
    <w:p>
      <w:pPr>
        <w:spacing w:after="0" w:line="94" w:lineRule="exact"/>
        <w:rPr>
          <w:rFonts w:ascii="Arial" w:cs="Arial" w:eastAsia="Arial" w:hAnsi="Arial"/>
          <w:sz w:val="20"/>
          <w:szCs w:val="20"/>
          <w:color w:val="auto"/>
        </w:rPr>
      </w:pPr>
    </w:p>
    <w:p>
      <w:pPr>
        <w:jc w:val="both"/>
        <w:ind w:left="640" w:hanging="320"/>
        <w:spacing w:after="0" w:line="234" w:lineRule="auto"/>
        <w:tabs>
          <w:tab w:leader="none" w:pos="628"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Opinion</w:t>
      </w:r>
      <w:r>
        <w:rPr>
          <w:rFonts w:ascii="Arial" w:cs="Arial" w:eastAsia="Arial" w:hAnsi="Arial"/>
          <w:sz w:val="20"/>
          <w:szCs w:val="20"/>
          <w:color w:val="auto"/>
        </w:rPr>
        <w:t>. The Administrative Agent shall have received favorable written opinions of (i) Davis Polk &amp; Wardell LLP, as special New York counsel for the Borrower (addressed to the Administrative Agent and the Lenders and dated the Closing Date), and (ii) Potter Anderson &amp; Corroon LLP, as special Delaware Counsel for the Borrower (addressed to the Administrative Agent and the Lenders and dated the Amendment No. 2 Effective Date).</w:t>
      </w:r>
    </w:p>
    <w:p>
      <w:pPr>
        <w:spacing w:after="0" w:line="75" w:lineRule="exact"/>
        <w:rPr>
          <w:rFonts w:ascii="Arial" w:cs="Arial" w:eastAsia="Arial" w:hAnsi="Arial"/>
          <w:sz w:val="20"/>
          <w:szCs w:val="20"/>
          <w:color w:val="auto"/>
        </w:rPr>
      </w:pPr>
    </w:p>
    <w:p>
      <w:pPr>
        <w:jc w:val="both"/>
        <w:ind w:left="640" w:hanging="320"/>
        <w:spacing w:after="0" w:line="229" w:lineRule="auto"/>
        <w:tabs>
          <w:tab w:leader="none" w:pos="63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The Borrower shall have paid the following costs, fees and expenses: (i) applicable consent fees owed to Lenders constituting the Required Lenders, (ii) fees and expenses owed to JPMorgan (or its applicable Affiliate) in accordance with the engagement letter relating to this Amendment No. 2, (iii) the costs, fees and expenses owed to Gibson, Dunn &amp; Crutcher LLP, as legal counsel to a certain ad hoc group of lenders, and BDO Consulting Group, LLC, as financial advisor to a certain ad hoc group of lenders, in each case to the extent invoiced in writing delivered to the Borrower at least one (1) Business Day prior to the date hereof, and (iv) the costs, fees and expenses owed to Milbank LLP, as legal counsel to the Administrative Agent, to the extent invoiced in writing delivered to the Borrower at least one (1) Business Day prior to the date hereof.</w:t>
      </w:r>
    </w:p>
    <w:p>
      <w:pPr>
        <w:spacing w:after="0" w:line="80" w:lineRule="exact"/>
        <w:rPr>
          <w:rFonts w:ascii="Arial" w:cs="Arial" w:eastAsia="Arial" w:hAnsi="Arial"/>
          <w:sz w:val="20"/>
          <w:szCs w:val="20"/>
          <w:color w:val="auto"/>
        </w:rPr>
      </w:pPr>
    </w:p>
    <w:p>
      <w:pPr>
        <w:ind w:left="640" w:hanging="320"/>
        <w:spacing w:after="0" w:line="246" w:lineRule="auto"/>
        <w:tabs>
          <w:tab w:leader="none" w:pos="628"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The Borrower shall have prepared and provided to the Administrative Agent a customary certificate certifying to the matters set forth in </w:t>
      </w:r>
      <w:r>
        <w:rPr>
          <w:rFonts w:ascii="Arial" w:cs="Arial" w:eastAsia="Arial" w:hAnsi="Arial"/>
          <w:sz w:val="20"/>
          <w:szCs w:val="20"/>
          <w:u w:val="single" w:color="auto"/>
          <w:color w:val="auto"/>
        </w:rPr>
        <w:t>Sections 4.5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4.6</w:t>
      </w:r>
      <w:r>
        <w:rPr>
          <w:rFonts w:ascii="Arial" w:cs="Arial" w:eastAsia="Arial" w:hAnsi="Arial"/>
          <w:sz w:val="20"/>
          <w:szCs w:val="20"/>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0"/>
          </w:cols>
          <w:pgMar w:left="980" w:top="1440" w:right="339" w:bottom="1440" w:gutter="0" w:footer="0" w:header="0"/>
        </w:sectPr>
      </w:pPr>
    </w:p>
    <w:bookmarkStart w:id="42" w:name="page43"/>
    <w:bookmarkEnd w:id="42"/>
    <w:p>
      <w:pPr>
        <w:spacing w:after="0" w:line="87"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 xml:space="preserve">Notwithstanding the foregoing, for purposes of determining compliance with, and satisfaction of, the conditions specified in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the Administrative Agent and each Lender that has signed this Amendment shall be deemed to have consented to, approved or accepted or to be satisfied with, each document or other matter required hereunder (except with respect to confirmation of receipt of the funds by the Required Lenders and the professional advisors specified in </w:t>
      </w:r>
      <w:r>
        <w:rPr>
          <w:rFonts w:ascii="Arial" w:cs="Arial" w:eastAsia="Arial" w:hAnsi="Arial"/>
          <w:sz w:val="20"/>
          <w:szCs w:val="20"/>
          <w:u w:val="single" w:color="auto"/>
          <w:color w:val="auto"/>
        </w:rPr>
        <w:t>Section 3(c)</w:t>
      </w:r>
      <w:r>
        <w:rPr>
          <w:rFonts w:ascii="Arial" w:cs="Arial" w:eastAsia="Arial" w:hAnsi="Arial"/>
          <w:sz w:val="20"/>
          <w:szCs w:val="20"/>
          <w:color w:val="auto"/>
        </w:rPr>
        <w:t xml:space="preserve"> hereof, any waiver of which shall be as determined by the Person owed such amount). The Administrative Agent shall notify the Borrower and the Lenders of the Amendment No. 2 Effective Date, and such notice shall be conclusive and binding.</w:t>
      </w:r>
    </w:p>
    <w:p>
      <w:pPr>
        <w:spacing w:after="0" w:line="76" w:lineRule="exact"/>
        <w:rPr>
          <w:sz w:val="20"/>
          <w:szCs w:val="20"/>
          <w:color w:val="auto"/>
        </w:rPr>
      </w:pPr>
    </w:p>
    <w:p>
      <w:pPr>
        <w:jc w:val="both"/>
        <w:ind w:left="660" w:right="20" w:hanging="323"/>
        <w:spacing w:after="0" w:line="246"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The Borrower represents and warrants to the Administrative Agent and the Lenders party hereto as follows:</w:t>
      </w:r>
    </w:p>
    <w:p>
      <w:pPr>
        <w:spacing w:after="0" w:line="69" w:lineRule="exact"/>
        <w:rPr>
          <w:sz w:val="20"/>
          <w:szCs w:val="20"/>
          <w:color w:val="auto"/>
        </w:rPr>
      </w:pPr>
    </w:p>
    <w:p>
      <w:pPr>
        <w:jc w:val="both"/>
        <w:ind w:left="660" w:hanging="323"/>
        <w:spacing w:after="0" w:line="237"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Power and Authority</w:t>
      </w:r>
      <w:r>
        <w:rPr>
          <w:rFonts w:ascii="Arial" w:cs="Arial" w:eastAsia="Arial" w:hAnsi="Arial"/>
          <w:sz w:val="20"/>
          <w:szCs w:val="20"/>
          <w:color w:val="auto"/>
        </w:rPr>
        <w:t>. It has the limited liability company power and authority to, and the legal right to, make, execute and deliver this Amendment and to perform its obligations under this Amendment and under the Amended Credit Agreement and other Loan Documents to which it is a party.</w:t>
      </w:r>
    </w:p>
    <w:p>
      <w:pPr>
        <w:spacing w:after="0" w:line="75" w:lineRule="exact"/>
        <w:rPr>
          <w:sz w:val="20"/>
          <w:szCs w:val="20"/>
          <w:color w:val="auto"/>
        </w:rPr>
      </w:pPr>
    </w:p>
    <w:p>
      <w:pPr>
        <w:jc w:val="both"/>
        <w:ind w:left="660" w:hanging="323"/>
        <w:spacing w:after="0" w:line="25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Authorization</w:t>
      </w:r>
      <w:r>
        <w:rPr>
          <w:rFonts w:ascii="Arial" w:cs="Arial" w:eastAsia="Arial" w:hAnsi="Arial"/>
          <w:sz w:val="19"/>
          <w:szCs w:val="19"/>
          <w:color w:val="auto"/>
        </w:rPr>
        <w:t>. It has taken all proper and necessary limited liability company action to authorize the execution, delivery and performance of this Amendment and the other transactions contemplated hereby and the performance of the Amended Credit Agreement and the other Loan Documents and to authorize the borrowings on the terms and conditions of this Amendment.</w:t>
      </w:r>
    </w:p>
    <w:p>
      <w:pPr>
        <w:spacing w:after="0" w:line="62" w:lineRule="exact"/>
        <w:rPr>
          <w:sz w:val="20"/>
          <w:szCs w:val="20"/>
          <w:color w:val="auto"/>
        </w:rPr>
      </w:pPr>
    </w:p>
    <w:p>
      <w:pPr>
        <w:jc w:val="both"/>
        <w:ind w:left="660" w:hanging="323"/>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Non-Violation</w:t>
      </w:r>
      <w:r>
        <w:rPr>
          <w:rFonts w:ascii="Arial" w:cs="Arial" w:eastAsia="Arial" w:hAnsi="Arial"/>
          <w:sz w:val="18"/>
          <w:szCs w:val="18"/>
          <w:color w:val="auto"/>
        </w:rPr>
        <w:t>. The execution and delivery of this Amendment and the performance and observance by it of the provisions hereof do not and will not (i) violate the Organizational Documents of the Borrower, (ii) violate any Requirement of Law of the Borrower or any of its Subsidiaries, as such may be applicable to or binding on each except, to the extent any such violations, individually or in the aggregate, would not reasonably be expected to result in a Material Adverse Effect, (iii) constitute a default under any Contractual Obligations of the Borrower or any of its Subsidiaries, as such may be applicable to or binding on each, except to the extent such default could not reasonably be expected to result in a Material Adverse Effect, and (iv) will not result in, or require, the creation or imposition of any Lien on any of their respective properties or revenues pursuant to any such Requirement of Law or any such Contractual Obligation (other than the Liens permitted by the Amended Credit Agreement).</w:t>
      </w:r>
    </w:p>
    <w:p>
      <w:pPr>
        <w:spacing w:after="0" w:line="63" w:lineRule="exact"/>
        <w:rPr>
          <w:sz w:val="20"/>
          <w:szCs w:val="20"/>
          <w:color w:val="auto"/>
        </w:rPr>
      </w:pPr>
    </w:p>
    <w:p>
      <w:pPr>
        <w:jc w:val="both"/>
        <w:ind w:left="660" w:hanging="323"/>
        <w:spacing w:after="0" w:line="26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Validity and Binding Effect</w:t>
      </w:r>
      <w:r>
        <w:rPr>
          <w:rFonts w:ascii="Arial" w:cs="Arial" w:eastAsia="Arial" w:hAnsi="Arial"/>
          <w:sz w:val="18"/>
          <w:szCs w:val="18"/>
          <w:color w:val="auto"/>
        </w:rPr>
        <w:t>. This Amendment has been duly executed and delivered by the Borrower. On the Amendment No. 2 Effective Date, this Amendment shall constitute a legal, valid and binding obligation of each Loan Party that is a party hereto, enforceable against each such Loan Party in accordance with its terms, except as enforceability may be limited by applicable Debtor Relief Laws and by general equitable principles (whether enforcement is sought by proceedings in equity or at law).</w:t>
      </w:r>
    </w:p>
    <w:p>
      <w:pPr>
        <w:spacing w:after="0" w:line="51" w:lineRule="exact"/>
        <w:rPr>
          <w:sz w:val="20"/>
          <w:szCs w:val="20"/>
          <w:color w:val="auto"/>
        </w:rPr>
      </w:pPr>
    </w:p>
    <w:p>
      <w:pPr>
        <w:jc w:val="both"/>
        <w:ind w:left="660" w:hanging="323"/>
        <w:spacing w:after="0" w:line="244"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Representations and Warranties in Credit Agreement</w:t>
      </w:r>
      <w:r>
        <w:rPr>
          <w:rFonts w:ascii="Arial" w:cs="Arial" w:eastAsia="Arial" w:hAnsi="Arial"/>
          <w:sz w:val="19"/>
          <w:szCs w:val="19"/>
          <w:color w:val="auto"/>
        </w:rPr>
        <w:t xml:space="preserve">. After giving effect to this Amendment, the representations and warranties of each Loan Party contained in the Amended Credit Agreement and each Loan Document are true and correct in all material respects as of the Amendment No. 2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such representations and warranties specifically relate to an earlier date, they shall be true and correct in all material respects as of such earlier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71" w:lineRule="exact"/>
        <w:rPr>
          <w:sz w:val="20"/>
          <w:szCs w:val="20"/>
          <w:color w:val="auto"/>
        </w:rPr>
      </w:pPr>
    </w:p>
    <w:p>
      <w:pPr>
        <w:jc w:val="both"/>
        <w:ind w:left="660" w:hanging="323"/>
        <w:spacing w:after="0" w:line="237"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No Event of Default</w:t>
      </w:r>
      <w:r>
        <w:rPr>
          <w:rFonts w:ascii="Arial" w:cs="Arial" w:eastAsia="Arial" w:hAnsi="Arial"/>
          <w:sz w:val="20"/>
          <w:szCs w:val="20"/>
          <w:color w:val="auto"/>
        </w:rPr>
        <w:t>. On the Amendment No. 2 Effective Date, both immediately prior to and immediately after giving effect to this Amendment and both immediately prior to and immediately after the making of the New Incremental Loans, no Default or Event of Default shall have occurred or is continuing.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43" w:name="page44"/>
    <w:bookmarkEnd w:id="43"/>
    <w:p>
      <w:pPr>
        <w:spacing w:after="0" w:line="87" w:lineRule="exact"/>
        <w:rPr>
          <w:sz w:val="20"/>
          <w:szCs w:val="20"/>
          <w:color w:val="auto"/>
        </w:rPr>
      </w:pPr>
    </w:p>
    <w:p>
      <w:pPr>
        <w:jc w:val="both"/>
        <w:ind w:left="320" w:hanging="323"/>
        <w:spacing w:after="0" w:line="26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Consent</w:t>
      </w:r>
      <w:r>
        <w:rPr>
          <w:rFonts w:ascii="Arial" w:cs="Arial" w:eastAsia="Arial" w:hAnsi="Arial"/>
          <w:sz w:val="18"/>
          <w:szCs w:val="18"/>
          <w:color w:val="auto"/>
        </w:rPr>
        <w:t>. No consent, exemption, authorization or approval of, registration or filing with, notice or any other action by, any Governmental Authority or any other Person is required on the part of or with respect to the Borrower in connection with this Amendment, or the execution, delivery, performance, validity or enforceability of this Amendment or any other Loan Document, except consents, authorizations, filings and notices which have been obtained or made and are in full force and effect.</w:t>
      </w:r>
    </w:p>
    <w:p>
      <w:pPr>
        <w:spacing w:after="0" w:line="51" w:lineRule="exact"/>
        <w:rPr>
          <w:sz w:val="20"/>
          <w:szCs w:val="20"/>
          <w:color w:val="auto"/>
        </w:rPr>
      </w:pPr>
    </w:p>
    <w:p>
      <w:pPr>
        <w:jc w:val="both"/>
        <w:ind w:left="320" w:hanging="323"/>
        <w:spacing w:after="0" w:line="244" w:lineRule="auto"/>
        <w:rPr>
          <w:sz w:val="20"/>
          <w:szCs w:val="20"/>
          <w:color w:val="auto"/>
        </w:rPr>
      </w:pPr>
      <w:r>
        <w:rPr>
          <w:rFonts w:ascii="Arial" w:cs="Arial" w:eastAsia="Arial" w:hAnsi="Arial"/>
          <w:sz w:val="20"/>
          <w:szCs w:val="20"/>
          <w:color w:val="auto"/>
        </w:rPr>
        <w:t>Section 5.</w:t>
      </w:r>
      <w:r>
        <w:rPr>
          <w:sz w:val="20"/>
          <w:szCs w:val="20"/>
          <w:color w:val="auto"/>
        </w:rPr>
        <w:t xml:space="preserve"> </w:t>
      </w:r>
      <w:r>
        <w:rPr>
          <w:rFonts w:ascii="Arial" w:cs="Arial" w:eastAsia="Arial" w:hAnsi="Arial"/>
          <w:sz w:val="19"/>
          <w:szCs w:val="19"/>
          <w:u w:val="single" w:color="auto"/>
          <w:color w:val="auto"/>
        </w:rPr>
        <w:t>Reaffirmation of the Guarantee and Security Interest</w:t>
      </w:r>
      <w:r>
        <w:rPr>
          <w:rFonts w:ascii="Arial" w:cs="Arial" w:eastAsia="Arial" w:hAnsi="Arial"/>
          <w:sz w:val="19"/>
          <w:szCs w:val="19"/>
          <w:color w:val="auto"/>
        </w:rPr>
        <w:t>. The Borrower hereby expressly acknowledges the terms of this</w:t>
      </w:r>
      <w:r>
        <w:rPr>
          <w:rFonts w:ascii="Arial" w:cs="Arial" w:eastAsia="Arial" w:hAnsi="Arial"/>
          <w:sz w:val="19"/>
          <w:szCs w:val="19"/>
          <w:u w:val="single" w:color="auto"/>
          <w:color w:val="auto"/>
        </w:rPr>
        <w:t xml:space="preserve"> </w:t>
      </w:r>
      <w:r>
        <w:rPr>
          <w:rFonts w:ascii="Arial" w:cs="Arial" w:eastAsia="Arial" w:hAnsi="Arial"/>
          <w:sz w:val="19"/>
          <w:szCs w:val="19"/>
          <w:color w:val="auto"/>
        </w:rPr>
        <w:t>Amendment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(ii) its guarantee of the Obligations under the Guarantee and Collateral Agreement and (iii) its grant of Liens on the Collateral to the Collateral Agent for the benefit of the Lenders to secure the prompt payment and performance in full when due of the Obligations pursuant to the Security Documents.</w:t>
      </w:r>
    </w:p>
    <w:p>
      <w:pPr>
        <w:spacing w:after="0" w:line="71" w:lineRule="exact"/>
        <w:rPr>
          <w:sz w:val="20"/>
          <w:szCs w:val="20"/>
          <w:color w:val="auto"/>
        </w:rPr>
      </w:pPr>
    </w:p>
    <w:p>
      <w:pPr>
        <w:spacing w:after="0"/>
        <w:tabs>
          <w:tab w:leader="none" w:pos="94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4" w:lineRule="exact"/>
        <w:rPr>
          <w:sz w:val="20"/>
          <w:szCs w:val="20"/>
          <w:color w:val="auto"/>
        </w:rPr>
      </w:pPr>
    </w:p>
    <w:p>
      <w:pPr>
        <w:jc w:val="both"/>
        <w:ind w:left="320" w:hanging="323"/>
        <w:spacing w:after="0" w:line="246"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provisions of this Amendment shall be binding upon and inure to the benefit of the parties hereto and their respective permitted successors and assigns.</w:t>
      </w:r>
    </w:p>
    <w:p>
      <w:pPr>
        <w:spacing w:after="0" w:line="69" w:lineRule="exact"/>
        <w:rPr>
          <w:sz w:val="20"/>
          <w:szCs w:val="20"/>
          <w:color w:val="auto"/>
        </w:rPr>
      </w:pPr>
    </w:p>
    <w:p>
      <w:pPr>
        <w:jc w:val="both"/>
        <w:ind w:left="320" w:hanging="323"/>
        <w:spacing w:after="0" w:line="27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shall survive the execution and delivery of this Amendment, and no investigation by the Administrative Agent or the Lenders or any subsequent extension of credit shall affect any of such representations and warranties or the right of the Administrative Agent or any Lender to rely upon them.</w:t>
      </w:r>
    </w:p>
    <w:p>
      <w:pPr>
        <w:spacing w:after="0" w:line="44" w:lineRule="exact"/>
        <w:rPr>
          <w:sz w:val="20"/>
          <w:szCs w:val="20"/>
          <w:color w:val="auto"/>
        </w:rPr>
      </w:pPr>
    </w:p>
    <w:p>
      <w:pPr>
        <w:jc w:val="both"/>
        <w:ind w:left="320" w:hanging="323"/>
        <w:spacing w:after="0" w:line="234"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75" w:lineRule="exact"/>
        <w:rPr>
          <w:sz w:val="20"/>
          <w:szCs w:val="20"/>
          <w:color w:val="auto"/>
        </w:rPr>
      </w:pPr>
    </w:p>
    <w:p>
      <w:pPr>
        <w:jc w:val="both"/>
        <w:ind w:left="320" w:hanging="323"/>
        <w:spacing w:after="0" w:line="246"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captions and arrangements used in this Amendment are for convenience only and shall not affect the interpretation of this Amendment.</w:t>
      </w:r>
    </w:p>
    <w:p>
      <w:pPr>
        <w:spacing w:after="0" w:line="69" w:lineRule="exact"/>
        <w:rPr>
          <w:sz w:val="20"/>
          <w:szCs w:val="20"/>
          <w:color w:val="auto"/>
        </w:rPr>
      </w:pPr>
    </w:p>
    <w:p>
      <w:pPr>
        <w:jc w:val="both"/>
        <w:ind w:left="320" w:hanging="323"/>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Loan Documents Unaffected</w:t>
      </w:r>
      <w:r>
        <w:rPr>
          <w:rFonts w:ascii="Arial" w:cs="Arial" w:eastAsia="Arial" w:hAnsi="Arial"/>
          <w:sz w:val="18"/>
          <w:szCs w:val="18"/>
          <w:color w:val="auto"/>
        </w:rPr>
        <w:t>. Each Loan Party acknowledges and agrees that each of the Loan Documents to which it is a party or otherwise bound shall continue in full force and effect as amended on the date hereof and that all of its obligations thereunder shall be valid and enforceable (except as enforceability may be limited by applicable Debtor Relief Laws and by general equitable principles (whether enforcement is sought by proceedings in equity or at law)) and shall not be impaired or limited by the execution or effectiveness of this Amendment On and after the Amendment No. 2 Effective Date, the parties confirm and acknowledge with respect to each Loan Document not amended or modified restated in connection with the Amendment that unless the context otherwise requires (i) each reference in such Loan Documents to “Credit Agreement”, “thereunder”, “thereof” or words of like import shall be a reference to the Credit Agreement as amended by the Amendment, and as such agreement may be otherwise amended, amended and restated, modified or supplemented and in effect from time to time and (ii) the definition of any term defined in any such Loan Document by reference to the terms defined in the “Credit Agreement” shall reference the defined terms in the Credit Agreement, as amended hereby, as the same may be otherwise amended, amended and restated, modified or supplemented and in effect from time to time. This Amendment is a Loan Document.</w:t>
      </w:r>
    </w:p>
    <w:p>
      <w:pPr>
        <w:spacing w:after="0" w:line="61" w:lineRule="exact"/>
        <w:rPr>
          <w:sz w:val="20"/>
          <w:szCs w:val="20"/>
          <w:color w:val="auto"/>
        </w:rPr>
      </w:pPr>
    </w:p>
    <w:p>
      <w:pPr>
        <w:jc w:val="both"/>
        <w:ind w:left="320" w:hanging="323"/>
        <w:spacing w:after="0" w:line="246"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Waiver of Claims</w:t>
      </w:r>
      <w:r>
        <w:rPr>
          <w:rFonts w:ascii="Arial" w:cs="Arial" w:eastAsia="Arial" w:hAnsi="Arial"/>
          <w:sz w:val="20"/>
          <w:szCs w:val="20"/>
          <w:color w:val="auto"/>
        </w:rPr>
        <w:t>. The Borrower hereby acknowledges and agrees that, through the date hereof, each of the Administrative Agent and the Lenders has acted in good faith and has conducted itself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00"/>
          </w:cols>
          <w:pgMar w:left="660" w:top="1440" w:right="339" w:bottom="1440" w:gutter="0" w:footer="0" w:header="0"/>
        </w:sectPr>
      </w:pPr>
    </w:p>
    <w:bookmarkStart w:id="44" w:name="page45"/>
    <w:bookmarkEnd w:id="44"/>
    <w:p>
      <w:pPr>
        <w:spacing w:after="0" w:line="87" w:lineRule="exact"/>
        <w:rPr>
          <w:sz w:val="20"/>
          <w:szCs w:val="20"/>
          <w:color w:val="auto"/>
        </w:rPr>
      </w:pPr>
    </w:p>
    <w:p>
      <w:pPr>
        <w:jc w:val="both"/>
        <w:ind w:left="400"/>
        <w:spacing w:after="0" w:line="229" w:lineRule="auto"/>
        <w:rPr>
          <w:sz w:val="20"/>
          <w:szCs w:val="20"/>
          <w:color w:val="auto"/>
        </w:rPr>
      </w:pPr>
      <w:r>
        <w:rPr>
          <w:rFonts w:ascii="Arial" w:cs="Arial" w:eastAsia="Arial" w:hAnsi="Arial"/>
          <w:sz w:val="20"/>
          <w:szCs w:val="20"/>
          <w:color w:val="auto"/>
        </w:rPr>
        <w:t>in a commercially reasonable manner in its relationships with the Borrower in connection with the Obligations, the Credit Agreement, and the other Loan Documents, and, to the maximum extent permitted by applicable law, the Borrower hereby waives and releases any claims to the contrary with respect to the period through the Amendment No. 2 Effective Date. To the maximum extent permitted by law, the Borrower hereby releases, acquits and forever discharges the Administrative Agent and each of the Lenders, their respective Affiliates, and their respective officers, directors, employees, agents, attorneys, advisors, successors and assigns, both present and former, from any and all claims and defenses, known or unknown as of the date hereof, with respect to the Obligations, this Amendment, the Credit Agreement, the other Loan Documents and the transactions contemplated hereby and thereby.</w:t>
      </w:r>
    </w:p>
    <w:p>
      <w:pPr>
        <w:spacing w:after="0" w:line="81" w:lineRule="exact"/>
        <w:rPr>
          <w:sz w:val="20"/>
          <w:szCs w:val="20"/>
          <w:color w:val="auto"/>
        </w:rPr>
      </w:pPr>
    </w:p>
    <w:p>
      <w:pPr>
        <w:jc w:val="both"/>
        <w:ind w:left="400" w:hanging="323"/>
        <w:spacing w:after="0" w:line="246"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u w:val="single" w:color="auto"/>
          <w:color w:val="auto"/>
        </w:rPr>
        <w:t>JPMorgan Appointment</w:t>
      </w:r>
      <w:r>
        <w:rPr>
          <w:rFonts w:ascii="Arial" w:cs="Arial" w:eastAsia="Arial" w:hAnsi="Arial"/>
          <w:sz w:val="20"/>
          <w:szCs w:val="20"/>
          <w:color w:val="auto"/>
        </w:rPr>
        <w:t>. The Borrower hereby appoints JPMorgan (acting through its affiliates as deemed appropriate by JPMorgan) as sole lead arranger and sole bookrunner with respect to the New Incremental Loans.</w:t>
      </w:r>
    </w:p>
    <w:p>
      <w:pPr>
        <w:spacing w:after="0" w:line="69" w:lineRule="exact"/>
        <w:rPr>
          <w:sz w:val="20"/>
          <w:szCs w:val="20"/>
          <w:color w:val="auto"/>
        </w:rPr>
      </w:pPr>
    </w:p>
    <w:p>
      <w:pPr>
        <w:jc w:val="both"/>
        <w:ind w:left="400" w:hanging="323"/>
        <w:spacing w:after="0" w:line="260"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New Incremental Loan Voting</w:t>
      </w:r>
      <w:r>
        <w:rPr>
          <w:rFonts w:ascii="Arial" w:cs="Arial" w:eastAsia="Arial" w:hAnsi="Arial"/>
          <w:sz w:val="18"/>
          <w:szCs w:val="18"/>
          <w:color w:val="auto"/>
        </w:rPr>
        <w:t>. JPMorgan and the other Lenders party hereto hereby each agrees that, notwithstanding anything to the contrary in the Loan Documents, for the period commencing on the date hereof and ending on the date that JPMorgan has assigned all of its New Incremental Loan Commitments and New Incremental Loans to certain members of the Ad Hoc Group of Lenders (the “</w:t>
      </w:r>
      <w:r>
        <w:rPr>
          <w:rFonts w:ascii="Arial" w:cs="Arial" w:eastAsia="Arial" w:hAnsi="Arial"/>
          <w:sz w:val="18"/>
          <w:szCs w:val="18"/>
          <w:u w:val="single" w:color="auto"/>
          <w:color w:val="auto"/>
        </w:rPr>
        <w:t>Backstop Parties</w:t>
      </w:r>
      <w:r>
        <w:rPr>
          <w:rFonts w:ascii="Arial" w:cs="Arial" w:eastAsia="Arial" w:hAnsi="Arial"/>
          <w:sz w:val="18"/>
          <w:szCs w:val="18"/>
          <w:color w:val="auto"/>
        </w:rPr>
        <w:t>”), JPMorgan will not exercise any voting rights under the Loan Documents in respect of the New Incremental Loans held by it and, in addition, the New Incremental Loan Commitment and New Incremental Loans held by JPMorgan shall be disregarded for purposes of calculating “Required Lenders” or “Majority Term Loan Facility Lenders”.</w:t>
      </w:r>
    </w:p>
    <w:p>
      <w:pPr>
        <w:spacing w:after="0" w:line="59" w:lineRule="exact"/>
        <w:rPr>
          <w:sz w:val="20"/>
          <w:szCs w:val="20"/>
          <w:color w:val="auto"/>
        </w:rPr>
      </w:pPr>
    </w:p>
    <w:p>
      <w:pPr>
        <w:jc w:val="both"/>
        <w:ind w:left="400" w:hanging="404"/>
        <w:spacing w:after="0" w:line="231" w:lineRule="auto"/>
        <w:rPr>
          <w:sz w:val="20"/>
          <w:szCs w:val="20"/>
          <w:color w:val="auto"/>
        </w:rPr>
      </w:pPr>
      <w:r>
        <w:rPr>
          <w:rFonts w:ascii="Arial" w:cs="Arial" w:eastAsia="Arial" w:hAnsi="Arial"/>
          <w:sz w:val="20"/>
          <w:szCs w:val="20"/>
          <w:color w:val="auto"/>
        </w:rPr>
        <w:t xml:space="preserve">6.9 </w:t>
      </w:r>
      <w:r>
        <w:rPr>
          <w:rFonts w:ascii="Arial" w:cs="Arial" w:eastAsia="Arial" w:hAnsi="Arial"/>
          <w:sz w:val="20"/>
          <w:szCs w:val="20"/>
          <w:u w:val="single" w:color="auto"/>
          <w:color w:val="auto"/>
        </w:rPr>
        <w:t>Fees and Expenses</w:t>
      </w:r>
      <w:r>
        <w:rPr>
          <w:rFonts w:ascii="Arial" w:cs="Arial" w:eastAsia="Arial" w:hAnsi="Arial"/>
          <w:sz w:val="20"/>
          <w:szCs w:val="20"/>
          <w:color w:val="auto"/>
        </w:rPr>
        <w:t>. The Borrower hereby agrees to pay in full in cash all reasonable and documented out-of-pocket fees and expenses payable to Gibson, Dunn &amp; Crutcher LLP incurred by Gibson, Dunn &amp; Crutcher LLP in connection with the syndication, negotiation, documentation and execution and delivery of Amendment No. 2 or any assignments of the Incremental Term Loans from the Amendment No. 2 Effective Date to and including the date that the Backstop Parties have assigned certain of their New Incremental Loans to other lenders entitled to become New Incremental Lenders pursuant to certain syndication procedures in respect thereof.</w:t>
      </w:r>
    </w:p>
    <w:p>
      <w:pPr>
        <w:spacing w:after="0" w:line="76" w:lineRule="exact"/>
        <w:rPr>
          <w:sz w:val="20"/>
          <w:szCs w:val="20"/>
          <w:color w:val="auto"/>
        </w:rPr>
      </w:pPr>
    </w:p>
    <w:p>
      <w:pPr>
        <w:jc w:val="both"/>
        <w:ind w:left="400" w:hanging="404"/>
        <w:spacing w:after="0" w:line="237" w:lineRule="auto"/>
        <w:rPr>
          <w:sz w:val="20"/>
          <w:szCs w:val="20"/>
          <w:color w:val="auto"/>
        </w:rPr>
      </w:pPr>
      <w:r>
        <w:rPr>
          <w:rFonts w:ascii="Arial" w:cs="Arial" w:eastAsia="Arial" w:hAnsi="Arial"/>
          <w:sz w:val="20"/>
          <w:szCs w:val="20"/>
          <w:color w:val="auto"/>
        </w:rPr>
        <w:t xml:space="preserve">6.10 </w:t>
      </w: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This Amendment, together with the Credit Agreement and the other Loan Documents, integrates all the terms and conditions mentioned herein or incidental hereto and supersedes all oral representations and negotiations and prior writings with respect to the subject matter hereof.</w:t>
      </w:r>
    </w:p>
    <w:p>
      <w:pPr>
        <w:spacing w:after="0" w:line="75" w:lineRule="exact"/>
        <w:rPr>
          <w:sz w:val="20"/>
          <w:szCs w:val="20"/>
          <w:color w:val="auto"/>
        </w:rPr>
      </w:pPr>
    </w:p>
    <w:p>
      <w:pPr>
        <w:jc w:val="both"/>
        <w:ind w:left="400" w:hanging="404"/>
        <w:spacing w:after="0" w:line="256"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will be an original and all of which, when taken together, will constitute one agreement. Delivery of an executed counterpart of a signature page of this Amendment by facsimile or other electronic transmission (including in “.pdf” format) will be effective as delivery of a manually executed counterpart hereof. The words “execution,” “signed,” “signature,” and words of like import in this Amendment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65" w:lineRule="exact"/>
        <w:rPr>
          <w:sz w:val="20"/>
          <w:szCs w:val="20"/>
          <w:color w:val="auto"/>
        </w:rPr>
      </w:pPr>
    </w:p>
    <w:p>
      <w:pPr>
        <w:jc w:val="both"/>
        <w:ind w:left="400" w:hanging="404"/>
        <w:spacing w:after="0" w:line="246" w:lineRule="auto"/>
        <w:rPr>
          <w:sz w:val="20"/>
          <w:szCs w:val="20"/>
          <w:color w:val="auto"/>
        </w:rPr>
      </w:pPr>
      <w:r>
        <w:rPr>
          <w:rFonts w:ascii="Arial" w:cs="Arial" w:eastAsia="Arial" w:hAnsi="Arial"/>
          <w:sz w:val="20"/>
          <w:szCs w:val="20"/>
          <w:color w:val="auto"/>
        </w:rPr>
        <w:t xml:space="preserve">6.12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AND THE RIGHTS AND OBLIGATIONS OF THE PARTIES UNDER THIS AMENDMENT SHALL BE GOVERNED BY,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80"/>
          </w:cols>
          <w:pgMar w:left="580" w:top="1440" w:right="339" w:bottom="1440" w:gutter="0" w:footer="0" w:header="0"/>
        </w:sectPr>
      </w:pPr>
    </w:p>
    <w:bookmarkStart w:id="45" w:name="page46"/>
    <w:bookmarkEnd w:id="45"/>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CONSTRUED AND INTERPRETED IN ACCORDANCE WITH, THE LAW OF THE STATE OF NEW YORK.</w:t>
      </w:r>
    </w:p>
    <w:p>
      <w:pPr>
        <w:spacing w:after="0" w:line="94" w:lineRule="exact"/>
        <w:rPr>
          <w:sz w:val="20"/>
          <w:szCs w:val="20"/>
          <w:color w:val="auto"/>
        </w:rPr>
      </w:pPr>
    </w:p>
    <w:p>
      <w:pPr>
        <w:jc w:val="both"/>
        <w:ind w:left="400" w:hanging="404"/>
        <w:spacing w:after="0" w:line="237" w:lineRule="auto"/>
        <w:rPr>
          <w:sz w:val="20"/>
          <w:szCs w:val="20"/>
          <w:color w:val="auto"/>
        </w:rPr>
      </w:pPr>
      <w:r>
        <w:rPr>
          <w:rFonts w:ascii="Arial" w:cs="Arial" w:eastAsia="Arial" w:hAnsi="Arial"/>
          <w:sz w:val="20"/>
          <w:szCs w:val="20"/>
          <w:color w:val="auto"/>
        </w:rPr>
        <w:t xml:space="preserve">6.13 </w:t>
      </w:r>
      <w:r>
        <w:rPr>
          <w:rFonts w:ascii="Arial" w:cs="Arial" w:eastAsia="Arial" w:hAnsi="Arial"/>
          <w:sz w:val="20"/>
          <w:szCs w:val="20"/>
          <w:u w:val="single" w:color="auto"/>
          <w:color w:val="auto"/>
        </w:rPr>
        <w:t>Notices; Submission to Jurisdiction; Consent to Service of Process; Waiver of Jury Trial</w:t>
      </w:r>
      <w:r>
        <w:rPr>
          <w:rFonts w:ascii="Arial" w:cs="Arial" w:eastAsia="Arial" w:hAnsi="Arial"/>
          <w:sz w:val="20"/>
          <w:szCs w:val="20"/>
          <w:color w:val="auto"/>
        </w:rPr>
        <w:t xml:space="preserve">. The provisions set forth in Sections 10.2, 10.12 and 10.18 of the Credit Agreement are hereby incorporated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with all references to the “Agreement” therein being deemed references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40"/>
        <w:spacing w:after="0"/>
        <w:rPr>
          <w:sz w:val="20"/>
          <w:szCs w:val="20"/>
          <w:color w:val="auto"/>
        </w:rPr>
      </w:pPr>
      <w:r>
        <w:rPr>
          <w:rFonts w:ascii="Arial" w:cs="Arial" w:eastAsia="Arial" w:hAnsi="Arial"/>
          <w:sz w:val="20"/>
          <w:szCs w:val="20"/>
          <w:color w:val="auto"/>
        </w:rPr>
        <w:t>[Remainder of page blank; signatures follow]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980"/>
          </w:cols>
          <w:pgMar w:left="580" w:top="1440" w:right="339" w:bottom="1440" w:gutter="0" w:footer="0" w:header="0"/>
        </w:sectPr>
      </w:pPr>
    </w:p>
    <w:bookmarkStart w:id="46" w:name="page47"/>
    <w:bookmarkEnd w:id="46"/>
    <w:p>
      <w:pPr>
        <w:spacing w:after="0" w:line="246"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proper and duly authorized officers as of the day and year first above written.</w:t>
      </w: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NATIONAL CINEMEDIA, LLC, as Borrower</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Tom Lesinski</w:t>
      </w:r>
      <w:r>
        <w:rPr>
          <w:rFonts w:ascii="Arial" w:cs="Arial" w:eastAsia="Arial" w:hAnsi="Arial"/>
          <w:sz w:val="21"/>
          <w:szCs w:val="21"/>
          <w:color w:val="auto"/>
        </w:rPr>
        <w:t>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Tom Lesinski</w:t>
      </w:r>
    </w:p>
    <w:p>
      <w:pPr>
        <w:ind w:left="390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9" w:right="339" w:bottom="1440" w:gutter="0" w:footer="0" w:header="0"/>
        </w:sectPr>
      </w:pPr>
    </w:p>
    <w:bookmarkStart w:id="47" w:name="page48"/>
    <w:bookmarkEnd w:id="47"/>
    <w:p>
      <w:pPr>
        <w:ind w:left="2780"/>
        <w:spacing w:after="0" w:line="246" w:lineRule="auto"/>
        <w:rPr>
          <w:sz w:val="20"/>
          <w:szCs w:val="20"/>
          <w:color w:val="auto"/>
        </w:rPr>
      </w:pPr>
      <w:r>
        <w:rPr>
          <w:rFonts w:ascii="Arial" w:cs="Arial" w:eastAsia="Arial" w:hAnsi="Arial"/>
          <w:sz w:val="20"/>
          <w:szCs w:val="20"/>
          <w:color w:val="auto"/>
        </w:rPr>
        <w:t>JPMORGAN CHASE BANK, N.A., as Administrative Agent and as a New Incremental Loan Lender</w:t>
      </w:r>
    </w:p>
    <w:p>
      <w:pPr>
        <w:spacing w:after="0" w:line="200" w:lineRule="exact"/>
        <w:rPr>
          <w:sz w:val="20"/>
          <w:szCs w:val="20"/>
          <w:color w:val="auto"/>
        </w:rPr>
      </w:pPr>
    </w:p>
    <w:p>
      <w:pPr>
        <w:spacing w:after="0" w:line="24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Christina M McGugan</w:t>
      </w:r>
      <w:r>
        <w:rPr>
          <w:rFonts w:ascii="Arial" w:cs="Arial" w:eastAsia="Arial" w:hAnsi="Arial"/>
          <w:sz w:val="21"/>
          <w:szCs w:val="21"/>
          <w:color w:val="auto"/>
        </w:rPr>
        <w:t>________________</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Christina M McGugan</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9780"/>
          </w:cols>
          <w:pgMar w:left="1440" w:top="1419" w:right="679" w:bottom="1440" w:gutter="0" w:footer="0" w:header="0"/>
        </w:sectPr>
      </w:pPr>
    </w:p>
    <w:bookmarkStart w:id="48" w:name="page49"/>
    <w:bookmarkEnd w:id="48"/>
    <w:p>
      <w:pPr>
        <w:ind w:left="2780" w:right="1619"/>
        <w:spacing w:after="0" w:line="252" w:lineRule="auto"/>
        <w:rPr>
          <w:sz w:val="20"/>
          <w:szCs w:val="20"/>
          <w:color w:val="auto"/>
        </w:rPr>
      </w:pPr>
      <w:r>
        <w:rPr>
          <w:rFonts w:ascii="Arial" w:cs="Arial" w:eastAsia="Arial" w:hAnsi="Arial"/>
          <w:sz w:val="20"/>
          <w:szCs w:val="20"/>
          <w:b w:val="1"/>
          <w:bCs w:val="1"/>
          <w:color w:val="auto"/>
        </w:rPr>
        <w:t>Zions Bancoporation, N.A. dba Vectra Bank Colorado</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 Lender</w:t>
      </w:r>
    </w:p>
    <w:p>
      <w:pPr>
        <w:spacing w:after="0" w:line="200" w:lineRule="exact"/>
        <w:rPr>
          <w:sz w:val="20"/>
          <w:szCs w:val="20"/>
          <w:color w:val="auto"/>
        </w:rPr>
      </w:pPr>
    </w:p>
    <w:p>
      <w:pPr>
        <w:spacing w:after="0" w:line="23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Brian Younkerman</w:t>
      </w:r>
      <w:r>
        <w:rPr>
          <w:rFonts w:ascii="Arial" w:cs="Arial" w:eastAsia="Arial" w:hAnsi="Arial"/>
          <w:sz w:val="21"/>
          <w:szCs w:val="21"/>
          <w:color w:val="auto"/>
        </w:rPr>
        <w:t>___________________</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Brian Younkerman</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019"/>
          </w:cols>
          <w:pgMar w:left="1440" w:top="1413" w:right="1440" w:bottom="1440" w:gutter="0" w:footer="0" w:header="0"/>
        </w:sectPr>
      </w:pPr>
    </w:p>
    <w:bookmarkStart w:id="49" w:name="page50"/>
    <w:bookmarkEnd w:id="49"/>
    <w:p>
      <w:pPr>
        <w:ind w:left="2780"/>
        <w:spacing w:after="0"/>
        <w:rPr>
          <w:sz w:val="20"/>
          <w:szCs w:val="20"/>
          <w:color w:val="auto"/>
        </w:rPr>
      </w:pPr>
      <w:r>
        <w:rPr>
          <w:rFonts w:ascii="Arial" w:cs="Arial" w:eastAsia="Arial" w:hAnsi="Arial"/>
          <w:sz w:val="20"/>
          <w:szCs w:val="20"/>
          <w:b w:val="1"/>
          <w:bCs w:val="1"/>
          <w:color w:val="auto"/>
        </w:rPr>
        <w:t>BARCLAYS BANK PLC</w:t>
      </w:r>
      <w:r>
        <w:rPr>
          <w:rFonts w:ascii="Arial" w:cs="Arial" w:eastAsia="Arial" w:hAnsi="Arial"/>
          <w:sz w:val="20"/>
          <w:szCs w:val="20"/>
          <w:color w:val="auto"/>
        </w:rPr>
        <w:t>,</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Manuel Rubiano_____________________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Manuel Rubiano</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9019"/>
          </w:cols>
          <w:pgMar w:left="1440" w:top="1413" w:right="1440" w:bottom="1440" w:gutter="0" w:footer="0" w:header="0"/>
        </w:sectPr>
      </w:pPr>
    </w:p>
    <w:bookmarkStart w:id="50" w:name="page51"/>
    <w:bookmarkEnd w:id="50"/>
    <w:p>
      <w:pPr>
        <w:ind w:left="2780"/>
        <w:spacing w:after="0"/>
        <w:rPr>
          <w:sz w:val="20"/>
          <w:szCs w:val="20"/>
          <w:color w:val="auto"/>
        </w:rPr>
      </w:pPr>
      <w:r>
        <w:rPr>
          <w:rFonts w:ascii="Arial" w:cs="Arial" w:eastAsia="Arial" w:hAnsi="Arial"/>
          <w:sz w:val="20"/>
          <w:szCs w:val="20"/>
          <w:b w:val="1"/>
          <w:bCs w:val="1"/>
          <w:color w:val="auto"/>
        </w:rPr>
        <w:t>ROYAL BANK OF CANADA,</w:t>
      </w:r>
    </w:p>
    <w:p>
      <w:pPr>
        <w:spacing w:after="0" w:line="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Kevin Quan________________________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Kevin Quan</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9019"/>
          </w:cols>
          <w:pgMar w:left="1440" w:top="1413" w:right="1440" w:bottom="1440" w:gutter="0" w:footer="0" w:header="0"/>
        </w:sectPr>
      </w:pPr>
    </w:p>
    <w:bookmarkStart w:id="51" w:name="page52"/>
    <w:bookmarkEnd w:id="51"/>
    <w:p>
      <w:pPr>
        <w:jc w:val="right"/>
        <w:ind w:right="2319"/>
        <w:spacing w:after="0"/>
        <w:rPr>
          <w:sz w:val="20"/>
          <w:szCs w:val="20"/>
          <w:color w:val="auto"/>
        </w:rPr>
      </w:pPr>
      <w:r>
        <w:rPr>
          <w:rFonts w:ascii="Arial" w:cs="Arial" w:eastAsia="Arial" w:hAnsi="Arial"/>
          <w:sz w:val="20"/>
          <w:szCs w:val="20"/>
          <w:color w:val="auto"/>
        </w:rPr>
        <w:t>Executed on behalf of Initial Term Loan Holders: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Aon Collective Investment Trust – Multi-Asset Credit Fund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ind w:right="4299"/>
        <w:spacing w:after="0" w:line="272" w:lineRule="auto"/>
        <w:rPr>
          <w:sz w:val="20"/>
          <w:szCs w:val="20"/>
          <w:color w:val="auto"/>
        </w:rPr>
      </w:pPr>
      <w:r>
        <w:rPr>
          <w:rFonts w:ascii="Arial" w:cs="Arial" w:eastAsia="Arial" w:hAnsi="Arial"/>
          <w:sz w:val="19"/>
          <w:szCs w:val="19"/>
          <w:color w:val="auto"/>
        </w:rPr>
        <w:t>AVAW Loans Sankaty z.H. Internationale Kapitalanlagegesellschaft mbH By: Bain Capital Credit, LP, as Fund Manager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Avery Point VI CLO,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Portfolio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Avery Point VII CLO,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Portfolio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Baloise Senior Secured Loan Fund II</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Sub Investment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2016-2,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Portfolio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2017-1,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Portfolio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139"/>
          </w:cols>
          <w:pgMar w:left="320" w:top="1419" w:right="1440" w:bottom="1440" w:gutter="0" w:footer="0" w:header="0"/>
        </w:sectPr>
      </w:pPr>
    </w:p>
    <w:bookmarkStart w:id="52" w:name="page53"/>
    <w:bookmarkEnd w:id="52"/>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2017-2,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Collateral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2018-1,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CLO Advisors, LP, as Portfolio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2018-2,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CLO Advisors, LP, as Portfolio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2019-1, Limited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Bain Capital Credit U.S. CLO Manager, LLC, its Portfolio Manager</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2019-2, Limited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Bain Capital Credit U.S. CLO Manager, LLC, its Portfolio Manager</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2019-3, Limited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Bain Capital Credit U.S. CLO Advisors, LP, as Collateral Manager</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2019-4, Limited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Bain Capital Credit U.S. CLO Manager, LLC, its Portfolio Manager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139"/>
          </w:cols>
          <w:pgMar w:left="320" w:top="1414" w:right="1440" w:bottom="1440" w:gutter="0" w:footer="0" w:header="0"/>
        </w:sectPr>
      </w:pPr>
    </w:p>
    <w:bookmarkStart w:id="53" w:name="page54"/>
    <w:bookmarkEnd w:id="53"/>
    <w:p>
      <w:pPr>
        <w:spacing w:after="0" w:line="2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2020-1,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U.S. CLO Manager, LLC, its Portfolio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2020-2,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U.S. CLO Manager, LLC, its Portfolio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CLO 2020-3,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U.S. CLO Manager, LLC, its Portfolio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CMAC Fund 1, L.P.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Bain Capital Credit Managed Account Investors (CMAC Fund 1),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Member II, Ltd., its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Suzuka INKA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Fund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Griffin Institutional Access Credit Fund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BCSF Advisors, LP, as Sub-Adviser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139"/>
          </w:cols>
          <w:pgMar w:left="320" w:top="1440" w:right="1440" w:bottom="1440" w:gutter="0" w:footer="0" w:header="0"/>
        </w:sectPr>
      </w:pPr>
    </w:p>
    <w:bookmarkStart w:id="54" w:name="page55"/>
    <w:bookmarkEnd w:id="54"/>
    <w:p>
      <w:pPr>
        <w:spacing w:after="0"/>
        <w:rPr>
          <w:sz w:val="20"/>
          <w:szCs w:val="20"/>
          <w:color w:val="auto"/>
        </w:rPr>
      </w:pPr>
      <w:r>
        <w:rPr>
          <w:rFonts w:ascii="Arial" w:cs="Arial" w:eastAsia="Arial" w:hAnsi="Arial"/>
          <w:sz w:val="20"/>
          <w:szCs w:val="20"/>
          <w:color w:val="auto"/>
        </w:rPr>
        <w:t>Future Fund Board of Guardians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Investment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Managed Account (FSS), L.P.</w:t>
      </w:r>
    </w:p>
    <w:p>
      <w:pPr>
        <w:spacing w:after="0" w:line="227" w:lineRule="auto"/>
        <w:rPr>
          <w:sz w:val="20"/>
          <w:szCs w:val="20"/>
          <w:color w:val="auto"/>
        </w:rPr>
      </w:pPr>
      <w:r>
        <w:rPr>
          <w:rFonts w:ascii="Arial" w:cs="Arial" w:eastAsia="Arial" w:hAnsi="Arial"/>
          <w:sz w:val="20"/>
          <w:szCs w:val="20"/>
          <w:color w:val="auto"/>
        </w:rPr>
        <w:t>By: Bain Capital Credit Managed Account Investors (FSS), L.P.,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Member, LLC, its general partner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Government Employees Superannuation Board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Bain Capital I ICAV acting in respect of and for the account of its sub fund Global Loan Fund</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Dislocation Fund (B), L.P.</w:t>
      </w:r>
    </w:p>
    <w:p>
      <w:pPr>
        <w:spacing w:after="0" w:line="227" w:lineRule="auto"/>
        <w:rPr>
          <w:sz w:val="20"/>
          <w:szCs w:val="20"/>
          <w:color w:val="auto"/>
        </w:rPr>
      </w:pPr>
      <w:r>
        <w:rPr>
          <w:rFonts w:ascii="Arial" w:cs="Arial" w:eastAsia="Arial" w:hAnsi="Arial"/>
          <w:sz w:val="20"/>
          <w:szCs w:val="20"/>
          <w:color w:val="auto"/>
        </w:rPr>
        <w:t>By: Bain Capital Credit Dislocation Fund General Partner, LLC</w:t>
      </w:r>
    </w:p>
    <w:p>
      <w:pPr>
        <w:spacing w:after="0" w:line="225" w:lineRule="auto"/>
        <w:rPr>
          <w:sz w:val="20"/>
          <w:szCs w:val="20"/>
          <w:color w:val="auto"/>
        </w:rPr>
      </w:pPr>
      <w:r>
        <w:rPr>
          <w:rFonts w:ascii="Arial" w:cs="Arial" w:eastAsia="Arial" w:hAnsi="Arial"/>
          <w:sz w:val="20"/>
          <w:szCs w:val="20"/>
          <w:color w:val="auto"/>
        </w:rPr>
        <w:t>Its: general partner</w:t>
      </w:r>
    </w:p>
    <w:p>
      <w:pPr>
        <w:spacing w:after="0" w:line="226" w:lineRule="auto"/>
        <w:rPr>
          <w:sz w:val="20"/>
          <w:szCs w:val="20"/>
          <w:color w:val="auto"/>
        </w:rPr>
      </w:pPr>
      <w:r>
        <w:rPr>
          <w:rFonts w:ascii="Arial" w:cs="Arial" w:eastAsia="Arial" w:hAnsi="Arial"/>
          <w:sz w:val="20"/>
          <w:szCs w:val="20"/>
          <w:color w:val="auto"/>
        </w:rPr>
        <w:t>By Bain Capital Credit Member II, Ltd.</w:t>
      </w:r>
    </w:p>
    <w:p>
      <w:pPr>
        <w:spacing w:after="0"/>
        <w:rPr>
          <w:sz w:val="20"/>
          <w:szCs w:val="20"/>
          <w:color w:val="auto"/>
        </w:rPr>
      </w:pPr>
      <w:r>
        <w:rPr>
          <w:rFonts w:ascii="Arial" w:cs="Arial" w:eastAsia="Arial" w:hAnsi="Arial"/>
          <w:sz w:val="20"/>
          <w:szCs w:val="20"/>
          <w:color w:val="auto"/>
        </w:rPr>
        <w:t>Its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Floating Rate Income Fund, a series of John Hancock Funds II</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BCSF Advisors, LP, its Subadviser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Los Angeles County employees Retirement Association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39"/>
          </w:cols>
          <w:pgMar w:left="320" w:top="1419" w:right="1440" w:bottom="1440" w:gutter="0" w:footer="0" w:header="0"/>
        </w:sectPr>
      </w:pPr>
    </w:p>
    <w:bookmarkStart w:id="55" w:name="page56"/>
    <w:bookmarkEnd w:id="55"/>
    <w:p>
      <w:pPr>
        <w:spacing w:after="0"/>
        <w:rPr>
          <w:sz w:val="20"/>
          <w:szCs w:val="20"/>
          <w:color w:val="auto"/>
        </w:rPr>
      </w:pPr>
      <w:r>
        <w:rPr>
          <w:rFonts w:ascii="Arial" w:cs="Arial" w:eastAsia="Arial" w:hAnsi="Arial"/>
          <w:sz w:val="20"/>
          <w:szCs w:val="20"/>
          <w:color w:val="auto"/>
        </w:rPr>
        <w:t>Name: Andrew S. Viens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ind w:right="3439"/>
        <w:spacing w:after="0" w:line="246" w:lineRule="auto"/>
        <w:rPr>
          <w:sz w:val="20"/>
          <w:szCs w:val="20"/>
          <w:color w:val="auto"/>
        </w:rPr>
      </w:pPr>
      <w:r>
        <w:rPr>
          <w:rFonts w:ascii="Arial" w:cs="Arial" w:eastAsia="Arial" w:hAnsi="Arial"/>
          <w:sz w:val="20"/>
          <w:szCs w:val="20"/>
          <w:color w:val="auto"/>
        </w:rPr>
        <w:t>Future Fund Board of Guardians for and on behalf of Medical Research Future Fund By: Bain Capital Credit, LP, as Investment Manager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Managed Account (PSERS), L.P.</w:t>
      </w:r>
    </w:p>
    <w:p>
      <w:pPr>
        <w:spacing w:after="0"/>
        <w:rPr>
          <w:sz w:val="20"/>
          <w:szCs w:val="20"/>
          <w:color w:val="auto"/>
        </w:rPr>
      </w:pPr>
      <w:r>
        <w:rPr>
          <w:rFonts w:ascii="Arial" w:cs="Arial" w:eastAsia="Arial" w:hAnsi="Arial"/>
          <w:sz w:val="19"/>
          <w:szCs w:val="19"/>
          <w:color w:val="auto"/>
        </w:rPr>
        <w:t>By: Bain Capital Credit Managed Account Investors, LLC, its general partner</w:t>
      </w:r>
    </w:p>
    <w:p>
      <w:pPr>
        <w:spacing w:after="0"/>
        <w:rPr>
          <w:sz w:val="20"/>
          <w:szCs w:val="20"/>
          <w:color w:val="auto"/>
        </w:rPr>
      </w:pPr>
      <w:r>
        <w:rPr>
          <w:rFonts w:ascii="Arial" w:cs="Arial" w:eastAsia="Arial" w:hAnsi="Arial"/>
          <w:sz w:val="20"/>
          <w:szCs w:val="20"/>
          <w:color w:val="auto"/>
        </w:rPr>
        <w:t>By: Bain Capital Credit Member, LLC, its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Retail Employees Superannuation Trust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Race Point X CLO,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Portfolio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Race Point VIII CLO,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Portfolio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Race Point IX CLO, Limited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Portfolio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City and County Employees’ Retirement System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Investment Manager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139"/>
          </w:cols>
          <w:pgMar w:left="320" w:top="1419" w:right="1440" w:bottom="1440" w:gutter="0" w:footer="0" w:header="0"/>
        </w:sectPr>
      </w:pPr>
    </w:p>
    <w:bookmarkStart w:id="56" w:name="page57"/>
    <w:bookmarkEnd w:id="56"/>
    <w:p>
      <w:pPr>
        <w:spacing w:after="0" w:line="2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High Income Partnership, L.P.</w:t>
      </w:r>
    </w:p>
    <w:p>
      <w:pPr>
        <w:spacing w:after="0" w:line="227" w:lineRule="auto"/>
        <w:rPr>
          <w:sz w:val="20"/>
          <w:szCs w:val="20"/>
          <w:color w:val="auto"/>
        </w:rPr>
      </w:pPr>
      <w:r>
        <w:rPr>
          <w:rFonts w:ascii="Arial" w:cs="Arial" w:eastAsia="Arial" w:hAnsi="Arial"/>
          <w:sz w:val="20"/>
          <w:szCs w:val="20"/>
          <w:color w:val="auto"/>
        </w:rPr>
        <w:t>By: Bain Capital High Income Investors, L.P.</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Member, LLC, its general partner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Senior Loan Fund, L.P.</w:t>
      </w:r>
    </w:p>
    <w:p>
      <w:pPr>
        <w:spacing w:after="0" w:line="227" w:lineRule="auto"/>
        <w:rPr>
          <w:sz w:val="20"/>
          <w:szCs w:val="20"/>
          <w:color w:val="auto"/>
        </w:rPr>
      </w:pPr>
      <w:r>
        <w:rPr>
          <w:rFonts w:ascii="Arial" w:cs="Arial" w:eastAsia="Arial" w:hAnsi="Arial"/>
          <w:sz w:val="20"/>
          <w:szCs w:val="20"/>
          <w:color w:val="auto"/>
        </w:rPr>
        <w:t>By: Bain Capital Senior Loan Investors, LLC,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Member, LLC, its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Senior Loan Fund (SRI), L.P.</w:t>
      </w:r>
    </w:p>
    <w:p>
      <w:pPr>
        <w:spacing w:after="0" w:line="227" w:lineRule="auto"/>
        <w:rPr>
          <w:sz w:val="20"/>
          <w:szCs w:val="20"/>
          <w:color w:val="auto"/>
        </w:rPr>
      </w:pPr>
      <w:r>
        <w:rPr>
          <w:rFonts w:ascii="Arial" w:cs="Arial" w:eastAsia="Arial" w:hAnsi="Arial"/>
          <w:sz w:val="20"/>
          <w:szCs w:val="20"/>
          <w:color w:val="auto"/>
        </w:rPr>
        <w:t>By: Bain Capital Senior Loan Investors (SRI), L.P., its general partner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Member, LLC, its general partner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Sunsuper Pooled Superannuation Trust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Credit Managed Account (Blanco), L.P.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Bain Capital Credit Managed Account Investors (Blanco), LLC, 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Member, LLC, its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Bain Capital Total Return Credit, L.P.</w:t>
      </w:r>
    </w:p>
    <w:p>
      <w:pPr>
        <w:spacing w:after="0" w:line="227" w:lineRule="auto"/>
        <w:rPr>
          <w:sz w:val="20"/>
          <w:szCs w:val="20"/>
          <w:color w:val="auto"/>
        </w:rPr>
      </w:pPr>
      <w:r>
        <w:rPr>
          <w:rFonts w:ascii="Arial" w:cs="Arial" w:eastAsia="Arial" w:hAnsi="Arial"/>
          <w:sz w:val="20"/>
          <w:szCs w:val="20"/>
          <w:color w:val="auto"/>
        </w:rPr>
        <w:t>By: Bain Capital Total Return Credit General Partner, LLC</w:t>
      </w:r>
    </w:p>
    <w:p>
      <w:pPr>
        <w:spacing w:after="0" w:line="225" w:lineRule="auto"/>
        <w:rPr>
          <w:sz w:val="20"/>
          <w:szCs w:val="20"/>
          <w:color w:val="auto"/>
        </w:rPr>
      </w:pPr>
      <w:r>
        <w:rPr>
          <w:rFonts w:ascii="Arial" w:cs="Arial" w:eastAsia="Arial" w:hAnsi="Arial"/>
          <w:sz w:val="20"/>
          <w:szCs w:val="20"/>
          <w:color w:val="auto"/>
        </w:rPr>
        <w:t>its general partner</w:t>
      </w:r>
    </w:p>
    <w:p>
      <w:pPr>
        <w:spacing w:after="0" w:line="226" w:lineRule="auto"/>
        <w:rPr>
          <w:sz w:val="20"/>
          <w:szCs w:val="20"/>
          <w:color w:val="auto"/>
        </w:rPr>
      </w:pPr>
      <w:r>
        <w:rPr>
          <w:rFonts w:ascii="Arial" w:cs="Arial" w:eastAsia="Arial" w:hAnsi="Arial"/>
          <w:sz w:val="20"/>
          <w:szCs w:val="20"/>
          <w:color w:val="auto"/>
        </w:rPr>
        <w:t>By: Bain Capital Credit Member, LLC</w:t>
      </w:r>
    </w:p>
    <w:p>
      <w:pPr>
        <w:spacing w:after="0"/>
        <w:rPr>
          <w:sz w:val="20"/>
          <w:szCs w:val="20"/>
          <w:color w:val="auto"/>
        </w:rPr>
      </w:pPr>
      <w:r>
        <w:rPr>
          <w:rFonts w:ascii="Arial" w:cs="Arial" w:eastAsia="Arial" w:hAnsi="Arial"/>
          <w:sz w:val="20"/>
          <w:szCs w:val="20"/>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139"/>
          </w:cols>
          <w:pgMar w:left="320" w:top="1440" w:right="1440" w:bottom="1440" w:gutter="0" w:footer="0" w:header="0"/>
        </w:sectPr>
      </w:pPr>
    </w:p>
    <w:bookmarkStart w:id="57" w:name="page58"/>
    <w:bookmarkEnd w:id="57"/>
    <w:p>
      <w:pPr>
        <w:spacing w:after="0" w:line="2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Blue Cross of California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Investment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Community Insurance Company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By: Bain Capital Credit, LP, as Investment Manager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Andrew S. Viens</w:t>
      </w:r>
      <w:r>
        <w:rPr>
          <w:rFonts w:ascii="Arial" w:cs="Arial" w:eastAsia="Arial" w:hAnsi="Arial"/>
          <w:sz w:val="21"/>
          <w:szCs w:val="21"/>
          <w:color w:val="auto"/>
        </w:rPr>
        <w:t>_____</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Name: Andrew S. Viens</w:t>
      </w:r>
    </w:p>
    <w:p>
      <w:pPr>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139"/>
          </w:cols>
          <w:pgMar w:left="320" w:top="1440" w:right="1440" w:bottom="1440" w:gutter="0" w:footer="0" w:header="0"/>
        </w:sectPr>
      </w:pPr>
    </w:p>
    <w:bookmarkStart w:id="58" w:name="page59"/>
    <w:bookmarkEnd w:id="58"/>
    <w:p>
      <w:pPr>
        <w:ind w:left="2780"/>
        <w:spacing w:after="0"/>
        <w:rPr>
          <w:sz w:val="20"/>
          <w:szCs w:val="20"/>
          <w:color w:val="auto"/>
        </w:rPr>
      </w:pPr>
      <w:r>
        <w:rPr>
          <w:rFonts w:ascii="Arial" w:cs="Arial" w:eastAsia="Arial" w:hAnsi="Arial"/>
          <w:sz w:val="20"/>
          <w:szCs w:val="20"/>
          <w:color w:val="auto"/>
        </w:rPr>
        <w:t>Saranac CLO V Limited</w:t>
      </w:r>
    </w:p>
    <w:p>
      <w:pPr>
        <w:ind w:left="2780"/>
        <w:spacing w:after="0" w:line="227" w:lineRule="auto"/>
        <w:rPr>
          <w:sz w:val="20"/>
          <w:szCs w:val="20"/>
          <w:color w:val="auto"/>
        </w:rPr>
      </w:pPr>
      <w:r>
        <w:rPr>
          <w:rFonts w:ascii="Arial" w:cs="Arial" w:eastAsia="Arial" w:hAnsi="Arial"/>
          <w:sz w:val="20"/>
          <w:szCs w:val="20"/>
          <w:color w:val="auto"/>
        </w:rPr>
        <w:t>By: Canaras Capital Management LLC</w:t>
      </w:r>
    </w:p>
    <w:p>
      <w:pPr>
        <w:ind w:left="2780"/>
        <w:spacing w:after="0" w:line="225" w:lineRule="auto"/>
        <w:rPr>
          <w:sz w:val="20"/>
          <w:szCs w:val="20"/>
          <w:color w:val="auto"/>
        </w:rPr>
      </w:pPr>
      <w:r>
        <w:rPr>
          <w:rFonts w:ascii="Arial" w:cs="Arial" w:eastAsia="Arial" w:hAnsi="Arial"/>
          <w:sz w:val="20"/>
          <w:szCs w:val="20"/>
          <w:color w:val="auto"/>
        </w:rPr>
        <w:t>As Service Provider</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an Initial Term Loan Lender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Ben Steger</w:t>
      </w:r>
      <w:r>
        <w:rPr>
          <w:rFonts w:ascii="Arial" w:cs="Arial" w:eastAsia="Arial" w:hAnsi="Arial"/>
          <w:sz w:val="19"/>
          <w:szCs w:val="19"/>
          <w:color w:val="auto"/>
        </w:rPr>
        <w:t>_________________________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Ben Steger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9019"/>
          </w:cols>
          <w:pgMar w:left="1440" w:top="1419" w:right="1440" w:bottom="1440" w:gutter="0" w:footer="0" w:header="0"/>
        </w:sectPr>
      </w:pPr>
    </w:p>
    <w:bookmarkStart w:id="59" w:name="page60"/>
    <w:bookmarkEnd w:id="59"/>
    <w:p>
      <w:pPr>
        <w:ind w:left="2780"/>
        <w:spacing w:after="0"/>
        <w:rPr>
          <w:sz w:val="20"/>
          <w:szCs w:val="20"/>
          <w:color w:val="auto"/>
        </w:rPr>
      </w:pPr>
      <w:r>
        <w:rPr>
          <w:rFonts w:ascii="Arial" w:cs="Arial" w:eastAsia="Arial" w:hAnsi="Arial"/>
          <w:sz w:val="20"/>
          <w:szCs w:val="20"/>
          <w:color w:val="auto"/>
        </w:rPr>
        <w:t>Saranac CLO VII Limited</w:t>
      </w:r>
    </w:p>
    <w:p>
      <w:pPr>
        <w:ind w:left="2780"/>
        <w:spacing w:after="0" w:line="227" w:lineRule="auto"/>
        <w:rPr>
          <w:sz w:val="20"/>
          <w:szCs w:val="20"/>
          <w:color w:val="auto"/>
        </w:rPr>
      </w:pPr>
      <w:r>
        <w:rPr>
          <w:rFonts w:ascii="Arial" w:cs="Arial" w:eastAsia="Arial" w:hAnsi="Arial"/>
          <w:sz w:val="20"/>
          <w:szCs w:val="20"/>
          <w:color w:val="auto"/>
        </w:rPr>
        <w:t>By: Canaras Capital Management LLC</w:t>
      </w:r>
    </w:p>
    <w:p>
      <w:pPr>
        <w:ind w:left="2780"/>
        <w:spacing w:after="0" w:line="225" w:lineRule="auto"/>
        <w:rPr>
          <w:sz w:val="20"/>
          <w:szCs w:val="20"/>
          <w:color w:val="auto"/>
        </w:rPr>
      </w:pPr>
      <w:r>
        <w:rPr>
          <w:rFonts w:ascii="Arial" w:cs="Arial" w:eastAsia="Arial" w:hAnsi="Arial"/>
          <w:sz w:val="20"/>
          <w:szCs w:val="20"/>
          <w:color w:val="auto"/>
        </w:rPr>
        <w:t>As Service Provider</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an Initial Term Loan Lender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Ben Steger</w:t>
      </w:r>
      <w:r>
        <w:rPr>
          <w:rFonts w:ascii="Arial" w:cs="Arial" w:eastAsia="Arial" w:hAnsi="Arial"/>
          <w:sz w:val="19"/>
          <w:szCs w:val="19"/>
          <w:color w:val="auto"/>
        </w:rPr>
        <w:t>_________________________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Ben Steger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9019"/>
          </w:cols>
          <w:pgMar w:left="1440" w:top="1419" w:right="1440" w:bottom="1440" w:gutter="0" w:footer="0" w:header="0"/>
        </w:sectPr>
      </w:pPr>
    </w:p>
    <w:bookmarkStart w:id="60" w:name="page61"/>
    <w:bookmarkEnd w:id="60"/>
    <w:p>
      <w:pPr>
        <w:ind w:left="2780"/>
        <w:spacing w:after="0"/>
        <w:rPr>
          <w:sz w:val="20"/>
          <w:szCs w:val="20"/>
          <w:color w:val="auto"/>
        </w:rPr>
      </w:pPr>
      <w:r>
        <w:rPr>
          <w:rFonts w:ascii="Arial" w:cs="Arial" w:eastAsia="Arial" w:hAnsi="Arial"/>
          <w:sz w:val="20"/>
          <w:szCs w:val="20"/>
          <w:color w:val="auto"/>
        </w:rPr>
        <w:t>Saranac CLO III Limited</w:t>
      </w:r>
    </w:p>
    <w:p>
      <w:pPr>
        <w:ind w:left="2780"/>
        <w:spacing w:after="0" w:line="227" w:lineRule="auto"/>
        <w:rPr>
          <w:sz w:val="20"/>
          <w:szCs w:val="20"/>
          <w:color w:val="auto"/>
        </w:rPr>
      </w:pPr>
      <w:r>
        <w:rPr>
          <w:rFonts w:ascii="Arial" w:cs="Arial" w:eastAsia="Arial" w:hAnsi="Arial"/>
          <w:sz w:val="20"/>
          <w:szCs w:val="20"/>
          <w:color w:val="auto"/>
        </w:rPr>
        <w:t>By: Canaras Capital Management LLC</w:t>
      </w:r>
    </w:p>
    <w:p>
      <w:pPr>
        <w:ind w:left="2780"/>
        <w:spacing w:after="0" w:line="225" w:lineRule="auto"/>
        <w:rPr>
          <w:sz w:val="20"/>
          <w:szCs w:val="20"/>
          <w:color w:val="auto"/>
        </w:rPr>
      </w:pPr>
      <w:r>
        <w:rPr>
          <w:rFonts w:ascii="Arial" w:cs="Arial" w:eastAsia="Arial" w:hAnsi="Arial"/>
          <w:sz w:val="20"/>
          <w:szCs w:val="20"/>
          <w:color w:val="auto"/>
        </w:rPr>
        <w:t>As Service Provider</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an Initial Term Loan Lender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Ben Steger</w:t>
      </w:r>
      <w:r>
        <w:rPr>
          <w:rFonts w:ascii="Arial" w:cs="Arial" w:eastAsia="Arial" w:hAnsi="Arial"/>
          <w:sz w:val="19"/>
          <w:szCs w:val="19"/>
          <w:color w:val="auto"/>
        </w:rPr>
        <w:t>_________________________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Ben Steger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9019"/>
          </w:cols>
          <w:pgMar w:left="1440" w:top="1419" w:right="1440" w:bottom="1440" w:gutter="0" w:footer="0" w:header="0"/>
        </w:sectPr>
      </w:pPr>
    </w:p>
    <w:bookmarkStart w:id="61" w:name="page62"/>
    <w:bookmarkEnd w:id="61"/>
    <w:p>
      <w:pPr>
        <w:ind w:left="2780"/>
        <w:spacing w:after="0"/>
        <w:rPr>
          <w:sz w:val="20"/>
          <w:szCs w:val="20"/>
          <w:color w:val="auto"/>
        </w:rPr>
      </w:pPr>
      <w:r>
        <w:rPr>
          <w:rFonts w:ascii="Arial" w:cs="Arial" w:eastAsia="Arial" w:hAnsi="Arial"/>
          <w:sz w:val="20"/>
          <w:szCs w:val="20"/>
          <w:color w:val="auto"/>
        </w:rPr>
        <w:t>Saranac CLO VI Limited</w:t>
      </w:r>
    </w:p>
    <w:p>
      <w:pPr>
        <w:ind w:left="2780"/>
        <w:spacing w:after="0" w:line="227" w:lineRule="auto"/>
        <w:rPr>
          <w:sz w:val="20"/>
          <w:szCs w:val="20"/>
          <w:color w:val="auto"/>
        </w:rPr>
      </w:pPr>
      <w:r>
        <w:rPr>
          <w:rFonts w:ascii="Arial" w:cs="Arial" w:eastAsia="Arial" w:hAnsi="Arial"/>
          <w:sz w:val="20"/>
          <w:szCs w:val="20"/>
          <w:color w:val="auto"/>
        </w:rPr>
        <w:t>By: Canaras Capital Management LLC</w:t>
      </w:r>
    </w:p>
    <w:p>
      <w:pPr>
        <w:ind w:left="2780"/>
        <w:spacing w:after="0" w:line="225" w:lineRule="auto"/>
        <w:rPr>
          <w:sz w:val="20"/>
          <w:szCs w:val="20"/>
          <w:color w:val="auto"/>
        </w:rPr>
      </w:pPr>
      <w:r>
        <w:rPr>
          <w:rFonts w:ascii="Arial" w:cs="Arial" w:eastAsia="Arial" w:hAnsi="Arial"/>
          <w:sz w:val="20"/>
          <w:szCs w:val="20"/>
          <w:color w:val="auto"/>
        </w:rPr>
        <w:t>As Service Provider</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an Initial Term Loan Lender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Ben Steger</w:t>
      </w:r>
      <w:r>
        <w:rPr>
          <w:rFonts w:ascii="Arial" w:cs="Arial" w:eastAsia="Arial" w:hAnsi="Arial"/>
          <w:sz w:val="19"/>
          <w:szCs w:val="19"/>
          <w:color w:val="auto"/>
        </w:rPr>
        <w:t>_________________________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Ben Steger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9019"/>
          </w:cols>
          <w:pgMar w:left="1440" w:top="1419" w:right="1440" w:bottom="1440" w:gutter="0" w:footer="0" w:header="0"/>
        </w:sectPr>
      </w:pPr>
    </w:p>
    <w:bookmarkStart w:id="62" w:name="page63"/>
    <w:bookmarkEnd w:id="62"/>
    <w:p>
      <w:pPr>
        <w:ind w:left="2780"/>
        <w:spacing w:after="0"/>
        <w:rPr>
          <w:sz w:val="20"/>
          <w:szCs w:val="20"/>
          <w:color w:val="auto"/>
        </w:rPr>
      </w:pPr>
      <w:r>
        <w:rPr>
          <w:rFonts w:ascii="Arial" w:cs="Arial" w:eastAsia="Arial" w:hAnsi="Arial"/>
          <w:sz w:val="20"/>
          <w:szCs w:val="20"/>
          <w:color w:val="auto"/>
        </w:rPr>
        <w:t>Saranac CLO VIII Limited</w:t>
      </w:r>
    </w:p>
    <w:p>
      <w:pPr>
        <w:ind w:left="2780"/>
        <w:spacing w:after="0" w:line="227" w:lineRule="auto"/>
        <w:rPr>
          <w:sz w:val="20"/>
          <w:szCs w:val="20"/>
          <w:color w:val="auto"/>
        </w:rPr>
      </w:pPr>
      <w:r>
        <w:rPr>
          <w:rFonts w:ascii="Arial" w:cs="Arial" w:eastAsia="Arial" w:hAnsi="Arial"/>
          <w:sz w:val="20"/>
          <w:szCs w:val="20"/>
          <w:color w:val="auto"/>
        </w:rPr>
        <w:t>By: Canaras Capital Management LLC</w:t>
      </w:r>
    </w:p>
    <w:p>
      <w:pPr>
        <w:ind w:left="2780"/>
        <w:spacing w:after="0" w:line="225" w:lineRule="auto"/>
        <w:rPr>
          <w:sz w:val="20"/>
          <w:szCs w:val="20"/>
          <w:color w:val="auto"/>
        </w:rPr>
      </w:pPr>
      <w:r>
        <w:rPr>
          <w:rFonts w:ascii="Arial" w:cs="Arial" w:eastAsia="Arial" w:hAnsi="Arial"/>
          <w:sz w:val="20"/>
          <w:szCs w:val="20"/>
          <w:color w:val="auto"/>
        </w:rPr>
        <w:t>As Service Provider</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an Initial Term Loan Lender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Ben Steger</w:t>
      </w:r>
      <w:r>
        <w:rPr>
          <w:rFonts w:ascii="Arial" w:cs="Arial" w:eastAsia="Arial" w:hAnsi="Arial"/>
          <w:sz w:val="19"/>
          <w:szCs w:val="19"/>
          <w:color w:val="auto"/>
        </w:rPr>
        <w:t>_________________________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Ben Steger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9019"/>
          </w:cols>
          <w:pgMar w:left="1440" w:top="1419" w:right="1440" w:bottom="1440" w:gutter="0" w:footer="0" w:header="0"/>
        </w:sectPr>
      </w:pPr>
    </w:p>
    <w:bookmarkStart w:id="63" w:name="page64"/>
    <w:bookmarkEnd w:id="63"/>
    <w:p>
      <w:pPr>
        <w:ind w:left="2780"/>
        <w:spacing w:after="0"/>
        <w:rPr>
          <w:sz w:val="20"/>
          <w:szCs w:val="20"/>
          <w:color w:val="auto"/>
        </w:rPr>
      </w:pPr>
      <w:r>
        <w:rPr>
          <w:rFonts w:ascii="Arial" w:cs="Arial" w:eastAsia="Arial" w:hAnsi="Arial"/>
          <w:sz w:val="20"/>
          <w:szCs w:val="20"/>
          <w:color w:val="auto"/>
        </w:rPr>
        <w:t>Carlyle Investment Management L.L.C,</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Signed for and on behalf of:</w:t>
      </w:r>
    </w:p>
    <w:p>
      <w:pPr>
        <w:spacing w:after="0" w:line="229"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Carlyle Global Market Strategies CLO 2012-4, LTD</w:t>
      </w:r>
    </w:p>
    <w:p>
      <w:pPr>
        <w:spacing w:after="0" w:line="1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Carlyle Global Market Strategies CLO 2015-5, LTD</w:t>
      </w:r>
    </w:p>
    <w:p>
      <w:pPr>
        <w:ind w:left="2780"/>
        <w:spacing w:after="0" w:line="237" w:lineRule="auto"/>
        <w:rPr>
          <w:sz w:val="20"/>
          <w:szCs w:val="20"/>
          <w:color w:val="auto"/>
        </w:rPr>
      </w:pPr>
      <w:r>
        <w:rPr>
          <w:rFonts w:ascii="Arial" w:cs="Arial" w:eastAsia="Arial" w:hAnsi="Arial"/>
          <w:sz w:val="19"/>
          <w:szCs w:val="19"/>
          <w:color w:val="auto"/>
        </w:rPr>
        <w:t>Carlyle Global Market Strategies CLO 2016-3, LTD</w:t>
      </w:r>
    </w:p>
    <w:p>
      <w:pPr>
        <w:ind w:left="2780"/>
        <w:spacing w:after="0" w:line="225" w:lineRule="auto"/>
        <w:rPr>
          <w:sz w:val="20"/>
          <w:szCs w:val="20"/>
          <w:color w:val="auto"/>
        </w:rPr>
      </w:pPr>
      <w:r>
        <w:rPr>
          <w:rFonts w:ascii="Arial" w:cs="Arial" w:eastAsia="Arial" w:hAnsi="Arial"/>
          <w:sz w:val="20"/>
          <w:szCs w:val="20"/>
          <w:color w:val="auto"/>
        </w:rPr>
        <w:t>Carlyle C17 CLO, LTD</w:t>
      </w:r>
    </w:p>
    <w:p>
      <w:pPr>
        <w:ind w:left="2780"/>
        <w:spacing w:after="0" w:line="226" w:lineRule="auto"/>
        <w:rPr>
          <w:sz w:val="20"/>
          <w:szCs w:val="20"/>
          <w:color w:val="auto"/>
        </w:rPr>
      </w:pPr>
      <w:r>
        <w:rPr>
          <w:rFonts w:ascii="Arial" w:cs="Arial" w:eastAsia="Arial" w:hAnsi="Arial"/>
          <w:sz w:val="20"/>
          <w:szCs w:val="20"/>
          <w:color w:val="auto"/>
        </w:rPr>
        <w:t>Carlyle US CLO 2018-1, LTD</w:t>
      </w:r>
    </w:p>
    <w:p>
      <w:pPr>
        <w:ind w:left="2780"/>
        <w:spacing w:after="0"/>
        <w:rPr>
          <w:sz w:val="20"/>
          <w:szCs w:val="20"/>
          <w:color w:val="auto"/>
        </w:rPr>
      </w:pPr>
      <w:r>
        <w:rPr>
          <w:rFonts w:ascii="Arial" w:cs="Arial" w:eastAsia="Arial" w:hAnsi="Arial"/>
          <w:sz w:val="18"/>
          <w:szCs w:val="18"/>
          <w:color w:val="auto"/>
        </w:rPr>
        <w:t>Carlyle Global Market Strategies CLO 2014-3 R, LTD</w:t>
      </w:r>
    </w:p>
    <w:p>
      <w:pPr>
        <w:ind w:left="2780"/>
        <w:spacing w:after="0" w:line="234" w:lineRule="auto"/>
        <w:rPr>
          <w:sz w:val="20"/>
          <w:szCs w:val="20"/>
          <w:color w:val="auto"/>
        </w:rPr>
      </w:pPr>
      <w:r>
        <w:rPr>
          <w:rFonts w:ascii="Arial" w:cs="Arial" w:eastAsia="Arial" w:hAnsi="Arial"/>
          <w:sz w:val="20"/>
          <w:szCs w:val="20"/>
          <w:color w:val="auto"/>
        </w:rPr>
        <w:t>Carlyle US CLO 2018-2, LTD</w:t>
      </w:r>
    </w:p>
    <w:p>
      <w:pPr>
        <w:ind w:left="2780"/>
        <w:spacing w:after="0" w:line="226" w:lineRule="auto"/>
        <w:rPr>
          <w:sz w:val="20"/>
          <w:szCs w:val="20"/>
          <w:color w:val="auto"/>
        </w:rPr>
      </w:pPr>
      <w:r>
        <w:rPr>
          <w:rFonts w:ascii="Arial" w:cs="Arial" w:eastAsia="Arial" w:hAnsi="Arial"/>
          <w:sz w:val="20"/>
          <w:szCs w:val="20"/>
          <w:color w:val="auto"/>
        </w:rPr>
        <w:t>Carlyle US CLO 2018-4, LTD</w:t>
      </w:r>
    </w:p>
    <w:p>
      <w:pPr>
        <w:ind w:left="2780"/>
        <w:spacing w:after="0"/>
        <w:rPr>
          <w:sz w:val="20"/>
          <w:szCs w:val="20"/>
          <w:color w:val="auto"/>
        </w:rPr>
      </w:pPr>
      <w:r>
        <w:rPr>
          <w:rFonts w:ascii="Arial" w:cs="Arial" w:eastAsia="Arial" w:hAnsi="Arial"/>
          <w:sz w:val="20"/>
          <w:szCs w:val="20"/>
          <w:color w:val="auto"/>
        </w:rPr>
        <w:t>Carlyle US CLO 2019-1, LTD</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an Initial Term Loan Lender</w:t>
      </w:r>
    </w:p>
    <w:p>
      <w:pPr>
        <w:spacing w:after="0" w:line="200" w:lineRule="exact"/>
        <w:rPr>
          <w:sz w:val="20"/>
          <w:szCs w:val="20"/>
          <w:color w:val="auto"/>
        </w:rPr>
      </w:pPr>
    </w:p>
    <w:p>
      <w:pPr>
        <w:spacing w:after="0" w:line="26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Glori Graziano</w:t>
      </w:r>
      <w:r>
        <w:rPr>
          <w:rFonts w:ascii="Arial" w:cs="Arial" w:eastAsia="Arial" w:hAnsi="Arial"/>
          <w:sz w:val="19"/>
          <w:szCs w:val="19"/>
          <w:color w:val="auto"/>
        </w:rPr>
        <w:t>______________________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Glori Graziano</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9019"/>
          </w:cols>
          <w:pgMar w:left="1440" w:top="1419" w:right="1440" w:bottom="1440" w:gutter="0" w:footer="0" w:header="0"/>
        </w:sectPr>
      </w:pPr>
    </w:p>
    <w:bookmarkStart w:id="64" w:name="page65"/>
    <w:bookmarkEnd w:id="64"/>
    <w:p>
      <w:pPr>
        <w:spacing w:after="0"/>
        <w:rPr>
          <w:sz w:val="20"/>
          <w:szCs w:val="20"/>
          <w:color w:val="auto"/>
        </w:rPr>
      </w:pPr>
      <w:r>
        <w:rPr>
          <w:rFonts w:ascii="Arial" w:cs="Arial" w:eastAsia="Arial" w:hAnsi="Arial"/>
          <w:sz w:val="20"/>
          <w:szCs w:val="20"/>
          <w:color w:val="auto"/>
        </w:rPr>
        <w:t>ARCH STREET CLO, LTD.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James R. Fellows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Name: James R. Fellows</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Title: CIO/Managing Director/Co-Head</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LONGFELLOW PLACE CLO, LTD.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James R. Fellows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Name: James R. Fellows</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Title: CIO/Managing Director/Co-Head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139"/>
          </w:cols>
          <w:pgMar w:left="320" w:top="1419" w:right="1440" w:bottom="1440" w:gutter="0" w:footer="0" w:header="0"/>
        </w:sectPr>
      </w:pPr>
    </w:p>
    <w:bookmarkStart w:id="65" w:name="page66"/>
    <w:bookmarkEnd w:id="65"/>
    <w:p>
      <w:pPr>
        <w:ind w:left="2780"/>
        <w:spacing w:after="0"/>
        <w:rPr>
          <w:sz w:val="20"/>
          <w:szCs w:val="20"/>
          <w:color w:val="auto"/>
        </w:rPr>
      </w:pPr>
      <w:r>
        <w:rPr>
          <w:rFonts w:ascii="Arial" w:cs="Arial" w:eastAsia="Arial" w:hAnsi="Arial"/>
          <w:sz w:val="20"/>
          <w:szCs w:val="20"/>
          <w:color w:val="auto"/>
        </w:rPr>
        <w:t>LCM XIII Limited Partnership</w:t>
      </w:r>
    </w:p>
    <w:p>
      <w:pPr>
        <w:ind w:left="2780"/>
        <w:spacing w:after="0" w:line="227" w:lineRule="auto"/>
        <w:rPr>
          <w:sz w:val="20"/>
          <w:szCs w:val="20"/>
          <w:color w:val="auto"/>
        </w:rPr>
      </w:pPr>
      <w:r>
        <w:rPr>
          <w:rFonts w:ascii="Arial" w:cs="Arial" w:eastAsia="Arial" w:hAnsi="Arial"/>
          <w:sz w:val="20"/>
          <w:szCs w:val="20"/>
          <w:color w:val="auto"/>
        </w:rPr>
        <w:t>LCM XIV Limited Partnership</w:t>
      </w:r>
    </w:p>
    <w:p>
      <w:pPr>
        <w:ind w:left="2780"/>
        <w:spacing w:after="0" w:line="225" w:lineRule="auto"/>
        <w:rPr>
          <w:sz w:val="20"/>
          <w:szCs w:val="20"/>
          <w:color w:val="auto"/>
        </w:rPr>
      </w:pPr>
      <w:r>
        <w:rPr>
          <w:rFonts w:ascii="Arial" w:cs="Arial" w:eastAsia="Arial" w:hAnsi="Arial"/>
          <w:sz w:val="20"/>
          <w:szCs w:val="20"/>
          <w:color w:val="auto"/>
        </w:rPr>
        <w:t>LCM XV Limited Partnership</w:t>
      </w:r>
    </w:p>
    <w:p>
      <w:pPr>
        <w:ind w:left="2780"/>
        <w:spacing w:after="0" w:line="226" w:lineRule="auto"/>
        <w:rPr>
          <w:sz w:val="20"/>
          <w:szCs w:val="20"/>
          <w:color w:val="auto"/>
        </w:rPr>
      </w:pPr>
      <w:r>
        <w:rPr>
          <w:rFonts w:ascii="Arial" w:cs="Arial" w:eastAsia="Arial" w:hAnsi="Arial"/>
          <w:sz w:val="20"/>
          <w:szCs w:val="20"/>
          <w:color w:val="auto"/>
        </w:rPr>
        <w:t>LCM XVI Limited Partnership</w:t>
      </w:r>
    </w:p>
    <w:p>
      <w:pPr>
        <w:ind w:left="2780"/>
        <w:spacing w:after="0" w:line="225" w:lineRule="auto"/>
        <w:rPr>
          <w:sz w:val="20"/>
          <w:szCs w:val="20"/>
          <w:color w:val="auto"/>
        </w:rPr>
      </w:pPr>
      <w:r>
        <w:rPr>
          <w:rFonts w:ascii="Arial" w:cs="Arial" w:eastAsia="Arial" w:hAnsi="Arial"/>
          <w:sz w:val="20"/>
          <w:szCs w:val="20"/>
          <w:color w:val="auto"/>
        </w:rPr>
        <w:t>LCM XVII Limited Partnership</w:t>
      </w:r>
    </w:p>
    <w:p>
      <w:pPr>
        <w:ind w:left="2780"/>
        <w:spacing w:after="0" w:line="226" w:lineRule="auto"/>
        <w:rPr>
          <w:sz w:val="20"/>
          <w:szCs w:val="20"/>
          <w:color w:val="auto"/>
        </w:rPr>
      </w:pPr>
      <w:r>
        <w:rPr>
          <w:rFonts w:ascii="Arial" w:cs="Arial" w:eastAsia="Arial" w:hAnsi="Arial"/>
          <w:sz w:val="20"/>
          <w:szCs w:val="20"/>
          <w:color w:val="auto"/>
        </w:rPr>
        <w:t>LCM XVIII Limited Partnership</w:t>
      </w:r>
    </w:p>
    <w:p>
      <w:pPr>
        <w:ind w:left="2780"/>
        <w:spacing w:after="0" w:line="225" w:lineRule="auto"/>
        <w:rPr>
          <w:sz w:val="20"/>
          <w:szCs w:val="20"/>
          <w:color w:val="auto"/>
        </w:rPr>
      </w:pPr>
      <w:r>
        <w:rPr>
          <w:rFonts w:ascii="Arial" w:cs="Arial" w:eastAsia="Arial" w:hAnsi="Arial"/>
          <w:sz w:val="20"/>
          <w:szCs w:val="20"/>
          <w:color w:val="auto"/>
        </w:rPr>
        <w:t>LCM XIX Limited Partnership</w:t>
      </w:r>
    </w:p>
    <w:p>
      <w:pPr>
        <w:ind w:left="2780"/>
        <w:spacing w:after="0" w:line="225" w:lineRule="auto"/>
        <w:rPr>
          <w:sz w:val="20"/>
          <w:szCs w:val="20"/>
          <w:color w:val="auto"/>
        </w:rPr>
      </w:pPr>
      <w:r>
        <w:rPr>
          <w:rFonts w:ascii="Arial" w:cs="Arial" w:eastAsia="Arial" w:hAnsi="Arial"/>
          <w:sz w:val="20"/>
          <w:szCs w:val="20"/>
          <w:color w:val="auto"/>
        </w:rPr>
        <w:t>LCM XX Limited Partnership</w:t>
      </w:r>
    </w:p>
    <w:p>
      <w:pPr>
        <w:ind w:left="2780"/>
        <w:spacing w:after="0" w:line="226" w:lineRule="auto"/>
        <w:rPr>
          <w:sz w:val="20"/>
          <w:szCs w:val="20"/>
          <w:color w:val="auto"/>
        </w:rPr>
      </w:pPr>
      <w:r>
        <w:rPr>
          <w:rFonts w:ascii="Arial" w:cs="Arial" w:eastAsia="Arial" w:hAnsi="Arial"/>
          <w:sz w:val="20"/>
          <w:szCs w:val="20"/>
          <w:color w:val="auto"/>
        </w:rPr>
        <w:t>LCM XXI Limited Partnership</w:t>
      </w:r>
    </w:p>
    <w:p>
      <w:pPr>
        <w:ind w:left="2780"/>
        <w:spacing w:after="0" w:line="225" w:lineRule="auto"/>
        <w:rPr>
          <w:sz w:val="20"/>
          <w:szCs w:val="20"/>
          <w:color w:val="auto"/>
        </w:rPr>
      </w:pPr>
      <w:r>
        <w:rPr>
          <w:rFonts w:ascii="Arial" w:cs="Arial" w:eastAsia="Arial" w:hAnsi="Arial"/>
          <w:sz w:val="20"/>
          <w:szCs w:val="20"/>
          <w:color w:val="auto"/>
        </w:rPr>
        <w:t>LCM XXII LTD.</w:t>
      </w:r>
    </w:p>
    <w:p>
      <w:pPr>
        <w:ind w:left="2780"/>
        <w:spacing w:after="0" w:line="226" w:lineRule="auto"/>
        <w:rPr>
          <w:sz w:val="20"/>
          <w:szCs w:val="20"/>
          <w:color w:val="auto"/>
        </w:rPr>
      </w:pPr>
      <w:r>
        <w:rPr>
          <w:rFonts w:ascii="Arial" w:cs="Arial" w:eastAsia="Arial" w:hAnsi="Arial"/>
          <w:sz w:val="20"/>
          <w:szCs w:val="20"/>
          <w:color w:val="auto"/>
        </w:rPr>
        <w:t>LCM XXIII LTD.</w:t>
      </w:r>
    </w:p>
    <w:p>
      <w:pPr>
        <w:ind w:left="2780"/>
        <w:spacing w:after="0" w:line="225" w:lineRule="auto"/>
        <w:rPr>
          <w:sz w:val="20"/>
          <w:szCs w:val="20"/>
          <w:color w:val="auto"/>
        </w:rPr>
      </w:pPr>
      <w:r>
        <w:rPr>
          <w:rFonts w:ascii="Arial" w:cs="Arial" w:eastAsia="Arial" w:hAnsi="Arial"/>
          <w:sz w:val="20"/>
          <w:szCs w:val="20"/>
          <w:color w:val="auto"/>
        </w:rPr>
        <w:t>LCM XXIV LTD.</w:t>
      </w:r>
    </w:p>
    <w:p>
      <w:pPr>
        <w:ind w:left="2780"/>
        <w:spacing w:after="0" w:line="226" w:lineRule="auto"/>
        <w:rPr>
          <w:sz w:val="20"/>
          <w:szCs w:val="20"/>
          <w:color w:val="auto"/>
        </w:rPr>
      </w:pPr>
      <w:r>
        <w:rPr>
          <w:rFonts w:ascii="Arial" w:cs="Arial" w:eastAsia="Arial" w:hAnsi="Arial"/>
          <w:sz w:val="20"/>
          <w:szCs w:val="20"/>
          <w:color w:val="auto"/>
        </w:rPr>
        <w:t>LCM XXV LTD.</w:t>
      </w:r>
    </w:p>
    <w:p>
      <w:pPr>
        <w:ind w:left="2780"/>
        <w:spacing w:after="0" w:line="225" w:lineRule="auto"/>
        <w:rPr>
          <w:sz w:val="20"/>
          <w:szCs w:val="20"/>
          <w:color w:val="auto"/>
        </w:rPr>
      </w:pPr>
      <w:r>
        <w:rPr>
          <w:rFonts w:ascii="Arial" w:cs="Arial" w:eastAsia="Arial" w:hAnsi="Arial"/>
          <w:sz w:val="20"/>
          <w:szCs w:val="20"/>
          <w:color w:val="auto"/>
        </w:rPr>
        <w:t>LCM 26 LTD.</w:t>
      </w:r>
    </w:p>
    <w:p>
      <w:pPr>
        <w:ind w:left="2780"/>
        <w:spacing w:after="0" w:line="225" w:lineRule="auto"/>
        <w:rPr>
          <w:sz w:val="20"/>
          <w:szCs w:val="20"/>
          <w:color w:val="auto"/>
        </w:rPr>
      </w:pPr>
      <w:r>
        <w:rPr>
          <w:rFonts w:ascii="Arial" w:cs="Arial" w:eastAsia="Arial" w:hAnsi="Arial"/>
          <w:sz w:val="20"/>
          <w:szCs w:val="20"/>
          <w:color w:val="auto"/>
        </w:rPr>
        <w:t>LCM 27 LTD.</w:t>
      </w:r>
    </w:p>
    <w:p>
      <w:pPr>
        <w:ind w:left="2780"/>
        <w:spacing w:after="0" w:line="226" w:lineRule="auto"/>
        <w:rPr>
          <w:sz w:val="20"/>
          <w:szCs w:val="20"/>
          <w:color w:val="auto"/>
        </w:rPr>
      </w:pPr>
      <w:r>
        <w:rPr>
          <w:rFonts w:ascii="Arial" w:cs="Arial" w:eastAsia="Arial" w:hAnsi="Arial"/>
          <w:sz w:val="20"/>
          <w:szCs w:val="20"/>
          <w:color w:val="auto"/>
        </w:rPr>
        <w:t>LCM 28 LTD.</w:t>
      </w:r>
    </w:p>
    <w:p>
      <w:pPr>
        <w:ind w:left="2780"/>
        <w:spacing w:after="0" w:line="225" w:lineRule="auto"/>
        <w:rPr>
          <w:sz w:val="20"/>
          <w:szCs w:val="20"/>
          <w:color w:val="auto"/>
        </w:rPr>
      </w:pPr>
      <w:r>
        <w:rPr>
          <w:rFonts w:ascii="Arial" w:cs="Arial" w:eastAsia="Arial" w:hAnsi="Arial"/>
          <w:sz w:val="20"/>
          <w:szCs w:val="20"/>
          <w:color w:val="auto"/>
        </w:rPr>
        <w:t>LCM 29 LTD.</w:t>
      </w:r>
    </w:p>
    <w:p>
      <w:pPr>
        <w:ind w:left="2780"/>
        <w:spacing w:after="0" w:line="226" w:lineRule="auto"/>
        <w:rPr>
          <w:sz w:val="20"/>
          <w:szCs w:val="20"/>
          <w:color w:val="auto"/>
        </w:rPr>
      </w:pPr>
      <w:r>
        <w:rPr>
          <w:rFonts w:ascii="Arial" w:cs="Arial" w:eastAsia="Arial" w:hAnsi="Arial"/>
          <w:sz w:val="20"/>
          <w:szCs w:val="20"/>
          <w:color w:val="auto"/>
        </w:rPr>
        <w:t>LCM 30 LTD.</w:t>
      </w:r>
    </w:p>
    <w:p>
      <w:pPr>
        <w:ind w:left="2780"/>
        <w:spacing w:after="0"/>
        <w:rPr>
          <w:sz w:val="20"/>
          <w:szCs w:val="20"/>
          <w:color w:val="auto"/>
        </w:rPr>
      </w:pPr>
      <w:r>
        <w:rPr>
          <w:rFonts w:ascii="Arial" w:cs="Arial" w:eastAsia="Arial" w:hAnsi="Arial"/>
          <w:sz w:val="20"/>
          <w:szCs w:val="20"/>
          <w:color w:val="auto"/>
        </w:rPr>
        <w:t>LCM Loan Income Fund I LTD.</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______________________________________,</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an Initial Term Loan Lenders</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LCM Asset Management LLC</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Collateral Manager</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Alexander B. Kenna</w:t>
      </w:r>
      <w:r>
        <w:rPr>
          <w:rFonts w:ascii="Arial" w:cs="Arial" w:eastAsia="Arial" w:hAnsi="Arial"/>
          <w:sz w:val="19"/>
          <w:szCs w:val="19"/>
          <w:color w:val="auto"/>
        </w:rPr>
        <w:t>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Alexander B. Kenna</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9019"/>
          </w:cols>
          <w:pgMar w:left="1440" w:top="1419" w:right="1440" w:bottom="1440" w:gutter="0" w:footer="0" w:header="0"/>
        </w:sectPr>
      </w:pPr>
    </w:p>
    <w:bookmarkStart w:id="66" w:name="page67"/>
    <w:bookmarkEnd w:id="66"/>
    <w:p>
      <w:pPr>
        <w:ind w:left="2780"/>
        <w:spacing w:after="0"/>
        <w:rPr>
          <w:sz w:val="20"/>
          <w:szCs w:val="20"/>
          <w:color w:val="auto"/>
        </w:rPr>
      </w:pPr>
      <w:r>
        <w:rPr>
          <w:rFonts w:ascii="Arial" w:cs="Arial" w:eastAsia="Arial" w:hAnsi="Arial"/>
          <w:sz w:val="20"/>
          <w:szCs w:val="20"/>
          <w:color w:val="auto"/>
        </w:rPr>
        <w:t>Five Arrows Managers North America, LLC,</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Initial Term Loan Lender</w:t>
      </w:r>
    </w:p>
    <w:p>
      <w:pPr>
        <w:spacing w:after="0" w:line="200" w:lineRule="exact"/>
        <w:rPr>
          <w:sz w:val="20"/>
          <w:szCs w:val="20"/>
          <w:color w:val="auto"/>
        </w:rPr>
      </w:pPr>
    </w:p>
    <w:p>
      <w:pPr>
        <w:spacing w:after="0" w:line="25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Etton Soriano</w:t>
      </w:r>
      <w:r>
        <w:rPr>
          <w:rFonts w:ascii="Arial" w:cs="Arial" w:eastAsia="Arial" w:hAnsi="Arial"/>
          <w:sz w:val="19"/>
          <w:szCs w:val="19"/>
          <w:color w:val="auto"/>
        </w:rPr>
        <w:t>_______________________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Etton Soriano</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Investment Manager</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Funds:</w:t>
      </w:r>
    </w:p>
    <w:p>
      <w:pPr>
        <w:ind w:left="2780"/>
        <w:spacing w:after="0" w:line="227" w:lineRule="auto"/>
        <w:rPr>
          <w:sz w:val="20"/>
          <w:szCs w:val="20"/>
          <w:color w:val="auto"/>
        </w:rPr>
      </w:pPr>
      <w:r>
        <w:rPr>
          <w:rFonts w:ascii="Arial" w:cs="Arial" w:eastAsia="Arial" w:hAnsi="Arial"/>
          <w:sz w:val="20"/>
          <w:szCs w:val="20"/>
          <w:color w:val="auto"/>
        </w:rPr>
        <w:t>Ocean Trails CLO V</w:t>
      </w:r>
    </w:p>
    <w:p>
      <w:pPr>
        <w:ind w:left="2780"/>
        <w:spacing w:after="0" w:line="225" w:lineRule="auto"/>
        <w:rPr>
          <w:sz w:val="20"/>
          <w:szCs w:val="20"/>
          <w:color w:val="auto"/>
        </w:rPr>
      </w:pPr>
      <w:r>
        <w:rPr>
          <w:rFonts w:ascii="Arial" w:cs="Arial" w:eastAsia="Arial" w:hAnsi="Arial"/>
          <w:sz w:val="20"/>
          <w:szCs w:val="20"/>
          <w:color w:val="auto"/>
        </w:rPr>
        <w:t>Ocean Trails CLO VII</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Oberon USA Investments Sarl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9019"/>
          </w:cols>
          <w:pgMar w:left="1440" w:top="1419" w:right="1440" w:bottom="1440" w:gutter="0" w:footer="0" w:header="0"/>
        </w:sectPr>
      </w:pPr>
    </w:p>
    <w:bookmarkStart w:id="67" w:name="page68"/>
    <w:bookmarkEnd w:id="67"/>
    <w:p>
      <w:pPr>
        <w:ind w:left="2780"/>
        <w:spacing w:after="0"/>
        <w:rPr>
          <w:sz w:val="20"/>
          <w:szCs w:val="20"/>
          <w:color w:val="auto"/>
        </w:rPr>
      </w:pPr>
      <w:r>
        <w:rPr>
          <w:rFonts w:ascii="Arial" w:cs="Arial" w:eastAsia="Arial" w:hAnsi="Arial"/>
          <w:sz w:val="20"/>
          <w:szCs w:val="20"/>
          <w:color w:val="auto"/>
        </w:rPr>
        <w:t>VOYA SENIOR INCOME FUND</w:t>
      </w:r>
    </w:p>
    <w:p>
      <w:pPr>
        <w:ind w:left="2780"/>
        <w:spacing w:after="0" w:line="227" w:lineRule="auto"/>
        <w:rPr>
          <w:sz w:val="20"/>
          <w:szCs w:val="20"/>
          <w:color w:val="auto"/>
        </w:rPr>
      </w:pPr>
      <w:r>
        <w:rPr>
          <w:rFonts w:ascii="Arial" w:cs="Arial" w:eastAsia="Arial" w:hAnsi="Arial"/>
          <w:sz w:val="20"/>
          <w:szCs w:val="20"/>
          <w:color w:val="auto"/>
        </w:rPr>
        <w:t>VOYA FLOATING RATE FUND</w:t>
      </w:r>
    </w:p>
    <w:p>
      <w:pPr>
        <w:ind w:left="2780"/>
        <w:spacing w:after="0" w:line="225" w:lineRule="auto"/>
        <w:rPr>
          <w:sz w:val="20"/>
          <w:szCs w:val="20"/>
          <w:color w:val="auto"/>
        </w:rPr>
      </w:pPr>
      <w:r>
        <w:rPr>
          <w:rFonts w:ascii="Arial" w:cs="Arial" w:eastAsia="Arial" w:hAnsi="Arial"/>
          <w:sz w:val="20"/>
          <w:szCs w:val="20"/>
          <w:color w:val="auto"/>
        </w:rPr>
        <w:t>VOYA STRATEGIC INCOME FUND</w:t>
      </w:r>
    </w:p>
    <w:p>
      <w:pPr>
        <w:spacing w:after="0" w:line="1" w:lineRule="exact"/>
        <w:rPr>
          <w:sz w:val="20"/>
          <w:szCs w:val="20"/>
          <w:color w:val="auto"/>
        </w:rPr>
      </w:pPr>
    </w:p>
    <w:p>
      <w:pPr>
        <w:ind w:left="2780" w:right="3880" w:hanging="4"/>
        <w:spacing w:after="0" w:line="266" w:lineRule="auto"/>
        <w:tabs>
          <w:tab w:leader="none" w:pos="31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 FLEX – SENIOR LOANS MEDTRONIC HOLDINGS Sarl, each, as Initial Term Loan Lender</w:t>
      </w:r>
    </w:p>
    <w:p>
      <w:pPr>
        <w:spacing w:after="0" w:line="18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Voya Investment Manager Co. LLC,</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Investment Manager</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Robert Wilson</w:t>
      </w:r>
      <w:r>
        <w:rPr>
          <w:rFonts w:ascii="Arial" w:cs="Arial" w:eastAsia="Arial" w:hAnsi="Arial"/>
          <w:sz w:val="21"/>
          <w:szCs w:val="21"/>
          <w:color w:val="auto"/>
        </w:rPr>
        <w:t>______________________</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Robert Wilson</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Senior Vice President</w:t>
      </w:r>
    </w:p>
    <w:p>
      <w:pPr>
        <w:spacing w:after="0" w:line="23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VOYA CREDIT OPPORTUNITIES MASTER FUND</w:t>
      </w:r>
    </w:p>
    <w:p>
      <w:pPr>
        <w:ind w:left="2780"/>
        <w:spacing w:after="0" w:line="227" w:lineRule="auto"/>
        <w:rPr>
          <w:sz w:val="20"/>
          <w:szCs w:val="20"/>
          <w:color w:val="auto"/>
        </w:rPr>
      </w:pPr>
      <w:r>
        <w:rPr>
          <w:rFonts w:ascii="Arial" w:cs="Arial" w:eastAsia="Arial" w:hAnsi="Arial"/>
          <w:sz w:val="20"/>
          <w:szCs w:val="20"/>
          <w:color w:val="auto"/>
        </w:rPr>
        <w:t>VOYA CLO 2014-4, LTD.</w:t>
      </w:r>
    </w:p>
    <w:p>
      <w:pPr>
        <w:ind w:left="2780"/>
        <w:spacing w:after="0" w:line="225" w:lineRule="auto"/>
        <w:rPr>
          <w:sz w:val="20"/>
          <w:szCs w:val="20"/>
          <w:color w:val="auto"/>
        </w:rPr>
      </w:pPr>
      <w:r>
        <w:rPr>
          <w:rFonts w:ascii="Arial" w:cs="Arial" w:eastAsia="Arial" w:hAnsi="Arial"/>
          <w:sz w:val="20"/>
          <w:szCs w:val="20"/>
          <w:color w:val="auto"/>
        </w:rPr>
        <w:t>VOYA CLO 2015-3, LTD.</w:t>
      </w:r>
    </w:p>
    <w:p>
      <w:pPr>
        <w:ind w:left="2780"/>
        <w:spacing w:after="0" w:line="226" w:lineRule="auto"/>
        <w:rPr>
          <w:sz w:val="20"/>
          <w:szCs w:val="20"/>
          <w:color w:val="auto"/>
        </w:rPr>
      </w:pPr>
      <w:r>
        <w:rPr>
          <w:rFonts w:ascii="Arial" w:cs="Arial" w:eastAsia="Arial" w:hAnsi="Arial"/>
          <w:sz w:val="20"/>
          <w:szCs w:val="20"/>
          <w:color w:val="auto"/>
        </w:rPr>
        <w:t>VOYA CLO 2016-3, LTD.</w:t>
      </w:r>
    </w:p>
    <w:p>
      <w:pPr>
        <w:ind w:left="2780"/>
        <w:spacing w:after="0" w:line="225" w:lineRule="auto"/>
        <w:rPr>
          <w:sz w:val="20"/>
          <w:szCs w:val="20"/>
          <w:color w:val="auto"/>
        </w:rPr>
      </w:pPr>
      <w:r>
        <w:rPr>
          <w:rFonts w:ascii="Arial" w:cs="Arial" w:eastAsia="Arial" w:hAnsi="Arial"/>
          <w:sz w:val="20"/>
          <w:szCs w:val="20"/>
          <w:color w:val="auto"/>
        </w:rPr>
        <w:t>VOYA CLO 2017-1, LTD.</w:t>
      </w:r>
    </w:p>
    <w:p>
      <w:pPr>
        <w:ind w:left="2780"/>
        <w:spacing w:after="0" w:line="226" w:lineRule="auto"/>
        <w:rPr>
          <w:sz w:val="20"/>
          <w:szCs w:val="20"/>
          <w:color w:val="auto"/>
        </w:rPr>
      </w:pPr>
      <w:r>
        <w:rPr>
          <w:rFonts w:ascii="Arial" w:cs="Arial" w:eastAsia="Arial" w:hAnsi="Arial"/>
          <w:sz w:val="20"/>
          <w:szCs w:val="20"/>
          <w:color w:val="auto"/>
        </w:rPr>
        <w:t>VOYA CLO 2017-3, LTD.</w:t>
      </w:r>
    </w:p>
    <w:p>
      <w:pPr>
        <w:ind w:left="2780"/>
        <w:spacing w:after="0" w:line="225" w:lineRule="auto"/>
        <w:rPr>
          <w:sz w:val="20"/>
          <w:szCs w:val="20"/>
          <w:color w:val="auto"/>
        </w:rPr>
      </w:pPr>
      <w:r>
        <w:rPr>
          <w:rFonts w:ascii="Arial" w:cs="Arial" w:eastAsia="Arial" w:hAnsi="Arial"/>
          <w:sz w:val="20"/>
          <w:szCs w:val="20"/>
          <w:color w:val="auto"/>
        </w:rPr>
        <w:t>VOYA CLO 2017-4, LTD.</w:t>
      </w:r>
    </w:p>
    <w:p>
      <w:pPr>
        <w:ind w:left="2780"/>
        <w:spacing w:after="0" w:line="225" w:lineRule="auto"/>
        <w:rPr>
          <w:sz w:val="20"/>
          <w:szCs w:val="20"/>
          <w:color w:val="auto"/>
        </w:rPr>
      </w:pPr>
      <w:r>
        <w:rPr>
          <w:rFonts w:ascii="Arial" w:cs="Arial" w:eastAsia="Arial" w:hAnsi="Arial"/>
          <w:sz w:val="20"/>
          <w:szCs w:val="20"/>
          <w:color w:val="auto"/>
        </w:rPr>
        <w:t>VOYA CLO 2018-1, LTD.</w:t>
      </w:r>
    </w:p>
    <w:p>
      <w:pPr>
        <w:ind w:left="2780"/>
        <w:spacing w:after="0" w:line="226" w:lineRule="auto"/>
        <w:rPr>
          <w:sz w:val="20"/>
          <w:szCs w:val="20"/>
          <w:color w:val="auto"/>
        </w:rPr>
      </w:pPr>
      <w:r>
        <w:rPr>
          <w:rFonts w:ascii="Arial" w:cs="Arial" w:eastAsia="Arial" w:hAnsi="Arial"/>
          <w:sz w:val="20"/>
          <w:szCs w:val="20"/>
          <w:color w:val="auto"/>
        </w:rPr>
        <w:t>VOYA CLO 2018-2, LTD.</w:t>
      </w:r>
    </w:p>
    <w:p>
      <w:pPr>
        <w:ind w:left="2780"/>
        <w:spacing w:after="0" w:line="225" w:lineRule="auto"/>
        <w:rPr>
          <w:sz w:val="20"/>
          <w:szCs w:val="20"/>
          <w:color w:val="auto"/>
        </w:rPr>
      </w:pPr>
      <w:r>
        <w:rPr>
          <w:rFonts w:ascii="Arial" w:cs="Arial" w:eastAsia="Arial" w:hAnsi="Arial"/>
          <w:sz w:val="20"/>
          <w:szCs w:val="20"/>
          <w:color w:val="auto"/>
        </w:rPr>
        <w:t>VOYA CLO 2018-3, LTD.</w:t>
      </w:r>
    </w:p>
    <w:p>
      <w:pPr>
        <w:ind w:left="2780"/>
        <w:spacing w:after="0" w:line="226" w:lineRule="auto"/>
        <w:rPr>
          <w:sz w:val="20"/>
          <w:szCs w:val="20"/>
          <w:color w:val="auto"/>
        </w:rPr>
      </w:pPr>
      <w:r>
        <w:rPr>
          <w:rFonts w:ascii="Arial" w:cs="Arial" w:eastAsia="Arial" w:hAnsi="Arial"/>
          <w:sz w:val="20"/>
          <w:szCs w:val="20"/>
          <w:color w:val="auto"/>
        </w:rPr>
        <w:t>VOYA CLO 2018-4, LTD.</w:t>
      </w:r>
    </w:p>
    <w:p>
      <w:pPr>
        <w:ind w:left="2780"/>
        <w:spacing w:after="0" w:line="225" w:lineRule="auto"/>
        <w:rPr>
          <w:sz w:val="20"/>
          <w:szCs w:val="20"/>
          <w:color w:val="auto"/>
        </w:rPr>
      </w:pPr>
      <w:r>
        <w:rPr>
          <w:rFonts w:ascii="Arial" w:cs="Arial" w:eastAsia="Arial" w:hAnsi="Arial"/>
          <w:sz w:val="20"/>
          <w:szCs w:val="20"/>
          <w:color w:val="auto"/>
        </w:rPr>
        <w:t>VOYA CLO 2019-1, LTD.</w:t>
      </w:r>
    </w:p>
    <w:p>
      <w:pPr>
        <w:ind w:left="2780"/>
        <w:spacing w:after="0" w:line="226" w:lineRule="auto"/>
        <w:rPr>
          <w:sz w:val="20"/>
          <w:szCs w:val="20"/>
          <w:color w:val="auto"/>
        </w:rPr>
      </w:pPr>
      <w:r>
        <w:rPr>
          <w:rFonts w:ascii="Arial" w:cs="Arial" w:eastAsia="Arial" w:hAnsi="Arial"/>
          <w:sz w:val="20"/>
          <w:szCs w:val="20"/>
          <w:color w:val="auto"/>
        </w:rPr>
        <w:t>VOYA CLO 2020-1, LTD.</w:t>
      </w:r>
    </w:p>
    <w:p>
      <w:pPr>
        <w:ind w:left="2780"/>
        <w:spacing w:after="0" w:line="225" w:lineRule="auto"/>
        <w:rPr>
          <w:sz w:val="20"/>
          <w:szCs w:val="20"/>
          <w:color w:val="auto"/>
        </w:rPr>
      </w:pPr>
      <w:r>
        <w:rPr>
          <w:rFonts w:ascii="Arial" w:cs="Arial" w:eastAsia="Arial" w:hAnsi="Arial"/>
          <w:sz w:val="20"/>
          <w:szCs w:val="20"/>
          <w:color w:val="auto"/>
        </w:rPr>
        <w:t>VOYA CLO 2020-2, LTD.</w:t>
      </w:r>
    </w:p>
    <w:p>
      <w:pPr>
        <w:ind w:left="2780"/>
        <w:spacing w:after="0" w:line="225" w:lineRule="auto"/>
        <w:rPr>
          <w:sz w:val="20"/>
          <w:szCs w:val="20"/>
          <w:color w:val="auto"/>
        </w:rPr>
      </w:pPr>
      <w:r>
        <w:rPr>
          <w:rFonts w:ascii="Arial" w:cs="Arial" w:eastAsia="Arial" w:hAnsi="Arial"/>
          <w:sz w:val="20"/>
          <w:szCs w:val="20"/>
          <w:color w:val="auto"/>
        </w:rPr>
        <w:t>VOYA CLO 2020-3, LTD.</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each, as Initial Term Loan Lender</w:t>
      </w:r>
    </w:p>
    <w:p>
      <w:pPr>
        <w:spacing w:after="0" w:line="21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Voya Alternative Asset Management LLC,</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Investment Manager</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Robert Wilson</w:t>
      </w:r>
      <w:r>
        <w:rPr>
          <w:rFonts w:ascii="Arial" w:cs="Arial" w:eastAsia="Arial" w:hAnsi="Arial"/>
          <w:sz w:val="21"/>
          <w:szCs w:val="21"/>
          <w:color w:val="auto"/>
        </w:rPr>
        <w:t>______________________</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Robert Wilson</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Senior Vice President</w:t>
      </w:r>
    </w:p>
    <w:p>
      <w:pPr>
        <w:spacing w:after="0" w:line="235" w:lineRule="exact"/>
        <w:rPr>
          <w:sz w:val="20"/>
          <w:szCs w:val="20"/>
          <w:color w:val="auto"/>
        </w:rPr>
      </w:pPr>
    </w:p>
    <w:p>
      <w:pPr>
        <w:ind w:left="2780"/>
        <w:spacing w:after="0" w:line="246" w:lineRule="auto"/>
        <w:rPr>
          <w:sz w:val="20"/>
          <w:szCs w:val="20"/>
          <w:color w:val="auto"/>
        </w:rPr>
      </w:pPr>
      <w:r>
        <w:rPr>
          <w:rFonts w:ascii="Arial" w:cs="Arial" w:eastAsia="Arial" w:hAnsi="Arial"/>
          <w:sz w:val="20"/>
          <w:szCs w:val="20"/>
          <w:color w:val="auto"/>
        </w:rPr>
        <w:t>VOYA INVESTMENT TRUST CO. - SENIOR LOAN COMMON TRUST FUND as Initial Term Loan Lender</w:t>
      </w:r>
    </w:p>
    <w:p>
      <w:pPr>
        <w:spacing w:after="0" w:line="20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Voya Investment Trust Co.,</w:t>
      </w:r>
    </w:p>
    <w:p>
      <w:pPr>
        <w:spacing w:after="0" w:line="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as Trustee</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Robert Wilson</w:t>
      </w:r>
      <w:r>
        <w:rPr>
          <w:rFonts w:ascii="Arial" w:cs="Arial" w:eastAsia="Arial" w:hAnsi="Arial"/>
          <w:sz w:val="21"/>
          <w:szCs w:val="21"/>
          <w:color w:val="auto"/>
        </w:rPr>
        <w:t>______________________</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Robert Wilson</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9400"/>
          </w:cols>
          <w:pgMar w:left="1440" w:top="1419" w:right="1059" w:bottom="1440" w:gutter="0" w:footer="0" w:header="0"/>
        </w:sectPr>
      </w:pPr>
    </w:p>
    <w:bookmarkStart w:id="68" w:name="page69"/>
    <w:bookmarkEnd w:id="68"/>
    <w:p>
      <w:pPr>
        <w:ind w:left="2780"/>
        <w:spacing w:after="0"/>
        <w:rPr>
          <w:sz w:val="20"/>
          <w:szCs w:val="20"/>
          <w:color w:val="auto"/>
        </w:rPr>
      </w:pPr>
      <w:r>
        <w:rPr>
          <w:rFonts w:ascii="Arial" w:cs="Arial" w:eastAsia="Arial" w:hAnsi="Arial"/>
          <w:sz w:val="20"/>
          <w:szCs w:val="20"/>
          <w:b w:val="1"/>
          <w:bCs w:val="1"/>
          <w:color w:val="auto"/>
        </w:rPr>
        <w:t>Venture 28A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II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9019"/>
          </w:cols>
          <w:pgMar w:left="1440" w:top="1413" w:right="1440" w:bottom="1440" w:gutter="0" w:footer="0" w:header="0"/>
        </w:sectPr>
      </w:pPr>
    </w:p>
    <w:bookmarkStart w:id="69" w:name="page70"/>
    <w:bookmarkEnd w:id="69"/>
    <w:p>
      <w:pPr>
        <w:ind w:left="2780"/>
        <w:spacing w:after="0"/>
        <w:rPr>
          <w:sz w:val="20"/>
          <w:szCs w:val="20"/>
          <w:color w:val="auto"/>
        </w:rPr>
      </w:pPr>
      <w:r>
        <w:rPr>
          <w:rFonts w:ascii="Arial" w:cs="Arial" w:eastAsia="Arial" w:hAnsi="Arial"/>
          <w:sz w:val="20"/>
          <w:szCs w:val="20"/>
          <w:b w:val="1"/>
          <w:bCs w:val="1"/>
          <w:color w:val="auto"/>
        </w:rPr>
        <w:t>VENTURE XIV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9019"/>
          </w:cols>
          <w:pgMar w:left="1440" w:top="1413" w:right="1440" w:bottom="1440" w:gutter="0" w:footer="0" w:header="0"/>
        </w:sectPr>
      </w:pPr>
    </w:p>
    <w:bookmarkStart w:id="70" w:name="page71"/>
    <w:bookmarkEnd w:id="70"/>
    <w:p>
      <w:pPr>
        <w:ind w:left="2780"/>
        <w:spacing w:after="0"/>
        <w:rPr>
          <w:sz w:val="20"/>
          <w:szCs w:val="20"/>
          <w:color w:val="auto"/>
        </w:rPr>
      </w:pPr>
      <w:r>
        <w:rPr>
          <w:rFonts w:ascii="Arial" w:cs="Arial" w:eastAsia="Arial" w:hAnsi="Arial"/>
          <w:sz w:val="20"/>
          <w:szCs w:val="20"/>
          <w:b w:val="1"/>
          <w:bCs w:val="1"/>
          <w:color w:val="auto"/>
        </w:rPr>
        <w:t>Venture XVIII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II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9019"/>
          </w:cols>
          <w:pgMar w:left="1440" w:top="1413" w:right="1440" w:bottom="1440" w:gutter="0" w:footer="0" w:header="0"/>
        </w:sectPr>
      </w:pPr>
    </w:p>
    <w:bookmarkStart w:id="71" w:name="page72"/>
    <w:bookmarkEnd w:id="71"/>
    <w:p>
      <w:pPr>
        <w:ind w:left="2780"/>
        <w:spacing w:after="0"/>
        <w:rPr>
          <w:sz w:val="20"/>
          <w:szCs w:val="20"/>
          <w:color w:val="auto"/>
        </w:rPr>
      </w:pPr>
      <w:r>
        <w:rPr>
          <w:rFonts w:ascii="Arial" w:cs="Arial" w:eastAsia="Arial" w:hAnsi="Arial"/>
          <w:sz w:val="20"/>
          <w:szCs w:val="20"/>
          <w:b w:val="1"/>
          <w:bCs w:val="1"/>
          <w:color w:val="auto"/>
        </w:rPr>
        <w:t>VENTURE XX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9019"/>
          </w:cols>
          <w:pgMar w:left="1440" w:top="1413" w:right="1440" w:bottom="1440" w:gutter="0" w:footer="0" w:header="0"/>
        </w:sectPr>
      </w:pPr>
    </w:p>
    <w:bookmarkStart w:id="72" w:name="page73"/>
    <w:bookmarkEnd w:id="72"/>
    <w:p>
      <w:pPr>
        <w:ind w:left="2780"/>
        <w:spacing w:after="0"/>
        <w:rPr>
          <w:sz w:val="20"/>
          <w:szCs w:val="20"/>
          <w:color w:val="auto"/>
        </w:rPr>
      </w:pPr>
      <w:r>
        <w:rPr>
          <w:rFonts w:ascii="Arial" w:cs="Arial" w:eastAsia="Arial" w:hAnsi="Arial"/>
          <w:sz w:val="20"/>
          <w:szCs w:val="20"/>
          <w:b w:val="1"/>
          <w:bCs w:val="1"/>
          <w:color w:val="auto"/>
        </w:rPr>
        <w:t>Venture XXIII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its investment advisor MJX Venture Management LLC</w:t>
      </w: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Frederick Taylor</w:t>
      </w:r>
      <w:r>
        <w:rPr>
          <w:rFonts w:ascii="Arial" w:cs="Arial" w:eastAsia="Arial" w:hAnsi="Arial"/>
          <w:sz w:val="21"/>
          <w:szCs w:val="21"/>
          <w:color w:val="auto"/>
        </w:rPr>
        <w:t>____________________</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9019"/>
          </w:cols>
          <w:pgMar w:left="1440" w:top="1413" w:right="1440" w:bottom="1440" w:gutter="0" w:footer="0" w:header="0"/>
        </w:sectPr>
      </w:pPr>
    </w:p>
    <w:bookmarkStart w:id="73" w:name="page74"/>
    <w:bookmarkEnd w:id="73"/>
    <w:p>
      <w:pPr>
        <w:ind w:left="2780"/>
        <w:spacing w:after="0"/>
        <w:rPr>
          <w:sz w:val="20"/>
          <w:szCs w:val="20"/>
          <w:color w:val="auto"/>
        </w:rPr>
      </w:pPr>
      <w:r>
        <w:rPr>
          <w:rFonts w:ascii="Arial" w:cs="Arial" w:eastAsia="Arial" w:hAnsi="Arial"/>
          <w:sz w:val="20"/>
          <w:szCs w:val="20"/>
          <w:b w:val="1"/>
          <w:bCs w:val="1"/>
          <w:color w:val="auto"/>
        </w:rPr>
        <w:t>Venture XXIV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9019"/>
          </w:cols>
          <w:pgMar w:left="1440" w:top="1413" w:right="1440" w:bottom="1440" w:gutter="0" w:footer="0" w:header="0"/>
        </w:sectPr>
      </w:pPr>
    </w:p>
    <w:bookmarkStart w:id="74" w:name="page75"/>
    <w:bookmarkEnd w:id="74"/>
    <w:p>
      <w:pPr>
        <w:ind w:left="2780"/>
        <w:spacing w:after="0"/>
        <w:rPr>
          <w:sz w:val="20"/>
          <w:szCs w:val="20"/>
          <w:color w:val="auto"/>
        </w:rPr>
      </w:pPr>
      <w:r>
        <w:rPr>
          <w:rFonts w:ascii="Arial" w:cs="Arial" w:eastAsia="Arial" w:hAnsi="Arial"/>
          <w:sz w:val="20"/>
          <w:szCs w:val="20"/>
          <w:b w:val="1"/>
          <w:bCs w:val="1"/>
          <w:color w:val="auto"/>
        </w:rPr>
        <w:t>Venture XXVIII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II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9019"/>
          </w:cols>
          <w:pgMar w:left="1440" w:top="1413" w:right="1440" w:bottom="1440" w:gutter="0" w:footer="0" w:header="0"/>
        </w:sectPr>
      </w:pPr>
    </w:p>
    <w:bookmarkStart w:id="75" w:name="page76"/>
    <w:bookmarkEnd w:id="75"/>
    <w:p>
      <w:pPr>
        <w:ind w:left="2780"/>
        <w:spacing w:after="0"/>
        <w:rPr>
          <w:sz w:val="20"/>
          <w:szCs w:val="20"/>
          <w:color w:val="auto"/>
        </w:rPr>
      </w:pPr>
      <w:r>
        <w:rPr>
          <w:rFonts w:ascii="Arial" w:cs="Arial" w:eastAsia="Arial" w:hAnsi="Arial"/>
          <w:sz w:val="20"/>
          <w:szCs w:val="20"/>
          <w:b w:val="1"/>
          <w:bCs w:val="1"/>
          <w:color w:val="auto"/>
        </w:rPr>
        <w:t>Venture XXX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II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9019"/>
          </w:cols>
          <w:pgMar w:left="1440" w:top="1413" w:right="1440" w:bottom="1440" w:gutter="0" w:footer="0" w:header="0"/>
        </w:sectPr>
      </w:pPr>
    </w:p>
    <w:bookmarkStart w:id="76" w:name="page77"/>
    <w:bookmarkEnd w:id="76"/>
    <w:p>
      <w:pPr>
        <w:ind w:left="2780"/>
        <w:spacing w:after="0"/>
        <w:rPr>
          <w:sz w:val="20"/>
          <w:szCs w:val="20"/>
          <w:color w:val="auto"/>
        </w:rPr>
      </w:pPr>
      <w:r>
        <w:rPr>
          <w:rFonts w:ascii="Arial" w:cs="Arial" w:eastAsia="Arial" w:hAnsi="Arial"/>
          <w:sz w:val="20"/>
          <w:szCs w:val="20"/>
          <w:b w:val="1"/>
          <w:bCs w:val="1"/>
          <w:color w:val="auto"/>
        </w:rPr>
        <w:t>Vista US Subsidiary 1 Fund, LLC</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9019"/>
          </w:cols>
          <w:pgMar w:left="1440" w:top="1413" w:right="1440" w:bottom="1440" w:gutter="0" w:footer="0" w:header="0"/>
        </w:sectPr>
      </w:pPr>
    </w:p>
    <w:bookmarkStart w:id="77" w:name="page78"/>
    <w:bookmarkEnd w:id="77"/>
    <w:p>
      <w:pPr>
        <w:ind w:left="2780"/>
        <w:spacing w:after="0"/>
        <w:rPr>
          <w:sz w:val="20"/>
          <w:szCs w:val="20"/>
          <w:color w:val="auto"/>
        </w:rPr>
      </w:pPr>
      <w:r>
        <w:rPr>
          <w:rFonts w:ascii="Arial" w:cs="Arial" w:eastAsia="Arial" w:hAnsi="Arial"/>
          <w:sz w:val="20"/>
          <w:szCs w:val="20"/>
          <w:b w:val="1"/>
          <w:bCs w:val="1"/>
          <w:color w:val="auto"/>
        </w:rPr>
        <w:t>VENTURE XXV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its investment advisor, MJX Asset Management LLC</w:t>
      </w:r>
    </w:p>
    <w:p>
      <w:pPr>
        <w:spacing w:after="0" w:line="231"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Frederick Taylor</w:t>
      </w:r>
      <w:r>
        <w:rPr>
          <w:rFonts w:ascii="Arial" w:cs="Arial" w:eastAsia="Arial" w:hAnsi="Arial"/>
          <w:sz w:val="21"/>
          <w:szCs w:val="21"/>
          <w:color w:val="auto"/>
        </w:rPr>
        <w:t>____________________</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9019"/>
          </w:cols>
          <w:pgMar w:left="1440" w:top="1413" w:right="1440" w:bottom="1440" w:gutter="0" w:footer="0" w:header="0"/>
        </w:sectPr>
      </w:pPr>
    </w:p>
    <w:bookmarkStart w:id="78" w:name="page79"/>
    <w:bookmarkEnd w:id="78"/>
    <w:p>
      <w:pPr>
        <w:ind w:left="2780"/>
        <w:spacing w:after="0"/>
        <w:rPr>
          <w:sz w:val="20"/>
          <w:szCs w:val="20"/>
          <w:color w:val="auto"/>
        </w:rPr>
      </w:pPr>
      <w:r>
        <w:rPr>
          <w:rFonts w:ascii="Arial" w:cs="Arial" w:eastAsia="Arial" w:hAnsi="Arial"/>
          <w:sz w:val="20"/>
          <w:szCs w:val="20"/>
          <w:b w:val="1"/>
          <w:bCs w:val="1"/>
          <w:color w:val="auto"/>
        </w:rPr>
        <w:t>Venture 31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III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9019"/>
          </w:cols>
          <w:pgMar w:left="1440" w:top="1413" w:right="1440" w:bottom="1440" w:gutter="0" w:footer="0" w:header="0"/>
        </w:sectPr>
      </w:pPr>
    </w:p>
    <w:bookmarkStart w:id="79" w:name="page80"/>
    <w:bookmarkEnd w:id="79"/>
    <w:p>
      <w:pPr>
        <w:ind w:left="2780"/>
        <w:spacing w:after="0"/>
        <w:rPr>
          <w:sz w:val="20"/>
          <w:szCs w:val="20"/>
          <w:color w:val="auto"/>
        </w:rPr>
      </w:pPr>
      <w:r>
        <w:rPr>
          <w:rFonts w:ascii="Arial" w:cs="Arial" w:eastAsia="Arial" w:hAnsi="Arial"/>
          <w:sz w:val="20"/>
          <w:szCs w:val="20"/>
          <w:b w:val="1"/>
          <w:bCs w:val="1"/>
          <w:color w:val="auto"/>
        </w:rPr>
        <w:t>Venture XXIX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II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9019"/>
          </w:cols>
          <w:pgMar w:left="1440" w:top="1413" w:right="1440" w:bottom="1440" w:gutter="0" w:footer="0" w:header="0"/>
        </w:sectPr>
      </w:pPr>
    </w:p>
    <w:bookmarkStart w:id="80" w:name="page81"/>
    <w:bookmarkEnd w:id="80"/>
    <w:p>
      <w:pPr>
        <w:ind w:left="2780"/>
        <w:spacing w:after="0"/>
        <w:rPr>
          <w:sz w:val="20"/>
          <w:szCs w:val="20"/>
          <w:color w:val="auto"/>
        </w:rPr>
      </w:pPr>
      <w:r>
        <w:rPr>
          <w:rFonts w:ascii="Arial" w:cs="Arial" w:eastAsia="Arial" w:hAnsi="Arial"/>
          <w:sz w:val="20"/>
          <w:szCs w:val="20"/>
          <w:b w:val="1"/>
          <w:bCs w:val="1"/>
          <w:color w:val="auto"/>
        </w:rPr>
        <w:t>Venture XXVI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9019"/>
          </w:cols>
          <w:pgMar w:left="1440" w:top="1413" w:right="1440" w:bottom="1440" w:gutter="0" w:footer="0" w:header="0"/>
        </w:sectPr>
      </w:pPr>
    </w:p>
    <w:bookmarkStart w:id="81" w:name="page82"/>
    <w:bookmarkEnd w:id="81"/>
    <w:p>
      <w:pPr>
        <w:ind w:left="2780"/>
        <w:spacing w:after="0"/>
        <w:rPr>
          <w:sz w:val="20"/>
          <w:szCs w:val="20"/>
          <w:color w:val="auto"/>
        </w:rPr>
      </w:pPr>
      <w:r>
        <w:rPr>
          <w:rFonts w:ascii="Arial" w:cs="Arial" w:eastAsia="Arial" w:hAnsi="Arial"/>
          <w:sz w:val="20"/>
          <w:szCs w:val="20"/>
          <w:b w:val="1"/>
          <w:bCs w:val="1"/>
          <w:color w:val="auto"/>
        </w:rPr>
        <w:t>Venture XXVII CLO, Limited</w:t>
      </w:r>
    </w:p>
    <w:p>
      <w:pPr>
        <w:ind w:left="2780"/>
        <w:spacing w:after="0" w:line="233" w:lineRule="auto"/>
        <w:rPr>
          <w:sz w:val="20"/>
          <w:szCs w:val="20"/>
          <w:color w:val="auto"/>
        </w:rPr>
      </w:pPr>
      <w:r>
        <w:rPr>
          <w:rFonts w:ascii="Arial" w:cs="Arial" w:eastAsia="Arial" w:hAnsi="Arial"/>
          <w:sz w:val="20"/>
          <w:szCs w:val="20"/>
          <w:color w:val="auto"/>
        </w:rPr>
        <w:t>as Initial Term Loan Lender</w:t>
      </w:r>
    </w:p>
    <w:p>
      <w:pPr>
        <w:ind w:left="2780"/>
        <w:spacing w:after="0" w:line="226" w:lineRule="auto"/>
        <w:rPr>
          <w:sz w:val="20"/>
          <w:szCs w:val="20"/>
          <w:color w:val="auto"/>
        </w:rPr>
      </w:pPr>
      <w:r>
        <w:rPr>
          <w:rFonts w:ascii="Arial" w:cs="Arial" w:eastAsia="Arial" w:hAnsi="Arial"/>
          <w:sz w:val="20"/>
          <w:szCs w:val="20"/>
          <w:color w:val="auto"/>
        </w:rPr>
        <w:t>By: its investment advisor</w:t>
      </w:r>
    </w:p>
    <w:p>
      <w:pPr>
        <w:ind w:left="2780"/>
        <w:spacing w:after="0"/>
        <w:rPr>
          <w:sz w:val="20"/>
          <w:szCs w:val="20"/>
          <w:color w:val="auto"/>
        </w:rPr>
      </w:pPr>
      <w:r>
        <w:rPr>
          <w:rFonts w:ascii="Arial" w:cs="Arial" w:eastAsia="Arial" w:hAnsi="Arial"/>
          <w:sz w:val="20"/>
          <w:szCs w:val="20"/>
          <w:color w:val="auto"/>
        </w:rPr>
        <w:t>MJX Venture Management II LLC</w:t>
      </w:r>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u w:val="single" w:color="auto"/>
          <w:color w:val="auto"/>
        </w:rPr>
        <w:t>/s/ Frederick Taylor</w:t>
      </w:r>
      <w:r>
        <w:rPr>
          <w:rFonts w:ascii="Arial" w:cs="Arial" w:eastAsia="Arial" w:hAnsi="Arial"/>
          <w:sz w:val="19"/>
          <w:szCs w:val="19"/>
          <w:color w:val="auto"/>
        </w:rPr>
        <w:t>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Frederick Taylor</w:t>
      </w:r>
    </w:p>
    <w:p>
      <w:pPr>
        <w:spacing w:after="0" w:line="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9019"/>
          </w:cols>
          <w:pgMar w:left="1440" w:top="1413"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SCHEDULE I</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New Incremental Loan Lenders and New Incremental Loan Commitments</w:t>
      </w:r>
    </w:p>
    <w:p>
      <w:pPr>
        <w:spacing w:after="0" w:line="201" w:lineRule="exact"/>
        <w:rPr>
          <w:sz w:val="20"/>
          <w:szCs w:val="20"/>
          <w:color w:val="auto"/>
        </w:rPr>
      </w:pPr>
    </w:p>
    <w:tbl>
      <w:tblPr>
        <w:tblLayout w:type="fixed"/>
        <w:tblInd w:w="1290" w:type="dxa"/>
        <w:tblCellMar>
          <w:top w:w="0" w:type="dxa"/>
          <w:left w:w="0" w:type="dxa"/>
          <w:bottom w:w="0" w:type="dxa"/>
          <w:right w:w="0" w:type="dxa"/>
        </w:tblCellMar>
      </w:tblPr>
      <w:tr>
        <w:trPr>
          <w:trHeight w:val="234"/>
        </w:trPr>
        <w:tc>
          <w:tcPr>
            <w:tcW w:w="3620" w:type="dxa"/>
            <w:vAlign w:val="bottom"/>
            <w:tcBorders>
              <w:top w:val="single" w:sz="8" w:color="auto"/>
              <w:left w:val="single" w:sz="8" w:color="auto"/>
              <w:right w:val="single" w:sz="8" w:color="auto"/>
            </w:tcBorders>
          </w:tcPr>
          <w:p>
            <w:pPr>
              <w:ind w:left="1500"/>
              <w:spacing w:after="0"/>
              <w:rPr>
                <w:sz w:val="20"/>
                <w:szCs w:val="20"/>
                <w:color w:val="auto"/>
              </w:rPr>
            </w:pPr>
            <w:r>
              <w:rPr>
                <w:rFonts w:ascii="Arial" w:cs="Arial" w:eastAsia="Arial" w:hAnsi="Arial"/>
                <w:sz w:val="20"/>
                <w:szCs w:val="20"/>
                <w:b w:val="1"/>
                <w:bCs w:val="1"/>
                <w:color w:val="auto"/>
              </w:rPr>
              <w:t>Lender</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Amount of New Incremental</w:t>
            </w:r>
          </w:p>
        </w:tc>
      </w:tr>
      <w:tr>
        <w:trPr>
          <w:trHeight w:val="261"/>
        </w:trPr>
        <w:tc>
          <w:tcPr>
            <w:tcW w:w="3620" w:type="dxa"/>
            <w:vAlign w:val="bottom"/>
            <w:tcBorders>
              <w:left w:val="single" w:sz="8" w:color="auto"/>
              <w:bottom w:val="single" w:sz="8" w:color="auto"/>
              <w:right w:val="single" w:sz="8" w:color="auto"/>
            </w:tcBorders>
          </w:tcPr>
          <w:p>
            <w:pPr>
              <w:spacing w:after="0"/>
              <w:rPr>
                <w:sz w:val="22"/>
                <w:szCs w:val="22"/>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Loan Commitment</w:t>
            </w:r>
          </w:p>
        </w:tc>
      </w:tr>
      <w:tr>
        <w:trPr>
          <w:trHeight w:val="263"/>
        </w:trPr>
        <w:tc>
          <w:tcPr>
            <w:tcW w:w="3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JPMorgan Chase Bank, N.A.</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$50,000,000</w:t>
            </w:r>
          </w:p>
        </w:tc>
      </w:tr>
      <w:tr>
        <w:trPr>
          <w:trHeight w:val="263"/>
        </w:trPr>
        <w:tc>
          <w:tcPr>
            <w:tcW w:w="3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Total</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$50,000,000</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9019"/>
          </w:cols>
          <w:pgMar w:left="1440" w:top="1413" w:right="1440" w:bottom="1440" w:gutter="0" w:footer="0" w:header="0"/>
        </w:sectPr>
      </w:pPr>
    </w:p>
    <w:bookmarkStart w:id="83" w:name="page84"/>
    <w:bookmarkEnd w:id="83"/>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Credit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9019"/>
          </w:cols>
          <w:pgMar w:left="1440" w:top="1440" w:right="1440"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6986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1109345</wp:posOffset>
            </wp:positionV>
            <wp:extent cx="69862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531"/>
        <w:spacing w:after="0"/>
        <w:rPr>
          <w:sz w:val="20"/>
          <w:szCs w:val="20"/>
          <w:color w:val="auto"/>
        </w:rPr>
      </w:pPr>
      <w:r>
        <w:rPr>
          <w:rFonts w:ascii="Arial" w:cs="Arial" w:eastAsia="Arial" w:hAnsi="Arial"/>
          <w:sz w:val="22"/>
          <w:szCs w:val="22"/>
          <w:b w:val="1"/>
          <w:bCs w:val="1"/>
          <w:color w:val="auto"/>
        </w:rPr>
        <w:t>CREDIT AGREEMENT</w:t>
      </w:r>
    </w:p>
    <w:p>
      <w:pPr>
        <w:spacing w:after="0" w:line="193" w:lineRule="exact"/>
        <w:rPr>
          <w:sz w:val="20"/>
          <w:szCs w:val="20"/>
          <w:color w:val="auto"/>
        </w:rPr>
      </w:pPr>
    </w:p>
    <w:p>
      <w:pPr>
        <w:jc w:val="center"/>
        <w:ind w:right="-531"/>
        <w:spacing w:after="0"/>
        <w:rPr>
          <w:sz w:val="20"/>
          <w:szCs w:val="20"/>
          <w:color w:val="auto"/>
        </w:rPr>
      </w:pPr>
      <w:r>
        <w:rPr>
          <w:rFonts w:ascii="Arial" w:cs="Arial" w:eastAsia="Arial" w:hAnsi="Arial"/>
          <w:sz w:val="19"/>
          <w:szCs w:val="19"/>
          <w:b w:val="1"/>
          <w:bCs w:val="1"/>
          <w:color w:val="auto"/>
        </w:rPr>
        <w:t xml:space="preserve">as amended by that certain Amendment No. 1 to Credit Agreement, dated as of April 30, 2020 </w:t>
      </w:r>
      <w:r>
        <w:rPr>
          <w:rFonts w:ascii="Arial" w:cs="Arial" w:eastAsia="Arial" w:hAnsi="Arial"/>
          <w:sz w:val="19"/>
          <w:szCs w:val="19"/>
          <w:b w:val="1"/>
          <w:bCs w:val="1"/>
          <w:color w:val="0000FF"/>
        </w:rPr>
        <w:t>and that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5822950</wp:posOffset>
            </wp:positionH>
            <wp:positionV relativeFrom="paragraph">
              <wp:posOffset>6985</wp:posOffset>
            </wp:positionV>
            <wp:extent cx="9715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jc w:val="center"/>
        <w:ind w:right="-531"/>
        <w:spacing w:after="0"/>
        <w:rPr>
          <w:sz w:val="20"/>
          <w:szCs w:val="20"/>
          <w:color w:val="auto"/>
        </w:rPr>
      </w:pPr>
      <w:r>
        <w:rPr>
          <w:rFonts w:ascii="Arial" w:cs="Arial" w:eastAsia="Arial" w:hAnsi="Arial"/>
          <w:sz w:val="22"/>
          <w:szCs w:val="22"/>
          <w:b w:val="1"/>
          <w:bCs w:val="1"/>
          <w:u w:val="single" w:color="auto"/>
          <w:color w:val="0000FF"/>
        </w:rPr>
        <w:t>Amendment No. 2 to Credit Agreement, dated as of March 8, 2021</w:t>
      </w:r>
    </w:p>
    <w:p>
      <w:pPr>
        <w:ind w:left="5312"/>
        <w:spacing w:after="0"/>
        <w:rPr>
          <w:sz w:val="20"/>
          <w:szCs w:val="20"/>
          <w:color w:val="auto"/>
        </w:rPr>
      </w:pPr>
      <w:r>
        <w:rPr>
          <w:rFonts w:ascii="Arial" w:cs="Arial" w:eastAsia="Arial" w:hAnsi="Arial"/>
          <w:sz w:val="22"/>
          <w:szCs w:val="22"/>
          <w:b w:val="1"/>
          <w:bCs w:val="1"/>
          <w:color w:val="auto"/>
        </w:rPr>
        <w:t>among</w:t>
      </w:r>
    </w:p>
    <w:p>
      <w:pPr>
        <w:spacing w:after="0" w:line="196" w:lineRule="exact"/>
        <w:rPr>
          <w:sz w:val="20"/>
          <w:szCs w:val="20"/>
          <w:color w:val="auto"/>
        </w:rPr>
      </w:pPr>
    </w:p>
    <w:p>
      <w:pPr>
        <w:ind w:left="4072"/>
        <w:spacing w:after="0"/>
        <w:rPr>
          <w:sz w:val="20"/>
          <w:szCs w:val="20"/>
          <w:color w:val="auto"/>
        </w:rPr>
      </w:pPr>
      <w:r>
        <w:rPr>
          <w:rFonts w:ascii="Arial" w:cs="Arial" w:eastAsia="Arial" w:hAnsi="Arial"/>
          <w:sz w:val="22"/>
          <w:szCs w:val="22"/>
          <w:b w:val="1"/>
          <w:bCs w:val="1"/>
          <w:color w:val="auto"/>
        </w:rPr>
        <w:t>NATIONAL CINEMEDIA, LLC,</w:t>
      </w:r>
    </w:p>
    <w:p>
      <w:pPr>
        <w:spacing w:after="0" w:line="27" w:lineRule="exact"/>
        <w:rPr>
          <w:sz w:val="20"/>
          <w:szCs w:val="20"/>
          <w:color w:val="auto"/>
        </w:rPr>
      </w:pPr>
    </w:p>
    <w:p>
      <w:pPr>
        <w:ind w:left="5032"/>
        <w:spacing w:after="0"/>
        <w:rPr>
          <w:sz w:val="20"/>
          <w:szCs w:val="20"/>
          <w:color w:val="auto"/>
        </w:rPr>
      </w:pPr>
      <w:r>
        <w:rPr>
          <w:rFonts w:ascii="Arial" w:cs="Arial" w:eastAsia="Arial" w:hAnsi="Arial"/>
          <w:sz w:val="22"/>
          <w:szCs w:val="22"/>
          <w:b w:val="1"/>
          <w:bCs w:val="1"/>
          <w:color w:val="auto"/>
        </w:rPr>
        <w:t>as Borrower,</w:t>
      </w:r>
    </w:p>
    <w:p>
      <w:pPr>
        <w:spacing w:after="0" w:line="196" w:lineRule="exact"/>
        <w:rPr>
          <w:sz w:val="20"/>
          <w:szCs w:val="20"/>
          <w:color w:val="auto"/>
        </w:rPr>
      </w:pPr>
    </w:p>
    <w:p>
      <w:pPr>
        <w:ind w:left="4672"/>
        <w:spacing w:after="0"/>
        <w:rPr>
          <w:sz w:val="20"/>
          <w:szCs w:val="20"/>
          <w:color w:val="auto"/>
        </w:rPr>
      </w:pPr>
      <w:r>
        <w:rPr>
          <w:rFonts w:ascii="Arial" w:cs="Arial" w:eastAsia="Arial" w:hAnsi="Arial"/>
          <w:sz w:val="22"/>
          <w:szCs w:val="22"/>
          <w:b w:val="1"/>
          <w:bCs w:val="1"/>
          <w:color w:val="auto"/>
        </w:rPr>
        <w:t>The Several Lenders</w:t>
      </w:r>
    </w:p>
    <w:p>
      <w:pPr>
        <w:spacing w:after="0" w:line="193" w:lineRule="exact"/>
        <w:rPr>
          <w:sz w:val="20"/>
          <w:szCs w:val="20"/>
          <w:color w:val="auto"/>
        </w:rPr>
      </w:pPr>
    </w:p>
    <w:p>
      <w:pPr>
        <w:ind w:left="4032"/>
        <w:spacing w:after="0"/>
        <w:rPr>
          <w:sz w:val="20"/>
          <w:szCs w:val="20"/>
          <w:color w:val="auto"/>
        </w:rPr>
      </w:pPr>
      <w:r>
        <w:rPr>
          <w:rFonts w:ascii="Arial" w:cs="Arial" w:eastAsia="Arial" w:hAnsi="Arial"/>
          <w:sz w:val="22"/>
          <w:szCs w:val="22"/>
          <w:b w:val="1"/>
          <w:bCs w:val="1"/>
          <w:color w:val="auto"/>
        </w:rPr>
        <w:t>from Time to Time Parties Hereto,</w:t>
      </w:r>
    </w:p>
    <w:p>
      <w:pPr>
        <w:spacing w:after="0" w:line="14" w:lineRule="exact"/>
        <w:rPr>
          <w:sz w:val="20"/>
          <w:szCs w:val="20"/>
          <w:color w:val="auto"/>
        </w:rPr>
      </w:pPr>
    </w:p>
    <w:p>
      <w:pPr>
        <w:ind w:left="3972"/>
        <w:spacing w:after="0"/>
        <w:rPr>
          <w:sz w:val="20"/>
          <w:szCs w:val="20"/>
          <w:color w:val="auto"/>
        </w:rPr>
      </w:pPr>
      <w:r>
        <w:rPr>
          <w:rFonts w:ascii="Arial" w:cs="Arial" w:eastAsia="Arial" w:hAnsi="Arial"/>
          <w:sz w:val="22"/>
          <w:szCs w:val="22"/>
          <w:b w:val="1"/>
          <w:bCs w:val="1"/>
          <w:color w:val="auto"/>
        </w:rPr>
        <w:t>JPMORGAN CHASE BANK, N.A.,</w:t>
      </w:r>
    </w:p>
    <w:p>
      <w:pPr>
        <w:spacing w:after="0" w:line="3" w:lineRule="exact"/>
        <w:rPr>
          <w:sz w:val="20"/>
          <w:szCs w:val="20"/>
          <w:color w:val="auto"/>
        </w:rPr>
      </w:pPr>
    </w:p>
    <w:p>
      <w:pPr>
        <w:jc w:val="center"/>
        <w:ind w:right="-531"/>
        <w:spacing w:after="0"/>
        <w:rPr>
          <w:sz w:val="20"/>
          <w:szCs w:val="20"/>
          <w:color w:val="auto"/>
        </w:rPr>
      </w:pPr>
      <w:r>
        <w:rPr>
          <w:rFonts w:ascii="Arial" w:cs="Arial" w:eastAsia="Arial" w:hAnsi="Arial"/>
          <w:sz w:val="22"/>
          <w:szCs w:val="22"/>
          <w:b w:val="1"/>
          <w:bCs w:val="1"/>
          <w:color w:val="auto"/>
        </w:rPr>
        <w:t>MERRILL LYNCH, PIERCE, FENNER &amp; SMITH INCORPORATED</w:t>
      </w:r>
    </w:p>
    <w:p>
      <w:pPr>
        <w:jc w:val="center"/>
        <w:ind w:right="-531"/>
        <w:spacing w:after="0" w:line="233" w:lineRule="auto"/>
        <w:rPr>
          <w:sz w:val="20"/>
          <w:szCs w:val="20"/>
          <w:color w:val="auto"/>
        </w:rPr>
      </w:pPr>
      <w:r>
        <w:rPr>
          <w:rFonts w:ascii="Arial" w:cs="Arial" w:eastAsia="Arial" w:hAnsi="Arial"/>
          <w:sz w:val="22"/>
          <w:szCs w:val="22"/>
          <w:b w:val="1"/>
          <w:bCs w:val="1"/>
          <w:color w:val="auto"/>
        </w:rPr>
        <w:t>and</w:t>
      </w:r>
    </w:p>
    <w:p>
      <w:pPr>
        <w:spacing w:after="0" w:line="1" w:lineRule="exact"/>
        <w:rPr>
          <w:sz w:val="20"/>
          <w:szCs w:val="20"/>
          <w:color w:val="auto"/>
        </w:rPr>
      </w:pPr>
    </w:p>
    <w:p>
      <w:pPr>
        <w:jc w:val="center"/>
        <w:ind w:right="-531"/>
        <w:spacing w:after="0"/>
        <w:rPr>
          <w:sz w:val="20"/>
          <w:szCs w:val="20"/>
          <w:color w:val="auto"/>
        </w:rPr>
      </w:pPr>
      <w:r>
        <w:rPr>
          <w:rFonts w:ascii="Arial" w:cs="Arial" w:eastAsia="Arial" w:hAnsi="Arial"/>
          <w:sz w:val="22"/>
          <w:szCs w:val="22"/>
          <w:b w:val="1"/>
          <w:bCs w:val="1"/>
          <w:color w:val="auto"/>
        </w:rPr>
        <w:t>RBC CAPITAL MARKETS</w:t>
      </w:r>
      <w:r>
        <w:rPr>
          <w:rFonts w:ascii="Arial" w:cs="Arial" w:eastAsia="Arial" w:hAnsi="Arial"/>
          <w:sz w:val="28"/>
          <w:szCs w:val="28"/>
          <w:color w:val="auto"/>
          <w:vertAlign w:val="superscript"/>
        </w:rPr>
        <w:t>1</w:t>
      </w:r>
      <w:r>
        <w:rPr>
          <w:rFonts w:ascii="Arial" w:cs="Arial" w:eastAsia="Arial" w:hAnsi="Arial"/>
          <w:sz w:val="22"/>
          <w:szCs w:val="22"/>
          <w:b w:val="1"/>
          <w:bCs w:val="1"/>
          <w:color w:val="auto"/>
        </w:rPr>
        <w:t>,</w:t>
      </w:r>
    </w:p>
    <w:p>
      <w:pPr>
        <w:spacing w:after="0" w:line="113" w:lineRule="exact"/>
        <w:rPr>
          <w:sz w:val="20"/>
          <w:szCs w:val="20"/>
          <w:color w:val="auto"/>
        </w:rPr>
      </w:pPr>
    </w:p>
    <w:p>
      <w:pPr>
        <w:jc w:val="center"/>
        <w:ind w:right="-531"/>
        <w:spacing w:after="0"/>
        <w:rPr>
          <w:sz w:val="20"/>
          <w:szCs w:val="20"/>
          <w:color w:val="auto"/>
        </w:rPr>
      </w:pPr>
      <w:r>
        <w:rPr>
          <w:rFonts w:ascii="Arial" w:cs="Arial" w:eastAsia="Arial" w:hAnsi="Arial"/>
          <w:sz w:val="22"/>
          <w:szCs w:val="22"/>
          <w:b w:val="1"/>
          <w:bCs w:val="1"/>
          <w:color w:val="auto"/>
        </w:rPr>
        <w:t>as Joint Lead Arrangers and Joint Bookrunners,</w:t>
      </w:r>
    </w:p>
    <w:p>
      <w:pPr>
        <w:spacing w:after="0" w:line="14" w:lineRule="exact"/>
        <w:rPr>
          <w:sz w:val="20"/>
          <w:szCs w:val="20"/>
          <w:color w:val="auto"/>
        </w:rPr>
      </w:pPr>
    </w:p>
    <w:p>
      <w:pPr>
        <w:jc w:val="center"/>
        <w:ind w:right="-531"/>
        <w:spacing w:after="0"/>
        <w:rPr>
          <w:sz w:val="20"/>
          <w:szCs w:val="20"/>
          <w:color w:val="auto"/>
        </w:rPr>
      </w:pPr>
      <w:r>
        <w:rPr>
          <w:rFonts w:ascii="Arial" w:cs="Arial" w:eastAsia="Arial" w:hAnsi="Arial"/>
          <w:sz w:val="22"/>
          <w:szCs w:val="22"/>
          <w:b w:val="1"/>
          <w:bCs w:val="1"/>
          <w:color w:val="auto"/>
        </w:rPr>
        <w:t>BARCLAYS BANK PLC,</w:t>
      </w:r>
    </w:p>
    <w:p>
      <w:pPr>
        <w:spacing w:after="0" w:line="3" w:lineRule="exact"/>
        <w:rPr>
          <w:sz w:val="20"/>
          <w:szCs w:val="20"/>
          <w:color w:val="auto"/>
        </w:rPr>
      </w:pPr>
    </w:p>
    <w:p>
      <w:pPr>
        <w:jc w:val="center"/>
        <w:ind w:right="-531"/>
        <w:spacing w:after="0"/>
        <w:rPr>
          <w:sz w:val="20"/>
          <w:szCs w:val="20"/>
          <w:color w:val="auto"/>
        </w:rPr>
      </w:pPr>
      <w:r>
        <w:rPr>
          <w:rFonts w:ascii="Arial" w:cs="Arial" w:eastAsia="Arial" w:hAnsi="Arial"/>
          <w:sz w:val="22"/>
          <w:szCs w:val="22"/>
          <w:b w:val="1"/>
          <w:bCs w:val="1"/>
          <w:color w:val="auto"/>
        </w:rPr>
        <w:t>as a Joint Bookrunner,</w:t>
      </w:r>
    </w:p>
    <w:p>
      <w:pPr>
        <w:spacing w:after="0" w:line="223" w:lineRule="exact"/>
        <w:rPr>
          <w:sz w:val="20"/>
          <w:szCs w:val="20"/>
          <w:color w:val="auto"/>
        </w:rPr>
      </w:pPr>
    </w:p>
    <w:p>
      <w:pPr>
        <w:ind w:left="3492"/>
        <w:spacing w:after="0"/>
        <w:rPr>
          <w:sz w:val="20"/>
          <w:szCs w:val="20"/>
          <w:color w:val="auto"/>
        </w:rPr>
      </w:pPr>
      <w:r>
        <w:rPr>
          <w:rFonts w:ascii="Arial" w:cs="Arial" w:eastAsia="Arial" w:hAnsi="Arial"/>
          <w:sz w:val="22"/>
          <w:szCs w:val="22"/>
          <w:b w:val="1"/>
          <w:bCs w:val="1"/>
          <w:color w:val="auto"/>
        </w:rPr>
        <w:t>ZB, N.A. dba VECTRA BANK COLORADO,</w:t>
      </w:r>
    </w:p>
    <w:p>
      <w:pPr>
        <w:spacing w:after="0" w:line="193" w:lineRule="exact"/>
        <w:rPr>
          <w:sz w:val="20"/>
          <w:szCs w:val="20"/>
          <w:color w:val="auto"/>
        </w:rPr>
      </w:pPr>
    </w:p>
    <w:p>
      <w:pPr>
        <w:ind w:left="4892"/>
        <w:spacing w:after="0"/>
        <w:rPr>
          <w:sz w:val="20"/>
          <w:szCs w:val="20"/>
          <w:color w:val="auto"/>
        </w:rPr>
      </w:pPr>
      <w:r>
        <w:rPr>
          <w:rFonts w:ascii="Arial" w:cs="Arial" w:eastAsia="Arial" w:hAnsi="Arial"/>
          <w:sz w:val="22"/>
          <w:szCs w:val="22"/>
          <w:b w:val="1"/>
          <w:bCs w:val="1"/>
          <w:color w:val="auto"/>
        </w:rPr>
        <w:t>as Co-Manager,</w:t>
      </w:r>
    </w:p>
    <w:p>
      <w:pPr>
        <w:spacing w:after="0" w:line="14" w:lineRule="exact"/>
        <w:rPr>
          <w:sz w:val="20"/>
          <w:szCs w:val="20"/>
          <w:color w:val="auto"/>
        </w:rPr>
      </w:pPr>
    </w:p>
    <w:p>
      <w:pPr>
        <w:ind w:left="5432"/>
        <w:spacing w:after="0"/>
        <w:rPr>
          <w:sz w:val="20"/>
          <w:szCs w:val="20"/>
          <w:color w:val="auto"/>
        </w:rPr>
      </w:pPr>
      <w:r>
        <w:rPr>
          <w:rFonts w:ascii="Arial" w:cs="Arial" w:eastAsia="Arial" w:hAnsi="Arial"/>
          <w:sz w:val="22"/>
          <w:szCs w:val="22"/>
          <w:b w:val="1"/>
          <w:bCs w:val="1"/>
          <w:color w:val="auto"/>
        </w:rPr>
        <w:t>and</w:t>
      </w:r>
    </w:p>
    <w:p>
      <w:pPr>
        <w:spacing w:after="0" w:line="196" w:lineRule="exact"/>
        <w:rPr>
          <w:sz w:val="20"/>
          <w:szCs w:val="20"/>
          <w:color w:val="auto"/>
        </w:rPr>
      </w:pPr>
    </w:p>
    <w:p>
      <w:pPr>
        <w:ind w:left="3972"/>
        <w:spacing w:after="0"/>
        <w:rPr>
          <w:sz w:val="20"/>
          <w:szCs w:val="20"/>
          <w:color w:val="auto"/>
        </w:rPr>
      </w:pPr>
      <w:r>
        <w:rPr>
          <w:rFonts w:ascii="Arial" w:cs="Arial" w:eastAsia="Arial" w:hAnsi="Arial"/>
          <w:sz w:val="22"/>
          <w:szCs w:val="22"/>
          <w:b w:val="1"/>
          <w:bCs w:val="1"/>
          <w:color w:val="auto"/>
        </w:rPr>
        <w:t>JPMORGAN CHASE BANK, N.A.,</w:t>
      </w:r>
    </w:p>
    <w:p>
      <w:pPr>
        <w:spacing w:after="0" w:line="193" w:lineRule="exact"/>
        <w:rPr>
          <w:sz w:val="20"/>
          <w:szCs w:val="20"/>
          <w:color w:val="auto"/>
        </w:rPr>
      </w:pPr>
    </w:p>
    <w:p>
      <w:pPr>
        <w:ind w:left="4492"/>
        <w:spacing w:after="0"/>
        <w:rPr>
          <w:sz w:val="20"/>
          <w:szCs w:val="20"/>
          <w:color w:val="auto"/>
        </w:rPr>
      </w:pPr>
      <w:r>
        <w:rPr>
          <w:rFonts w:ascii="Arial" w:cs="Arial" w:eastAsia="Arial" w:hAnsi="Arial"/>
          <w:sz w:val="22"/>
          <w:szCs w:val="22"/>
          <w:b w:val="1"/>
          <w:bCs w:val="1"/>
          <w:color w:val="auto"/>
        </w:rPr>
        <w:t>as Administrative Agent</w:t>
      </w:r>
    </w:p>
    <w:p>
      <w:pPr>
        <w:spacing w:after="0" w:line="44" w:lineRule="exact"/>
        <w:rPr>
          <w:sz w:val="20"/>
          <w:szCs w:val="20"/>
          <w:color w:val="auto"/>
        </w:rPr>
      </w:pPr>
    </w:p>
    <w:p>
      <w:pPr>
        <w:ind w:left="4332"/>
        <w:spacing w:after="0"/>
        <w:rPr>
          <w:sz w:val="20"/>
          <w:szCs w:val="20"/>
          <w:color w:val="auto"/>
        </w:rPr>
      </w:pPr>
      <w:r>
        <w:rPr>
          <w:rFonts w:ascii="Arial" w:cs="Arial" w:eastAsia="Arial" w:hAnsi="Arial"/>
          <w:sz w:val="22"/>
          <w:szCs w:val="22"/>
          <w:b w:val="1"/>
          <w:bCs w:val="1"/>
          <w:color w:val="auto"/>
        </w:rPr>
        <w:t>Dated as of June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1714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6986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69862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2" w:hanging="112"/>
        <w:spacing w:after="0"/>
        <w:tabs>
          <w:tab w:leader="none" w:pos="112"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RBC Capital Markets is a brand name for the capital markets businesses of Royal Bank of Canada and its affiliates.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31"/>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692"/>
          </w:cols>
          <w:pgMar w:left="328" w:top="1440" w:right="8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74"/>
        </w:trPr>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580" w:type="dxa"/>
            <w:vAlign w:val="bottom"/>
            <w:gridSpan w:val="7"/>
          </w:tcPr>
          <w:p>
            <w:pPr>
              <w:jc w:val="center"/>
              <w:ind w:right="400"/>
              <w:spacing w:after="0"/>
              <w:rPr>
                <w:sz w:val="20"/>
                <w:szCs w:val="20"/>
                <w:color w:val="auto"/>
              </w:rPr>
            </w:pPr>
            <w:r>
              <w:rPr>
                <w:rFonts w:ascii="Arial" w:cs="Arial" w:eastAsia="Arial" w:hAnsi="Arial"/>
                <w:sz w:val="22"/>
                <w:szCs w:val="22"/>
                <w:color w:val="auto"/>
                <w:w w:val="93"/>
              </w:rPr>
              <w:t>TABLE OF CONTENTS</w:t>
            </w:r>
          </w:p>
        </w:tc>
        <w:tc>
          <w:tcPr>
            <w:tcW w:w="4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473"/>
        </w:trPr>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5"/>
          </w:tcPr>
          <w:p>
            <w:pPr>
              <w:jc w:val="center"/>
              <w:ind w:right="600"/>
              <w:spacing w:after="0"/>
              <w:rPr>
                <w:sz w:val="20"/>
                <w:szCs w:val="20"/>
                <w:color w:val="auto"/>
              </w:rPr>
            </w:pPr>
            <w:r>
              <w:rPr>
                <w:rFonts w:ascii="Arial" w:cs="Arial" w:eastAsia="Arial" w:hAnsi="Arial"/>
                <w:sz w:val="22"/>
                <w:szCs w:val="22"/>
                <w:b w:val="1"/>
                <w:bCs w:val="1"/>
                <w:color w:val="auto"/>
                <w:w w:val="99"/>
              </w:rPr>
              <w:t>CONTENTS</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73"/>
        </w:trPr>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4"/>
          </w:tcPr>
          <w:p>
            <w:pPr>
              <w:ind w:left="220"/>
              <w:spacing w:after="0"/>
              <w:rPr>
                <w:sz w:val="20"/>
                <w:szCs w:val="20"/>
                <w:color w:val="auto"/>
              </w:rPr>
            </w:pPr>
            <w:r>
              <w:rPr>
                <w:rFonts w:ascii="Arial" w:cs="Arial" w:eastAsia="Arial" w:hAnsi="Arial"/>
                <w:sz w:val="22"/>
                <w:szCs w:val="22"/>
                <w:b w:val="1"/>
                <w:bCs w:val="1"/>
                <w:color w:val="auto"/>
                <w:w w:val="98"/>
              </w:rPr>
              <w:t>Page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2"/>
        </w:trPr>
        <w:tc>
          <w:tcPr>
            <w:tcW w:w="2560" w:type="dxa"/>
            <w:vAlign w:val="bottom"/>
            <w:tcBorders>
              <w:bottom w:val="single" w:sz="8" w:color="0000FF"/>
            </w:tcBorders>
            <w:gridSpan w:val="13"/>
          </w:tcPr>
          <w:p>
            <w:pPr>
              <w:spacing w:after="0"/>
              <w:rPr>
                <w:sz w:val="20"/>
                <w:szCs w:val="20"/>
                <w:color w:val="auto"/>
              </w:rPr>
            </w:pPr>
            <w:r>
              <w:rPr>
                <w:rFonts w:ascii="Arial" w:cs="Arial" w:eastAsia="Arial" w:hAnsi="Arial"/>
                <w:sz w:val="22"/>
                <w:szCs w:val="22"/>
                <w:color w:val="0000FF"/>
                <w:w w:val="94"/>
              </w:rPr>
              <w:t>SECTION 1. DEFINITIONS</w:t>
            </w:r>
          </w:p>
        </w:tc>
        <w:tc>
          <w:tcPr>
            <w:tcW w:w="6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22"/>
                <w:szCs w:val="22"/>
                <w:color w:val="auto"/>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1.</w:t>
            </w:r>
            <w:r>
              <w:rPr>
                <w:rFonts w:ascii="Arial" w:cs="Arial" w:eastAsia="Arial" w:hAnsi="Arial"/>
                <w:sz w:val="22"/>
                <w:szCs w:val="22"/>
                <w:u w:val="single" w:color="auto"/>
                <w:color w:val="0000FF"/>
                <w:w w:val="91"/>
              </w:rPr>
              <w:t>1</w:t>
            </w:r>
          </w:p>
        </w:tc>
        <w:tc>
          <w:tcPr>
            <w:tcW w:w="1660" w:type="dxa"/>
            <w:vAlign w:val="bottom"/>
            <w:gridSpan w:val="12"/>
          </w:tcPr>
          <w:p>
            <w:pPr>
              <w:ind w:left="20"/>
              <w:spacing w:after="0" w:line="237" w:lineRule="exact"/>
              <w:rPr>
                <w:sz w:val="20"/>
                <w:szCs w:val="20"/>
                <w:color w:val="auto"/>
              </w:rPr>
            </w:pPr>
            <w:r>
              <w:rPr>
                <w:rFonts w:ascii="Arial" w:cs="Arial" w:eastAsia="Arial" w:hAnsi="Arial"/>
                <w:sz w:val="22"/>
                <w:szCs w:val="22"/>
                <w:color w:val="0000FF"/>
                <w:w w:val="95"/>
              </w:rPr>
              <w:t xml:space="preserve">Defined Terms  </w:t>
            </w:r>
            <w:r>
              <w:rPr>
                <w:rFonts w:ascii="Arial" w:cs="Arial" w:eastAsia="Arial" w:hAnsi="Arial"/>
                <w:sz w:val="22"/>
                <w:szCs w:val="22"/>
                <w:color w:val="000000"/>
                <w:w w:val="95"/>
              </w:rPr>
              <w:t>1</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1.</w:t>
            </w:r>
            <w:r>
              <w:rPr>
                <w:rFonts w:ascii="Arial" w:cs="Arial" w:eastAsia="Arial" w:hAnsi="Arial"/>
                <w:sz w:val="22"/>
                <w:szCs w:val="22"/>
                <w:u w:val="single" w:color="auto"/>
                <w:color w:val="0000FF"/>
                <w:w w:val="91"/>
              </w:rPr>
              <w:t>2</w:t>
            </w:r>
          </w:p>
        </w:tc>
        <w:tc>
          <w:tcPr>
            <w:tcW w:w="2760" w:type="dxa"/>
            <w:vAlign w:val="bottom"/>
            <w:gridSpan w:val="23"/>
          </w:tcPr>
          <w:p>
            <w:pPr>
              <w:ind w:left="20"/>
              <w:spacing w:after="0" w:line="237" w:lineRule="exact"/>
              <w:rPr>
                <w:sz w:val="20"/>
                <w:szCs w:val="20"/>
                <w:color w:val="auto"/>
              </w:rPr>
            </w:pPr>
            <w:r>
              <w:rPr>
                <w:rFonts w:ascii="Arial" w:cs="Arial" w:eastAsia="Arial" w:hAnsi="Arial"/>
                <w:sz w:val="22"/>
                <w:szCs w:val="22"/>
                <w:color w:val="0000FF"/>
                <w:w w:val="97"/>
              </w:rPr>
              <w:t>Other Definitional Provisions</w:t>
            </w:r>
          </w:p>
        </w:tc>
        <w:tc>
          <w:tcPr>
            <w:tcW w:w="240" w:type="dxa"/>
            <w:vAlign w:val="bottom"/>
          </w:tcPr>
          <w:p>
            <w:pPr>
              <w:jc w:val="right"/>
              <w:spacing w:after="0" w:line="237" w:lineRule="exact"/>
              <w:rPr>
                <w:sz w:val="20"/>
                <w:szCs w:val="20"/>
                <w:color w:val="auto"/>
              </w:rPr>
            </w:pPr>
            <w:r>
              <w:rPr>
                <w:rFonts w:ascii="Arial" w:cs="Arial" w:eastAsia="Arial" w:hAnsi="Arial"/>
                <w:sz w:val="22"/>
                <w:szCs w:val="22"/>
                <w:color w:val="auto"/>
                <w:w w:val="89"/>
              </w:rPr>
              <w:t>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7120" w:type="dxa"/>
            <w:vAlign w:val="bottom"/>
            <w:gridSpan w:val="38"/>
          </w:tcPr>
          <w:p>
            <w:pPr>
              <w:spacing w:after="0"/>
              <w:rPr>
                <w:sz w:val="20"/>
                <w:szCs w:val="20"/>
                <w:color w:val="auto"/>
              </w:rPr>
            </w:pPr>
            <w:r>
              <w:rPr>
                <w:rFonts w:ascii="Arial" w:cs="Arial" w:eastAsia="Arial" w:hAnsi="Arial"/>
                <w:sz w:val="22"/>
                <w:szCs w:val="22"/>
                <w:color w:val="0000FF"/>
              </w:rPr>
              <w:t xml:space="preserve">SECTION 2. AMOUNT AND TERMS OF COMMITMENTS  </w:t>
            </w:r>
            <w:r>
              <w:rPr>
                <w:rFonts w:ascii="Arial" w:cs="Arial" w:eastAsia="Arial" w:hAnsi="Arial"/>
                <w:sz w:val="22"/>
                <w:szCs w:val="22"/>
                <w:color w:val="000000"/>
              </w:rPr>
              <w:t>42</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660" w:type="dxa"/>
            <w:vAlign w:val="bottom"/>
            <w:tcBorders>
              <w:top w:val="single" w:sz="8" w:color="0000FF"/>
            </w:tcBorders>
          </w:tcPr>
          <w:p>
            <w:pPr>
              <w:spacing w:after="0"/>
              <w:rPr>
                <w:sz w:val="20"/>
                <w:szCs w:val="20"/>
                <w:color w:val="auto"/>
              </w:rPr>
            </w:pPr>
          </w:p>
        </w:tc>
        <w:tc>
          <w:tcPr>
            <w:tcW w:w="2560" w:type="dxa"/>
            <w:vAlign w:val="bottom"/>
            <w:tcBorders>
              <w:top w:val="single" w:sz="8" w:color="0000FF"/>
              <w:bottom w:val="single" w:sz="8" w:color="0000FF"/>
            </w:tcBorders>
            <w:gridSpan w:val="18"/>
          </w:tcPr>
          <w:p>
            <w:pPr>
              <w:spacing w:after="0" w:line="237" w:lineRule="exact"/>
              <w:rPr>
                <w:sz w:val="20"/>
                <w:szCs w:val="20"/>
                <w:color w:val="auto"/>
              </w:rPr>
            </w:pPr>
            <w:r>
              <w:rPr>
                <w:rFonts w:ascii="Arial" w:cs="Arial" w:eastAsia="Arial" w:hAnsi="Arial"/>
                <w:sz w:val="22"/>
                <w:szCs w:val="22"/>
                <w:color w:val="0000FF"/>
                <w:w w:val="89"/>
              </w:rPr>
              <w:t>2.</w:t>
            </w:r>
            <w:r>
              <w:rPr>
                <w:rFonts w:ascii="Arial" w:cs="Arial" w:eastAsia="Arial" w:hAnsi="Arial"/>
                <w:sz w:val="22"/>
                <w:szCs w:val="22"/>
                <w:u w:val="single" w:color="auto"/>
                <w:color w:val="0000FF"/>
                <w:w w:val="89"/>
              </w:rPr>
              <w:t>1</w:t>
            </w:r>
            <w:r>
              <w:rPr>
                <w:rFonts w:ascii="Arial" w:cs="Arial" w:eastAsia="Arial" w:hAnsi="Arial"/>
                <w:sz w:val="22"/>
                <w:szCs w:val="22"/>
                <w:color w:val="0000FF"/>
                <w:w w:val="89"/>
              </w:rPr>
              <w:t xml:space="preserve"> Term Loan Commitments</w:t>
            </w:r>
          </w:p>
        </w:tc>
        <w:tc>
          <w:tcPr>
            <w:tcW w:w="160" w:type="dxa"/>
            <w:vAlign w:val="bottom"/>
            <w:tcBorders>
              <w:top w:val="single" w:sz="8" w:color="0000FF"/>
            </w:tcBorders>
            <w:gridSpan w:val="3"/>
          </w:tcPr>
          <w:p>
            <w:pPr>
              <w:spacing w:after="0"/>
              <w:rPr>
                <w:sz w:val="20"/>
                <w:szCs w:val="20"/>
                <w:color w:val="auto"/>
              </w:rPr>
            </w:pPr>
          </w:p>
        </w:tc>
        <w:tc>
          <w:tcPr>
            <w:tcW w:w="340" w:type="dxa"/>
            <w:vAlign w:val="bottom"/>
            <w:tcBorders>
              <w:top w:val="single" w:sz="8" w:color="0000FF"/>
            </w:tcBorders>
            <w:gridSpan w:val="3"/>
          </w:tcPr>
          <w:p>
            <w:pPr>
              <w:jc w:val="right"/>
              <w:spacing w:after="0" w:line="237" w:lineRule="exact"/>
              <w:rPr>
                <w:sz w:val="20"/>
                <w:szCs w:val="20"/>
                <w:color w:val="auto"/>
              </w:rPr>
            </w:pPr>
            <w:r>
              <w:rPr>
                <w:rFonts w:ascii="Arial" w:cs="Arial" w:eastAsia="Arial" w:hAnsi="Arial"/>
                <w:sz w:val="22"/>
                <w:szCs w:val="22"/>
                <w:color w:val="auto"/>
                <w:w w:val="97"/>
              </w:rPr>
              <w:t>42</w:t>
            </w: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720" w:type="dxa"/>
            <w:vAlign w:val="bottom"/>
            <w:tcBorders>
              <w:top w:val="single" w:sz="8" w:color="0000FF"/>
            </w:tcBorders>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2.</w:t>
            </w:r>
            <w:r>
              <w:rPr>
                <w:rFonts w:ascii="Arial" w:cs="Arial" w:eastAsia="Arial" w:hAnsi="Arial"/>
                <w:sz w:val="22"/>
                <w:szCs w:val="22"/>
                <w:u w:val="single" w:color="auto"/>
                <w:color w:val="0000FF"/>
                <w:w w:val="91"/>
              </w:rPr>
              <w:t>2</w:t>
            </w:r>
          </w:p>
        </w:tc>
        <w:tc>
          <w:tcPr>
            <w:tcW w:w="3220" w:type="dxa"/>
            <w:vAlign w:val="bottom"/>
            <w:gridSpan w:val="27"/>
          </w:tcPr>
          <w:p>
            <w:pPr>
              <w:ind w:left="20"/>
              <w:spacing w:after="0" w:line="237" w:lineRule="exact"/>
              <w:rPr>
                <w:sz w:val="20"/>
                <w:szCs w:val="20"/>
                <w:color w:val="auto"/>
              </w:rPr>
            </w:pPr>
            <w:r>
              <w:rPr>
                <w:rFonts w:ascii="Arial" w:cs="Arial" w:eastAsia="Arial" w:hAnsi="Arial"/>
                <w:sz w:val="22"/>
                <w:szCs w:val="22"/>
                <w:color w:val="0000FF"/>
                <w:w w:val="90"/>
              </w:rPr>
              <w:t>Procedure for Term Loan Borrowing</w:t>
            </w:r>
          </w:p>
        </w:tc>
        <w:tc>
          <w:tcPr>
            <w:tcW w:w="36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2.</w:t>
            </w:r>
            <w:r>
              <w:rPr>
                <w:rFonts w:ascii="Arial" w:cs="Arial" w:eastAsia="Arial" w:hAnsi="Arial"/>
                <w:sz w:val="22"/>
                <w:szCs w:val="22"/>
                <w:u w:val="single" w:color="auto"/>
                <w:color w:val="0000FF"/>
                <w:w w:val="91"/>
              </w:rPr>
              <w:t>3</w:t>
            </w:r>
          </w:p>
        </w:tc>
        <w:tc>
          <w:tcPr>
            <w:tcW w:w="2420" w:type="dxa"/>
            <w:vAlign w:val="bottom"/>
            <w:gridSpan w:val="20"/>
          </w:tcPr>
          <w:p>
            <w:pPr>
              <w:ind w:left="20"/>
              <w:spacing w:after="0" w:line="237" w:lineRule="exact"/>
              <w:rPr>
                <w:sz w:val="20"/>
                <w:szCs w:val="20"/>
                <w:color w:val="auto"/>
              </w:rPr>
            </w:pPr>
            <w:r>
              <w:rPr>
                <w:rFonts w:ascii="Arial" w:cs="Arial" w:eastAsia="Arial" w:hAnsi="Arial"/>
                <w:sz w:val="22"/>
                <w:szCs w:val="22"/>
                <w:color w:val="0000FF"/>
                <w:w w:val="91"/>
              </w:rPr>
              <w:t>Repayment of Term Loans</w:t>
            </w:r>
          </w:p>
        </w:tc>
        <w:tc>
          <w:tcPr>
            <w:tcW w:w="340" w:type="dxa"/>
            <w:vAlign w:val="bottom"/>
            <w:gridSpan w:val="3"/>
          </w:tcPr>
          <w:p>
            <w:pPr>
              <w:jc w:val="right"/>
              <w:spacing w:after="0" w:line="237" w:lineRule="exact"/>
              <w:rPr>
                <w:sz w:val="20"/>
                <w:szCs w:val="20"/>
                <w:color w:val="auto"/>
              </w:rPr>
            </w:pPr>
            <w:r>
              <w:rPr>
                <w:rFonts w:ascii="Arial" w:cs="Arial" w:eastAsia="Arial" w:hAnsi="Arial"/>
                <w:sz w:val="22"/>
                <w:szCs w:val="22"/>
                <w:color w:val="auto"/>
              </w:rPr>
              <w:t>43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2.</w:t>
            </w:r>
            <w:r>
              <w:rPr>
                <w:rFonts w:ascii="Arial" w:cs="Arial" w:eastAsia="Arial" w:hAnsi="Arial"/>
                <w:sz w:val="22"/>
                <w:szCs w:val="22"/>
                <w:u w:val="single" w:color="auto"/>
                <w:color w:val="0000FF"/>
                <w:w w:val="91"/>
              </w:rPr>
              <w:t>4</w:t>
            </w:r>
          </w:p>
        </w:tc>
        <w:tc>
          <w:tcPr>
            <w:tcW w:w="2760" w:type="dxa"/>
            <w:vAlign w:val="bottom"/>
            <w:gridSpan w:val="23"/>
          </w:tcPr>
          <w:p>
            <w:pPr>
              <w:ind w:left="20"/>
              <w:spacing w:after="0" w:line="237" w:lineRule="exact"/>
              <w:rPr>
                <w:sz w:val="20"/>
                <w:szCs w:val="20"/>
                <w:color w:val="auto"/>
              </w:rPr>
            </w:pPr>
            <w:r>
              <w:rPr>
                <w:rFonts w:ascii="Arial" w:cs="Arial" w:eastAsia="Arial" w:hAnsi="Arial"/>
                <w:sz w:val="22"/>
                <w:szCs w:val="22"/>
                <w:color w:val="0000FF"/>
                <w:w w:val="89"/>
              </w:rPr>
              <w:t>Revolving Credit Commitments</w:t>
            </w:r>
          </w:p>
        </w:tc>
        <w:tc>
          <w:tcPr>
            <w:tcW w:w="460" w:type="dxa"/>
            <w:vAlign w:val="bottom"/>
            <w:gridSpan w:val="4"/>
          </w:tcPr>
          <w:p>
            <w:pPr>
              <w:jc w:val="center"/>
              <w:ind w:left="132"/>
              <w:spacing w:after="0" w:line="237" w:lineRule="exact"/>
              <w:rPr>
                <w:sz w:val="20"/>
                <w:szCs w:val="20"/>
                <w:color w:val="auto"/>
              </w:rPr>
            </w:pPr>
            <w:r>
              <w:rPr>
                <w:rFonts w:ascii="Arial" w:cs="Arial" w:eastAsia="Arial" w:hAnsi="Arial"/>
                <w:sz w:val="22"/>
                <w:szCs w:val="22"/>
                <w:color w:val="auto"/>
                <w:w w:val="89"/>
              </w:rPr>
              <w:t>43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2.</w:t>
            </w:r>
            <w:r>
              <w:rPr>
                <w:rFonts w:ascii="Arial" w:cs="Arial" w:eastAsia="Arial" w:hAnsi="Arial"/>
                <w:sz w:val="22"/>
                <w:szCs w:val="22"/>
                <w:u w:val="single" w:color="auto"/>
                <w:color w:val="0000FF"/>
                <w:w w:val="91"/>
              </w:rPr>
              <w:t>5</w:t>
            </w:r>
          </w:p>
        </w:tc>
        <w:tc>
          <w:tcPr>
            <w:tcW w:w="3760" w:type="dxa"/>
            <w:vAlign w:val="bottom"/>
            <w:gridSpan w:val="31"/>
          </w:tcPr>
          <w:p>
            <w:pPr>
              <w:ind w:left="20"/>
              <w:spacing w:after="0" w:line="237" w:lineRule="exact"/>
              <w:rPr>
                <w:sz w:val="20"/>
                <w:szCs w:val="20"/>
                <w:color w:val="auto"/>
              </w:rPr>
            </w:pPr>
            <w:r>
              <w:rPr>
                <w:rFonts w:ascii="Arial" w:cs="Arial" w:eastAsia="Arial" w:hAnsi="Arial"/>
                <w:sz w:val="22"/>
                <w:szCs w:val="22"/>
                <w:color w:val="0000FF"/>
                <w:w w:val="91"/>
              </w:rPr>
              <w:t>Procedure for Revolving Credit Borrowing</w:t>
            </w:r>
          </w:p>
        </w:tc>
        <w:tc>
          <w:tcPr>
            <w:tcW w:w="720" w:type="dxa"/>
            <w:vAlign w:val="bottom"/>
          </w:tcPr>
          <w:p>
            <w:pPr>
              <w:jc w:val="right"/>
              <w:ind w:right="192"/>
              <w:spacing w:after="0" w:line="237" w:lineRule="exact"/>
              <w:rPr>
                <w:sz w:val="20"/>
                <w:szCs w:val="20"/>
                <w:color w:val="auto"/>
              </w:rPr>
            </w:pPr>
            <w:r>
              <w:rPr>
                <w:rFonts w:ascii="Arial" w:cs="Arial" w:eastAsia="Arial" w:hAnsi="Arial"/>
                <w:sz w:val="22"/>
                <w:szCs w:val="22"/>
                <w:color w:val="auto"/>
              </w:rPr>
              <w:t>43</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2.</w:t>
            </w:r>
            <w:r>
              <w:rPr>
                <w:rFonts w:ascii="Arial" w:cs="Arial" w:eastAsia="Arial" w:hAnsi="Arial"/>
                <w:sz w:val="22"/>
                <w:szCs w:val="22"/>
                <w:u w:val="single" w:color="auto"/>
                <w:color w:val="0000FF"/>
                <w:w w:val="91"/>
              </w:rPr>
              <w:t>6</w:t>
            </w:r>
          </w:p>
        </w:tc>
        <w:tc>
          <w:tcPr>
            <w:tcW w:w="2420" w:type="dxa"/>
            <w:vAlign w:val="bottom"/>
            <w:gridSpan w:val="20"/>
          </w:tcPr>
          <w:p>
            <w:pPr>
              <w:ind w:left="20"/>
              <w:spacing w:after="0" w:line="237" w:lineRule="exact"/>
              <w:rPr>
                <w:sz w:val="20"/>
                <w:szCs w:val="20"/>
                <w:color w:val="auto"/>
              </w:rPr>
            </w:pPr>
            <w:r>
              <w:rPr>
                <w:rFonts w:ascii="Arial" w:cs="Arial" w:eastAsia="Arial" w:hAnsi="Arial"/>
                <w:sz w:val="22"/>
                <w:szCs w:val="22"/>
                <w:color w:val="0000FF"/>
                <w:w w:val="99"/>
              </w:rPr>
              <w:t>Swing Line Commitment</w:t>
            </w:r>
          </w:p>
        </w:tc>
        <w:tc>
          <w:tcPr>
            <w:tcW w:w="340" w:type="dxa"/>
            <w:vAlign w:val="bottom"/>
            <w:gridSpan w:val="3"/>
          </w:tcPr>
          <w:p>
            <w:pPr>
              <w:jc w:val="right"/>
              <w:ind w:right="12"/>
              <w:spacing w:after="0" w:line="237" w:lineRule="exact"/>
              <w:rPr>
                <w:sz w:val="20"/>
                <w:szCs w:val="20"/>
                <w:color w:val="auto"/>
              </w:rPr>
            </w:pPr>
            <w:r>
              <w:rPr>
                <w:rFonts w:ascii="Arial" w:cs="Arial" w:eastAsia="Arial" w:hAnsi="Arial"/>
                <w:sz w:val="22"/>
                <w:szCs w:val="22"/>
                <w:color w:val="auto"/>
                <w:w w:val="81"/>
              </w:rPr>
              <w:t>44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2.</w:t>
            </w:r>
            <w:r>
              <w:rPr>
                <w:rFonts w:ascii="Arial" w:cs="Arial" w:eastAsia="Arial" w:hAnsi="Arial"/>
                <w:sz w:val="22"/>
                <w:szCs w:val="22"/>
                <w:u w:val="single" w:color="auto"/>
                <w:color w:val="0000FF"/>
                <w:w w:val="91"/>
              </w:rPr>
              <w:t>7</w:t>
            </w:r>
          </w:p>
        </w:tc>
        <w:tc>
          <w:tcPr>
            <w:tcW w:w="6160" w:type="dxa"/>
            <w:vAlign w:val="bottom"/>
            <w:gridSpan w:val="36"/>
          </w:tcPr>
          <w:p>
            <w:pPr>
              <w:ind w:left="20"/>
              <w:spacing w:after="0" w:line="237" w:lineRule="exact"/>
              <w:rPr>
                <w:sz w:val="20"/>
                <w:szCs w:val="20"/>
                <w:color w:val="auto"/>
              </w:rPr>
            </w:pPr>
            <w:r>
              <w:rPr>
                <w:rFonts w:ascii="Arial" w:cs="Arial" w:eastAsia="Arial" w:hAnsi="Arial"/>
                <w:sz w:val="22"/>
                <w:szCs w:val="22"/>
                <w:color w:val="0000FF"/>
                <w:w w:val="91"/>
              </w:rPr>
              <w:t>Procedure for Swing Line Borrowing; Refunding of Swing Line Loans</w:t>
            </w:r>
          </w:p>
        </w:tc>
        <w:tc>
          <w:tcPr>
            <w:tcW w:w="420" w:type="dxa"/>
            <w:vAlign w:val="bottom"/>
          </w:tcPr>
          <w:p>
            <w:pPr>
              <w:jc w:val="right"/>
              <w:spacing w:after="0" w:line="237" w:lineRule="exact"/>
              <w:rPr>
                <w:sz w:val="20"/>
                <w:szCs w:val="20"/>
                <w:color w:val="auto"/>
              </w:rPr>
            </w:pPr>
            <w:r>
              <w:rPr>
                <w:rFonts w:ascii="Arial" w:cs="Arial" w:eastAsia="Arial" w:hAnsi="Arial"/>
                <w:sz w:val="22"/>
                <w:szCs w:val="22"/>
                <w:color w:val="auto"/>
              </w:rPr>
              <w:t>44</w:t>
            </w: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2.</w:t>
            </w:r>
            <w:r>
              <w:rPr>
                <w:rFonts w:ascii="Arial" w:cs="Arial" w:eastAsia="Arial" w:hAnsi="Arial"/>
                <w:sz w:val="22"/>
                <w:szCs w:val="22"/>
                <w:u w:val="single" w:color="auto"/>
                <w:color w:val="0000FF"/>
                <w:w w:val="91"/>
              </w:rPr>
              <w:t>8</w:t>
            </w:r>
          </w:p>
        </w:tc>
        <w:tc>
          <w:tcPr>
            <w:tcW w:w="3580" w:type="dxa"/>
            <w:vAlign w:val="bottom"/>
            <w:gridSpan w:val="29"/>
          </w:tcPr>
          <w:p>
            <w:pPr>
              <w:ind w:left="20"/>
              <w:spacing w:after="0" w:line="237" w:lineRule="exact"/>
              <w:rPr>
                <w:sz w:val="20"/>
                <w:szCs w:val="20"/>
                <w:color w:val="auto"/>
              </w:rPr>
            </w:pPr>
            <w:r>
              <w:rPr>
                <w:rFonts w:ascii="Arial" w:cs="Arial" w:eastAsia="Arial" w:hAnsi="Arial"/>
                <w:sz w:val="22"/>
                <w:szCs w:val="22"/>
                <w:color w:val="0000FF"/>
                <w:w w:val="91"/>
              </w:rPr>
              <w:t>Repayment of Loans; Evidence of Debt</w:t>
            </w:r>
          </w:p>
        </w:tc>
        <w:tc>
          <w:tcPr>
            <w:tcW w:w="900" w:type="dxa"/>
            <w:vAlign w:val="bottom"/>
            <w:gridSpan w:val="3"/>
          </w:tcPr>
          <w:p>
            <w:pPr>
              <w:jc w:val="right"/>
              <w:ind w:right="492"/>
              <w:spacing w:after="0" w:line="237" w:lineRule="exact"/>
              <w:rPr>
                <w:sz w:val="20"/>
                <w:szCs w:val="20"/>
                <w:color w:val="auto"/>
              </w:rPr>
            </w:pPr>
            <w:r>
              <w:rPr>
                <w:rFonts w:ascii="Arial" w:cs="Arial" w:eastAsia="Arial" w:hAnsi="Arial"/>
                <w:sz w:val="22"/>
                <w:szCs w:val="22"/>
                <w:color w:val="auto"/>
              </w:rPr>
              <w:t>46</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2.</w:t>
            </w:r>
            <w:r>
              <w:rPr>
                <w:rFonts w:ascii="Arial" w:cs="Arial" w:eastAsia="Arial" w:hAnsi="Arial"/>
                <w:sz w:val="22"/>
                <w:szCs w:val="22"/>
                <w:u w:val="single" w:color="auto"/>
                <w:color w:val="0000FF"/>
                <w:w w:val="91"/>
              </w:rPr>
              <w:t>9</w:t>
            </w:r>
          </w:p>
        </w:tc>
        <w:tc>
          <w:tcPr>
            <w:tcW w:w="2040" w:type="dxa"/>
            <w:vAlign w:val="bottom"/>
            <w:gridSpan w:val="14"/>
          </w:tcPr>
          <w:p>
            <w:pPr>
              <w:ind w:left="20"/>
              <w:spacing w:after="0" w:line="237" w:lineRule="exact"/>
              <w:rPr>
                <w:sz w:val="20"/>
                <w:szCs w:val="20"/>
                <w:color w:val="auto"/>
              </w:rPr>
            </w:pPr>
            <w:r>
              <w:rPr>
                <w:rFonts w:ascii="Arial" w:cs="Arial" w:eastAsia="Arial" w:hAnsi="Arial"/>
                <w:sz w:val="22"/>
                <w:szCs w:val="22"/>
                <w:color w:val="0000FF"/>
                <w:w w:val="89"/>
              </w:rPr>
              <w:t>Commitment Fees, etc</w:t>
            </w:r>
          </w:p>
        </w:tc>
        <w:tc>
          <w:tcPr>
            <w:tcW w:w="380" w:type="dxa"/>
            <w:vAlign w:val="bottom"/>
            <w:gridSpan w:val="6"/>
          </w:tcPr>
          <w:p>
            <w:pPr>
              <w:jc w:val="right"/>
              <w:ind w:right="20"/>
              <w:spacing w:after="0" w:line="237" w:lineRule="exact"/>
              <w:rPr>
                <w:sz w:val="20"/>
                <w:szCs w:val="20"/>
                <w:color w:val="auto"/>
              </w:rPr>
            </w:pPr>
            <w:r>
              <w:rPr>
                <w:rFonts w:ascii="Arial" w:cs="Arial" w:eastAsia="Arial" w:hAnsi="Arial"/>
                <w:sz w:val="22"/>
                <w:szCs w:val="22"/>
                <w:color w:val="auto"/>
              </w:rPr>
              <w:t>47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10</w:t>
            </w:r>
          </w:p>
        </w:tc>
        <w:tc>
          <w:tcPr>
            <w:tcW w:w="6040" w:type="dxa"/>
            <w:vAlign w:val="bottom"/>
            <w:gridSpan w:val="35"/>
          </w:tcPr>
          <w:p>
            <w:pPr>
              <w:spacing w:after="0" w:line="237" w:lineRule="exact"/>
              <w:rPr>
                <w:sz w:val="20"/>
                <w:szCs w:val="20"/>
                <w:color w:val="auto"/>
              </w:rPr>
            </w:pPr>
            <w:r>
              <w:rPr>
                <w:rFonts w:ascii="Arial" w:cs="Arial" w:eastAsia="Arial" w:hAnsi="Arial"/>
                <w:sz w:val="22"/>
                <w:szCs w:val="22"/>
                <w:color w:val="0000FF"/>
                <w:w w:val="97"/>
              </w:rPr>
              <w:t xml:space="preserve">Termination or Reduction of Revolving Credit Commitments  </w:t>
            </w:r>
            <w:r>
              <w:rPr>
                <w:rFonts w:ascii="Arial" w:cs="Arial" w:eastAsia="Arial" w:hAnsi="Arial"/>
                <w:sz w:val="22"/>
                <w:szCs w:val="22"/>
                <w:color w:val="000000"/>
                <w:w w:val="97"/>
              </w:rPr>
              <w:t>47</w:t>
            </w: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2340" w:type="dxa"/>
            <w:vAlign w:val="bottom"/>
            <w:tcBorders>
              <w:top w:val="single" w:sz="8" w:color="0000FF"/>
            </w:tcBorders>
            <w:gridSpan w:val="15"/>
          </w:tcPr>
          <w:p>
            <w:pPr>
              <w:spacing w:after="0" w:line="237" w:lineRule="exact"/>
              <w:rPr>
                <w:sz w:val="20"/>
                <w:szCs w:val="20"/>
                <w:color w:val="auto"/>
              </w:rPr>
            </w:pPr>
            <w:r>
              <w:rPr>
                <w:rFonts w:ascii="Arial" w:cs="Arial" w:eastAsia="Arial" w:hAnsi="Arial"/>
                <w:sz w:val="22"/>
                <w:szCs w:val="22"/>
                <w:color w:val="0000FF"/>
                <w:w w:val="86"/>
              </w:rPr>
              <w:t>2.</w:t>
            </w:r>
            <w:r>
              <w:rPr>
                <w:rFonts w:ascii="Arial" w:cs="Arial" w:eastAsia="Arial" w:hAnsi="Arial"/>
                <w:sz w:val="22"/>
                <w:szCs w:val="22"/>
                <w:u w:val="single" w:color="auto"/>
                <w:color w:val="0000FF"/>
                <w:w w:val="86"/>
              </w:rPr>
              <w:t>11</w:t>
            </w:r>
            <w:r>
              <w:rPr>
                <w:rFonts w:ascii="Arial" w:cs="Arial" w:eastAsia="Arial" w:hAnsi="Arial"/>
                <w:sz w:val="22"/>
                <w:szCs w:val="22"/>
                <w:color w:val="0000FF"/>
                <w:w w:val="86"/>
              </w:rPr>
              <w:t xml:space="preserve"> Optional Prepayments</w:t>
            </w:r>
          </w:p>
        </w:tc>
        <w:tc>
          <w:tcPr>
            <w:tcW w:w="540" w:type="dxa"/>
            <w:vAlign w:val="bottom"/>
            <w:tcBorders>
              <w:top w:val="single" w:sz="8" w:color="0000FF"/>
            </w:tcBorders>
            <w:gridSpan w:val="7"/>
          </w:tcPr>
          <w:p>
            <w:pPr>
              <w:jc w:val="right"/>
              <w:spacing w:after="0" w:line="237" w:lineRule="exact"/>
              <w:rPr>
                <w:sz w:val="20"/>
                <w:szCs w:val="20"/>
                <w:color w:val="auto"/>
              </w:rPr>
            </w:pPr>
            <w:r>
              <w:rPr>
                <w:rFonts w:ascii="Arial" w:cs="Arial" w:eastAsia="Arial" w:hAnsi="Arial"/>
                <w:sz w:val="22"/>
                <w:szCs w:val="22"/>
                <w:color w:val="auto"/>
              </w:rPr>
              <w:t>47</w:t>
            </w: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720" w:type="dxa"/>
            <w:vAlign w:val="bottom"/>
            <w:tcBorders>
              <w:top w:val="single" w:sz="8" w:color="0000FF"/>
            </w:tcBorders>
          </w:tcPr>
          <w:p>
            <w:pPr>
              <w:spacing w:after="0"/>
              <w:rPr>
                <w:sz w:val="20"/>
                <w:szCs w:val="20"/>
                <w:color w:val="auto"/>
              </w:rPr>
            </w:pPr>
          </w:p>
        </w:tc>
        <w:tc>
          <w:tcPr>
            <w:tcW w:w="94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12</w:t>
            </w:r>
          </w:p>
        </w:tc>
        <w:tc>
          <w:tcPr>
            <w:tcW w:w="2300" w:type="dxa"/>
            <w:vAlign w:val="bottom"/>
            <w:gridSpan w:val="19"/>
          </w:tcPr>
          <w:p>
            <w:pPr>
              <w:spacing w:after="0" w:line="237" w:lineRule="exact"/>
              <w:rPr>
                <w:sz w:val="20"/>
                <w:szCs w:val="20"/>
                <w:color w:val="auto"/>
              </w:rPr>
            </w:pPr>
            <w:r>
              <w:rPr>
                <w:rFonts w:ascii="Arial" w:cs="Arial" w:eastAsia="Arial" w:hAnsi="Arial"/>
                <w:sz w:val="22"/>
                <w:szCs w:val="22"/>
                <w:color w:val="0000FF"/>
                <w:w w:val="95"/>
              </w:rPr>
              <w:t>Mandatory Prepayments</w:t>
            </w:r>
          </w:p>
        </w:tc>
        <w:tc>
          <w:tcPr>
            <w:tcW w:w="340" w:type="dxa"/>
            <w:vAlign w:val="bottom"/>
            <w:gridSpan w:val="3"/>
          </w:tcPr>
          <w:p>
            <w:pPr>
              <w:jc w:val="right"/>
              <w:spacing w:after="0" w:line="237" w:lineRule="exact"/>
              <w:rPr>
                <w:sz w:val="20"/>
                <w:szCs w:val="20"/>
                <w:color w:val="auto"/>
              </w:rPr>
            </w:pPr>
            <w:r>
              <w:rPr>
                <w:rFonts w:ascii="Arial" w:cs="Arial" w:eastAsia="Arial" w:hAnsi="Arial"/>
                <w:sz w:val="22"/>
                <w:szCs w:val="22"/>
                <w:color w:val="auto"/>
                <w:w w:val="97"/>
              </w:rPr>
              <w:t>56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13</w:t>
            </w:r>
          </w:p>
        </w:tc>
        <w:tc>
          <w:tcPr>
            <w:tcW w:w="3460" w:type="dxa"/>
            <w:vAlign w:val="bottom"/>
            <w:gridSpan w:val="28"/>
          </w:tcPr>
          <w:p>
            <w:pPr>
              <w:spacing w:after="0" w:line="237" w:lineRule="exact"/>
              <w:rPr>
                <w:sz w:val="20"/>
                <w:szCs w:val="20"/>
                <w:color w:val="auto"/>
              </w:rPr>
            </w:pPr>
            <w:r>
              <w:rPr>
                <w:rFonts w:ascii="Arial" w:cs="Arial" w:eastAsia="Arial" w:hAnsi="Arial"/>
                <w:sz w:val="22"/>
                <w:szCs w:val="22"/>
                <w:color w:val="0000FF"/>
                <w:w w:val="93"/>
              </w:rPr>
              <w:t>Conversion and Continuation Options</w:t>
            </w:r>
          </w:p>
        </w:tc>
        <w:tc>
          <w:tcPr>
            <w:tcW w:w="900" w:type="dxa"/>
            <w:vAlign w:val="bottom"/>
            <w:gridSpan w:val="3"/>
          </w:tcPr>
          <w:p>
            <w:pPr>
              <w:jc w:val="right"/>
              <w:ind w:right="532"/>
              <w:spacing w:after="0" w:line="237" w:lineRule="exact"/>
              <w:rPr>
                <w:sz w:val="20"/>
                <w:szCs w:val="20"/>
                <w:color w:val="auto"/>
              </w:rPr>
            </w:pPr>
            <w:r>
              <w:rPr>
                <w:rFonts w:ascii="Arial" w:cs="Arial" w:eastAsia="Arial" w:hAnsi="Arial"/>
                <w:sz w:val="22"/>
                <w:szCs w:val="22"/>
                <w:color w:val="auto"/>
                <w:w w:val="97"/>
              </w:rPr>
              <w:t>57</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6460" w:type="dxa"/>
            <w:vAlign w:val="bottom"/>
            <w:gridSpan w:val="37"/>
          </w:tcPr>
          <w:p>
            <w:pPr>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14</w:t>
            </w:r>
            <w:r>
              <w:rPr>
                <w:rFonts w:ascii="Arial" w:cs="Arial" w:eastAsia="Arial" w:hAnsi="Arial"/>
                <w:sz w:val="22"/>
                <w:szCs w:val="22"/>
                <w:color w:val="0000FF"/>
                <w:w w:val="93"/>
              </w:rPr>
              <w:t xml:space="preserve"> Minimum Amounts and Maximum Number of Eurodollar Tranches</w:t>
            </w:r>
          </w:p>
        </w:tc>
        <w:tc>
          <w:tcPr>
            <w:tcW w:w="420" w:type="dxa"/>
            <w:vAlign w:val="bottom"/>
          </w:tcPr>
          <w:p>
            <w:pPr>
              <w:jc w:val="right"/>
              <w:ind w:right="72"/>
              <w:spacing w:after="0" w:line="237" w:lineRule="exact"/>
              <w:rPr>
                <w:sz w:val="20"/>
                <w:szCs w:val="20"/>
                <w:color w:val="auto"/>
              </w:rPr>
            </w:pPr>
            <w:r>
              <w:rPr>
                <w:rFonts w:ascii="Arial" w:cs="Arial" w:eastAsia="Arial" w:hAnsi="Arial"/>
                <w:sz w:val="22"/>
                <w:szCs w:val="22"/>
                <w:color w:val="auto"/>
                <w:w w:val="89"/>
              </w:rPr>
              <w:t>58</w:t>
            </w: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15</w:t>
            </w:r>
          </w:p>
        </w:tc>
        <w:tc>
          <w:tcPr>
            <w:tcW w:w="3100" w:type="dxa"/>
            <w:vAlign w:val="bottom"/>
            <w:gridSpan w:val="26"/>
          </w:tcPr>
          <w:p>
            <w:pPr>
              <w:spacing w:after="0" w:line="237" w:lineRule="exact"/>
              <w:rPr>
                <w:sz w:val="20"/>
                <w:szCs w:val="20"/>
                <w:color w:val="auto"/>
              </w:rPr>
            </w:pPr>
            <w:r>
              <w:rPr>
                <w:rFonts w:ascii="Arial" w:cs="Arial" w:eastAsia="Arial" w:hAnsi="Arial"/>
                <w:sz w:val="22"/>
                <w:szCs w:val="22"/>
                <w:color w:val="0000FF"/>
                <w:w w:val="91"/>
              </w:rPr>
              <w:t>Interest Rates and Payment Dates</w:t>
            </w:r>
          </w:p>
        </w:tc>
        <w:tc>
          <w:tcPr>
            <w:tcW w:w="360" w:type="dxa"/>
            <w:vAlign w:val="bottom"/>
            <w:gridSpan w:val="2"/>
          </w:tcPr>
          <w:p>
            <w:pPr>
              <w:jc w:val="right"/>
              <w:ind w:right="120"/>
              <w:spacing w:after="0" w:line="237" w:lineRule="exact"/>
              <w:rPr>
                <w:sz w:val="20"/>
                <w:szCs w:val="20"/>
                <w:color w:val="auto"/>
              </w:rPr>
            </w:pPr>
            <w:r>
              <w:rPr>
                <w:rFonts w:ascii="Arial" w:cs="Arial" w:eastAsia="Arial" w:hAnsi="Arial"/>
                <w:sz w:val="22"/>
                <w:szCs w:val="22"/>
                <w:color w:val="auto"/>
                <w:w w:val="89"/>
              </w:rPr>
              <w:t>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16</w:t>
            </w:r>
          </w:p>
        </w:tc>
        <w:tc>
          <w:tcPr>
            <w:tcW w:w="3100" w:type="dxa"/>
            <w:vAlign w:val="bottom"/>
            <w:gridSpan w:val="26"/>
          </w:tcPr>
          <w:p>
            <w:pPr>
              <w:spacing w:after="0" w:line="237" w:lineRule="exact"/>
              <w:rPr>
                <w:sz w:val="20"/>
                <w:szCs w:val="20"/>
                <w:color w:val="auto"/>
              </w:rPr>
            </w:pPr>
            <w:r>
              <w:rPr>
                <w:rFonts w:ascii="Arial" w:cs="Arial" w:eastAsia="Arial" w:hAnsi="Arial"/>
                <w:sz w:val="22"/>
                <w:szCs w:val="22"/>
                <w:color w:val="0000FF"/>
                <w:w w:val="94"/>
              </w:rPr>
              <w:t>Computation of Interest and Fees</w:t>
            </w:r>
          </w:p>
        </w:tc>
        <w:tc>
          <w:tcPr>
            <w:tcW w:w="200" w:type="dxa"/>
            <w:vAlign w:val="bottom"/>
          </w:tcPr>
          <w:p>
            <w:pPr>
              <w:jc w:val="right"/>
              <w:spacing w:after="0" w:line="237" w:lineRule="exact"/>
              <w:rPr>
                <w:sz w:val="20"/>
                <w:szCs w:val="20"/>
                <w:color w:val="auto"/>
              </w:rPr>
            </w:pPr>
            <w:r>
              <w:rPr>
                <w:rFonts w:ascii="Arial" w:cs="Arial" w:eastAsia="Arial" w:hAnsi="Arial"/>
                <w:sz w:val="22"/>
                <w:szCs w:val="22"/>
                <w:color w:val="auto"/>
                <w:w w:val="81"/>
              </w:rPr>
              <w:t>59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17</w:t>
            </w:r>
          </w:p>
        </w:tc>
        <w:tc>
          <w:tcPr>
            <w:tcW w:w="3100" w:type="dxa"/>
            <w:vAlign w:val="bottom"/>
            <w:gridSpan w:val="26"/>
          </w:tcPr>
          <w:p>
            <w:pPr>
              <w:spacing w:after="0" w:line="237" w:lineRule="exact"/>
              <w:rPr>
                <w:sz w:val="20"/>
                <w:szCs w:val="20"/>
                <w:color w:val="auto"/>
              </w:rPr>
            </w:pPr>
            <w:r>
              <w:rPr>
                <w:rFonts w:ascii="Arial" w:cs="Arial" w:eastAsia="Arial" w:hAnsi="Arial"/>
                <w:sz w:val="22"/>
                <w:szCs w:val="22"/>
                <w:color w:val="0000FF"/>
                <w:w w:val="90"/>
              </w:rPr>
              <w:t>Inability to Determine Interest Rate</w:t>
            </w:r>
          </w:p>
        </w:tc>
        <w:tc>
          <w:tcPr>
            <w:tcW w:w="520" w:type="dxa"/>
            <w:vAlign w:val="bottom"/>
            <w:gridSpan w:val="3"/>
          </w:tcPr>
          <w:p>
            <w:pPr>
              <w:jc w:val="right"/>
              <w:spacing w:after="0" w:line="237" w:lineRule="exact"/>
              <w:rPr>
                <w:sz w:val="20"/>
                <w:szCs w:val="20"/>
                <w:color w:val="auto"/>
              </w:rPr>
            </w:pPr>
            <w:r>
              <w:rPr>
                <w:rFonts w:ascii="Arial" w:cs="Arial" w:eastAsia="Arial" w:hAnsi="Arial"/>
                <w:sz w:val="22"/>
                <w:szCs w:val="22"/>
                <w:color w:val="auto"/>
              </w:rPr>
              <w:t>59</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18</w:t>
            </w:r>
          </w:p>
        </w:tc>
        <w:tc>
          <w:tcPr>
            <w:tcW w:w="3100" w:type="dxa"/>
            <w:vAlign w:val="bottom"/>
            <w:gridSpan w:val="26"/>
          </w:tcPr>
          <w:p>
            <w:pPr>
              <w:spacing w:after="0" w:line="237" w:lineRule="exact"/>
              <w:rPr>
                <w:sz w:val="20"/>
                <w:szCs w:val="20"/>
                <w:color w:val="auto"/>
              </w:rPr>
            </w:pPr>
            <w:r>
              <w:rPr>
                <w:rFonts w:ascii="Arial" w:cs="Arial" w:eastAsia="Arial" w:hAnsi="Arial"/>
                <w:sz w:val="22"/>
                <w:szCs w:val="22"/>
                <w:color w:val="0000FF"/>
                <w:w w:val="90"/>
              </w:rPr>
              <w:t>Pro Rata Treatment and Payments</w:t>
            </w:r>
          </w:p>
        </w:tc>
        <w:tc>
          <w:tcPr>
            <w:tcW w:w="360" w:type="dxa"/>
            <w:vAlign w:val="bottom"/>
            <w:gridSpan w:val="2"/>
          </w:tcPr>
          <w:p>
            <w:pPr>
              <w:jc w:val="right"/>
              <w:ind w:right="80"/>
              <w:spacing w:after="0" w:line="237" w:lineRule="exact"/>
              <w:rPr>
                <w:sz w:val="20"/>
                <w:szCs w:val="20"/>
                <w:color w:val="auto"/>
              </w:rPr>
            </w:pPr>
            <w:r>
              <w:rPr>
                <w:rFonts w:ascii="Arial" w:cs="Arial" w:eastAsia="Arial" w:hAnsi="Arial"/>
                <w:sz w:val="22"/>
                <w:szCs w:val="22"/>
                <w:color w:val="auto"/>
              </w:rPr>
              <w:t>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19</w:t>
            </w:r>
          </w:p>
        </w:tc>
        <w:tc>
          <w:tcPr>
            <w:tcW w:w="1540" w:type="dxa"/>
            <w:vAlign w:val="bottom"/>
            <w:gridSpan w:val="11"/>
          </w:tcPr>
          <w:p>
            <w:pPr>
              <w:spacing w:after="0" w:line="237" w:lineRule="exact"/>
              <w:rPr>
                <w:sz w:val="20"/>
                <w:szCs w:val="20"/>
                <w:color w:val="auto"/>
              </w:rPr>
            </w:pPr>
            <w:r>
              <w:rPr>
                <w:rFonts w:ascii="Arial" w:cs="Arial" w:eastAsia="Arial" w:hAnsi="Arial"/>
                <w:sz w:val="22"/>
                <w:szCs w:val="22"/>
                <w:color w:val="0000FF"/>
                <w:w w:val="95"/>
              </w:rPr>
              <w:t>Increased Costs</w:t>
            </w:r>
          </w:p>
        </w:tc>
        <w:tc>
          <w:tcPr>
            <w:tcW w:w="320" w:type="dxa"/>
            <w:vAlign w:val="bottom"/>
          </w:tcPr>
          <w:p>
            <w:pPr>
              <w:jc w:val="right"/>
              <w:spacing w:after="0" w:line="237" w:lineRule="exact"/>
              <w:rPr>
                <w:sz w:val="20"/>
                <w:szCs w:val="20"/>
                <w:color w:val="auto"/>
              </w:rPr>
            </w:pPr>
            <w:r>
              <w:rPr>
                <w:rFonts w:ascii="Arial" w:cs="Arial" w:eastAsia="Arial" w:hAnsi="Arial"/>
                <w:sz w:val="22"/>
                <w:szCs w:val="22"/>
                <w:color w:val="auto"/>
                <w:w w:val="97"/>
              </w:rPr>
              <w:t>63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20</w:t>
            </w:r>
          </w:p>
        </w:tc>
        <w:tc>
          <w:tcPr>
            <w:tcW w:w="980" w:type="dxa"/>
            <w:vAlign w:val="bottom"/>
            <w:gridSpan w:val="5"/>
          </w:tcPr>
          <w:p>
            <w:pPr>
              <w:spacing w:after="0" w:line="237" w:lineRule="exact"/>
              <w:rPr>
                <w:sz w:val="20"/>
                <w:szCs w:val="20"/>
                <w:color w:val="auto"/>
              </w:rPr>
            </w:pPr>
            <w:r>
              <w:rPr>
                <w:rFonts w:ascii="Arial" w:cs="Arial" w:eastAsia="Arial" w:hAnsi="Arial"/>
                <w:sz w:val="22"/>
                <w:szCs w:val="22"/>
                <w:color w:val="0000FF"/>
                <w:w w:val="99"/>
              </w:rPr>
              <w:t xml:space="preserve">Taxes  </w:t>
            </w:r>
            <w:r>
              <w:rPr>
                <w:rFonts w:ascii="Arial" w:cs="Arial" w:eastAsia="Arial" w:hAnsi="Arial"/>
                <w:sz w:val="22"/>
                <w:szCs w:val="22"/>
                <w:color w:val="000000"/>
                <w:w w:val="99"/>
              </w:rPr>
              <w:t>64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21</w:t>
            </w:r>
          </w:p>
        </w:tc>
        <w:tc>
          <w:tcPr>
            <w:tcW w:w="980" w:type="dxa"/>
            <w:vAlign w:val="bottom"/>
            <w:gridSpan w:val="5"/>
          </w:tcPr>
          <w:p>
            <w:pPr>
              <w:spacing w:after="0" w:line="237" w:lineRule="exact"/>
              <w:rPr>
                <w:sz w:val="20"/>
                <w:szCs w:val="20"/>
                <w:color w:val="auto"/>
              </w:rPr>
            </w:pPr>
            <w:r>
              <w:rPr>
                <w:rFonts w:ascii="Arial" w:cs="Arial" w:eastAsia="Arial" w:hAnsi="Arial"/>
                <w:sz w:val="22"/>
                <w:szCs w:val="22"/>
                <w:color w:val="0000FF"/>
              </w:rPr>
              <w:t>Indemnity</w:t>
            </w:r>
          </w:p>
        </w:tc>
        <w:tc>
          <w:tcPr>
            <w:tcW w:w="38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auto"/>
              </w:rPr>
              <w:t>68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22</w:t>
            </w:r>
          </w:p>
        </w:tc>
        <w:tc>
          <w:tcPr>
            <w:tcW w:w="980" w:type="dxa"/>
            <w:vAlign w:val="bottom"/>
            <w:gridSpan w:val="5"/>
          </w:tcPr>
          <w:p>
            <w:pPr>
              <w:spacing w:after="0" w:line="237" w:lineRule="exact"/>
              <w:rPr>
                <w:sz w:val="20"/>
                <w:szCs w:val="20"/>
                <w:color w:val="auto"/>
              </w:rPr>
            </w:pPr>
            <w:r>
              <w:rPr>
                <w:rFonts w:ascii="Arial" w:cs="Arial" w:eastAsia="Arial" w:hAnsi="Arial"/>
                <w:sz w:val="22"/>
                <w:szCs w:val="22"/>
                <w:color w:val="0000FF"/>
              </w:rPr>
              <w:t>Illegality</w:t>
            </w:r>
          </w:p>
        </w:tc>
        <w:tc>
          <w:tcPr>
            <w:tcW w:w="380" w:type="dxa"/>
            <w:vAlign w:val="bottom"/>
            <w:gridSpan w:val="2"/>
          </w:tcPr>
          <w:p>
            <w:pPr>
              <w:jc w:val="right"/>
              <w:ind w:right="140"/>
              <w:spacing w:after="0" w:line="237" w:lineRule="exact"/>
              <w:rPr>
                <w:sz w:val="20"/>
                <w:szCs w:val="20"/>
                <w:color w:val="auto"/>
              </w:rPr>
            </w:pPr>
            <w:r>
              <w:rPr>
                <w:rFonts w:ascii="Arial" w:cs="Arial" w:eastAsia="Arial" w:hAnsi="Arial"/>
                <w:sz w:val="22"/>
                <w:szCs w:val="22"/>
                <w:color w:val="auto"/>
                <w:w w:val="89"/>
              </w:rPr>
              <w:t>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23</w:t>
            </w:r>
          </w:p>
        </w:tc>
        <w:tc>
          <w:tcPr>
            <w:tcW w:w="2300" w:type="dxa"/>
            <w:vAlign w:val="bottom"/>
            <w:gridSpan w:val="19"/>
          </w:tcPr>
          <w:p>
            <w:pPr>
              <w:spacing w:after="0" w:line="237" w:lineRule="exact"/>
              <w:rPr>
                <w:sz w:val="20"/>
                <w:szCs w:val="20"/>
                <w:color w:val="auto"/>
              </w:rPr>
            </w:pPr>
            <w:r>
              <w:rPr>
                <w:rFonts w:ascii="Arial" w:cs="Arial" w:eastAsia="Arial" w:hAnsi="Arial"/>
                <w:sz w:val="22"/>
                <w:szCs w:val="22"/>
                <w:color w:val="0000FF"/>
                <w:w w:val="91"/>
              </w:rPr>
              <w:t>Change of Lending Office</w:t>
            </w:r>
          </w:p>
        </w:tc>
        <w:tc>
          <w:tcPr>
            <w:tcW w:w="580" w:type="dxa"/>
            <w:vAlign w:val="bottom"/>
            <w:gridSpan w:val="4"/>
          </w:tcPr>
          <w:p>
            <w:pPr>
              <w:jc w:val="right"/>
              <w:ind w:right="72"/>
              <w:spacing w:after="0" w:line="237" w:lineRule="exact"/>
              <w:rPr>
                <w:sz w:val="20"/>
                <w:szCs w:val="20"/>
                <w:color w:val="auto"/>
              </w:rPr>
            </w:pPr>
            <w:r>
              <w:rPr>
                <w:rFonts w:ascii="Arial" w:cs="Arial" w:eastAsia="Arial" w:hAnsi="Arial"/>
                <w:sz w:val="22"/>
                <w:szCs w:val="22"/>
                <w:color w:val="auto"/>
              </w:rPr>
              <w:t>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3000" w:type="dxa"/>
            <w:vAlign w:val="bottom"/>
            <w:gridSpan w:val="8"/>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24</w:t>
            </w:r>
          </w:p>
        </w:tc>
        <w:tc>
          <w:tcPr>
            <w:tcW w:w="9220" w:type="dxa"/>
            <w:vAlign w:val="bottom"/>
            <w:gridSpan w:val="38"/>
          </w:tcPr>
          <w:p>
            <w:pPr>
              <w:spacing w:after="0" w:line="237" w:lineRule="exact"/>
              <w:rPr>
                <w:sz w:val="20"/>
                <w:szCs w:val="20"/>
                <w:color w:val="auto"/>
              </w:rPr>
            </w:pPr>
            <w:r>
              <w:rPr>
                <w:rFonts w:ascii="Arial" w:cs="Arial" w:eastAsia="Arial" w:hAnsi="Arial"/>
                <w:sz w:val="22"/>
                <w:szCs w:val="22"/>
                <w:color w:val="0000FF"/>
              </w:rPr>
              <w:t xml:space="preserve">Replacement of Lenders under Certain Circumstances; Defaulting Lenders  </w:t>
            </w:r>
            <w:r>
              <w:rPr>
                <w:rFonts w:ascii="Arial" w:cs="Arial" w:eastAsia="Arial" w:hAnsi="Arial"/>
                <w:sz w:val="22"/>
                <w:szCs w:val="22"/>
                <w:color w:val="000000"/>
              </w:rPr>
              <w:t>70</w:t>
            </w: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25</w:t>
            </w:r>
          </w:p>
        </w:tc>
        <w:tc>
          <w:tcPr>
            <w:tcW w:w="2640" w:type="dxa"/>
            <w:vAlign w:val="bottom"/>
            <w:gridSpan w:val="22"/>
          </w:tcPr>
          <w:p>
            <w:pPr>
              <w:spacing w:after="0" w:line="237" w:lineRule="exact"/>
              <w:rPr>
                <w:sz w:val="20"/>
                <w:szCs w:val="20"/>
                <w:color w:val="auto"/>
              </w:rPr>
            </w:pPr>
            <w:r>
              <w:rPr>
                <w:rFonts w:ascii="Arial" w:cs="Arial" w:eastAsia="Arial" w:hAnsi="Arial"/>
                <w:sz w:val="22"/>
                <w:szCs w:val="22"/>
                <w:color w:val="0000FF"/>
                <w:w w:val="88"/>
              </w:rPr>
              <w:t>Incremental Credit Extensions</w:t>
            </w:r>
          </w:p>
        </w:tc>
        <w:tc>
          <w:tcPr>
            <w:tcW w:w="440" w:type="dxa"/>
            <w:vAlign w:val="bottom"/>
            <w:gridSpan w:val="3"/>
          </w:tcPr>
          <w:p>
            <w:pPr>
              <w:jc w:val="center"/>
              <w:ind w:left="92"/>
              <w:spacing w:after="0" w:line="237" w:lineRule="exact"/>
              <w:rPr>
                <w:sz w:val="20"/>
                <w:szCs w:val="20"/>
                <w:color w:val="auto"/>
              </w:rPr>
            </w:pPr>
            <w:r>
              <w:rPr>
                <w:rFonts w:ascii="Arial" w:cs="Arial" w:eastAsia="Arial" w:hAnsi="Arial"/>
                <w:sz w:val="22"/>
                <w:szCs w:val="22"/>
                <w:color w:val="auto"/>
                <w:w w:val="81"/>
              </w:rPr>
              <w:t>74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26</w:t>
            </w:r>
          </w:p>
        </w:tc>
        <w:tc>
          <w:tcPr>
            <w:tcW w:w="2500" w:type="dxa"/>
            <w:vAlign w:val="bottom"/>
            <w:gridSpan w:val="21"/>
          </w:tcPr>
          <w:p>
            <w:pPr>
              <w:spacing w:after="0" w:line="237" w:lineRule="exact"/>
              <w:rPr>
                <w:sz w:val="20"/>
                <w:szCs w:val="20"/>
                <w:color w:val="auto"/>
              </w:rPr>
            </w:pPr>
            <w:r>
              <w:rPr>
                <w:rFonts w:ascii="Arial" w:cs="Arial" w:eastAsia="Arial" w:hAnsi="Arial"/>
                <w:sz w:val="22"/>
                <w:szCs w:val="22"/>
                <w:color w:val="FF0000"/>
                <w:strike w:val="1"/>
                <w:w w:val="89"/>
              </w:rPr>
              <w:t>Incremental Equivalent Debt</w:t>
            </w:r>
          </w:p>
        </w:tc>
        <w:tc>
          <w:tcPr>
            <w:tcW w:w="960" w:type="dxa"/>
            <w:vAlign w:val="bottom"/>
            <w:gridSpan w:val="7"/>
          </w:tcPr>
          <w:p>
            <w:pPr>
              <w:jc w:val="center"/>
              <w:ind w:right="20"/>
              <w:spacing w:after="0" w:line="237" w:lineRule="exact"/>
              <w:rPr>
                <w:sz w:val="20"/>
                <w:szCs w:val="20"/>
                <w:color w:val="auto"/>
              </w:rPr>
            </w:pPr>
            <w:r>
              <w:rPr>
                <w:rFonts w:ascii="Arial" w:cs="Arial" w:eastAsia="Arial" w:hAnsi="Arial"/>
                <w:sz w:val="22"/>
                <w:szCs w:val="22"/>
                <w:color w:val="0000FF"/>
                <w:w w:val="88"/>
              </w:rPr>
              <w:t>[Reserved]</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ind w:right="372"/>
              <w:spacing w:after="0" w:line="237" w:lineRule="exact"/>
              <w:rPr>
                <w:sz w:val="20"/>
                <w:szCs w:val="20"/>
                <w:color w:val="auto"/>
              </w:rPr>
            </w:pPr>
            <w:r>
              <w:rPr>
                <w:rFonts w:ascii="Arial" w:cs="Arial" w:eastAsia="Arial" w:hAnsi="Arial"/>
                <w:sz w:val="22"/>
                <w:szCs w:val="22"/>
                <w:color w:val="auto"/>
                <w:w w:val="89"/>
              </w:rPr>
              <w:t>78</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FF0000"/>
          </w:tcPr>
          <w:p>
            <w:pPr>
              <w:spacing w:after="0" w:line="20" w:lineRule="exact"/>
              <w:rPr>
                <w:sz w:val="1"/>
                <w:szCs w:val="1"/>
                <w:color w:val="auto"/>
              </w:rPr>
            </w:pPr>
          </w:p>
        </w:tc>
        <w:tc>
          <w:tcPr>
            <w:tcW w:w="1220" w:type="dxa"/>
            <w:vAlign w:val="bottom"/>
            <w:gridSpan w:val="7"/>
            <w:shd w:val="clear" w:color="auto" w:fill="FF0000"/>
          </w:tcPr>
          <w:p>
            <w:pPr>
              <w:spacing w:after="0" w:line="20" w:lineRule="exact"/>
              <w:rPr>
                <w:sz w:val="1"/>
                <w:szCs w:val="1"/>
                <w:color w:val="auto"/>
              </w:rPr>
            </w:pPr>
          </w:p>
        </w:tc>
        <w:tc>
          <w:tcPr>
            <w:tcW w:w="20" w:type="dxa"/>
            <w:vAlign w:val="bottom"/>
            <w:shd w:val="clear" w:color="auto" w:fill="FF0000"/>
          </w:tcPr>
          <w:p>
            <w:pPr>
              <w:spacing w:after="0" w:line="20" w:lineRule="exact"/>
              <w:rPr>
                <w:sz w:val="1"/>
                <w:szCs w:val="1"/>
                <w:color w:val="auto"/>
              </w:rPr>
            </w:pPr>
          </w:p>
        </w:tc>
        <w:tc>
          <w:tcPr>
            <w:tcW w:w="460" w:type="dxa"/>
            <w:vAlign w:val="bottom"/>
            <w:gridSpan w:val="4"/>
            <w:shd w:val="clear" w:color="auto" w:fill="FF0000"/>
          </w:tcPr>
          <w:p>
            <w:pPr>
              <w:spacing w:after="0" w:line="20" w:lineRule="exact"/>
              <w:rPr>
                <w:sz w:val="1"/>
                <w:szCs w:val="1"/>
                <w:color w:val="auto"/>
              </w:rPr>
            </w:pPr>
          </w:p>
        </w:tc>
        <w:tc>
          <w:tcPr>
            <w:tcW w:w="280" w:type="dxa"/>
            <w:vAlign w:val="bottom"/>
            <w:tcBorders>
              <w:left w:val="single" w:sz="8" w:color="FF0000"/>
            </w:tcBorders>
            <w:gridSpan w:val="4"/>
            <w:shd w:val="clear" w:color="auto" w:fill="FF0000"/>
          </w:tcPr>
          <w:p>
            <w:pPr>
              <w:spacing w:after="0" w:line="20" w:lineRule="exact"/>
              <w:rPr>
                <w:sz w:val="1"/>
                <w:szCs w:val="1"/>
                <w:color w:val="auto"/>
              </w:rPr>
            </w:pPr>
          </w:p>
        </w:tc>
        <w:tc>
          <w:tcPr>
            <w:tcW w:w="300" w:type="dxa"/>
            <w:vAlign w:val="bottom"/>
            <w:gridSpan w:val="4"/>
            <w:shd w:val="clear" w:color="auto" w:fill="FF0000"/>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48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27</w:t>
            </w:r>
          </w:p>
        </w:tc>
        <w:tc>
          <w:tcPr>
            <w:tcW w:w="9220" w:type="dxa"/>
            <w:vAlign w:val="bottom"/>
            <w:gridSpan w:val="38"/>
          </w:tcPr>
          <w:p>
            <w:pPr>
              <w:spacing w:after="0" w:line="237" w:lineRule="exact"/>
              <w:rPr>
                <w:sz w:val="20"/>
                <w:szCs w:val="20"/>
                <w:color w:val="auto"/>
              </w:rPr>
            </w:pPr>
            <w:r>
              <w:rPr>
                <w:rFonts w:ascii="Arial" w:cs="Arial" w:eastAsia="Arial" w:hAnsi="Arial"/>
                <w:sz w:val="22"/>
                <w:szCs w:val="22"/>
                <w:color w:val="0000FF"/>
                <w:w w:val="99"/>
              </w:rPr>
              <w:t>Extensions of Revolving Credit Loans and Term Loans and Revolving Credit Commitments and</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260" w:type="dxa"/>
            <w:vAlign w:val="bottom"/>
            <w:gridSpan w:val="11"/>
            <w:shd w:val="clear" w:color="auto" w:fill="0000FF"/>
          </w:tcPr>
          <w:p>
            <w:pPr>
              <w:spacing w:after="0" w:line="20" w:lineRule="exact"/>
              <w:rPr>
                <w:sz w:val="1"/>
                <w:szCs w:val="1"/>
                <w:color w:val="auto"/>
              </w:rPr>
            </w:pPr>
          </w:p>
        </w:tc>
        <w:tc>
          <w:tcPr>
            <w:tcW w:w="4880" w:type="dxa"/>
            <w:vAlign w:val="bottom"/>
            <w:tcBorders>
              <w:left w:val="single" w:sz="8" w:color="0000FF"/>
            </w:tcBorders>
            <w:gridSpan w:val="9"/>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0" w:type="dxa"/>
            <w:vAlign w:val="bottom"/>
            <w:tcBorders>
              <w:bottom w:val="single" w:sz="8" w:color="0000FF"/>
            </w:tcBorders>
            <w:gridSpan w:val="37"/>
          </w:tcPr>
          <w:p>
            <w:pPr>
              <w:spacing w:after="0" w:line="237" w:lineRule="exact"/>
              <w:rPr>
                <w:sz w:val="20"/>
                <w:szCs w:val="20"/>
                <w:color w:val="auto"/>
              </w:rPr>
            </w:pPr>
            <w:r>
              <w:rPr>
                <w:rFonts w:ascii="Arial" w:cs="Arial" w:eastAsia="Arial" w:hAnsi="Arial"/>
                <w:sz w:val="22"/>
                <w:szCs w:val="22"/>
                <w:color w:val="0000FF"/>
                <w:w w:val="88"/>
              </w:rPr>
              <w:t>Replacement Revolving Credit Loans and Replacement Term Loans and Replacement Revolving Credit</w:t>
            </w:r>
          </w:p>
        </w:tc>
      </w:tr>
      <w:tr>
        <w:trPr>
          <w:trHeight w:val="237"/>
        </w:trPr>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0000FF"/>
            </w:tcBorders>
            <w:gridSpan w:val="8"/>
          </w:tcPr>
          <w:p>
            <w:pPr>
              <w:spacing w:after="0" w:line="237" w:lineRule="exact"/>
              <w:rPr>
                <w:sz w:val="20"/>
                <w:szCs w:val="20"/>
                <w:color w:val="auto"/>
              </w:rPr>
            </w:pPr>
            <w:r>
              <w:rPr>
                <w:rFonts w:ascii="Arial" w:cs="Arial" w:eastAsia="Arial" w:hAnsi="Arial"/>
                <w:sz w:val="22"/>
                <w:szCs w:val="22"/>
                <w:color w:val="0000FF"/>
                <w:w w:val="89"/>
              </w:rPr>
              <w:t>Commitments</w:t>
            </w:r>
          </w:p>
        </w:tc>
        <w:tc>
          <w:tcPr>
            <w:tcW w:w="80" w:type="dxa"/>
            <w:vAlign w:val="bottom"/>
            <w:gridSpan w:val="2"/>
          </w:tcPr>
          <w:p>
            <w:pPr>
              <w:spacing w:after="0"/>
              <w:rPr>
                <w:sz w:val="20"/>
                <w:szCs w:val="20"/>
                <w:color w:val="auto"/>
              </w:rPr>
            </w:pPr>
          </w:p>
        </w:tc>
        <w:tc>
          <w:tcPr>
            <w:tcW w:w="380" w:type="dxa"/>
            <w:vAlign w:val="bottom"/>
            <w:gridSpan w:val="2"/>
          </w:tcPr>
          <w:p>
            <w:pPr>
              <w:ind w:left="120"/>
              <w:spacing w:after="0" w:line="237" w:lineRule="exact"/>
              <w:rPr>
                <w:sz w:val="20"/>
                <w:szCs w:val="20"/>
                <w:color w:val="auto"/>
              </w:rPr>
            </w:pPr>
            <w:r>
              <w:rPr>
                <w:rFonts w:ascii="Arial" w:cs="Arial" w:eastAsia="Arial" w:hAnsi="Arial"/>
                <w:sz w:val="22"/>
                <w:szCs w:val="22"/>
                <w:color w:val="auto"/>
                <w:w w:val="89"/>
              </w:rPr>
              <w:t>80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6"/>
        </w:trPr>
        <w:tc>
          <w:tcPr>
            <w:tcW w:w="108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93"/>
              </w:rPr>
              <w:t>2.</w:t>
            </w:r>
            <w:r>
              <w:rPr>
                <w:rFonts w:ascii="Arial" w:cs="Arial" w:eastAsia="Arial" w:hAnsi="Arial"/>
                <w:sz w:val="22"/>
                <w:szCs w:val="22"/>
                <w:u w:val="single" w:color="auto"/>
                <w:color w:val="0000FF"/>
                <w:w w:val="93"/>
              </w:rPr>
              <w:t>28</w:t>
            </w:r>
          </w:p>
        </w:tc>
        <w:tc>
          <w:tcPr>
            <w:tcW w:w="1920" w:type="dxa"/>
            <w:vAlign w:val="bottom"/>
            <w:gridSpan w:val="13"/>
          </w:tcPr>
          <w:p>
            <w:pPr>
              <w:spacing w:after="0" w:line="237" w:lineRule="exact"/>
              <w:rPr>
                <w:sz w:val="20"/>
                <w:szCs w:val="20"/>
                <w:color w:val="auto"/>
              </w:rPr>
            </w:pPr>
            <w:r>
              <w:rPr>
                <w:rFonts w:ascii="Arial" w:cs="Arial" w:eastAsia="Arial" w:hAnsi="Arial"/>
                <w:sz w:val="22"/>
                <w:szCs w:val="22"/>
                <w:color w:val="0000FF"/>
                <w:w w:val="84"/>
              </w:rPr>
              <w:t>Replacement Facilities</w:t>
            </w:r>
          </w:p>
        </w:tc>
        <w:tc>
          <w:tcPr>
            <w:tcW w:w="540" w:type="dxa"/>
            <w:vAlign w:val="bottom"/>
            <w:gridSpan w:val="7"/>
          </w:tcPr>
          <w:p>
            <w:pPr>
              <w:jc w:val="right"/>
              <w:spacing w:after="0" w:line="237" w:lineRule="exact"/>
              <w:rPr>
                <w:sz w:val="20"/>
                <w:szCs w:val="20"/>
                <w:color w:val="auto"/>
              </w:rPr>
            </w:pPr>
            <w:r>
              <w:rPr>
                <w:rFonts w:ascii="Arial" w:cs="Arial" w:eastAsia="Arial" w:hAnsi="Arial"/>
                <w:sz w:val="22"/>
                <w:szCs w:val="22"/>
                <w:color w:val="auto"/>
              </w:rPr>
              <w:t>84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1860" w:type="dxa"/>
            <w:vAlign w:val="bottom"/>
            <w:gridSpan w:val="10"/>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2"/>
        </w:trPr>
        <w:tc>
          <w:tcPr>
            <w:tcW w:w="3380" w:type="dxa"/>
            <w:vAlign w:val="bottom"/>
            <w:gridSpan w:val="22"/>
          </w:tcPr>
          <w:p>
            <w:pPr>
              <w:spacing w:after="0"/>
              <w:rPr>
                <w:sz w:val="20"/>
                <w:szCs w:val="20"/>
                <w:color w:val="auto"/>
              </w:rPr>
            </w:pPr>
            <w:r>
              <w:rPr>
                <w:rFonts w:ascii="Arial" w:cs="Arial" w:eastAsia="Arial" w:hAnsi="Arial"/>
                <w:sz w:val="22"/>
                <w:szCs w:val="22"/>
                <w:color w:val="0000FF"/>
                <w:w w:val="95"/>
              </w:rPr>
              <w:t>SECTION 3. LETTERS OF CREDIT</w:t>
            </w:r>
          </w:p>
        </w:tc>
        <w:tc>
          <w:tcPr>
            <w:tcW w:w="340" w:type="dxa"/>
            <w:vAlign w:val="bottom"/>
            <w:gridSpan w:val="3"/>
          </w:tcPr>
          <w:p>
            <w:pPr>
              <w:jc w:val="right"/>
              <w:spacing w:after="0"/>
              <w:rPr>
                <w:sz w:val="20"/>
                <w:szCs w:val="20"/>
                <w:color w:val="auto"/>
              </w:rPr>
            </w:pPr>
            <w:r>
              <w:rPr>
                <w:rFonts w:ascii="Arial" w:cs="Arial" w:eastAsia="Arial" w:hAnsi="Arial"/>
                <w:sz w:val="22"/>
                <w:szCs w:val="22"/>
                <w:color w:val="auto"/>
              </w:rPr>
              <w:t>85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6"/>
        </w:trPr>
        <w:tc>
          <w:tcPr>
            <w:tcW w:w="660" w:type="dxa"/>
            <w:vAlign w:val="bottom"/>
            <w:tcBorders>
              <w:top w:val="single" w:sz="8" w:color="0000FF"/>
            </w:tcBorders>
          </w:tcPr>
          <w:p>
            <w:pPr>
              <w:spacing w:after="0"/>
              <w:rPr>
                <w:sz w:val="20"/>
                <w:szCs w:val="20"/>
                <w:color w:val="auto"/>
              </w:rPr>
            </w:pPr>
          </w:p>
        </w:tc>
        <w:tc>
          <w:tcPr>
            <w:tcW w:w="1860" w:type="dxa"/>
            <w:vAlign w:val="bottom"/>
            <w:tcBorders>
              <w:top w:val="single" w:sz="8" w:color="0000FF"/>
              <w:bottom w:val="single" w:sz="8" w:color="0000FF"/>
            </w:tcBorders>
            <w:gridSpan w:val="10"/>
          </w:tcPr>
          <w:p>
            <w:pPr>
              <w:spacing w:after="0" w:line="237" w:lineRule="exact"/>
              <w:rPr>
                <w:sz w:val="20"/>
                <w:szCs w:val="20"/>
                <w:color w:val="auto"/>
              </w:rPr>
            </w:pPr>
            <w:r>
              <w:rPr>
                <w:rFonts w:ascii="Arial" w:cs="Arial" w:eastAsia="Arial" w:hAnsi="Arial"/>
                <w:sz w:val="22"/>
                <w:szCs w:val="22"/>
                <w:color w:val="0000FF"/>
                <w:w w:val="91"/>
              </w:rPr>
              <w:t>3.</w:t>
            </w:r>
            <w:r>
              <w:rPr>
                <w:rFonts w:ascii="Arial" w:cs="Arial" w:eastAsia="Arial" w:hAnsi="Arial"/>
                <w:sz w:val="22"/>
                <w:szCs w:val="22"/>
                <w:u w:val="single" w:color="auto"/>
                <w:color w:val="0000FF"/>
                <w:w w:val="91"/>
              </w:rPr>
              <w:t>1</w:t>
            </w:r>
            <w:r>
              <w:rPr>
                <w:rFonts w:ascii="Arial" w:cs="Arial" w:eastAsia="Arial" w:hAnsi="Arial"/>
                <w:sz w:val="22"/>
                <w:szCs w:val="22"/>
                <w:color w:val="0000FF"/>
                <w:w w:val="91"/>
              </w:rPr>
              <w:t xml:space="preserve"> L/C Commitment</w:t>
            </w:r>
          </w:p>
        </w:tc>
        <w:tc>
          <w:tcPr>
            <w:tcW w:w="100" w:type="dxa"/>
            <w:vAlign w:val="bottom"/>
            <w:tcBorders>
              <w:top w:val="single" w:sz="8" w:color="0000FF"/>
            </w:tcBorders>
            <w:gridSpan w:val="3"/>
          </w:tcPr>
          <w:p>
            <w:pPr>
              <w:spacing w:after="0"/>
              <w:rPr>
                <w:sz w:val="20"/>
                <w:szCs w:val="20"/>
                <w:color w:val="auto"/>
              </w:rPr>
            </w:pPr>
          </w:p>
        </w:tc>
        <w:tc>
          <w:tcPr>
            <w:tcW w:w="380" w:type="dxa"/>
            <w:vAlign w:val="bottom"/>
            <w:tcBorders>
              <w:top w:val="single" w:sz="8" w:color="0000FF"/>
            </w:tcBorders>
            <w:gridSpan w:val="2"/>
          </w:tcPr>
          <w:p>
            <w:pPr>
              <w:jc w:val="right"/>
              <w:ind w:right="60"/>
              <w:spacing w:after="0" w:line="237" w:lineRule="exact"/>
              <w:rPr>
                <w:sz w:val="20"/>
                <w:szCs w:val="20"/>
                <w:color w:val="auto"/>
              </w:rPr>
            </w:pPr>
            <w:r>
              <w:rPr>
                <w:rFonts w:ascii="Arial" w:cs="Arial" w:eastAsia="Arial" w:hAnsi="Arial"/>
                <w:sz w:val="22"/>
                <w:szCs w:val="22"/>
                <w:color w:val="auto"/>
              </w:rPr>
              <w:t>85</w:t>
            </w:r>
          </w:p>
        </w:tc>
        <w:tc>
          <w:tcPr>
            <w:tcW w:w="1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3.</w:t>
            </w:r>
            <w:r>
              <w:rPr>
                <w:rFonts w:ascii="Arial" w:cs="Arial" w:eastAsia="Arial" w:hAnsi="Arial"/>
                <w:sz w:val="22"/>
                <w:szCs w:val="22"/>
                <w:u w:val="single" w:color="auto"/>
                <w:color w:val="0000FF"/>
                <w:w w:val="91"/>
              </w:rPr>
              <w:t>2</w:t>
            </w:r>
          </w:p>
        </w:tc>
        <w:tc>
          <w:tcPr>
            <w:tcW w:w="3760" w:type="dxa"/>
            <w:vAlign w:val="bottom"/>
            <w:gridSpan w:val="31"/>
          </w:tcPr>
          <w:p>
            <w:pPr>
              <w:ind w:left="20"/>
              <w:spacing w:after="0" w:line="237" w:lineRule="exact"/>
              <w:rPr>
                <w:sz w:val="20"/>
                <w:szCs w:val="20"/>
                <w:color w:val="auto"/>
              </w:rPr>
            </w:pPr>
            <w:r>
              <w:rPr>
                <w:rFonts w:ascii="Arial" w:cs="Arial" w:eastAsia="Arial" w:hAnsi="Arial"/>
                <w:sz w:val="22"/>
                <w:szCs w:val="22"/>
                <w:color w:val="0000FF"/>
                <w:w w:val="92"/>
              </w:rPr>
              <w:t>Procedure for Issuance of Letter of Credit</w:t>
            </w:r>
          </w:p>
        </w:tc>
        <w:tc>
          <w:tcPr>
            <w:tcW w:w="720" w:type="dxa"/>
            <w:vAlign w:val="bottom"/>
          </w:tcPr>
          <w:p>
            <w:pPr>
              <w:jc w:val="right"/>
              <w:ind w:right="312"/>
              <w:spacing w:after="0" w:line="237" w:lineRule="exact"/>
              <w:rPr>
                <w:sz w:val="20"/>
                <w:szCs w:val="20"/>
                <w:color w:val="auto"/>
              </w:rPr>
            </w:pPr>
            <w:r>
              <w:rPr>
                <w:rFonts w:ascii="Arial" w:cs="Arial" w:eastAsia="Arial" w:hAnsi="Arial"/>
                <w:sz w:val="22"/>
                <w:szCs w:val="22"/>
                <w:color w:val="auto"/>
              </w:rPr>
              <w:t>86</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14"/>
            <w:shd w:val="clear" w:color="auto" w:fill="0000FF"/>
          </w:tcPr>
          <w:p>
            <w:pPr>
              <w:spacing w:after="0" w:line="20" w:lineRule="exact"/>
              <w:rPr>
                <w:sz w:val="1"/>
                <w:szCs w:val="1"/>
                <w:color w:val="auto"/>
              </w:rPr>
            </w:pPr>
          </w:p>
        </w:tc>
        <w:tc>
          <w:tcPr>
            <w:tcW w:w="540" w:type="dxa"/>
            <w:vAlign w:val="bottom"/>
            <w:tcBorders>
              <w:left w:val="single" w:sz="8" w:color="0000FF"/>
            </w:tcBorders>
            <w:gridSpan w:val="7"/>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3.</w:t>
            </w:r>
            <w:r>
              <w:rPr>
                <w:rFonts w:ascii="Arial" w:cs="Arial" w:eastAsia="Arial" w:hAnsi="Arial"/>
                <w:sz w:val="22"/>
                <w:szCs w:val="22"/>
                <w:u w:val="single" w:color="auto"/>
                <w:color w:val="0000FF"/>
                <w:w w:val="91"/>
              </w:rPr>
              <w:t>3</w:t>
            </w:r>
          </w:p>
        </w:tc>
        <w:tc>
          <w:tcPr>
            <w:tcW w:w="2040" w:type="dxa"/>
            <w:vAlign w:val="bottom"/>
            <w:gridSpan w:val="14"/>
          </w:tcPr>
          <w:p>
            <w:pPr>
              <w:ind w:left="20"/>
              <w:spacing w:after="0" w:line="237" w:lineRule="exact"/>
              <w:rPr>
                <w:sz w:val="20"/>
                <w:szCs w:val="20"/>
                <w:color w:val="auto"/>
              </w:rPr>
            </w:pPr>
            <w:r>
              <w:rPr>
                <w:rFonts w:ascii="Arial" w:cs="Arial" w:eastAsia="Arial" w:hAnsi="Arial"/>
                <w:sz w:val="22"/>
                <w:szCs w:val="22"/>
                <w:color w:val="0000FF"/>
                <w:w w:val="81"/>
              </w:rPr>
              <w:t>Fees and Other Charges</w:t>
            </w:r>
          </w:p>
        </w:tc>
        <w:tc>
          <w:tcPr>
            <w:tcW w:w="540" w:type="dxa"/>
            <w:vAlign w:val="bottom"/>
            <w:gridSpan w:val="7"/>
          </w:tcPr>
          <w:p>
            <w:pPr>
              <w:jc w:val="right"/>
              <w:spacing w:after="0" w:line="237" w:lineRule="exact"/>
              <w:rPr>
                <w:sz w:val="20"/>
                <w:szCs w:val="20"/>
                <w:color w:val="auto"/>
              </w:rPr>
            </w:pPr>
            <w:r>
              <w:rPr>
                <w:rFonts w:ascii="Arial" w:cs="Arial" w:eastAsia="Arial" w:hAnsi="Arial"/>
                <w:sz w:val="22"/>
                <w:szCs w:val="22"/>
                <w:color w:val="auto"/>
              </w:rPr>
              <w:t>86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300"/>
          </w:cols>
          <w:pgMar w:left="320" w:top="1428" w:right="127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53"/>
        </w:trPr>
        <w:tc>
          <w:tcPr>
            <w:tcW w:w="960" w:type="dxa"/>
            <w:vAlign w:val="bottom"/>
            <w:gridSpan w:val="2"/>
          </w:tcPr>
          <w:p>
            <w:pPr>
              <w:ind w:left="660"/>
              <w:spacing w:after="0"/>
              <w:rPr>
                <w:sz w:val="20"/>
                <w:szCs w:val="20"/>
                <w:color w:val="auto"/>
              </w:rPr>
            </w:pPr>
            <w:r>
              <w:rPr>
                <w:rFonts w:ascii="Arial" w:cs="Arial" w:eastAsia="Arial" w:hAnsi="Arial"/>
                <w:sz w:val="22"/>
                <w:szCs w:val="22"/>
                <w:color w:val="0000FF"/>
                <w:w w:val="91"/>
              </w:rPr>
              <w:t>3.</w:t>
            </w:r>
            <w:r>
              <w:rPr>
                <w:rFonts w:ascii="Arial" w:cs="Arial" w:eastAsia="Arial" w:hAnsi="Arial"/>
                <w:sz w:val="22"/>
                <w:szCs w:val="22"/>
                <w:u w:val="single" w:color="auto"/>
                <w:color w:val="0000FF"/>
                <w:w w:val="91"/>
              </w:rPr>
              <w:t>4</w:t>
            </w:r>
          </w:p>
        </w:tc>
        <w:tc>
          <w:tcPr>
            <w:tcW w:w="1780" w:type="dxa"/>
            <w:vAlign w:val="bottom"/>
            <w:gridSpan w:val="10"/>
          </w:tcPr>
          <w:p>
            <w:pPr>
              <w:ind w:left="20"/>
              <w:spacing w:after="0"/>
              <w:rPr>
                <w:sz w:val="20"/>
                <w:szCs w:val="20"/>
                <w:color w:val="auto"/>
              </w:rPr>
            </w:pPr>
            <w:r>
              <w:rPr>
                <w:rFonts w:ascii="Arial" w:cs="Arial" w:eastAsia="Arial" w:hAnsi="Arial"/>
                <w:sz w:val="22"/>
                <w:szCs w:val="22"/>
                <w:color w:val="0000FF"/>
                <w:w w:val="99"/>
              </w:rPr>
              <w:t>L/C Participations</w:t>
            </w:r>
          </w:p>
        </w:tc>
        <w:tc>
          <w:tcPr>
            <w:tcW w:w="340" w:type="dxa"/>
            <w:vAlign w:val="bottom"/>
            <w:gridSpan w:val="5"/>
          </w:tcPr>
          <w:p>
            <w:pPr>
              <w:jc w:val="right"/>
              <w:spacing w:after="0"/>
              <w:rPr>
                <w:sz w:val="20"/>
                <w:szCs w:val="20"/>
                <w:color w:val="auto"/>
              </w:rPr>
            </w:pPr>
            <w:r>
              <w:rPr>
                <w:rFonts w:ascii="Arial" w:cs="Arial" w:eastAsia="Arial" w:hAnsi="Arial"/>
                <w:sz w:val="22"/>
                <w:szCs w:val="22"/>
                <w:color w:val="auto"/>
                <w:w w:val="89"/>
              </w:rPr>
              <w:t>87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3.</w:t>
            </w:r>
            <w:r>
              <w:rPr>
                <w:rFonts w:ascii="Arial" w:cs="Arial" w:eastAsia="Arial" w:hAnsi="Arial"/>
                <w:sz w:val="22"/>
                <w:szCs w:val="22"/>
                <w:u w:val="single" w:color="auto"/>
                <w:color w:val="0000FF"/>
                <w:w w:val="91"/>
              </w:rPr>
              <w:t>5</w:t>
            </w:r>
          </w:p>
        </w:tc>
        <w:tc>
          <w:tcPr>
            <w:tcW w:w="3820" w:type="dxa"/>
            <w:vAlign w:val="bottom"/>
            <w:gridSpan w:val="22"/>
          </w:tcPr>
          <w:p>
            <w:pPr>
              <w:ind w:left="20"/>
              <w:spacing w:after="0" w:line="237" w:lineRule="exact"/>
              <w:rPr>
                <w:sz w:val="20"/>
                <w:szCs w:val="20"/>
                <w:color w:val="auto"/>
              </w:rPr>
            </w:pPr>
            <w:r>
              <w:rPr>
                <w:rFonts w:ascii="Arial" w:cs="Arial" w:eastAsia="Arial" w:hAnsi="Arial"/>
                <w:sz w:val="22"/>
                <w:szCs w:val="22"/>
                <w:color w:val="0000FF"/>
                <w:w w:val="90"/>
              </w:rPr>
              <w:t>Reimbursement Obligation of the Borrower</w:t>
            </w:r>
          </w:p>
        </w:tc>
        <w:tc>
          <w:tcPr>
            <w:tcW w:w="420" w:type="dxa"/>
            <w:vAlign w:val="bottom"/>
            <w:gridSpan w:val="3"/>
          </w:tcPr>
          <w:p>
            <w:pPr>
              <w:jc w:val="right"/>
              <w:spacing w:after="0" w:line="237" w:lineRule="exact"/>
              <w:rPr>
                <w:sz w:val="20"/>
                <w:szCs w:val="20"/>
                <w:color w:val="auto"/>
              </w:rPr>
            </w:pPr>
            <w:r>
              <w:rPr>
                <w:rFonts w:ascii="Arial" w:cs="Arial" w:eastAsia="Arial" w:hAnsi="Arial"/>
                <w:sz w:val="22"/>
                <w:szCs w:val="22"/>
                <w:color w:val="auto"/>
              </w:rPr>
              <w:t>88</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3.</w:t>
            </w:r>
            <w:r>
              <w:rPr>
                <w:rFonts w:ascii="Arial" w:cs="Arial" w:eastAsia="Arial" w:hAnsi="Arial"/>
                <w:sz w:val="22"/>
                <w:szCs w:val="22"/>
                <w:u w:val="single" w:color="auto"/>
                <w:color w:val="0000FF"/>
                <w:w w:val="91"/>
              </w:rPr>
              <w:t>6</w:t>
            </w:r>
          </w:p>
        </w:tc>
        <w:tc>
          <w:tcPr>
            <w:tcW w:w="2000" w:type="dxa"/>
            <w:vAlign w:val="bottom"/>
            <w:gridSpan w:val="14"/>
          </w:tcPr>
          <w:p>
            <w:pPr>
              <w:ind w:left="20"/>
              <w:spacing w:after="0" w:line="237" w:lineRule="exact"/>
              <w:rPr>
                <w:sz w:val="20"/>
                <w:szCs w:val="20"/>
                <w:color w:val="auto"/>
              </w:rPr>
            </w:pPr>
            <w:r>
              <w:rPr>
                <w:rFonts w:ascii="Arial" w:cs="Arial" w:eastAsia="Arial" w:hAnsi="Arial"/>
                <w:sz w:val="22"/>
                <w:szCs w:val="22"/>
                <w:color w:val="0000FF"/>
                <w:w w:val="97"/>
              </w:rPr>
              <w:t>Obligations Absolute</w:t>
            </w:r>
          </w:p>
        </w:tc>
        <w:tc>
          <w:tcPr>
            <w:tcW w:w="460" w:type="dxa"/>
            <w:vAlign w:val="bottom"/>
            <w:gridSpan w:val="3"/>
          </w:tcPr>
          <w:p>
            <w:pPr>
              <w:jc w:val="right"/>
              <w:ind w:right="160"/>
              <w:spacing w:after="0" w:line="237" w:lineRule="exact"/>
              <w:rPr>
                <w:sz w:val="20"/>
                <w:szCs w:val="20"/>
                <w:color w:val="auto"/>
              </w:rPr>
            </w:pPr>
            <w:r>
              <w:rPr>
                <w:rFonts w:ascii="Arial" w:cs="Arial" w:eastAsia="Arial" w:hAnsi="Arial"/>
                <w:sz w:val="22"/>
                <w:szCs w:val="22"/>
                <w:color w:val="auto"/>
              </w:rPr>
              <w:t>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3.</w:t>
            </w:r>
            <w:r>
              <w:rPr>
                <w:rFonts w:ascii="Arial" w:cs="Arial" w:eastAsia="Arial" w:hAnsi="Arial"/>
                <w:sz w:val="22"/>
                <w:szCs w:val="22"/>
                <w:u w:val="single" w:color="auto"/>
                <w:color w:val="0000FF"/>
                <w:w w:val="91"/>
              </w:rPr>
              <w:t>7</w:t>
            </w:r>
          </w:p>
        </w:tc>
        <w:tc>
          <w:tcPr>
            <w:tcW w:w="2460" w:type="dxa"/>
            <w:vAlign w:val="bottom"/>
            <w:gridSpan w:val="17"/>
          </w:tcPr>
          <w:p>
            <w:pPr>
              <w:ind w:left="20"/>
              <w:spacing w:after="0" w:line="237" w:lineRule="exact"/>
              <w:rPr>
                <w:sz w:val="20"/>
                <w:szCs w:val="20"/>
                <w:color w:val="auto"/>
              </w:rPr>
            </w:pPr>
            <w:r>
              <w:rPr>
                <w:rFonts w:ascii="Arial" w:cs="Arial" w:eastAsia="Arial" w:hAnsi="Arial"/>
                <w:sz w:val="22"/>
                <w:szCs w:val="22"/>
                <w:color w:val="0000FF"/>
                <w:w w:val="96"/>
              </w:rPr>
              <w:t>Letter of Credit Payments</w:t>
            </w:r>
          </w:p>
        </w:tc>
        <w:tc>
          <w:tcPr>
            <w:tcW w:w="280" w:type="dxa"/>
            <w:vAlign w:val="bottom"/>
            <w:gridSpan w:val="3"/>
          </w:tcPr>
          <w:p>
            <w:pPr>
              <w:jc w:val="right"/>
              <w:ind w:right="60"/>
              <w:spacing w:after="0" w:line="237" w:lineRule="exact"/>
              <w:rPr>
                <w:sz w:val="20"/>
                <w:szCs w:val="20"/>
                <w:color w:val="auto"/>
              </w:rPr>
            </w:pPr>
            <w:r>
              <w:rPr>
                <w:rFonts w:ascii="Arial" w:cs="Arial" w:eastAsia="Arial" w:hAnsi="Arial"/>
                <w:sz w:val="22"/>
                <w:szCs w:val="22"/>
                <w:color w:val="auto"/>
                <w:w w:val="81"/>
              </w:rPr>
              <w:t>89</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3.</w:t>
            </w:r>
            <w:r>
              <w:rPr>
                <w:rFonts w:ascii="Arial" w:cs="Arial" w:eastAsia="Arial" w:hAnsi="Arial"/>
                <w:sz w:val="22"/>
                <w:szCs w:val="22"/>
                <w:u w:val="single" w:color="auto"/>
                <w:color w:val="0000FF"/>
                <w:w w:val="91"/>
              </w:rPr>
              <w:t>8</w:t>
            </w:r>
          </w:p>
        </w:tc>
        <w:tc>
          <w:tcPr>
            <w:tcW w:w="1180" w:type="dxa"/>
            <w:vAlign w:val="bottom"/>
            <w:gridSpan w:val="7"/>
          </w:tcPr>
          <w:p>
            <w:pPr>
              <w:ind w:left="20"/>
              <w:spacing w:after="0" w:line="237" w:lineRule="exact"/>
              <w:rPr>
                <w:sz w:val="20"/>
                <w:szCs w:val="20"/>
                <w:color w:val="auto"/>
              </w:rPr>
            </w:pPr>
            <w:r>
              <w:rPr>
                <w:rFonts w:ascii="Arial" w:cs="Arial" w:eastAsia="Arial" w:hAnsi="Arial"/>
                <w:sz w:val="22"/>
                <w:szCs w:val="22"/>
                <w:color w:val="0000FF"/>
                <w:w w:val="94"/>
              </w:rPr>
              <w:t>Applications</w:t>
            </w:r>
          </w:p>
        </w:tc>
        <w:tc>
          <w:tcPr>
            <w:tcW w:w="360" w:type="dxa"/>
            <w:vAlign w:val="bottom"/>
            <w:gridSpan w:val="2"/>
          </w:tcPr>
          <w:p>
            <w:pPr>
              <w:jc w:val="right"/>
              <w:spacing w:after="0" w:line="237" w:lineRule="exact"/>
              <w:rPr>
                <w:sz w:val="20"/>
                <w:szCs w:val="20"/>
                <w:color w:val="auto"/>
              </w:rPr>
            </w:pPr>
            <w:r>
              <w:rPr>
                <w:rFonts w:ascii="Arial" w:cs="Arial" w:eastAsia="Arial" w:hAnsi="Arial"/>
                <w:sz w:val="22"/>
                <w:szCs w:val="22"/>
                <w:color w:val="auto"/>
              </w:rPr>
              <w:t>89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53"/>
        </w:trPr>
        <w:tc>
          <w:tcPr>
            <w:tcW w:w="5200" w:type="dxa"/>
            <w:vAlign w:val="bottom"/>
            <w:gridSpan w:val="27"/>
          </w:tcPr>
          <w:p>
            <w:pPr>
              <w:spacing w:after="0"/>
              <w:rPr>
                <w:sz w:val="20"/>
                <w:szCs w:val="20"/>
                <w:color w:val="auto"/>
              </w:rPr>
            </w:pPr>
            <w:r>
              <w:rPr>
                <w:rFonts w:ascii="Arial" w:cs="Arial" w:eastAsia="Arial" w:hAnsi="Arial"/>
                <w:sz w:val="22"/>
                <w:szCs w:val="22"/>
                <w:color w:val="0000FF"/>
                <w:w w:val="94"/>
              </w:rPr>
              <w:t>SECTION 4. REPRESENTATIONS AND WARRANTIES</w:t>
            </w:r>
          </w:p>
        </w:tc>
        <w:tc>
          <w:tcPr>
            <w:tcW w:w="1580" w:type="dxa"/>
            <w:vAlign w:val="bottom"/>
          </w:tcPr>
          <w:p>
            <w:pPr>
              <w:jc w:val="right"/>
              <w:ind w:right="1112"/>
              <w:spacing w:after="0"/>
              <w:rPr>
                <w:sz w:val="20"/>
                <w:szCs w:val="20"/>
                <w:color w:val="auto"/>
              </w:rPr>
            </w:pPr>
            <w:r>
              <w:rPr>
                <w:rFonts w:ascii="Arial" w:cs="Arial" w:eastAsia="Arial" w:hAnsi="Arial"/>
                <w:sz w:val="22"/>
                <w:szCs w:val="22"/>
                <w:color w:val="auto"/>
              </w:rPr>
              <w:t>89</w:t>
            </w:r>
          </w:p>
        </w:tc>
        <w:tc>
          <w:tcPr>
            <w:tcW w:w="420" w:type="dxa"/>
            <w:vAlign w:val="bottom"/>
          </w:tcPr>
          <w:p>
            <w:pPr>
              <w:spacing w:after="0"/>
              <w:rPr>
                <w:sz w:val="24"/>
                <w:szCs w:val="24"/>
                <w:color w:val="auto"/>
              </w:rPr>
            </w:pPr>
          </w:p>
        </w:tc>
      </w:tr>
      <w:tr>
        <w:trPr>
          <w:trHeight w:val="237"/>
        </w:trPr>
        <w:tc>
          <w:tcPr>
            <w:tcW w:w="960" w:type="dxa"/>
            <w:vAlign w:val="bottom"/>
            <w:tcBorders>
              <w:top w:val="single" w:sz="8" w:color="0000FF"/>
            </w:tcBorders>
            <w:gridSpan w:val="2"/>
          </w:tcPr>
          <w:p>
            <w:pPr>
              <w:ind w:left="660"/>
              <w:spacing w:after="0" w:line="237" w:lineRule="exact"/>
              <w:rPr>
                <w:sz w:val="20"/>
                <w:szCs w:val="20"/>
                <w:color w:val="auto"/>
              </w:rPr>
            </w:pPr>
            <w:r>
              <w:rPr>
                <w:rFonts w:ascii="Arial" w:cs="Arial" w:eastAsia="Arial" w:hAnsi="Arial"/>
                <w:sz w:val="22"/>
                <w:szCs w:val="22"/>
                <w:color w:val="0000FF"/>
                <w:w w:val="91"/>
              </w:rPr>
              <w:t>4.</w:t>
            </w:r>
            <w:r>
              <w:rPr>
                <w:rFonts w:ascii="Arial" w:cs="Arial" w:eastAsia="Arial" w:hAnsi="Arial"/>
                <w:sz w:val="22"/>
                <w:szCs w:val="22"/>
                <w:u w:val="single" w:color="auto"/>
                <w:color w:val="0000FF"/>
                <w:w w:val="91"/>
              </w:rPr>
              <w:t>1</w:t>
            </w:r>
          </w:p>
        </w:tc>
        <w:tc>
          <w:tcPr>
            <w:tcW w:w="1780" w:type="dxa"/>
            <w:vAlign w:val="bottom"/>
            <w:tcBorders>
              <w:top w:val="single" w:sz="8" w:color="0000FF"/>
            </w:tcBorders>
            <w:gridSpan w:val="10"/>
          </w:tcPr>
          <w:p>
            <w:pPr>
              <w:ind w:left="20"/>
              <w:spacing w:after="0" w:line="237" w:lineRule="exact"/>
              <w:rPr>
                <w:sz w:val="20"/>
                <w:szCs w:val="20"/>
                <w:color w:val="auto"/>
              </w:rPr>
            </w:pPr>
            <w:r>
              <w:rPr>
                <w:rFonts w:ascii="Arial" w:cs="Arial" w:eastAsia="Arial" w:hAnsi="Arial"/>
                <w:sz w:val="22"/>
                <w:szCs w:val="22"/>
                <w:color w:val="0000FF"/>
                <w:w w:val="91"/>
              </w:rPr>
              <w:t>Financial Condition</w:t>
            </w:r>
          </w:p>
        </w:tc>
        <w:tc>
          <w:tcPr>
            <w:tcW w:w="480" w:type="dxa"/>
            <w:vAlign w:val="bottom"/>
            <w:tcBorders>
              <w:top w:val="single" w:sz="8" w:color="0000FF"/>
            </w:tcBorders>
            <w:gridSpan w:val="6"/>
          </w:tcPr>
          <w:p>
            <w:pPr>
              <w:jc w:val="right"/>
              <w:ind w:right="80"/>
              <w:spacing w:after="0" w:line="237" w:lineRule="exact"/>
              <w:rPr>
                <w:sz w:val="20"/>
                <w:szCs w:val="20"/>
                <w:color w:val="auto"/>
              </w:rPr>
            </w:pPr>
            <w:r>
              <w:rPr>
                <w:rFonts w:ascii="Arial" w:cs="Arial" w:eastAsia="Arial" w:hAnsi="Arial"/>
                <w:sz w:val="22"/>
                <w:szCs w:val="22"/>
                <w:color w:val="auto"/>
              </w:rPr>
              <w:t>89</w:t>
            </w:r>
          </w:p>
        </w:tc>
        <w:tc>
          <w:tcPr>
            <w:tcW w:w="2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300" w:type="dxa"/>
            <w:vAlign w:val="bottom"/>
            <w:tcBorders>
              <w:top w:val="single" w:sz="8" w:color="0000FF"/>
              <w:bottom w:val="single" w:sz="8" w:color="0000FF"/>
            </w:tcBorders>
            <w:gridSpan w:val="6"/>
          </w:tcPr>
          <w:p>
            <w:pPr>
              <w:spacing w:after="0" w:line="237" w:lineRule="exact"/>
              <w:rPr>
                <w:sz w:val="20"/>
                <w:szCs w:val="20"/>
                <w:color w:val="auto"/>
              </w:rPr>
            </w:pPr>
            <w:r>
              <w:rPr>
                <w:rFonts w:ascii="Arial" w:cs="Arial" w:eastAsia="Arial" w:hAnsi="Arial"/>
                <w:sz w:val="22"/>
                <w:szCs w:val="22"/>
                <w:color w:val="0000FF"/>
                <w:w w:val="86"/>
              </w:rPr>
              <w:t>4.</w:t>
            </w:r>
            <w:r>
              <w:rPr>
                <w:rFonts w:ascii="Arial" w:cs="Arial" w:eastAsia="Arial" w:hAnsi="Arial"/>
                <w:sz w:val="22"/>
                <w:szCs w:val="22"/>
                <w:u w:val="single" w:color="auto"/>
                <w:color w:val="0000FF"/>
                <w:w w:val="86"/>
              </w:rPr>
              <w:t>2</w:t>
            </w:r>
            <w:r>
              <w:rPr>
                <w:rFonts w:ascii="Arial" w:cs="Arial" w:eastAsia="Arial" w:hAnsi="Arial"/>
                <w:sz w:val="22"/>
                <w:szCs w:val="22"/>
                <w:color w:val="0000FF"/>
                <w:w w:val="86"/>
              </w:rPr>
              <w:t xml:space="preserve"> No Change</w:t>
            </w:r>
          </w:p>
        </w:tc>
        <w:tc>
          <w:tcPr>
            <w:tcW w:w="180" w:type="dxa"/>
            <w:vAlign w:val="bottom"/>
            <w:tcBorders>
              <w:top w:val="single" w:sz="8" w:color="0000FF"/>
            </w:tcBorders>
            <w:gridSpan w:val="2"/>
          </w:tcPr>
          <w:p>
            <w:pPr>
              <w:spacing w:after="0"/>
              <w:rPr>
                <w:sz w:val="20"/>
                <w:szCs w:val="20"/>
                <w:color w:val="auto"/>
              </w:rPr>
            </w:pPr>
          </w:p>
        </w:tc>
        <w:tc>
          <w:tcPr>
            <w:tcW w:w="360" w:type="dxa"/>
            <w:vAlign w:val="bottom"/>
            <w:tcBorders>
              <w:top w:val="single" w:sz="8" w:color="0000FF"/>
            </w:tcBorders>
            <w:gridSpan w:val="2"/>
          </w:tcPr>
          <w:p>
            <w:pPr>
              <w:jc w:val="right"/>
              <w:ind w:right="120"/>
              <w:spacing w:after="0" w:line="237" w:lineRule="exact"/>
              <w:rPr>
                <w:sz w:val="20"/>
                <w:szCs w:val="20"/>
                <w:color w:val="auto"/>
              </w:rPr>
            </w:pPr>
            <w:r>
              <w:rPr>
                <w:rFonts w:ascii="Arial" w:cs="Arial" w:eastAsia="Arial" w:hAnsi="Arial"/>
                <w:sz w:val="22"/>
                <w:szCs w:val="22"/>
                <w:color w:val="auto"/>
                <w:w w:val="89"/>
              </w:rPr>
              <w:t>90</w:t>
            </w:r>
          </w:p>
        </w:tc>
        <w:tc>
          <w:tcPr>
            <w:tcW w:w="2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6"/>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4.</w:t>
            </w:r>
            <w:r>
              <w:rPr>
                <w:rFonts w:ascii="Arial" w:cs="Arial" w:eastAsia="Arial" w:hAnsi="Arial"/>
                <w:sz w:val="22"/>
                <w:szCs w:val="22"/>
                <w:u w:val="single" w:color="auto"/>
                <w:color w:val="0000FF"/>
                <w:w w:val="91"/>
              </w:rPr>
              <w:t>3</w:t>
            </w:r>
          </w:p>
        </w:tc>
        <w:tc>
          <w:tcPr>
            <w:tcW w:w="3820" w:type="dxa"/>
            <w:vAlign w:val="bottom"/>
            <w:gridSpan w:val="22"/>
          </w:tcPr>
          <w:p>
            <w:pPr>
              <w:ind w:left="20"/>
              <w:spacing w:after="0" w:line="237" w:lineRule="exact"/>
              <w:rPr>
                <w:sz w:val="20"/>
                <w:szCs w:val="20"/>
                <w:color w:val="auto"/>
              </w:rPr>
            </w:pPr>
            <w:r>
              <w:rPr>
                <w:rFonts w:ascii="Arial" w:cs="Arial" w:eastAsia="Arial" w:hAnsi="Arial"/>
                <w:sz w:val="22"/>
                <w:szCs w:val="22"/>
                <w:color w:val="0000FF"/>
                <w:w w:val="90"/>
              </w:rPr>
              <w:t>Corporate Existence; Compliance with Law</w:t>
            </w:r>
          </w:p>
        </w:tc>
        <w:tc>
          <w:tcPr>
            <w:tcW w:w="420" w:type="dxa"/>
            <w:vAlign w:val="bottom"/>
            <w:gridSpan w:val="3"/>
          </w:tcPr>
          <w:p>
            <w:pPr>
              <w:jc w:val="right"/>
              <w:spacing w:after="0" w:line="237" w:lineRule="exact"/>
              <w:rPr>
                <w:sz w:val="20"/>
                <w:szCs w:val="20"/>
                <w:color w:val="auto"/>
              </w:rPr>
            </w:pPr>
            <w:r>
              <w:rPr>
                <w:rFonts w:ascii="Arial" w:cs="Arial" w:eastAsia="Arial" w:hAnsi="Arial"/>
                <w:sz w:val="22"/>
                <w:szCs w:val="22"/>
                <w:color w:val="auto"/>
              </w:rPr>
              <w:t>90</w:t>
            </w: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4.</w:t>
            </w:r>
            <w:r>
              <w:rPr>
                <w:rFonts w:ascii="Arial" w:cs="Arial" w:eastAsia="Arial" w:hAnsi="Arial"/>
                <w:sz w:val="22"/>
                <w:szCs w:val="22"/>
                <w:u w:val="single" w:color="auto"/>
                <w:color w:val="0000FF"/>
                <w:w w:val="91"/>
              </w:rPr>
              <w:t>4</w:t>
            </w:r>
          </w:p>
        </w:tc>
        <w:tc>
          <w:tcPr>
            <w:tcW w:w="4240" w:type="dxa"/>
            <w:vAlign w:val="bottom"/>
            <w:gridSpan w:val="25"/>
          </w:tcPr>
          <w:p>
            <w:pPr>
              <w:ind w:left="20"/>
              <w:spacing w:after="0" w:line="237" w:lineRule="exact"/>
              <w:rPr>
                <w:sz w:val="20"/>
                <w:szCs w:val="20"/>
                <w:color w:val="auto"/>
              </w:rPr>
            </w:pPr>
            <w:r>
              <w:rPr>
                <w:rFonts w:ascii="Arial" w:cs="Arial" w:eastAsia="Arial" w:hAnsi="Arial"/>
                <w:sz w:val="22"/>
                <w:szCs w:val="22"/>
                <w:color w:val="0000FF"/>
                <w:w w:val="93"/>
              </w:rPr>
              <w:t>Power; Authorization; Enforceable Obligations</w:t>
            </w:r>
          </w:p>
        </w:tc>
        <w:tc>
          <w:tcPr>
            <w:tcW w:w="1580" w:type="dxa"/>
            <w:vAlign w:val="bottom"/>
          </w:tcPr>
          <w:p>
            <w:pPr>
              <w:jc w:val="right"/>
              <w:ind w:right="1172"/>
              <w:spacing w:after="0" w:line="237" w:lineRule="exact"/>
              <w:rPr>
                <w:sz w:val="20"/>
                <w:szCs w:val="20"/>
                <w:color w:val="auto"/>
              </w:rPr>
            </w:pPr>
            <w:r>
              <w:rPr>
                <w:rFonts w:ascii="Arial" w:cs="Arial" w:eastAsia="Arial" w:hAnsi="Arial"/>
                <w:sz w:val="22"/>
                <w:szCs w:val="22"/>
                <w:color w:val="auto"/>
              </w:rPr>
              <w:t>90</w:t>
            </w: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4.</w:t>
            </w:r>
            <w:r>
              <w:rPr>
                <w:rFonts w:ascii="Arial" w:cs="Arial" w:eastAsia="Arial" w:hAnsi="Arial"/>
                <w:sz w:val="22"/>
                <w:szCs w:val="22"/>
                <w:u w:val="single" w:color="auto"/>
                <w:color w:val="0000FF"/>
                <w:w w:val="91"/>
              </w:rPr>
              <w:t>5</w:t>
            </w:r>
          </w:p>
        </w:tc>
        <w:tc>
          <w:tcPr>
            <w:tcW w:w="1180" w:type="dxa"/>
            <w:vAlign w:val="bottom"/>
            <w:gridSpan w:val="7"/>
          </w:tcPr>
          <w:p>
            <w:pPr>
              <w:ind w:left="20"/>
              <w:spacing w:after="0" w:line="237" w:lineRule="exact"/>
              <w:rPr>
                <w:sz w:val="20"/>
                <w:szCs w:val="20"/>
                <w:color w:val="auto"/>
              </w:rPr>
            </w:pPr>
            <w:r>
              <w:rPr>
                <w:rFonts w:ascii="Arial" w:cs="Arial" w:eastAsia="Arial" w:hAnsi="Arial"/>
                <w:sz w:val="22"/>
                <w:szCs w:val="22"/>
                <w:color w:val="0000FF"/>
                <w:w w:val="87"/>
              </w:rPr>
              <w:t>No Legal Bar</w:t>
            </w:r>
          </w:p>
        </w:tc>
        <w:tc>
          <w:tcPr>
            <w:tcW w:w="600" w:type="dxa"/>
            <w:vAlign w:val="bottom"/>
            <w:gridSpan w:val="3"/>
          </w:tcPr>
          <w:p>
            <w:pPr>
              <w:jc w:val="right"/>
              <w:ind w:right="160"/>
              <w:spacing w:after="0" w:line="237" w:lineRule="exact"/>
              <w:rPr>
                <w:sz w:val="20"/>
                <w:szCs w:val="20"/>
                <w:color w:val="auto"/>
              </w:rPr>
            </w:pPr>
            <w:r>
              <w:rPr>
                <w:rFonts w:ascii="Arial" w:cs="Arial" w:eastAsia="Arial" w:hAnsi="Arial"/>
                <w:sz w:val="22"/>
                <w:szCs w:val="22"/>
                <w:color w:val="auto"/>
              </w:rPr>
              <w:t>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4.</w:t>
            </w:r>
            <w:r>
              <w:rPr>
                <w:rFonts w:ascii="Arial" w:cs="Arial" w:eastAsia="Arial" w:hAnsi="Arial"/>
                <w:sz w:val="22"/>
                <w:szCs w:val="22"/>
                <w:u w:val="single" w:color="auto"/>
                <w:color w:val="0000FF"/>
                <w:w w:val="91"/>
              </w:rPr>
              <w:t>6</w:t>
            </w:r>
          </w:p>
        </w:tc>
        <w:tc>
          <w:tcPr>
            <w:tcW w:w="2000" w:type="dxa"/>
            <w:vAlign w:val="bottom"/>
            <w:gridSpan w:val="14"/>
          </w:tcPr>
          <w:p>
            <w:pPr>
              <w:ind w:left="20"/>
              <w:spacing w:after="0" w:line="237" w:lineRule="exact"/>
              <w:rPr>
                <w:sz w:val="20"/>
                <w:szCs w:val="20"/>
                <w:color w:val="auto"/>
              </w:rPr>
            </w:pPr>
            <w:r>
              <w:rPr>
                <w:rFonts w:ascii="Arial" w:cs="Arial" w:eastAsia="Arial" w:hAnsi="Arial"/>
                <w:sz w:val="22"/>
                <w:szCs w:val="22"/>
                <w:color w:val="0000FF"/>
                <w:w w:val="94"/>
              </w:rPr>
              <w:t>No Material Litigation</w:t>
            </w:r>
          </w:p>
        </w:tc>
        <w:tc>
          <w:tcPr>
            <w:tcW w:w="460" w:type="dxa"/>
            <w:vAlign w:val="bottom"/>
            <w:gridSpan w:val="3"/>
          </w:tcPr>
          <w:p>
            <w:pPr>
              <w:jc w:val="right"/>
              <w:ind w:right="60"/>
              <w:spacing w:after="0" w:line="237" w:lineRule="exact"/>
              <w:rPr>
                <w:sz w:val="20"/>
                <w:szCs w:val="20"/>
                <w:color w:val="auto"/>
              </w:rPr>
            </w:pPr>
            <w:r>
              <w:rPr>
                <w:rFonts w:ascii="Arial" w:cs="Arial" w:eastAsia="Arial" w:hAnsi="Arial"/>
                <w:sz w:val="22"/>
                <w:szCs w:val="22"/>
                <w:color w:val="auto"/>
              </w:rPr>
              <w:t>91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4.</w:t>
            </w:r>
            <w:r>
              <w:rPr>
                <w:rFonts w:ascii="Arial" w:cs="Arial" w:eastAsia="Arial" w:hAnsi="Arial"/>
                <w:sz w:val="22"/>
                <w:szCs w:val="22"/>
                <w:u w:val="single" w:color="auto"/>
                <w:color w:val="0000FF"/>
                <w:w w:val="91"/>
              </w:rPr>
              <w:t>7</w:t>
            </w:r>
          </w:p>
        </w:tc>
        <w:tc>
          <w:tcPr>
            <w:tcW w:w="1180" w:type="dxa"/>
            <w:vAlign w:val="bottom"/>
            <w:gridSpan w:val="7"/>
          </w:tcPr>
          <w:p>
            <w:pPr>
              <w:ind w:left="20"/>
              <w:spacing w:after="0" w:line="237" w:lineRule="exact"/>
              <w:rPr>
                <w:sz w:val="20"/>
                <w:szCs w:val="20"/>
                <w:color w:val="auto"/>
              </w:rPr>
            </w:pPr>
            <w:r>
              <w:rPr>
                <w:rFonts w:ascii="Arial" w:cs="Arial" w:eastAsia="Arial" w:hAnsi="Arial"/>
                <w:sz w:val="22"/>
                <w:szCs w:val="22"/>
                <w:color w:val="0000FF"/>
              </w:rPr>
              <w:t>No Default</w:t>
            </w:r>
          </w:p>
        </w:tc>
        <w:tc>
          <w:tcPr>
            <w:tcW w:w="360" w:type="dxa"/>
            <w:vAlign w:val="bottom"/>
            <w:gridSpan w:val="2"/>
          </w:tcPr>
          <w:p>
            <w:pPr>
              <w:jc w:val="right"/>
              <w:ind w:right="120"/>
              <w:spacing w:after="0" w:line="237" w:lineRule="exact"/>
              <w:rPr>
                <w:sz w:val="20"/>
                <w:szCs w:val="20"/>
                <w:color w:val="auto"/>
              </w:rPr>
            </w:pPr>
            <w:r>
              <w:rPr>
                <w:rFonts w:ascii="Arial" w:cs="Arial" w:eastAsia="Arial" w:hAnsi="Arial"/>
                <w:sz w:val="22"/>
                <w:szCs w:val="22"/>
                <w:color w:val="auto"/>
                <w:w w:val="89"/>
              </w:rPr>
              <w:t>91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4.</w:t>
            </w:r>
            <w:r>
              <w:rPr>
                <w:rFonts w:ascii="Arial" w:cs="Arial" w:eastAsia="Arial" w:hAnsi="Arial"/>
                <w:sz w:val="22"/>
                <w:szCs w:val="22"/>
                <w:u w:val="single" w:color="auto"/>
                <w:color w:val="0000FF"/>
                <w:w w:val="91"/>
              </w:rPr>
              <w:t>8</w:t>
            </w:r>
          </w:p>
        </w:tc>
        <w:tc>
          <w:tcPr>
            <w:tcW w:w="2740" w:type="dxa"/>
            <w:vAlign w:val="bottom"/>
            <w:gridSpan w:val="20"/>
          </w:tcPr>
          <w:p>
            <w:pPr>
              <w:ind w:left="20"/>
              <w:spacing w:after="0" w:line="237" w:lineRule="exact"/>
              <w:rPr>
                <w:sz w:val="20"/>
                <w:szCs w:val="20"/>
                <w:color w:val="auto"/>
              </w:rPr>
            </w:pPr>
            <w:r>
              <w:rPr>
                <w:rFonts w:ascii="Arial" w:cs="Arial" w:eastAsia="Arial" w:hAnsi="Arial"/>
                <w:sz w:val="22"/>
                <w:szCs w:val="22"/>
                <w:color w:val="0000FF"/>
                <w:w w:val="95"/>
              </w:rPr>
              <w:t>Ownership of Property; Liens</w:t>
            </w:r>
          </w:p>
        </w:tc>
        <w:tc>
          <w:tcPr>
            <w:tcW w:w="1060" w:type="dxa"/>
            <w:vAlign w:val="bottom"/>
          </w:tcPr>
          <w:p>
            <w:pPr>
              <w:jc w:val="right"/>
              <w:ind w:right="672"/>
              <w:spacing w:after="0" w:line="237" w:lineRule="exact"/>
              <w:rPr>
                <w:sz w:val="20"/>
                <w:szCs w:val="20"/>
                <w:color w:val="auto"/>
              </w:rPr>
            </w:pPr>
            <w:r>
              <w:rPr>
                <w:rFonts w:ascii="Arial" w:cs="Arial" w:eastAsia="Arial" w:hAnsi="Arial"/>
                <w:sz w:val="22"/>
                <w:szCs w:val="22"/>
                <w:color w:val="auto"/>
              </w:rPr>
              <w:t>91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4.</w:t>
            </w:r>
            <w:r>
              <w:rPr>
                <w:rFonts w:ascii="Arial" w:cs="Arial" w:eastAsia="Arial" w:hAnsi="Arial"/>
                <w:sz w:val="22"/>
                <w:szCs w:val="22"/>
                <w:u w:val="single" w:color="auto"/>
                <w:color w:val="0000FF"/>
                <w:w w:val="91"/>
              </w:rPr>
              <w:t>9</w:t>
            </w:r>
          </w:p>
        </w:tc>
        <w:tc>
          <w:tcPr>
            <w:tcW w:w="2000" w:type="dxa"/>
            <w:vAlign w:val="bottom"/>
            <w:gridSpan w:val="14"/>
          </w:tcPr>
          <w:p>
            <w:pPr>
              <w:ind w:left="20"/>
              <w:spacing w:after="0" w:line="237" w:lineRule="exact"/>
              <w:rPr>
                <w:sz w:val="20"/>
                <w:szCs w:val="20"/>
                <w:color w:val="auto"/>
              </w:rPr>
            </w:pPr>
            <w:r>
              <w:rPr>
                <w:rFonts w:ascii="Arial" w:cs="Arial" w:eastAsia="Arial" w:hAnsi="Arial"/>
                <w:sz w:val="22"/>
                <w:szCs w:val="22"/>
                <w:color w:val="0000FF"/>
              </w:rPr>
              <w:t>Intellectual Property</w:t>
            </w:r>
          </w:p>
        </w:tc>
        <w:tc>
          <w:tcPr>
            <w:tcW w:w="2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auto"/>
                <w:w w:val="81"/>
              </w:rPr>
              <w:t>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10</w:t>
            </w:r>
          </w:p>
        </w:tc>
        <w:tc>
          <w:tcPr>
            <w:tcW w:w="660" w:type="dxa"/>
            <w:vAlign w:val="bottom"/>
            <w:gridSpan w:val="2"/>
          </w:tcPr>
          <w:p>
            <w:pPr>
              <w:ind w:left="20"/>
              <w:spacing w:after="0" w:line="237" w:lineRule="exact"/>
              <w:rPr>
                <w:sz w:val="20"/>
                <w:szCs w:val="20"/>
                <w:color w:val="auto"/>
              </w:rPr>
            </w:pPr>
            <w:r>
              <w:rPr>
                <w:rFonts w:ascii="Arial" w:cs="Arial" w:eastAsia="Arial" w:hAnsi="Arial"/>
                <w:sz w:val="22"/>
                <w:szCs w:val="22"/>
                <w:color w:val="0000FF"/>
              </w:rPr>
              <w:t>Taxes</w:t>
            </w:r>
          </w:p>
        </w:tc>
        <w:tc>
          <w:tcPr>
            <w:tcW w:w="360" w:type="dxa"/>
            <w:vAlign w:val="bottom"/>
            <w:gridSpan w:val="3"/>
          </w:tcPr>
          <w:p>
            <w:pPr>
              <w:jc w:val="right"/>
              <w:ind w:right="60"/>
              <w:spacing w:after="0" w:line="237" w:lineRule="exact"/>
              <w:rPr>
                <w:sz w:val="20"/>
                <w:szCs w:val="20"/>
                <w:color w:val="auto"/>
              </w:rPr>
            </w:pPr>
            <w:r>
              <w:rPr>
                <w:rFonts w:ascii="Arial" w:cs="Arial" w:eastAsia="Arial" w:hAnsi="Arial"/>
                <w:sz w:val="22"/>
                <w:szCs w:val="22"/>
                <w:color w:val="auto"/>
              </w:rPr>
              <w:t>92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2180" w:type="dxa"/>
            <w:vAlign w:val="bottom"/>
            <w:tcBorders>
              <w:bottom w:val="single" w:sz="8" w:color="0000FF"/>
            </w:tcBorders>
            <w:gridSpan w:val="13"/>
          </w:tcPr>
          <w:p>
            <w:pPr>
              <w:spacing w:after="0" w:line="237" w:lineRule="exact"/>
              <w:rPr>
                <w:sz w:val="20"/>
                <w:szCs w:val="20"/>
                <w:color w:val="auto"/>
              </w:rPr>
            </w:pPr>
            <w:r>
              <w:rPr>
                <w:rFonts w:ascii="Arial" w:cs="Arial" w:eastAsia="Arial" w:hAnsi="Arial"/>
                <w:sz w:val="22"/>
                <w:szCs w:val="22"/>
                <w:color w:val="0000FF"/>
                <w:w w:val="87"/>
              </w:rPr>
              <w:t>4.</w:t>
            </w:r>
            <w:r>
              <w:rPr>
                <w:rFonts w:ascii="Arial" w:cs="Arial" w:eastAsia="Arial" w:hAnsi="Arial"/>
                <w:sz w:val="22"/>
                <w:szCs w:val="22"/>
                <w:u w:val="single" w:color="auto"/>
                <w:color w:val="0000FF"/>
                <w:w w:val="87"/>
              </w:rPr>
              <w:t>11</w:t>
            </w:r>
            <w:r>
              <w:rPr>
                <w:rFonts w:ascii="Arial" w:cs="Arial" w:eastAsia="Arial" w:hAnsi="Arial"/>
                <w:sz w:val="22"/>
                <w:szCs w:val="22"/>
                <w:color w:val="0000FF"/>
                <w:w w:val="87"/>
              </w:rPr>
              <w:t xml:space="preserve"> Federal Regulations</w:t>
            </w:r>
          </w:p>
        </w:tc>
        <w:tc>
          <w:tcPr>
            <w:tcW w:w="120" w:type="dxa"/>
            <w:vAlign w:val="bottom"/>
            <w:gridSpan w:val="2"/>
          </w:tcPr>
          <w:p>
            <w:pPr>
              <w:spacing w:after="0"/>
              <w:rPr>
                <w:sz w:val="20"/>
                <w:szCs w:val="20"/>
                <w:color w:val="auto"/>
              </w:rPr>
            </w:pPr>
          </w:p>
        </w:tc>
        <w:tc>
          <w:tcPr>
            <w:tcW w:w="460" w:type="dxa"/>
            <w:vAlign w:val="bottom"/>
            <w:gridSpan w:val="3"/>
          </w:tcPr>
          <w:p>
            <w:pPr>
              <w:jc w:val="right"/>
              <w:ind w:right="180"/>
              <w:spacing w:after="0" w:line="237" w:lineRule="exact"/>
              <w:rPr>
                <w:sz w:val="20"/>
                <w:szCs w:val="20"/>
                <w:color w:val="auto"/>
              </w:rPr>
            </w:pPr>
            <w:r>
              <w:rPr>
                <w:rFonts w:ascii="Arial" w:cs="Arial" w:eastAsia="Arial" w:hAnsi="Arial"/>
                <w:sz w:val="22"/>
                <w:szCs w:val="22"/>
                <w:color w:val="auto"/>
              </w:rPr>
              <w:t>92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6"/>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12</w:t>
            </w:r>
          </w:p>
        </w:tc>
        <w:tc>
          <w:tcPr>
            <w:tcW w:w="1900" w:type="dxa"/>
            <w:vAlign w:val="bottom"/>
            <w:gridSpan w:val="13"/>
          </w:tcPr>
          <w:p>
            <w:pPr>
              <w:ind w:left="20"/>
              <w:spacing w:after="0" w:line="237" w:lineRule="exact"/>
              <w:rPr>
                <w:sz w:val="20"/>
                <w:szCs w:val="20"/>
                <w:color w:val="auto"/>
              </w:rPr>
            </w:pPr>
            <w:r>
              <w:rPr>
                <w:rFonts w:ascii="Arial" w:cs="Arial" w:eastAsia="Arial" w:hAnsi="Arial"/>
                <w:sz w:val="22"/>
                <w:szCs w:val="22"/>
                <w:color w:val="0000FF"/>
              </w:rPr>
              <w:t xml:space="preserve">Labor Matters  </w:t>
            </w:r>
            <w:r>
              <w:rPr>
                <w:rFonts w:ascii="Arial" w:cs="Arial" w:eastAsia="Arial" w:hAnsi="Arial"/>
                <w:sz w:val="22"/>
                <w:szCs w:val="22"/>
                <w:color w:val="000000"/>
              </w:rPr>
              <w:t>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660" w:type="dxa"/>
            <w:vAlign w:val="bottom"/>
          </w:tcPr>
          <w:p>
            <w:pPr>
              <w:spacing w:after="0"/>
              <w:rPr>
                <w:sz w:val="20"/>
                <w:szCs w:val="20"/>
                <w:color w:val="auto"/>
              </w:rPr>
            </w:pPr>
          </w:p>
        </w:tc>
        <w:tc>
          <w:tcPr>
            <w:tcW w:w="1060" w:type="dxa"/>
            <w:vAlign w:val="bottom"/>
            <w:tcBorders>
              <w:top w:val="single" w:sz="8" w:color="0000FF"/>
              <w:bottom w:val="single" w:sz="8" w:color="0000FF"/>
            </w:tcBorders>
            <w:gridSpan w:val="4"/>
          </w:tcPr>
          <w:p>
            <w:pPr>
              <w:spacing w:after="0" w:line="237" w:lineRule="exact"/>
              <w:rPr>
                <w:sz w:val="20"/>
                <w:szCs w:val="20"/>
                <w:color w:val="auto"/>
              </w:rPr>
            </w:pPr>
            <w:r>
              <w:rPr>
                <w:rFonts w:ascii="Arial" w:cs="Arial" w:eastAsia="Arial" w:hAnsi="Arial"/>
                <w:sz w:val="22"/>
                <w:szCs w:val="22"/>
                <w:color w:val="0000FF"/>
                <w:w w:val="90"/>
              </w:rPr>
              <w:t>4.</w:t>
            </w:r>
            <w:r>
              <w:rPr>
                <w:rFonts w:ascii="Arial" w:cs="Arial" w:eastAsia="Arial" w:hAnsi="Arial"/>
                <w:sz w:val="22"/>
                <w:szCs w:val="22"/>
                <w:u w:val="single" w:color="auto"/>
                <w:color w:val="0000FF"/>
                <w:w w:val="90"/>
              </w:rPr>
              <w:t>13</w:t>
            </w:r>
            <w:r>
              <w:rPr>
                <w:rFonts w:ascii="Arial" w:cs="Arial" w:eastAsia="Arial" w:hAnsi="Arial"/>
                <w:sz w:val="22"/>
                <w:szCs w:val="22"/>
                <w:color w:val="0000FF"/>
                <w:w w:val="90"/>
              </w:rPr>
              <w:t xml:space="preserve"> ERISA</w:t>
            </w:r>
          </w:p>
        </w:tc>
        <w:tc>
          <w:tcPr>
            <w:tcW w:w="420" w:type="dxa"/>
            <w:vAlign w:val="bottom"/>
            <w:tcBorders>
              <w:top w:val="single" w:sz="8" w:color="0000FF"/>
            </w:tcBorders>
            <w:gridSpan w:val="4"/>
          </w:tcPr>
          <w:p>
            <w:pPr>
              <w:jc w:val="right"/>
              <w:spacing w:after="0" w:line="237" w:lineRule="exact"/>
              <w:rPr>
                <w:sz w:val="20"/>
                <w:szCs w:val="20"/>
                <w:color w:val="auto"/>
              </w:rPr>
            </w:pPr>
            <w:r>
              <w:rPr>
                <w:rFonts w:ascii="Arial" w:cs="Arial" w:eastAsia="Arial" w:hAnsi="Arial"/>
                <w:sz w:val="22"/>
                <w:szCs w:val="22"/>
                <w:color w:val="auto"/>
              </w:rPr>
              <w:t>92</w:t>
            </w:r>
          </w:p>
        </w:tc>
        <w:tc>
          <w:tcPr>
            <w:tcW w:w="18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14</w:t>
            </w:r>
          </w:p>
        </w:tc>
        <w:tc>
          <w:tcPr>
            <w:tcW w:w="4140" w:type="dxa"/>
            <w:vAlign w:val="bottom"/>
            <w:gridSpan w:val="24"/>
          </w:tcPr>
          <w:p>
            <w:pPr>
              <w:ind w:left="20"/>
              <w:spacing w:after="0" w:line="237" w:lineRule="exact"/>
              <w:rPr>
                <w:sz w:val="20"/>
                <w:szCs w:val="20"/>
                <w:color w:val="auto"/>
              </w:rPr>
            </w:pPr>
            <w:r>
              <w:rPr>
                <w:rFonts w:ascii="Arial" w:cs="Arial" w:eastAsia="Arial" w:hAnsi="Arial"/>
                <w:sz w:val="22"/>
                <w:szCs w:val="22"/>
                <w:color w:val="0000FF"/>
                <w:w w:val="94"/>
              </w:rPr>
              <w:t>Investment Company Act; Other Regulations</w:t>
            </w:r>
          </w:p>
        </w:tc>
        <w:tc>
          <w:tcPr>
            <w:tcW w:w="1580" w:type="dxa"/>
            <w:vAlign w:val="bottom"/>
          </w:tcPr>
          <w:p>
            <w:pPr>
              <w:jc w:val="right"/>
              <w:ind w:right="1232"/>
              <w:spacing w:after="0" w:line="237" w:lineRule="exact"/>
              <w:rPr>
                <w:sz w:val="20"/>
                <w:szCs w:val="20"/>
                <w:color w:val="auto"/>
              </w:rPr>
            </w:pPr>
            <w:r>
              <w:rPr>
                <w:rFonts w:ascii="Arial" w:cs="Arial" w:eastAsia="Arial" w:hAnsi="Arial"/>
                <w:sz w:val="22"/>
                <w:szCs w:val="22"/>
                <w:color w:val="auto"/>
                <w:w w:val="89"/>
              </w:rPr>
              <w:t>93</w:t>
            </w: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15</w:t>
            </w:r>
          </w:p>
        </w:tc>
        <w:tc>
          <w:tcPr>
            <w:tcW w:w="1080" w:type="dxa"/>
            <w:vAlign w:val="bottom"/>
            <w:gridSpan w:val="6"/>
          </w:tcPr>
          <w:p>
            <w:pPr>
              <w:ind w:left="20"/>
              <w:spacing w:after="0" w:line="237" w:lineRule="exact"/>
              <w:rPr>
                <w:sz w:val="20"/>
                <w:szCs w:val="20"/>
                <w:color w:val="auto"/>
              </w:rPr>
            </w:pPr>
            <w:r>
              <w:rPr>
                <w:rFonts w:ascii="Arial" w:cs="Arial" w:eastAsia="Arial" w:hAnsi="Arial"/>
                <w:sz w:val="22"/>
                <w:szCs w:val="22"/>
                <w:color w:val="0000FF"/>
                <w:w w:val="85"/>
              </w:rPr>
              <w:t>Subsidiaries</w:t>
            </w:r>
          </w:p>
        </w:tc>
        <w:tc>
          <w:tcPr>
            <w:tcW w:w="600" w:type="dxa"/>
            <w:vAlign w:val="bottom"/>
            <w:gridSpan w:val="3"/>
          </w:tcPr>
          <w:p>
            <w:pPr>
              <w:jc w:val="right"/>
              <w:ind w:right="160"/>
              <w:spacing w:after="0" w:line="237" w:lineRule="exact"/>
              <w:rPr>
                <w:sz w:val="20"/>
                <w:szCs w:val="20"/>
                <w:color w:val="auto"/>
              </w:rPr>
            </w:pPr>
            <w:r>
              <w:rPr>
                <w:rFonts w:ascii="Arial" w:cs="Arial" w:eastAsia="Arial" w:hAnsi="Arial"/>
                <w:sz w:val="22"/>
                <w:szCs w:val="22"/>
                <w:color w:val="auto"/>
              </w:rPr>
              <w:t>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16</w:t>
            </w:r>
          </w:p>
        </w:tc>
        <w:tc>
          <w:tcPr>
            <w:tcW w:w="1680" w:type="dxa"/>
            <w:vAlign w:val="bottom"/>
            <w:gridSpan w:val="9"/>
          </w:tcPr>
          <w:p>
            <w:pPr>
              <w:ind w:left="20"/>
              <w:spacing w:after="0" w:line="237" w:lineRule="exact"/>
              <w:rPr>
                <w:sz w:val="20"/>
                <w:szCs w:val="20"/>
                <w:color w:val="auto"/>
              </w:rPr>
            </w:pPr>
            <w:r>
              <w:rPr>
                <w:rFonts w:ascii="Arial" w:cs="Arial" w:eastAsia="Arial" w:hAnsi="Arial"/>
                <w:sz w:val="22"/>
                <w:szCs w:val="22"/>
                <w:color w:val="0000FF"/>
                <w:w w:val="99"/>
              </w:rPr>
              <w:t>Use of Proceeds</w:t>
            </w:r>
          </w:p>
        </w:tc>
        <w:tc>
          <w:tcPr>
            <w:tcW w:w="200" w:type="dxa"/>
            <w:vAlign w:val="bottom"/>
            <w:gridSpan w:val="3"/>
          </w:tcPr>
          <w:p>
            <w:pPr>
              <w:jc w:val="right"/>
              <w:ind w:right="20"/>
              <w:spacing w:after="0"/>
              <w:rPr>
                <w:sz w:val="20"/>
                <w:szCs w:val="20"/>
                <w:color w:val="auto"/>
              </w:rPr>
            </w:pPr>
            <w:r>
              <w:rPr>
                <w:rFonts w:ascii="Arial" w:cs="Arial" w:eastAsia="Arial" w:hAnsi="Arial"/>
                <w:sz w:val="19"/>
                <w:szCs w:val="19"/>
                <w:color w:val="auto"/>
                <w:w w:val="75"/>
              </w:rPr>
              <w:t>93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17</w:t>
            </w:r>
          </w:p>
        </w:tc>
        <w:tc>
          <w:tcPr>
            <w:tcW w:w="2640" w:type="dxa"/>
            <w:vAlign w:val="bottom"/>
            <w:gridSpan w:val="19"/>
          </w:tcPr>
          <w:p>
            <w:pPr>
              <w:ind w:left="20"/>
              <w:spacing w:after="0" w:line="237" w:lineRule="exact"/>
              <w:rPr>
                <w:sz w:val="20"/>
                <w:szCs w:val="20"/>
                <w:color w:val="auto"/>
              </w:rPr>
            </w:pPr>
            <w:r>
              <w:rPr>
                <w:rFonts w:ascii="Arial" w:cs="Arial" w:eastAsia="Arial" w:hAnsi="Arial"/>
                <w:sz w:val="22"/>
                <w:szCs w:val="22"/>
                <w:color w:val="0000FF"/>
              </w:rPr>
              <w:t xml:space="preserve">Environmental Matters  </w:t>
            </w:r>
            <w:r>
              <w:rPr>
                <w:rFonts w:ascii="Arial" w:cs="Arial" w:eastAsia="Arial" w:hAnsi="Arial"/>
                <w:sz w:val="22"/>
                <w:szCs w:val="22"/>
                <w:color w:val="000000"/>
              </w:rPr>
              <w:t>93</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18</w:t>
            </w:r>
          </w:p>
        </w:tc>
        <w:tc>
          <w:tcPr>
            <w:tcW w:w="2640" w:type="dxa"/>
            <w:vAlign w:val="bottom"/>
            <w:gridSpan w:val="19"/>
          </w:tcPr>
          <w:p>
            <w:pPr>
              <w:ind w:left="20"/>
              <w:spacing w:after="0" w:line="237" w:lineRule="exact"/>
              <w:rPr>
                <w:sz w:val="20"/>
                <w:szCs w:val="20"/>
                <w:color w:val="auto"/>
              </w:rPr>
            </w:pPr>
            <w:r>
              <w:rPr>
                <w:rFonts w:ascii="Arial" w:cs="Arial" w:eastAsia="Arial" w:hAnsi="Arial"/>
                <w:sz w:val="22"/>
                <w:szCs w:val="22"/>
                <w:color w:val="0000FF"/>
                <w:w w:val="93"/>
              </w:rPr>
              <w:t>Accuracy of Information, etc.</w:t>
            </w:r>
          </w:p>
        </w:tc>
        <w:tc>
          <w:tcPr>
            <w:tcW w:w="1060" w:type="dxa"/>
            <w:vAlign w:val="bottom"/>
          </w:tcPr>
          <w:p>
            <w:pPr>
              <w:jc w:val="right"/>
              <w:ind w:right="572"/>
              <w:spacing w:after="0" w:line="237" w:lineRule="exact"/>
              <w:rPr>
                <w:sz w:val="20"/>
                <w:szCs w:val="20"/>
                <w:color w:val="auto"/>
              </w:rPr>
            </w:pPr>
            <w:r>
              <w:rPr>
                <w:rFonts w:ascii="Arial" w:cs="Arial" w:eastAsia="Arial" w:hAnsi="Arial"/>
                <w:sz w:val="22"/>
                <w:szCs w:val="22"/>
                <w:color w:val="auto"/>
              </w:rPr>
              <w:t>94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6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19</w:t>
            </w:r>
          </w:p>
        </w:tc>
        <w:tc>
          <w:tcPr>
            <w:tcW w:w="1900" w:type="dxa"/>
            <w:vAlign w:val="bottom"/>
            <w:gridSpan w:val="13"/>
          </w:tcPr>
          <w:p>
            <w:pPr>
              <w:ind w:left="20"/>
              <w:spacing w:after="0" w:line="237" w:lineRule="exact"/>
              <w:rPr>
                <w:sz w:val="20"/>
                <w:szCs w:val="20"/>
                <w:color w:val="auto"/>
              </w:rPr>
            </w:pPr>
            <w:r>
              <w:rPr>
                <w:rFonts w:ascii="Arial" w:cs="Arial" w:eastAsia="Arial" w:hAnsi="Arial"/>
                <w:sz w:val="22"/>
                <w:szCs w:val="22"/>
                <w:color w:val="0000FF"/>
                <w:w w:val="94"/>
              </w:rPr>
              <w:t>Security Documents</w:t>
            </w:r>
          </w:p>
        </w:tc>
        <w:tc>
          <w:tcPr>
            <w:tcW w:w="460" w:type="dxa"/>
            <w:vAlign w:val="bottom"/>
            <w:gridSpan w:val="3"/>
          </w:tcPr>
          <w:p>
            <w:pPr>
              <w:jc w:val="right"/>
              <w:ind w:right="140"/>
              <w:spacing w:after="0" w:line="237" w:lineRule="exact"/>
              <w:rPr>
                <w:sz w:val="20"/>
                <w:szCs w:val="20"/>
                <w:color w:val="auto"/>
              </w:rPr>
            </w:pPr>
            <w:r>
              <w:rPr>
                <w:rFonts w:ascii="Arial" w:cs="Arial" w:eastAsia="Arial" w:hAnsi="Arial"/>
                <w:sz w:val="22"/>
                <w:szCs w:val="22"/>
                <w:color w:val="auto"/>
              </w:rPr>
              <w:t>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20</w:t>
            </w:r>
          </w:p>
        </w:tc>
        <w:tc>
          <w:tcPr>
            <w:tcW w:w="1680" w:type="dxa"/>
            <w:vAlign w:val="bottom"/>
            <w:gridSpan w:val="9"/>
          </w:tcPr>
          <w:p>
            <w:pPr>
              <w:ind w:left="20"/>
              <w:spacing w:after="0" w:line="237" w:lineRule="exact"/>
              <w:rPr>
                <w:sz w:val="20"/>
                <w:szCs w:val="20"/>
                <w:color w:val="auto"/>
              </w:rPr>
            </w:pPr>
            <w:r>
              <w:rPr>
                <w:rFonts w:ascii="Arial" w:cs="Arial" w:eastAsia="Arial" w:hAnsi="Arial"/>
                <w:sz w:val="22"/>
                <w:szCs w:val="22"/>
                <w:color w:val="0000FF"/>
              </w:rPr>
              <w:t xml:space="preserve">Solvency  </w:t>
            </w:r>
            <w:r>
              <w:rPr>
                <w:rFonts w:ascii="Arial" w:cs="Arial" w:eastAsia="Arial" w:hAnsi="Arial"/>
                <w:sz w:val="22"/>
                <w:szCs w:val="22"/>
                <w:color w:val="000000"/>
              </w:rPr>
              <w:t>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21</w:t>
            </w:r>
          </w:p>
        </w:tc>
        <w:tc>
          <w:tcPr>
            <w:tcW w:w="1900" w:type="dxa"/>
            <w:vAlign w:val="bottom"/>
            <w:gridSpan w:val="13"/>
          </w:tcPr>
          <w:p>
            <w:pPr>
              <w:ind w:left="20"/>
              <w:spacing w:after="0" w:line="237" w:lineRule="exact"/>
              <w:rPr>
                <w:sz w:val="20"/>
                <w:szCs w:val="20"/>
                <w:color w:val="auto"/>
              </w:rPr>
            </w:pPr>
            <w:r>
              <w:rPr>
                <w:rFonts w:ascii="Arial" w:cs="Arial" w:eastAsia="Arial" w:hAnsi="Arial"/>
                <w:sz w:val="22"/>
                <w:szCs w:val="22"/>
                <w:color w:val="0000FF"/>
                <w:w w:val="98"/>
              </w:rPr>
              <w:t>Certain Documents</w:t>
            </w:r>
          </w:p>
        </w:tc>
        <w:tc>
          <w:tcPr>
            <w:tcW w:w="260" w:type="dxa"/>
            <w:vAlign w:val="bottom"/>
            <w:gridSpan w:val="2"/>
          </w:tcPr>
          <w:p>
            <w:pPr>
              <w:jc w:val="right"/>
              <w:ind w:right="20"/>
              <w:spacing w:after="0" w:line="237" w:lineRule="exact"/>
              <w:rPr>
                <w:sz w:val="20"/>
                <w:szCs w:val="20"/>
                <w:color w:val="auto"/>
              </w:rPr>
            </w:pPr>
            <w:r>
              <w:rPr>
                <w:rFonts w:ascii="Arial" w:cs="Arial" w:eastAsia="Arial" w:hAnsi="Arial"/>
                <w:sz w:val="22"/>
                <w:szCs w:val="22"/>
                <w:color w:val="auto"/>
                <w:w w:val="89"/>
              </w:rPr>
              <w:t>95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00" w:type="dxa"/>
            <w:vAlign w:val="bottom"/>
            <w:gridSpan w:val="10"/>
            <w:shd w:val="clear" w:color="auto" w:fill="0000FF"/>
          </w:tcPr>
          <w:p>
            <w:pPr>
              <w:spacing w:after="0" w:line="20" w:lineRule="exact"/>
              <w:rPr>
                <w:sz w:val="1"/>
                <w:szCs w:val="1"/>
                <w:color w:val="auto"/>
              </w:rPr>
            </w:pPr>
          </w:p>
        </w:tc>
        <w:tc>
          <w:tcPr>
            <w:tcW w:w="4020" w:type="dxa"/>
            <w:vAlign w:val="bottom"/>
            <w:gridSpan w:val="1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22</w:t>
            </w:r>
          </w:p>
        </w:tc>
        <w:tc>
          <w:tcPr>
            <w:tcW w:w="6140" w:type="dxa"/>
            <w:vAlign w:val="bottom"/>
            <w:gridSpan w:val="26"/>
          </w:tcPr>
          <w:p>
            <w:pPr>
              <w:ind w:left="20"/>
              <w:spacing w:after="0" w:line="237" w:lineRule="exact"/>
              <w:rPr>
                <w:sz w:val="20"/>
                <w:szCs w:val="20"/>
                <w:color w:val="auto"/>
              </w:rPr>
            </w:pPr>
            <w:r>
              <w:rPr>
                <w:rFonts w:ascii="Arial" w:cs="Arial" w:eastAsia="Arial" w:hAnsi="Arial"/>
                <w:sz w:val="22"/>
                <w:szCs w:val="22"/>
                <w:color w:val="0000FF"/>
                <w:w w:val="93"/>
              </w:rPr>
              <w:t xml:space="preserve">Anti-Corruption Laws; Anti-Money Laundering Laws; Sanctions.  </w:t>
            </w:r>
            <w:r>
              <w:rPr>
                <w:rFonts w:ascii="Arial" w:cs="Arial" w:eastAsia="Arial" w:hAnsi="Arial"/>
                <w:sz w:val="22"/>
                <w:szCs w:val="22"/>
                <w:color w:val="000000"/>
                <w:w w:val="93"/>
              </w:rPr>
              <w:t>95</w:t>
            </w:r>
          </w:p>
        </w:tc>
      </w:tr>
      <w:tr>
        <w:trPr>
          <w:trHeight w:val="20"/>
        </w:trPr>
        <w:tc>
          <w:tcPr>
            <w:tcW w:w="66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60" w:type="dxa"/>
            <w:vAlign w:val="bottom"/>
            <w:gridSpan w:val="16"/>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60" w:type="dxa"/>
            <w:vAlign w:val="bottom"/>
            <w:gridSpan w:val="3"/>
          </w:tcPr>
          <w:p>
            <w:pPr>
              <w:ind w:left="660"/>
              <w:spacing w:after="0" w:line="237" w:lineRule="exact"/>
              <w:rPr>
                <w:sz w:val="20"/>
                <w:szCs w:val="20"/>
                <w:color w:val="auto"/>
              </w:rPr>
            </w:pPr>
            <w:r>
              <w:rPr>
                <w:rFonts w:ascii="Arial" w:cs="Arial" w:eastAsia="Arial" w:hAnsi="Arial"/>
                <w:sz w:val="22"/>
                <w:szCs w:val="22"/>
                <w:color w:val="0000FF"/>
                <w:w w:val="88"/>
              </w:rPr>
              <w:t>4.</w:t>
            </w:r>
            <w:r>
              <w:rPr>
                <w:rFonts w:ascii="Arial" w:cs="Arial" w:eastAsia="Arial" w:hAnsi="Arial"/>
                <w:sz w:val="22"/>
                <w:szCs w:val="22"/>
                <w:u w:val="single" w:color="auto"/>
                <w:color w:val="0000FF"/>
                <w:w w:val="88"/>
              </w:rPr>
              <w:t>23</w:t>
            </w:r>
          </w:p>
        </w:tc>
        <w:tc>
          <w:tcPr>
            <w:tcW w:w="2360" w:type="dxa"/>
            <w:vAlign w:val="bottom"/>
            <w:gridSpan w:val="16"/>
          </w:tcPr>
          <w:p>
            <w:pPr>
              <w:ind w:left="20"/>
              <w:spacing w:after="0" w:line="237" w:lineRule="exact"/>
              <w:rPr>
                <w:sz w:val="20"/>
                <w:szCs w:val="20"/>
                <w:color w:val="auto"/>
              </w:rPr>
            </w:pPr>
            <w:r>
              <w:rPr>
                <w:rFonts w:ascii="Arial" w:cs="Arial" w:eastAsia="Arial" w:hAnsi="Arial"/>
                <w:sz w:val="22"/>
                <w:szCs w:val="22"/>
                <w:color w:val="0000FF"/>
                <w:w w:val="92"/>
              </w:rPr>
              <w:t>EEA Financial Institution..</w:t>
            </w:r>
          </w:p>
        </w:tc>
        <w:tc>
          <w:tcPr>
            <w:tcW w:w="1340" w:type="dxa"/>
            <w:vAlign w:val="bottom"/>
            <w:gridSpan w:val="4"/>
          </w:tcPr>
          <w:p>
            <w:pPr>
              <w:jc w:val="right"/>
              <w:ind w:right="812"/>
              <w:spacing w:after="0" w:line="237" w:lineRule="exact"/>
              <w:rPr>
                <w:sz w:val="20"/>
                <w:szCs w:val="20"/>
                <w:color w:val="auto"/>
              </w:rPr>
            </w:pPr>
            <w:r>
              <w:rPr>
                <w:rFonts w:ascii="Arial" w:cs="Arial" w:eastAsia="Arial" w:hAnsi="Arial"/>
                <w:sz w:val="22"/>
                <w:szCs w:val="22"/>
                <w:color w:val="auto"/>
              </w:rPr>
              <w:t>96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Borders>
              <w:bottom w:val="single" w:sz="8" w:color="0000FF"/>
            </w:tcBorders>
            <w:gridSpan w:val="2"/>
          </w:tcPr>
          <w:p>
            <w:pPr>
              <w:jc w:val="right"/>
              <w:ind w:right="40"/>
              <w:spacing w:after="0"/>
              <w:rPr>
                <w:sz w:val="20"/>
                <w:szCs w:val="20"/>
                <w:color w:val="auto"/>
              </w:rPr>
            </w:pPr>
            <w:r>
              <w:rPr>
                <w:rFonts w:ascii="Arial" w:cs="Arial" w:eastAsia="Arial" w:hAnsi="Arial"/>
                <w:sz w:val="22"/>
                <w:szCs w:val="22"/>
                <w:color w:val="0000FF"/>
                <w:w w:val="91"/>
              </w:rPr>
              <w:t>SECTION</w:t>
            </w:r>
          </w:p>
        </w:tc>
        <w:tc>
          <w:tcPr>
            <w:tcW w:w="2860" w:type="dxa"/>
            <w:vAlign w:val="bottom"/>
            <w:tcBorders>
              <w:bottom w:val="single" w:sz="8" w:color="0000FF"/>
            </w:tcBorders>
            <w:gridSpan w:val="6"/>
          </w:tcPr>
          <w:p>
            <w:pPr>
              <w:ind w:left="20"/>
              <w:spacing w:after="0"/>
              <w:rPr>
                <w:sz w:val="20"/>
                <w:szCs w:val="20"/>
                <w:color w:val="auto"/>
              </w:rPr>
            </w:pPr>
            <w:r>
              <w:rPr>
                <w:rFonts w:ascii="Arial" w:cs="Arial" w:eastAsia="Arial" w:hAnsi="Arial"/>
                <w:sz w:val="22"/>
                <w:szCs w:val="22"/>
                <w:color w:val="0000FF"/>
                <w:w w:val="92"/>
              </w:rPr>
              <w:t>5. CONDITIONS PRECEDENT</w:t>
            </w:r>
          </w:p>
        </w:tc>
        <w:tc>
          <w:tcPr>
            <w:tcW w:w="560" w:type="dxa"/>
            <w:vAlign w:val="bottom"/>
            <w:gridSpan w:val="4"/>
          </w:tcPr>
          <w:p>
            <w:pPr>
              <w:jc w:val="right"/>
              <w:ind w:right="32"/>
              <w:spacing w:after="0"/>
              <w:rPr>
                <w:sz w:val="20"/>
                <w:szCs w:val="20"/>
                <w:color w:val="auto"/>
              </w:rPr>
            </w:pPr>
            <w:r>
              <w:rPr>
                <w:rFonts w:ascii="Arial" w:cs="Arial" w:eastAsia="Arial" w:hAnsi="Arial"/>
                <w:sz w:val="22"/>
                <w:szCs w:val="22"/>
                <w:color w:val="auto"/>
              </w:rPr>
              <w:t>96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36"/>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5.</w:t>
            </w:r>
            <w:r>
              <w:rPr>
                <w:rFonts w:ascii="Arial" w:cs="Arial" w:eastAsia="Arial" w:hAnsi="Arial"/>
                <w:sz w:val="22"/>
                <w:szCs w:val="22"/>
                <w:u w:val="single" w:color="auto"/>
                <w:color w:val="0000FF"/>
              </w:rPr>
              <w:t>1</w:t>
            </w:r>
          </w:p>
        </w:tc>
        <w:tc>
          <w:tcPr>
            <w:tcW w:w="3580" w:type="dxa"/>
            <w:vAlign w:val="bottom"/>
            <w:gridSpan w:val="12"/>
          </w:tcPr>
          <w:p>
            <w:pPr>
              <w:ind w:left="20"/>
              <w:spacing w:after="0" w:line="237" w:lineRule="exact"/>
              <w:rPr>
                <w:sz w:val="20"/>
                <w:szCs w:val="20"/>
                <w:color w:val="auto"/>
              </w:rPr>
            </w:pPr>
            <w:r>
              <w:rPr>
                <w:rFonts w:ascii="Arial" w:cs="Arial" w:eastAsia="Arial" w:hAnsi="Arial"/>
                <w:sz w:val="22"/>
                <w:szCs w:val="22"/>
                <w:color w:val="0000FF"/>
                <w:w w:val="93"/>
              </w:rPr>
              <w:t>Conditions to Initial Extension of Credit</w:t>
            </w:r>
          </w:p>
        </w:tc>
        <w:tc>
          <w:tcPr>
            <w:tcW w:w="1320" w:type="dxa"/>
            <w:vAlign w:val="bottom"/>
          </w:tcPr>
          <w:p>
            <w:pPr>
              <w:jc w:val="right"/>
              <w:ind w:right="852"/>
              <w:spacing w:after="0" w:line="237" w:lineRule="exact"/>
              <w:rPr>
                <w:sz w:val="20"/>
                <w:szCs w:val="20"/>
                <w:color w:val="auto"/>
              </w:rPr>
            </w:pPr>
            <w:r>
              <w:rPr>
                <w:rFonts w:ascii="Arial" w:cs="Arial" w:eastAsia="Arial" w:hAnsi="Arial"/>
                <w:sz w:val="22"/>
                <w:szCs w:val="22"/>
                <w:color w:val="auto"/>
              </w:rPr>
              <w:t>96</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5.</w:t>
            </w:r>
            <w:r>
              <w:rPr>
                <w:rFonts w:ascii="Arial" w:cs="Arial" w:eastAsia="Arial" w:hAnsi="Arial"/>
                <w:sz w:val="22"/>
                <w:szCs w:val="22"/>
                <w:u w:val="single" w:color="auto"/>
                <w:color w:val="0000FF"/>
              </w:rPr>
              <w:t>2</w:t>
            </w:r>
          </w:p>
        </w:tc>
        <w:tc>
          <w:tcPr>
            <w:tcW w:w="3580" w:type="dxa"/>
            <w:vAlign w:val="bottom"/>
            <w:gridSpan w:val="12"/>
          </w:tcPr>
          <w:p>
            <w:pPr>
              <w:ind w:left="20"/>
              <w:spacing w:after="0" w:line="237" w:lineRule="exact"/>
              <w:rPr>
                <w:sz w:val="20"/>
                <w:szCs w:val="20"/>
                <w:color w:val="auto"/>
              </w:rPr>
            </w:pPr>
            <w:r>
              <w:rPr>
                <w:rFonts w:ascii="Arial" w:cs="Arial" w:eastAsia="Arial" w:hAnsi="Arial"/>
                <w:sz w:val="22"/>
                <w:szCs w:val="22"/>
                <w:color w:val="0000FF"/>
                <w:w w:val="93"/>
              </w:rPr>
              <w:t>Conditions to Each Extension of Credit</w:t>
            </w:r>
          </w:p>
        </w:tc>
        <w:tc>
          <w:tcPr>
            <w:tcW w:w="1320" w:type="dxa"/>
            <w:vAlign w:val="bottom"/>
          </w:tcPr>
          <w:p>
            <w:pPr>
              <w:jc w:val="right"/>
              <w:ind w:right="932"/>
              <w:spacing w:after="0" w:line="237" w:lineRule="exact"/>
              <w:rPr>
                <w:sz w:val="20"/>
                <w:szCs w:val="20"/>
                <w:color w:val="auto"/>
              </w:rPr>
            </w:pPr>
            <w:r>
              <w:rPr>
                <w:rFonts w:ascii="Arial" w:cs="Arial" w:eastAsia="Arial" w:hAnsi="Arial"/>
                <w:sz w:val="22"/>
                <w:szCs w:val="22"/>
                <w:color w:val="auto"/>
              </w:rPr>
              <w:t>97</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960" w:type="dxa"/>
            <w:vAlign w:val="bottom"/>
            <w:gridSpan w:val="2"/>
          </w:tcPr>
          <w:p>
            <w:pPr>
              <w:jc w:val="right"/>
              <w:ind w:right="40"/>
              <w:spacing w:after="0"/>
              <w:rPr>
                <w:sz w:val="20"/>
                <w:szCs w:val="20"/>
                <w:color w:val="auto"/>
              </w:rPr>
            </w:pPr>
            <w:r>
              <w:rPr>
                <w:rFonts w:ascii="Arial" w:cs="Arial" w:eastAsia="Arial" w:hAnsi="Arial"/>
                <w:sz w:val="22"/>
                <w:szCs w:val="22"/>
                <w:color w:val="0000FF"/>
                <w:w w:val="91"/>
              </w:rPr>
              <w:t>SECTION</w:t>
            </w:r>
          </w:p>
        </w:tc>
        <w:tc>
          <w:tcPr>
            <w:tcW w:w="3180" w:type="dxa"/>
            <w:vAlign w:val="bottom"/>
            <w:gridSpan w:val="9"/>
          </w:tcPr>
          <w:p>
            <w:pPr>
              <w:ind w:left="20"/>
              <w:spacing w:after="0"/>
              <w:rPr>
                <w:sz w:val="20"/>
                <w:szCs w:val="20"/>
                <w:color w:val="auto"/>
              </w:rPr>
            </w:pPr>
            <w:r>
              <w:rPr>
                <w:rFonts w:ascii="Arial" w:cs="Arial" w:eastAsia="Arial" w:hAnsi="Arial"/>
                <w:sz w:val="22"/>
                <w:szCs w:val="22"/>
                <w:color w:val="0000FF"/>
              </w:rPr>
              <w:t>6. AFFIRMATIVE COVENANTS</w:t>
            </w:r>
          </w:p>
        </w:tc>
        <w:tc>
          <w:tcPr>
            <w:tcW w:w="320" w:type="dxa"/>
            <w:vAlign w:val="bottom"/>
            <w:gridSpan w:val="2"/>
          </w:tcPr>
          <w:p>
            <w:pPr>
              <w:jc w:val="right"/>
              <w:ind w:right="40"/>
              <w:spacing w:after="0"/>
              <w:rPr>
                <w:sz w:val="20"/>
                <w:szCs w:val="20"/>
                <w:color w:val="auto"/>
              </w:rPr>
            </w:pPr>
            <w:r>
              <w:rPr>
                <w:rFonts w:ascii="Arial" w:cs="Arial" w:eastAsia="Arial" w:hAnsi="Arial"/>
                <w:sz w:val="22"/>
                <w:szCs w:val="22"/>
                <w:color w:val="auto"/>
              </w:rPr>
              <w:t>97</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6"/>
        </w:trPr>
        <w:tc>
          <w:tcPr>
            <w:tcW w:w="960" w:type="dxa"/>
            <w:vAlign w:val="bottom"/>
            <w:tcBorders>
              <w:top w:val="single" w:sz="8" w:color="0000FF"/>
            </w:tcBorders>
            <w:gridSpan w:val="2"/>
          </w:tcPr>
          <w:p>
            <w:pPr>
              <w:jc w:val="right"/>
              <w:ind w:right="40"/>
              <w:spacing w:after="0" w:line="237" w:lineRule="exact"/>
              <w:rPr>
                <w:sz w:val="20"/>
                <w:szCs w:val="20"/>
                <w:color w:val="auto"/>
              </w:rPr>
            </w:pPr>
            <w:r>
              <w:rPr>
                <w:rFonts w:ascii="Arial" w:cs="Arial" w:eastAsia="Arial" w:hAnsi="Arial"/>
                <w:sz w:val="22"/>
                <w:szCs w:val="22"/>
                <w:color w:val="0000FF"/>
              </w:rPr>
              <w:t>6.</w:t>
            </w:r>
            <w:r>
              <w:rPr>
                <w:rFonts w:ascii="Arial" w:cs="Arial" w:eastAsia="Arial" w:hAnsi="Arial"/>
                <w:sz w:val="22"/>
                <w:szCs w:val="22"/>
                <w:u w:val="single" w:color="auto"/>
                <w:color w:val="0000FF"/>
              </w:rPr>
              <w:t>1</w:t>
            </w:r>
          </w:p>
        </w:tc>
        <w:tc>
          <w:tcPr>
            <w:tcW w:w="1820" w:type="dxa"/>
            <w:vAlign w:val="bottom"/>
            <w:tcBorders>
              <w:top w:val="single" w:sz="8" w:color="0000FF"/>
            </w:tcBorders>
            <w:gridSpan w:val="3"/>
          </w:tcPr>
          <w:p>
            <w:pPr>
              <w:ind w:left="20"/>
              <w:spacing w:after="0" w:line="237" w:lineRule="exact"/>
              <w:rPr>
                <w:sz w:val="20"/>
                <w:szCs w:val="20"/>
                <w:color w:val="auto"/>
              </w:rPr>
            </w:pPr>
            <w:r>
              <w:rPr>
                <w:rFonts w:ascii="Arial" w:cs="Arial" w:eastAsia="Arial" w:hAnsi="Arial"/>
                <w:sz w:val="22"/>
                <w:szCs w:val="22"/>
                <w:color w:val="0000FF"/>
                <w:w w:val="86"/>
              </w:rPr>
              <w:t>Financial Statements</w:t>
            </w:r>
          </w:p>
        </w:tc>
        <w:tc>
          <w:tcPr>
            <w:tcW w:w="880" w:type="dxa"/>
            <w:vAlign w:val="bottom"/>
            <w:tcBorders>
              <w:top w:val="single" w:sz="8" w:color="0000FF"/>
            </w:tcBorders>
            <w:gridSpan w:val="2"/>
          </w:tcPr>
          <w:p>
            <w:pPr>
              <w:ind w:left="220"/>
              <w:spacing w:after="0" w:line="237" w:lineRule="exact"/>
              <w:rPr>
                <w:sz w:val="20"/>
                <w:szCs w:val="20"/>
                <w:color w:val="auto"/>
              </w:rPr>
            </w:pPr>
            <w:r>
              <w:rPr>
                <w:rFonts w:ascii="Arial" w:cs="Arial" w:eastAsia="Arial" w:hAnsi="Arial"/>
                <w:sz w:val="22"/>
                <w:szCs w:val="22"/>
                <w:color w:val="auto"/>
              </w:rPr>
              <w:t>97</w:t>
            </w:r>
          </w:p>
        </w:tc>
        <w:tc>
          <w:tcPr>
            <w:tcW w:w="1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6.</w:t>
            </w:r>
            <w:r>
              <w:rPr>
                <w:rFonts w:ascii="Arial" w:cs="Arial" w:eastAsia="Arial" w:hAnsi="Arial"/>
                <w:sz w:val="22"/>
                <w:szCs w:val="22"/>
                <w:u w:val="single" w:color="auto"/>
                <w:color w:val="0000FF"/>
              </w:rPr>
              <w:t>2</w:t>
            </w:r>
          </w:p>
        </w:tc>
        <w:tc>
          <w:tcPr>
            <w:tcW w:w="2860" w:type="dxa"/>
            <w:vAlign w:val="bottom"/>
            <w:gridSpan w:val="6"/>
          </w:tcPr>
          <w:p>
            <w:pPr>
              <w:ind w:left="20"/>
              <w:spacing w:after="0" w:line="237" w:lineRule="exact"/>
              <w:rPr>
                <w:sz w:val="20"/>
                <w:szCs w:val="20"/>
                <w:color w:val="auto"/>
              </w:rPr>
            </w:pPr>
            <w:r>
              <w:rPr>
                <w:rFonts w:ascii="Arial" w:cs="Arial" w:eastAsia="Arial" w:hAnsi="Arial"/>
                <w:sz w:val="22"/>
                <w:szCs w:val="22"/>
                <w:color w:val="0000FF"/>
                <w:w w:val="96"/>
              </w:rPr>
              <w:t>Certificates; Other Information</w:t>
            </w:r>
          </w:p>
        </w:tc>
        <w:tc>
          <w:tcPr>
            <w:tcW w:w="320" w:type="dxa"/>
            <w:vAlign w:val="bottom"/>
            <w:gridSpan w:val="3"/>
          </w:tcPr>
          <w:p>
            <w:pPr>
              <w:jc w:val="right"/>
              <w:ind w:right="40"/>
              <w:spacing w:after="0" w:line="237" w:lineRule="exact"/>
              <w:rPr>
                <w:sz w:val="20"/>
                <w:szCs w:val="20"/>
                <w:color w:val="auto"/>
              </w:rPr>
            </w:pPr>
            <w:r>
              <w:rPr>
                <w:rFonts w:ascii="Arial" w:cs="Arial" w:eastAsia="Arial" w:hAnsi="Arial"/>
                <w:sz w:val="22"/>
                <w:szCs w:val="22"/>
                <w:color w:val="auto"/>
              </w:rPr>
              <w:t>98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6.</w:t>
            </w:r>
            <w:r>
              <w:rPr>
                <w:rFonts w:ascii="Arial" w:cs="Arial" w:eastAsia="Arial" w:hAnsi="Arial"/>
                <w:sz w:val="22"/>
                <w:szCs w:val="22"/>
                <w:u w:val="single" w:color="auto"/>
                <w:color w:val="0000FF"/>
              </w:rPr>
              <w:t>3</w:t>
            </w:r>
          </w:p>
        </w:tc>
        <w:tc>
          <w:tcPr>
            <w:tcW w:w="2860" w:type="dxa"/>
            <w:vAlign w:val="bottom"/>
            <w:gridSpan w:val="6"/>
          </w:tcPr>
          <w:p>
            <w:pPr>
              <w:ind w:left="20"/>
              <w:spacing w:after="0" w:line="237" w:lineRule="exact"/>
              <w:rPr>
                <w:sz w:val="20"/>
                <w:szCs w:val="20"/>
                <w:color w:val="auto"/>
              </w:rPr>
            </w:pPr>
            <w:r>
              <w:rPr>
                <w:rFonts w:ascii="Arial" w:cs="Arial" w:eastAsia="Arial" w:hAnsi="Arial"/>
                <w:sz w:val="22"/>
                <w:szCs w:val="22"/>
                <w:color w:val="0000FF"/>
              </w:rPr>
              <w:t xml:space="preserve">Payment of Obligations  </w:t>
            </w:r>
            <w:r>
              <w:rPr>
                <w:rFonts w:ascii="Arial" w:cs="Arial" w:eastAsia="Arial" w:hAnsi="Arial"/>
                <w:sz w:val="22"/>
                <w:szCs w:val="22"/>
                <w:color w:val="000000"/>
              </w:rPr>
              <w:t>99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6.</w:t>
            </w:r>
            <w:r>
              <w:rPr>
                <w:rFonts w:ascii="Arial" w:cs="Arial" w:eastAsia="Arial" w:hAnsi="Arial"/>
                <w:sz w:val="22"/>
                <w:szCs w:val="22"/>
                <w:u w:val="single" w:color="auto"/>
                <w:color w:val="0000FF"/>
              </w:rPr>
              <w:t>4</w:t>
            </w:r>
          </w:p>
        </w:tc>
        <w:tc>
          <w:tcPr>
            <w:tcW w:w="6060" w:type="dxa"/>
            <w:vAlign w:val="bottom"/>
            <w:gridSpan w:val="15"/>
          </w:tcPr>
          <w:p>
            <w:pPr>
              <w:ind w:left="20"/>
              <w:spacing w:after="0" w:line="237" w:lineRule="exact"/>
              <w:rPr>
                <w:sz w:val="20"/>
                <w:szCs w:val="20"/>
                <w:color w:val="auto"/>
              </w:rPr>
            </w:pPr>
            <w:r>
              <w:rPr>
                <w:rFonts w:ascii="Arial" w:cs="Arial" w:eastAsia="Arial" w:hAnsi="Arial"/>
                <w:sz w:val="22"/>
                <w:szCs w:val="22"/>
                <w:color w:val="0000FF"/>
                <w:w w:val="90"/>
              </w:rPr>
              <w:t xml:space="preserve">Conduct of Business and Maintenance of Existence; Compliance  </w:t>
            </w:r>
            <w:r>
              <w:rPr>
                <w:rFonts w:ascii="Arial" w:cs="Arial" w:eastAsia="Arial" w:hAnsi="Arial"/>
                <w:sz w:val="22"/>
                <w:szCs w:val="22"/>
                <w:color w:val="000000"/>
                <w:w w:val="90"/>
              </w:rPr>
              <w:t>99</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6.</w:t>
            </w:r>
            <w:r>
              <w:rPr>
                <w:rFonts w:ascii="Arial" w:cs="Arial" w:eastAsia="Arial" w:hAnsi="Arial"/>
                <w:sz w:val="22"/>
                <w:szCs w:val="22"/>
                <w:u w:val="single" w:color="auto"/>
                <w:color w:val="0000FF"/>
              </w:rPr>
              <w:t>5</w:t>
            </w:r>
          </w:p>
        </w:tc>
        <w:tc>
          <w:tcPr>
            <w:tcW w:w="3180" w:type="dxa"/>
            <w:vAlign w:val="bottom"/>
            <w:gridSpan w:val="9"/>
          </w:tcPr>
          <w:p>
            <w:pPr>
              <w:ind w:left="20"/>
              <w:spacing w:after="0" w:line="237" w:lineRule="exact"/>
              <w:rPr>
                <w:sz w:val="20"/>
                <w:szCs w:val="20"/>
                <w:color w:val="auto"/>
              </w:rPr>
            </w:pPr>
            <w:r>
              <w:rPr>
                <w:rFonts w:ascii="Arial" w:cs="Arial" w:eastAsia="Arial" w:hAnsi="Arial"/>
                <w:sz w:val="22"/>
                <w:szCs w:val="22"/>
                <w:color w:val="0000FF"/>
                <w:w w:val="90"/>
              </w:rPr>
              <w:t>Maintenance of Property; Insurance</w:t>
            </w:r>
          </w:p>
        </w:tc>
        <w:tc>
          <w:tcPr>
            <w:tcW w:w="1720" w:type="dxa"/>
            <w:vAlign w:val="bottom"/>
            <w:gridSpan w:val="4"/>
          </w:tcPr>
          <w:p>
            <w:pPr>
              <w:jc w:val="right"/>
              <w:ind w:right="1132"/>
              <w:spacing w:after="0" w:line="237" w:lineRule="exact"/>
              <w:rPr>
                <w:sz w:val="20"/>
                <w:szCs w:val="20"/>
                <w:color w:val="auto"/>
              </w:rPr>
            </w:pPr>
            <w:r>
              <w:rPr>
                <w:rFonts w:ascii="Arial" w:cs="Arial" w:eastAsia="Arial" w:hAnsi="Arial"/>
                <w:sz w:val="22"/>
                <w:szCs w:val="22"/>
                <w:color w:val="auto"/>
              </w:rPr>
              <w:t>100</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36"/>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6.</w:t>
            </w:r>
            <w:r>
              <w:rPr>
                <w:rFonts w:ascii="Arial" w:cs="Arial" w:eastAsia="Arial" w:hAnsi="Arial"/>
                <w:sz w:val="22"/>
                <w:szCs w:val="22"/>
                <w:u w:val="single" w:color="auto"/>
                <w:color w:val="0000FF"/>
              </w:rPr>
              <w:t>6</w:t>
            </w:r>
          </w:p>
        </w:tc>
        <w:tc>
          <w:tcPr>
            <w:tcW w:w="6060" w:type="dxa"/>
            <w:vAlign w:val="bottom"/>
            <w:gridSpan w:val="15"/>
          </w:tcPr>
          <w:p>
            <w:pPr>
              <w:ind w:left="20"/>
              <w:spacing w:after="0" w:line="237" w:lineRule="exact"/>
              <w:rPr>
                <w:sz w:val="20"/>
                <w:szCs w:val="20"/>
                <w:color w:val="auto"/>
              </w:rPr>
            </w:pPr>
            <w:r>
              <w:rPr>
                <w:rFonts w:ascii="Arial" w:cs="Arial" w:eastAsia="Arial" w:hAnsi="Arial"/>
                <w:sz w:val="22"/>
                <w:szCs w:val="22"/>
                <w:color w:val="0000FF"/>
              </w:rPr>
              <w:t xml:space="preserve">Inspection of Property; Books and Records; Discussions  </w:t>
            </w:r>
            <w:r>
              <w:rPr>
                <w:rFonts w:ascii="Arial" w:cs="Arial" w:eastAsia="Arial" w:hAnsi="Arial"/>
                <w:sz w:val="22"/>
                <w:szCs w:val="22"/>
                <w:color w:val="000000"/>
              </w:rPr>
              <w:t>100</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6.</w:t>
            </w:r>
            <w:r>
              <w:rPr>
                <w:rFonts w:ascii="Arial" w:cs="Arial" w:eastAsia="Arial" w:hAnsi="Arial"/>
                <w:sz w:val="22"/>
                <w:szCs w:val="22"/>
                <w:u w:val="single" w:color="auto"/>
                <w:color w:val="0000FF"/>
              </w:rPr>
              <w:t>7</w:t>
            </w:r>
          </w:p>
        </w:tc>
        <w:tc>
          <w:tcPr>
            <w:tcW w:w="1820" w:type="dxa"/>
            <w:vAlign w:val="bottom"/>
            <w:gridSpan w:val="3"/>
          </w:tcPr>
          <w:p>
            <w:pPr>
              <w:ind w:left="20"/>
              <w:spacing w:after="0" w:line="237" w:lineRule="exact"/>
              <w:rPr>
                <w:sz w:val="20"/>
                <w:szCs w:val="20"/>
                <w:color w:val="auto"/>
              </w:rPr>
            </w:pPr>
            <w:r>
              <w:rPr>
                <w:rFonts w:ascii="Arial" w:cs="Arial" w:eastAsia="Arial" w:hAnsi="Arial"/>
                <w:sz w:val="22"/>
                <w:szCs w:val="22"/>
                <w:color w:val="0000FF"/>
              </w:rPr>
              <w:t xml:space="preserve">Notices  </w:t>
            </w:r>
            <w:r>
              <w:rPr>
                <w:rFonts w:ascii="Arial" w:cs="Arial" w:eastAsia="Arial" w:hAnsi="Arial"/>
                <w:sz w:val="22"/>
                <w:szCs w:val="22"/>
                <w:color w:val="000000"/>
              </w:rPr>
              <w:t>101</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6.</w:t>
            </w:r>
            <w:r>
              <w:rPr>
                <w:rFonts w:ascii="Arial" w:cs="Arial" w:eastAsia="Arial" w:hAnsi="Arial"/>
                <w:sz w:val="22"/>
                <w:szCs w:val="22"/>
                <w:u w:val="single" w:color="auto"/>
                <w:color w:val="0000FF"/>
              </w:rPr>
              <w:t>8</w:t>
            </w:r>
          </w:p>
        </w:tc>
        <w:tc>
          <w:tcPr>
            <w:tcW w:w="1820" w:type="dxa"/>
            <w:vAlign w:val="bottom"/>
            <w:gridSpan w:val="3"/>
          </w:tcPr>
          <w:p>
            <w:pPr>
              <w:ind w:left="20"/>
              <w:spacing w:after="0" w:line="237" w:lineRule="exact"/>
              <w:rPr>
                <w:sz w:val="20"/>
                <w:szCs w:val="20"/>
                <w:color w:val="auto"/>
              </w:rPr>
            </w:pPr>
            <w:r>
              <w:rPr>
                <w:rFonts w:ascii="Arial" w:cs="Arial" w:eastAsia="Arial" w:hAnsi="Arial"/>
                <w:sz w:val="22"/>
                <w:szCs w:val="22"/>
                <w:color w:val="0000FF"/>
                <w:w w:val="89"/>
              </w:rPr>
              <w:t>Environmental Laws</w:t>
            </w:r>
          </w:p>
        </w:tc>
        <w:tc>
          <w:tcPr>
            <w:tcW w:w="880" w:type="dxa"/>
            <w:vAlign w:val="bottom"/>
            <w:gridSpan w:val="2"/>
          </w:tcPr>
          <w:p>
            <w:pPr>
              <w:ind w:left="220"/>
              <w:spacing w:after="0" w:line="237" w:lineRule="exact"/>
              <w:rPr>
                <w:sz w:val="20"/>
                <w:szCs w:val="20"/>
                <w:color w:val="auto"/>
              </w:rPr>
            </w:pPr>
            <w:r>
              <w:rPr>
                <w:rFonts w:ascii="Arial" w:cs="Arial" w:eastAsia="Arial" w:hAnsi="Arial"/>
                <w:sz w:val="22"/>
                <w:szCs w:val="22"/>
                <w:color w:val="auto"/>
              </w:rPr>
              <w:t>102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6"/>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6.</w:t>
            </w:r>
            <w:r>
              <w:rPr>
                <w:rFonts w:ascii="Arial" w:cs="Arial" w:eastAsia="Arial" w:hAnsi="Arial"/>
                <w:sz w:val="22"/>
                <w:szCs w:val="22"/>
                <w:u w:val="single" w:color="auto"/>
                <w:color w:val="0000FF"/>
              </w:rPr>
              <w:t>9</w:t>
            </w:r>
          </w:p>
        </w:tc>
        <w:tc>
          <w:tcPr>
            <w:tcW w:w="1820" w:type="dxa"/>
            <w:vAlign w:val="bottom"/>
            <w:gridSpan w:val="3"/>
          </w:tcPr>
          <w:p>
            <w:pPr>
              <w:ind w:left="20"/>
              <w:spacing w:after="0" w:line="237" w:lineRule="exact"/>
              <w:rPr>
                <w:sz w:val="20"/>
                <w:szCs w:val="20"/>
                <w:color w:val="auto"/>
              </w:rPr>
            </w:pPr>
            <w:r>
              <w:rPr>
                <w:rFonts w:ascii="Arial" w:cs="Arial" w:eastAsia="Arial" w:hAnsi="Arial"/>
                <w:sz w:val="22"/>
                <w:szCs w:val="22"/>
                <w:color w:val="0000FF"/>
              </w:rPr>
              <w:t xml:space="preserve">[Reserved]  </w:t>
            </w:r>
            <w:r>
              <w:rPr>
                <w:rFonts w:ascii="Arial" w:cs="Arial" w:eastAsia="Arial" w:hAnsi="Arial"/>
                <w:sz w:val="22"/>
                <w:szCs w:val="22"/>
                <w:color w:val="000000"/>
              </w:rPr>
              <w:t>102</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22"/>
          <w:szCs w:val="22"/>
          <w:color w:val="FF0000"/>
          <w:strike w:val="1"/>
        </w:rPr>
        <w:t>2</w:t>
      </w:r>
    </w:p>
    <w:p>
      <w:pPr>
        <w:sectPr>
          <w:pgSz w:w="11900" w:h="16838" w:orient="portrait"/>
          <w:cols w:equalWidth="0" w:num="1">
            <w:col w:w="10139"/>
          </w:cols>
          <w:pgMar w:left="320" w:top="1399"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1"/>
                <w:szCs w:val="21"/>
                <w:color w:val="auto"/>
              </w:rPr>
            </w:pPr>
          </w:p>
        </w:tc>
        <w:tc>
          <w:tcPr>
            <w:tcW w:w="4400" w:type="dxa"/>
            <w:vAlign w:val="bottom"/>
            <w:tcBorders>
              <w:bottom w:val="single" w:sz="8" w:color="0000FF"/>
            </w:tcBorders>
            <w:gridSpan w:val="13"/>
          </w:tcPr>
          <w:p>
            <w:pPr>
              <w:spacing w:after="0"/>
              <w:rPr>
                <w:sz w:val="20"/>
                <w:szCs w:val="20"/>
                <w:color w:val="auto"/>
              </w:rPr>
            </w:pPr>
            <w:r>
              <w:rPr>
                <w:rFonts w:ascii="Arial" w:cs="Arial" w:eastAsia="Arial" w:hAnsi="Arial"/>
                <w:sz w:val="22"/>
                <w:szCs w:val="22"/>
                <w:color w:val="0000FF"/>
                <w:w w:val="89"/>
              </w:rPr>
              <w:t>6.</w:t>
            </w:r>
            <w:r>
              <w:rPr>
                <w:rFonts w:ascii="Arial" w:cs="Arial" w:eastAsia="Arial" w:hAnsi="Arial"/>
                <w:sz w:val="22"/>
                <w:szCs w:val="22"/>
                <w:u w:val="single" w:color="auto"/>
                <w:color w:val="0000FF"/>
                <w:w w:val="89"/>
              </w:rPr>
              <w:t>10</w:t>
            </w:r>
            <w:r>
              <w:rPr>
                <w:rFonts w:ascii="Arial" w:cs="Arial" w:eastAsia="Arial" w:hAnsi="Arial"/>
                <w:sz w:val="22"/>
                <w:szCs w:val="22"/>
                <w:color w:val="0000FF"/>
                <w:w w:val="89"/>
              </w:rPr>
              <w:t xml:space="preserve"> Additional Collateral, Further Assurances, etc</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453"/>
        </w:trPr>
        <w:tc>
          <w:tcPr>
            <w:tcW w:w="3620" w:type="dxa"/>
            <w:vAlign w:val="bottom"/>
            <w:tcBorders>
              <w:bottom w:val="single" w:sz="8" w:color="0000FF"/>
            </w:tcBorders>
            <w:gridSpan w:val="9"/>
          </w:tcPr>
          <w:p>
            <w:pPr>
              <w:spacing w:after="0"/>
              <w:rPr>
                <w:sz w:val="20"/>
                <w:szCs w:val="20"/>
                <w:color w:val="auto"/>
              </w:rPr>
            </w:pPr>
            <w:r>
              <w:rPr>
                <w:rFonts w:ascii="Arial" w:cs="Arial" w:eastAsia="Arial" w:hAnsi="Arial"/>
                <w:sz w:val="22"/>
                <w:szCs w:val="22"/>
                <w:color w:val="0000FF"/>
                <w:w w:val="94"/>
              </w:rPr>
              <w:t>SECTION 7. NEGATIVE COVENANTS</w:t>
            </w:r>
          </w:p>
        </w:tc>
        <w:tc>
          <w:tcPr>
            <w:tcW w:w="180" w:type="dxa"/>
            <w:vAlign w:val="bottom"/>
          </w:tcPr>
          <w:p>
            <w:pPr>
              <w:spacing w:after="0"/>
              <w:rPr>
                <w:sz w:val="24"/>
                <w:szCs w:val="24"/>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22"/>
                <w:szCs w:val="22"/>
                <w:color w:val="auto"/>
                <w:w w:val="92"/>
              </w:rPr>
              <w:t>104</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7.</w:t>
            </w:r>
            <w:r>
              <w:rPr>
                <w:rFonts w:ascii="Arial" w:cs="Arial" w:eastAsia="Arial" w:hAnsi="Arial"/>
                <w:sz w:val="22"/>
                <w:szCs w:val="22"/>
                <w:u w:val="single" w:color="auto"/>
                <w:color w:val="0000FF"/>
                <w:w w:val="91"/>
              </w:rPr>
              <w:t>1</w:t>
            </w:r>
          </w:p>
        </w:tc>
        <w:tc>
          <w:tcPr>
            <w:tcW w:w="2840" w:type="dxa"/>
            <w:vAlign w:val="bottom"/>
            <w:gridSpan w:val="8"/>
          </w:tcPr>
          <w:p>
            <w:pPr>
              <w:ind w:left="20"/>
              <w:spacing w:after="0" w:line="237" w:lineRule="exact"/>
              <w:rPr>
                <w:sz w:val="20"/>
                <w:szCs w:val="20"/>
                <w:color w:val="auto"/>
              </w:rPr>
            </w:pPr>
            <w:r>
              <w:rPr>
                <w:rFonts w:ascii="Arial" w:cs="Arial" w:eastAsia="Arial" w:hAnsi="Arial"/>
                <w:sz w:val="22"/>
                <w:szCs w:val="22"/>
                <w:color w:val="0000FF"/>
                <w:w w:val="97"/>
              </w:rPr>
              <w:t>Financial Condition Covenant</w:t>
            </w:r>
          </w:p>
        </w:tc>
        <w:tc>
          <w:tcPr>
            <w:tcW w:w="340" w:type="dxa"/>
            <w:vAlign w:val="bottom"/>
            <w:gridSpan w:val="2"/>
          </w:tcPr>
          <w:p>
            <w:pPr>
              <w:jc w:val="right"/>
              <w:ind w:right="20"/>
              <w:spacing w:after="0" w:line="237" w:lineRule="exact"/>
              <w:rPr>
                <w:sz w:val="20"/>
                <w:szCs w:val="20"/>
                <w:color w:val="auto"/>
              </w:rPr>
            </w:pPr>
            <w:r>
              <w:rPr>
                <w:rFonts w:ascii="Arial" w:cs="Arial" w:eastAsia="Arial" w:hAnsi="Arial"/>
                <w:sz w:val="22"/>
                <w:szCs w:val="22"/>
                <w:color w:val="auto"/>
                <w:w w:val="81"/>
              </w:rPr>
              <w:t>104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7.</w:t>
            </w:r>
            <w:r>
              <w:rPr>
                <w:rFonts w:ascii="Arial" w:cs="Arial" w:eastAsia="Arial" w:hAnsi="Arial"/>
                <w:sz w:val="22"/>
                <w:szCs w:val="22"/>
                <w:u w:val="single" w:color="auto"/>
                <w:color w:val="0000FF"/>
                <w:w w:val="91"/>
              </w:rPr>
              <w:t>2</w:t>
            </w:r>
          </w:p>
        </w:tc>
        <w:tc>
          <w:tcPr>
            <w:tcW w:w="2440" w:type="dxa"/>
            <w:vAlign w:val="bottom"/>
            <w:gridSpan w:val="5"/>
          </w:tcPr>
          <w:p>
            <w:pPr>
              <w:ind w:left="20"/>
              <w:spacing w:after="0" w:line="237" w:lineRule="exact"/>
              <w:rPr>
                <w:sz w:val="20"/>
                <w:szCs w:val="20"/>
                <w:color w:val="auto"/>
              </w:rPr>
            </w:pPr>
            <w:r>
              <w:rPr>
                <w:rFonts w:ascii="Arial" w:cs="Arial" w:eastAsia="Arial" w:hAnsi="Arial"/>
                <w:sz w:val="22"/>
                <w:szCs w:val="22"/>
                <w:color w:val="0000FF"/>
                <w:w w:val="91"/>
              </w:rPr>
              <w:t>Limitation on Indebtedness</w:t>
            </w:r>
          </w:p>
        </w:tc>
        <w:tc>
          <w:tcPr>
            <w:tcW w:w="580" w:type="dxa"/>
            <w:vAlign w:val="bottom"/>
            <w:gridSpan w:val="4"/>
          </w:tcPr>
          <w:p>
            <w:pPr>
              <w:jc w:val="right"/>
              <w:spacing w:after="0" w:line="237" w:lineRule="exact"/>
              <w:rPr>
                <w:sz w:val="20"/>
                <w:szCs w:val="20"/>
                <w:color w:val="auto"/>
              </w:rPr>
            </w:pPr>
            <w:r>
              <w:rPr>
                <w:rFonts w:ascii="Arial" w:cs="Arial" w:eastAsia="Arial" w:hAnsi="Arial"/>
                <w:sz w:val="22"/>
                <w:szCs w:val="22"/>
                <w:color w:val="auto"/>
              </w:rPr>
              <w:t>105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7.</w:t>
            </w:r>
            <w:r>
              <w:rPr>
                <w:rFonts w:ascii="Arial" w:cs="Arial" w:eastAsia="Arial" w:hAnsi="Arial"/>
                <w:sz w:val="22"/>
                <w:szCs w:val="22"/>
                <w:u w:val="single" w:color="auto"/>
                <w:color w:val="0000FF"/>
                <w:w w:val="91"/>
              </w:rPr>
              <w:t>3</w:t>
            </w:r>
          </w:p>
        </w:tc>
        <w:tc>
          <w:tcPr>
            <w:tcW w:w="2440" w:type="dxa"/>
            <w:vAlign w:val="bottom"/>
            <w:gridSpan w:val="5"/>
          </w:tcPr>
          <w:p>
            <w:pPr>
              <w:ind w:left="20"/>
              <w:spacing w:after="0" w:line="237" w:lineRule="exact"/>
              <w:rPr>
                <w:sz w:val="20"/>
                <w:szCs w:val="20"/>
                <w:color w:val="auto"/>
              </w:rPr>
            </w:pPr>
            <w:r>
              <w:rPr>
                <w:rFonts w:ascii="Arial" w:cs="Arial" w:eastAsia="Arial" w:hAnsi="Arial"/>
                <w:sz w:val="22"/>
                <w:szCs w:val="22"/>
                <w:color w:val="0000FF"/>
              </w:rPr>
              <w:t xml:space="preserve">Limitation on Liens  </w:t>
            </w:r>
            <w:r>
              <w:rPr>
                <w:rFonts w:ascii="Arial" w:cs="Arial" w:eastAsia="Arial" w:hAnsi="Arial"/>
                <w:sz w:val="22"/>
                <w:szCs w:val="22"/>
                <w:color w:val="000000"/>
              </w:rPr>
              <w:t>107</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7.</w:t>
            </w:r>
            <w:r>
              <w:rPr>
                <w:rFonts w:ascii="Arial" w:cs="Arial" w:eastAsia="Arial" w:hAnsi="Arial"/>
                <w:sz w:val="22"/>
                <w:szCs w:val="22"/>
                <w:u w:val="single" w:color="auto"/>
                <w:color w:val="0000FF"/>
                <w:w w:val="91"/>
              </w:rPr>
              <w:t>4</w:t>
            </w:r>
          </w:p>
        </w:tc>
        <w:tc>
          <w:tcPr>
            <w:tcW w:w="3280" w:type="dxa"/>
            <w:vAlign w:val="bottom"/>
            <w:gridSpan w:val="11"/>
          </w:tcPr>
          <w:p>
            <w:pPr>
              <w:ind w:left="20"/>
              <w:spacing w:after="0" w:line="237" w:lineRule="exact"/>
              <w:rPr>
                <w:sz w:val="20"/>
                <w:szCs w:val="20"/>
                <w:color w:val="auto"/>
              </w:rPr>
            </w:pPr>
            <w:r>
              <w:rPr>
                <w:rFonts w:ascii="Arial" w:cs="Arial" w:eastAsia="Arial" w:hAnsi="Arial"/>
                <w:sz w:val="22"/>
                <w:szCs w:val="22"/>
                <w:color w:val="0000FF"/>
                <w:w w:val="91"/>
              </w:rPr>
              <w:t>Limitation on Fundamental Changes</w:t>
            </w:r>
          </w:p>
        </w:tc>
        <w:tc>
          <w:tcPr>
            <w:tcW w:w="820" w:type="dxa"/>
            <w:vAlign w:val="bottom"/>
          </w:tcPr>
          <w:p>
            <w:pPr>
              <w:jc w:val="right"/>
              <w:ind w:right="272"/>
              <w:spacing w:after="0" w:line="237" w:lineRule="exact"/>
              <w:rPr>
                <w:sz w:val="20"/>
                <w:szCs w:val="20"/>
                <w:color w:val="auto"/>
              </w:rPr>
            </w:pPr>
            <w:r>
              <w:rPr>
                <w:rFonts w:ascii="Arial" w:cs="Arial" w:eastAsia="Arial" w:hAnsi="Arial"/>
                <w:sz w:val="22"/>
                <w:szCs w:val="22"/>
                <w:color w:val="auto"/>
              </w:rPr>
              <w:t>110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7.</w:t>
            </w:r>
            <w:r>
              <w:rPr>
                <w:rFonts w:ascii="Arial" w:cs="Arial" w:eastAsia="Arial" w:hAnsi="Arial"/>
                <w:sz w:val="22"/>
                <w:szCs w:val="22"/>
                <w:u w:val="single" w:color="auto"/>
                <w:color w:val="0000FF"/>
                <w:w w:val="91"/>
              </w:rPr>
              <w:t>5</w:t>
            </w:r>
          </w:p>
        </w:tc>
        <w:tc>
          <w:tcPr>
            <w:tcW w:w="3280" w:type="dxa"/>
            <w:vAlign w:val="bottom"/>
            <w:gridSpan w:val="11"/>
          </w:tcPr>
          <w:p>
            <w:pPr>
              <w:ind w:left="20"/>
              <w:spacing w:after="0" w:line="237" w:lineRule="exact"/>
              <w:rPr>
                <w:sz w:val="20"/>
                <w:szCs w:val="20"/>
                <w:color w:val="auto"/>
              </w:rPr>
            </w:pPr>
            <w:r>
              <w:rPr>
                <w:rFonts w:ascii="Arial" w:cs="Arial" w:eastAsia="Arial" w:hAnsi="Arial"/>
                <w:sz w:val="22"/>
                <w:szCs w:val="22"/>
                <w:color w:val="0000FF"/>
                <w:w w:val="91"/>
              </w:rPr>
              <w:t>Limitation on Disposition of Property</w:t>
            </w:r>
          </w:p>
        </w:tc>
        <w:tc>
          <w:tcPr>
            <w:tcW w:w="820" w:type="dxa"/>
            <w:vAlign w:val="bottom"/>
          </w:tcPr>
          <w:p>
            <w:pPr>
              <w:jc w:val="right"/>
              <w:ind w:right="172"/>
              <w:spacing w:after="0" w:line="237" w:lineRule="exact"/>
              <w:rPr>
                <w:sz w:val="20"/>
                <w:szCs w:val="20"/>
                <w:color w:val="auto"/>
              </w:rPr>
            </w:pPr>
            <w:r>
              <w:rPr>
                <w:rFonts w:ascii="Arial" w:cs="Arial" w:eastAsia="Arial" w:hAnsi="Arial"/>
                <w:sz w:val="22"/>
                <w:szCs w:val="22"/>
                <w:color w:val="auto"/>
              </w:rPr>
              <w:t>110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7.</w:t>
            </w:r>
            <w:r>
              <w:rPr>
                <w:rFonts w:ascii="Arial" w:cs="Arial" w:eastAsia="Arial" w:hAnsi="Arial"/>
                <w:sz w:val="22"/>
                <w:szCs w:val="22"/>
                <w:u w:val="single" w:color="auto"/>
                <w:color w:val="0000FF"/>
                <w:w w:val="91"/>
              </w:rPr>
              <w:t>6</w:t>
            </w:r>
          </w:p>
        </w:tc>
        <w:tc>
          <w:tcPr>
            <w:tcW w:w="4220" w:type="dxa"/>
            <w:vAlign w:val="bottom"/>
            <w:gridSpan w:val="13"/>
          </w:tcPr>
          <w:p>
            <w:pPr>
              <w:ind w:left="20"/>
              <w:spacing w:after="0" w:line="237" w:lineRule="exact"/>
              <w:rPr>
                <w:sz w:val="20"/>
                <w:szCs w:val="20"/>
                <w:color w:val="auto"/>
              </w:rPr>
            </w:pPr>
            <w:r>
              <w:rPr>
                <w:rFonts w:ascii="Arial" w:cs="Arial" w:eastAsia="Arial" w:hAnsi="Arial"/>
                <w:sz w:val="22"/>
                <w:szCs w:val="22"/>
                <w:color w:val="0000FF"/>
              </w:rPr>
              <w:t xml:space="preserve">Limitation on Restricted Payments  </w:t>
            </w:r>
            <w:r>
              <w:rPr>
                <w:rFonts w:ascii="Arial" w:cs="Arial" w:eastAsia="Arial" w:hAnsi="Arial"/>
                <w:sz w:val="22"/>
                <w:szCs w:val="22"/>
                <w:color w:val="000000"/>
              </w:rPr>
              <w:t>112</w:t>
            </w:r>
          </w:p>
        </w:tc>
        <w:tc>
          <w:tcPr>
            <w:tcW w:w="5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6"/>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7.</w:t>
            </w:r>
            <w:r>
              <w:rPr>
                <w:rFonts w:ascii="Arial" w:cs="Arial" w:eastAsia="Arial" w:hAnsi="Arial"/>
                <w:sz w:val="22"/>
                <w:szCs w:val="22"/>
                <w:u w:val="single" w:color="auto"/>
                <w:color w:val="0000FF"/>
                <w:w w:val="91"/>
              </w:rPr>
              <w:t>7</w:t>
            </w:r>
          </w:p>
        </w:tc>
        <w:tc>
          <w:tcPr>
            <w:tcW w:w="2440" w:type="dxa"/>
            <w:vAlign w:val="bottom"/>
            <w:gridSpan w:val="5"/>
          </w:tcPr>
          <w:p>
            <w:pPr>
              <w:ind w:left="20"/>
              <w:spacing w:after="0" w:line="237" w:lineRule="exact"/>
              <w:rPr>
                <w:sz w:val="20"/>
                <w:szCs w:val="20"/>
                <w:color w:val="auto"/>
              </w:rPr>
            </w:pPr>
            <w:r>
              <w:rPr>
                <w:rFonts w:ascii="Arial" w:cs="Arial" w:eastAsia="Arial" w:hAnsi="Arial"/>
                <w:sz w:val="22"/>
                <w:szCs w:val="22"/>
                <w:color w:val="0000FF"/>
              </w:rPr>
              <w:t xml:space="preserve">[Reserved]  </w:t>
            </w:r>
            <w:r>
              <w:rPr>
                <w:rFonts w:ascii="Arial" w:cs="Arial" w:eastAsia="Arial" w:hAnsi="Arial"/>
                <w:sz w:val="22"/>
                <w:szCs w:val="22"/>
                <w:color w:val="000000"/>
              </w:rPr>
              <w:t>113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7.</w:t>
            </w:r>
            <w:r>
              <w:rPr>
                <w:rFonts w:ascii="Arial" w:cs="Arial" w:eastAsia="Arial" w:hAnsi="Arial"/>
                <w:sz w:val="22"/>
                <w:szCs w:val="22"/>
                <w:u w:val="single" w:color="auto"/>
                <w:color w:val="0000FF"/>
                <w:w w:val="91"/>
              </w:rPr>
              <w:t>8</w:t>
            </w:r>
          </w:p>
        </w:tc>
        <w:tc>
          <w:tcPr>
            <w:tcW w:w="2440" w:type="dxa"/>
            <w:vAlign w:val="bottom"/>
            <w:gridSpan w:val="5"/>
          </w:tcPr>
          <w:p>
            <w:pPr>
              <w:ind w:left="20"/>
              <w:spacing w:after="0" w:line="237" w:lineRule="exact"/>
              <w:rPr>
                <w:sz w:val="20"/>
                <w:szCs w:val="20"/>
                <w:color w:val="auto"/>
              </w:rPr>
            </w:pPr>
            <w:r>
              <w:rPr>
                <w:rFonts w:ascii="Arial" w:cs="Arial" w:eastAsia="Arial" w:hAnsi="Arial"/>
                <w:sz w:val="22"/>
                <w:szCs w:val="22"/>
                <w:color w:val="0000FF"/>
                <w:w w:val="96"/>
              </w:rPr>
              <w:t>Limitation on Investments</w:t>
            </w:r>
          </w:p>
        </w:tc>
        <w:tc>
          <w:tcPr>
            <w:tcW w:w="400" w:type="dxa"/>
            <w:vAlign w:val="bottom"/>
            <w:gridSpan w:val="3"/>
          </w:tcPr>
          <w:p>
            <w:pPr>
              <w:jc w:val="right"/>
              <w:spacing w:after="0" w:line="237" w:lineRule="exact"/>
              <w:rPr>
                <w:sz w:val="20"/>
                <w:szCs w:val="20"/>
                <w:color w:val="auto"/>
              </w:rPr>
            </w:pPr>
            <w:r>
              <w:rPr>
                <w:rFonts w:ascii="Arial" w:cs="Arial" w:eastAsia="Arial" w:hAnsi="Arial"/>
                <w:sz w:val="22"/>
                <w:szCs w:val="22"/>
                <w:color w:val="auto"/>
              </w:rPr>
              <w:t>113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192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9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91"/>
              </w:rPr>
              <w:t>7.</w:t>
            </w:r>
            <w:r>
              <w:rPr>
                <w:rFonts w:ascii="Arial" w:cs="Arial" w:eastAsia="Arial" w:hAnsi="Arial"/>
                <w:sz w:val="22"/>
                <w:szCs w:val="22"/>
                <w:u w:val="single" w:color="auto"/>
                <w:color w:val="0000FF"/>
                <w:w w:val="91"/>
              </w:rPr>
              <w:t>9</w:t>
            </w:r>
          </w:p>
        </w:tc>
        <w:tc>
          <w:tcPr>
            <w:tcW w:w="4220" w:type="dxa"/>
            <w:vAlign w:val="bottom"/>
            <w:gridSpan w:val="13"/>
          </w:tcPr>
          <w:p>
            <w:pPr>
              <w:ind w:left="20"/>
              <w:spacing w:after="0" w:line="237" w:lineRule="exact"/>
              <w:rPr>
                <w:sz w:val="20"/>
                <w:szCs w:val="20"/>
                <w:color w:val="auto"/>
              </w:rPr>
            </w:pPr>
            <w:r>
              <w:rPr>
                <w:rFonts w:ascii="Arial" w:cs="Arial" w:eastAsia="Arial" w:hAnsi="Arial"/>
                <w:sz w:val="22"/>
                <w:szCs w:val="22"/>
                <w:color w:val="0000FF"/>
                <w:w w:val="90"/>
              </w:rPr>
              <w:t>Limitation on Amendments to Other Documents</w:t>
            </w:r>
          </w:p>
        </w:tc>
        <w:tc>
          <w:tcPr>
            <w:tcW w:w="520" w:type="dxa"/>
            <w:vAlign w:val="bottom"/>
          </w:tcPr>
          <w:p>
            <w:pPr>
              <w:jc w:val="right"/>
              <w:spacing w:after="0" w:line="237" w:lineRule="exact"/>
              <w:rPr>
                <w:sz w:val="20"/>
                <w:szCs w:val="20"/>
                <w:color w:val="auto"/>
              </w:rPr>
            </w:pPr>
            <w:r>
              <w:rPr>
                <w:rFonts w:ascii="Arial" w:cs="Arial" w:eastAsia="Arial" w:hAnsi="Arial"/>
                <w:sz w:val="22"/>
                <w:szCs w:val="22"/>
                <w:color w:val="auto"/>
              </w:rPr>
              <w:t>115</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00" w:type="dxa"/>
            <w:vAlign w:val="bottom"/>
          </w:tcPr>
          <w:p>
            <w:pPr>
              <w:spacing w:after="0" w:line="243" w:lineRule="exact"/>
              <w:rPr>
                <w:sz w:val="20"/>
                <w:szCs w:val="20"/>
                <w:color w:val="auto"/>
              </w:rPr>
            </w:pPr>
            <w:r>
              <w:rPr>
                <w:rFonts w:ascii="Arial" w:cs="Arial" w:eastAsia="Arial" w:hAnsi="Arial"/>
                <w:sz w:val="22"/>
                <w:szCs w:val="22"/>
                <w:color w:val="0000FF"/>
                <w:w w:val="88"/>
              </w:rPr>
              <w:t>7.</w:t>
            </w:r>
            <w:r>
              <w:rPr>
                <w:rFonts w:ascii="Arial" w:cs="Arial" w:eastAsia="Arial" w:hAnsi="Arial"/>
                <w:sz w:val="22"/>
                <w:szCs w:val="22"/>
                <w:u w:val="single" w:color="auto"/>
                <w:color w:val="0000FF"/>
                <w:w w:val="88"/>
              </w:rPr>
              <w:t>10</w:t>
            </w:r>
          </w:p>
        </w:tc>
        <w:tc>
          <w:tcPr>
            <w:tcW w:w="3700" w:type="dxa"/>
            <w:vAlign w:val="bottom"/>
            <w:gridSpan w:val="6"/>
          </w:tcPr>
          <w:p>
            <w:pPr>
              <w:ind w:left="20"/>
              <w:spacing w:after="0" w:line="243" w:lineRule="exact"/>
              <w:rPr>
                <w:sz w:val="20"/>
                <w:szCs w:val="20"/>
                <w:color w:val="auto"/>
              </w:rPr>
            </w:pPr>
            <w:r>
              <w:rPr>
                <w:rFonts w:ascii="Arial" w:cs="Arial" w:eastAsia="Arial" w:hAnsi="Arial"/>
                <w:sz w:val="22"/>
                <w:szCs w:val="22"/>
                <w:color w:val="0000FF"/>
                <w:w w:val="93"/>
              </w:rPr>
              <w:t>Limitation on Transactions with Affiliates</w:t>
            </w:r>
          </w:p>
        </w:tc>
        <w:tc>
          <w:tcPr>
            <w:tcW w:w="3600" w:type="dxa"/>
            <w:vAlign w:val="bottom"/>
            <w:gridSpan w:val="2"/>
          </w:tcPr>
          <w:p>
            <w:pPr>
              <w:jc w:val="right"/>
              <w:ind w:right="3100"/>
              <w:spacing w:after="0" w:line="243" w:lineRule="exact"/>
              <w:rPr>
                <w:sz w:val="20"/>
                <w:szCs w:val="20"/>
                <w:color w:val="auto"/>
              </w:rPr>
            </w:pPr>
            <w:r>
              <w:rPr>
                <w:rFonts w:ascii="Arial" w:cs="Arial" w:eastAsia="Arial" w:hAnsi="Arial"/>
                <w:sz w:val="22"/>
                <w:szCs w:val="22"/>
                <w:color w:val="auto"/>
              </w:rPr>
              <w:t>116</w:t>
            </w:r>
          </w:p>
        </w:tc>
        <w:tc>
          <w:tcPr>
            <w:tcW w:w="520" w:type="dxa"/>
            <w:vAlign w:val="bottom"/>
          </w:tcPr>
          <w:p>
            <w:pPr>
              <w:spacing w:after="0"/>
              <w:rPr>
                <w:sz w:val="21"/>
                <w:szCs w:val="21"/>
                <w:color w:val="auto"/>
              </w:rPr>
            </w:pPr>
          </w:p>
        </w:tc>
      </w:tr>
      <w:tr>
        <w:trPr>
          <w:trHeight w:val="237"/>
        </w:trPr>
        <w:tc>
          <w:tcPr>
            <w:tcW w:w="4060" w:type="dxa"/>
            <w:vAlign w:val="bottom"/>
            <w:tcBorders>
              <w:top w:val="single" w:sz="8" w:color="0000FF"/>
            </w:tcBorders>
            <w:gridSpan w:val="6"/>
          </w:tcPr>
          <w:p>
            <w:pPr>
              <w:spacing w:after="0" w:line="237" w:lineRule="exact"/>
              <w:rPr>
                <w:sz w:val="20"/>
                <w:szCs w:val="20"/>
                <w:color w:val="auto"/>
              </w:rPr>
            </w:pPr>
            <w:r>
              <w:rPr>
                <w:rFonts w:ascii="Arial" w:cs="Arial" w:eastAsia="Arial" w:hAnsi="Arial"/>
                <w:sz w:val="22"/>
                <w:szCs w:val="22"/>
                <w:color w:val="0000FF"/>
                <w:w w:val="89"/>
              </w:rPr>
              <w:t>7.</w:t>
            </w:r>
            <w:r>
              <w:rPr>
                <w:rFonts w:ascii="Arial" w:cs="Arial" w:eastAsia="Arial" w:hAnsi="Arial"/>
                <w:sz w:val="22"/>
                <w:szCs w:val="22"/>
                <w:u w:val="single" w:color="auto"/>
                <w:color w:val="0000FF"/>
                <w:w w:val="89"/>
              </w:rPr>
              <w:t>11</w:t>
            </w:r>
            <w:r>
              <w:rPr>
                <w:rFonts w:ascii="Arial" w:cs="Arial" w:eastAsia="Arial" w:hAnsi="Arial"/>
                <w:sz w:val="22"/>
                <w:szCs w:val="22"/>
                <w:color w:val="0000FF"/>
                <w:w w:val="89"/>
              </w:rPr>
              <w:t xml:space="preserve"> Limitation on Sales and Leasebacks  </w:t>
            </w:r>
            <w:r>
              <w:rPr>
                <w:rFonts w:ascii="Arial" w:cs="Arial" w:eastAsia="Arial" w:hAnsi="Arial"/>
                <w:sz w:val="22"/>
                <w:szCs w:val="22"/>
                <w:color w:val="000000"/>
                <w:w w:val="89"/>
              </w:rPr>
              <w:t>116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6"/>
        </w:trPr>
        <w:tc>
          <w:tcPr>
            <w:tcW w:w="400" w:type="dxa"/>
            <w:vAlign w:val="bottom"/>
          </w:tcPr>
          <w:p>
            <w:pPr>
              <w:spacing w:after="0" w:line="237" w:lineRule="exact"/>
              <w:rPr>
                <w:sz w:val="20"/>
                <w:szCs w:val="20"/>
                <w:color w:val="auto"/>
              </w:rPr>
            </w:pPr>
            <w:r>
              <w:rPr>
                <w:rFonts w:ascii="Arial" w:cs="Arial" w:eastAsia="Arial" w:hAnsi="Arial"/>
                <w:sz w:val="22"/>
                <w:szCs w:val="22"/>
                <w:color w:val="0000FF"/>
                <w:w w:val="88"/>
              </w:rPr>
              <w:t>7.</w:t>
            </w:r>
            <w:r>
              <w:rPr>
                <w:rFonts w:ascii="Arial" w:cs="Arial" w:eastAsia="Arial" w:hAnsi="Arial"/>
                <w:sz w:val="22"/>
                <w:szCs w:val="22"/>
                <w:u w:val="single" w:color="auto"/>
                <w:color w:val="0000FF"/>
                <w:w w:val="88"/>
              </w:rPr>
              <w:t>12</w:t>
            </w:r>
          </w:p>
        </w:tc>
        <w:tc>
          <w:tcPr>
            <w:tcW w:w="3700" w:type="dxa"/>
            <w:vAlign w:val="bottom"/>
            <w:gridSpan w:val="6"/>
          </w:tcPr>
          <w:p>
            <w:pPr>
              <w:ind w:left="20"/>
              <w:spacing w:after="0" w:line="237" w:lineRule="exact"/>
              <w:rPr>
                <w:sz w:val="20"/>
                <w:szCs w:val="20"/>
                <w:color w:val="auto"/>
              </w:rPr>
            </w:pPr>
            <w:r>
              <w:rPr>
                <w:rFonts w:ascii="Arial" w:cs="Arial" w:eastAsia="Arial" w:hAnsi="Arial"/>
                <w:sz w:val="22"/>
                <w:szCs w:val="22"/>
                <w:color w:val="0000FF"/>
                <w:w w:val="94"/>
              </w:rPr>
              <w:t>Limitation on Changes in Fiscal Periods</w:t>
            </w:r>
          </w:p>
        </w:tc>
        <w:tc>
          <w:tcPr>
            <w:tcW w:w="3600" w:type="dxa"/>
            <w:vAlign w:val="bottom"/>
            <w:gridSpan w:val="2"/>
          </w:tcPr>
          <w:p>
            <w:pPr>
              <w:jc w:val="right"/>
              <w:ind w:right="3260"/>
              <w:spacing w:after="0" w:line="237" w:lineRule="exact"/>
              <w:rPr>
                <w:sz w:val="20"/>
                <w:szCs w:val="20"/>
                <w:color w:val="auto"/>
              </w:rPr>
            </w:pPr>
            <w:r>
              <w:rPr>
                <w:rFonts w:ascii="Arial" w:cs="Arial" w:eastAsia="Arial" w:hAnsi="Arial"/>
                <w:sz w:val="22"/>
                <w:szCs w:val="22"/>
                <w:color w:val="auto"/>
                <w:w w:val="87"/>
              </w:rPr>
              <w:t>116</w:t>
            </w:r>
          </w:p>
        </w:tc>
        <w:tc>
          <w:tcPr>
            <w:tcW w:w="520" w:type="dxa"/>
            <w:vAlign w:val="bottom"/>
          </w:tcPr>
          <w:p>
            <w:pPr>
              <w:spacing w:after="0"/>
              <w:rPr>
                <w:sz w:val="20"/>
                <w:szCs w:val="20"/>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400" w:type="dxa"/>
            <w:vAlign w:val="bottom"/>
          </w:tcPr>
          <w:p>
            <w:pPr>
              <w:spacing w:after="0" w:line="237" w:lineRule="exact"/>
              <w:rPr>
                <w:sz w:val="20"/>
                <w:szCs w:val="20"/>
                <w:color w:val="auto"/>
              </w:rPr>
            </w:pPr>
            <w:r>
              <w:rPr>
                <w:rFonts w:ascii="Arial" w:cs="Arial" w:eastAsia="Arial" w:hAnsi="Arial"/>
                <w:sz w:val="22"/>
                <w:szCs w:val="22"/>
                <w:color w:val="0000FF"/>
                <w:w w:val="88"/>
              </w:rPr>
              <w:t>7.</w:t>
            </w:r>
            <w:r>
              <w:rPr>
                <w:rFonts w:ascii="Arial" w:cs="Arial" w:eastAsia="Arial" w:hAnsi="Arial"/>
                <w:sz w:val="22"/>
                <w:szCs w:val="22"/>
                <w:u w:val="single" w:color="auto"/>
                <w:color w:val="0000FF"/>
                <w:w w:val="88"/>
              </w:rPr>
              <w:t>13</w:t>
            </w:r>
          </w:p>
        </w:tc>
        <w:tc>
          <w:tcPr>
            <w:tcW w:w="7820" w:type="dxa"/>
            <w:vAlign w:val="bottom"/>
            <w:gridSpan w:val="9"/>
          </w:tcPr>
          <w:p>
            <w:pPr>
              <w:ind w:left="20"/>
              <w:spacing w:after="0" w:line="237" w:lineRule="exact"/>
              <w:rPr>
                <w:sz w:val="20"/>
                <w:szCs w:val="20"/>
                <w:color w:val="auto"/>
              </w:rPr>
            </w:pPr>
            <w:r>
              <w:rPr>
                <w:rFonts w:ascii="Arial" w:cs="Arial" w:eastAsia="Arial" w:hAnsi="Arial"/>
                <w:sz w:val="22"/>
                <w:szCs w:val="22"/>
                <w:color w:val="0000FF"/>
                <w:w w:val="90"/>
              </w:rPr>
              <w:t xml:space="preserve">Limitation on Negative Pledge Clauses and Restrictions on Subsidiary Distributions  </w:t>
            </w:r>
            <w:r>
              <w:rPr>
                <w:rFonts w:ascii="Arial" w:cs="Arial" w:eastAsia="Arial" w:hAnsi="Arial"/>
                <w:sz w:val="22"/>
                <w:szCs w:val="22"/>
                <w:color w:val="000000"/>
                <w:w w:val="90"/>
              </w:rPr>
              <w:t>116</w:t>
            </w:r>
          </w:p>
        </w:tc>
      </w:tr>
      <w:tr>
        <w:trPr>
          <w:trHeight w:val="237"/>
        </w:trPr>
        <w:tc>
          <w:tcPr>
            <w:tcW w:w="400" w:type="dxa"/>
            <w:vAlign w:val="bottom"/>
            <w:tcBorders>
              <w:top w:val="single" w:sz="8" w:color="0000FF"/>
            </w:tcBorders>
          </w:tcPr>
          <w:p>
            <w:pPr>
              <w:spacing w:after="0" w:line="237" w:lineRule="exact"/>
              <w:rPr>
                <w:sz w:val="20"/>
                <w:szCs w:val="20"/>
                <w:color w:val="auto"/>
              </w:rPr>
            </w:pPr>
            <w:r>
              <w:rPr>
                <w:rFonts w:ascii="Arial" w:cs="Arial" w:eastAsia="Arial" w:hAnsi="Arial"/>
                <w:sz w:val="22"/>
                <w:szCs w:val="22"/>
                <w:color w:val="0000FF"/>
                <w:w w:val="88"/>
              </w:rPr>
              <w:t>7.</w:t>
            </w:r>
            <w:r>
              <w:rPr>
                <w:rFonts w:ascii="Arial" w:cs="Arial" w:eastAsia="Arial" w:hAnsi="Arial"/>
                <w:sz w:val="22"/>
                <w:szCs w:val="22"/>
                <w:u w:val="single" w:color="auto"/>
                <w:color w:val="0000FF"/>
                <w:w w:val="88"/>
              </w:rPr>
              <w:t>14</w:t>
            </w:r>
          </w:p>
        </w:tc>
        <w:tc>
          <w:tcPr>
            <w:tcW w:w="3700" w:type="dxa"/>
            <w:vAlign w:val="bottom"/>
            <w:tcBorders>
              <w:top w:val="single" w:sz="8" w:color="0000FF"/>
            </w:tcBorders>
            <w:gridSpan w:val="6"/>
          </w:tcPr>
          <w:p>
            <w:pPr>
              <w:ind w:left="20"/>
              <w:spacing w:after="0" w:line="237" w:lineRule="exact"/>
              <w:rPr>
                <w:sz w:val="20"/>
                <w:szCs w:val="20"/>
                <w:color w:val="auto"/>
              </w:rPr>
            </w:pPr>
            <w:r>
              <w:rPr>
                <w:rFonts w:ascii="Arial" w:cs="Arial" w:eastAsia="Arial" w:hAnsi="Arial"/>
                <w:sz w:val="22"/>
                <w:szCs w:val="22"/>
                <w:color w:val="0000FF"/>
              </w:rPr>
              <w:t xml:space="preserve">[Reserved]  </w:t>
            </w:r>
            <w:r>
              <w:rPr>
                <w:rFonts w:ascii="Arial" w:cs="Arial" w:eastAsia="Arial" w:hAnsi="Arial"/>
                <w:sz w:val="22"/>
                <w:szCs w:val="22"/>
                <w:color w:val="000000"/>
              </w:rPr>
              <w:t>117</w:t>
            </w:r>
          </w:p>
        </w:tc>
        <w:tc>
          <w:tcPr>
            <w:tcW w:w="260" w:type="dxa"/>
            <w:vAlign w:val="bottom"/>
            <w:tcBorders>
              <w:top w:val="single" w:sz="8" w:color="0000FF"/>
            </w:tcBorders>
          </w:tcPr>
          <w:p>
            <w:pPr>
              <w:spacing w:after="0"/>
              <w:rPr>
                <w:sz w:val="20"/>
                <w:szCs w:val="20"/>
                <w:color w:val="auto"/>
              </w:rPr>
            </w:pPr>
          </w:p>
        </w:tc>
        <w:tc>
          <w:tcPr>
            <w:tcW w:w="3340" w:type="dxa"/>
            <w:vAlign w:val="bottom"/>
            <w:tcBorders>
              <w:top w:val="single" w:sz="8" w:color="0000FF"/>
            </w:tcBorders>
          </w:tcPr>
          <w:p>
            <w:pPr>
              <w:spacing w:after="0"/>
              <w:rPr>
                <w:sz w:val="20"/>
                <w:szCs w:val="20"/>
                <w:color w:val="auto"/>
              </w:rPr>
            </w:pPr>
          </w:p>
        </w:tc>
        <w:tc>
          <w:tcPr>
            <w:tcW w:w="520" w:type="dxa"/>
            <w:vAlign w:val="bottom"/>
          </w:tcPr>
          <w:p>
            <w:pPr>
              <w:spacing w:after="0"/>
              <w:rPr>
                <w:sz w:val="20"/>
                <w:szCs w:val="20"/>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7"/>
        </w:trPr>
        <w:tc>
          <w:tcPr>
            <w:tcW w:w="400" w:type="dxa"/>
            <w:vAlign w:val="bottom"/>
          </w:tcPr>
          <w:p>
            <w:pPr>
              <w:spacing w:after="0" w:line="237" w:lineRule="exact"/>
              <w:rPr>
                <w:sz w:val="20"/>
                <w:szCs w:val="20"/>
                <w:color w:val="auto"/>
              </w:rPr>
            </w:pPr>
            <w:r>
              <w:rPr>
                <w:rFonts w:ascii="Arial" w:cs="Arial" w:eastAsia="Arial" w:hAnsi="Arial"/>
                <w:sz w:val="22"/>
                <w:szCs w:val="22"/>
                <w:color w:val="0000FF"/>
                <w:w w:val="88"/>
              </w:rPr>
              <w:t>7.</w:t>
            </w:r>
            <w:r>
              <w:rPr>
                <w:rFonts w:ascii="Arial" w:cs="Arial" w:eastAsia="Arial" w:hAnsi="Arial"/>
                <w:sz w:val="22"/>
                <w:szCs w:val="22"/>
                <w:u w:val="single" w:color="auto"/>
                <w:color w:val="0000FF"/>
                <w:w w:val="88"/>
              </w:rPr>
              <w:t>15</w:t>
            </w:r>
          </w:p>
        </w:tc>
        <w:tc>
          <w:tcPr>
            <w:tcW w:w="3700" w:type="dxa"/>
            <w:vAlign w:val="bottom"/>
            <w:gridSpan w:val="6"/>
          </w:tcPr>
          <w:p>
            <w:pPr>
              <w:ind w:left="20"/>
              <w:spacing w:after="0" w:line="237" w:lineRule="exact"/>
              <w:rPr>
                <w:sz w:val="20"/>
                <w:szCs w:val="20"/>
                <w:color w:val="auto"/>
              </w:rPr>
            </w:pPr>
            <w:r>
              <w:rPr>
                <w:rFonts w:ascii="Arial" w:cs="Arial" w:eastAsia="Arial" w:hAnsi="Arial"/>
                <w:sz w:val="22"/>
                <w:szCs w:val="22"/>
                <w:color w:val="0000FF"/>
              </w:rPr>
              <w:t xml:space="preserve">Limitation on Lines of Business  </w:t>
            </w:r>
            <w:r>
              <w:rPr>
                <w:rFonts w:ascii="Arial" w:cs="Arial" w:eastAsia="Arial" w:hAnsi="Arial"/>
                <w:sz w:val="22"/>
                <w:szCs w:val="22"/>
                <w:color w:val="000000"/>
              </w:rPr>
              <w:t>117</w:t>
            </w:r>
          </w:p>
        </w:tc>
        <w:tc>
          <w:tcPr>
            <w:tcW w:w="2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236"/>
        </w:trPr>
        <w:tc>
          <w:tcPr>
            <w:tcW w:w="400" w:type="dxa"/>
            <w:vAlign w:val="bottom"/>
          </w:tcPr>
          <w:p>
            <w:pPr>
              <w:spacing w:after="0" w:line="237" w:lineRule="exact"/>
              <w:rPr>
                <w:sz w:val="20"/>
                <w:szCs w:val="20"/>
                <w:color w:val="auto"/>
              </w:rPr>
            </w:pPr>
            <w:r>
              <w:rPr>
                <w:rFonts w:ascii="Arial" w:cs="Arial" w:eastAsia="Arial" w:hAnsi="Arial"/>
                <w:sz w:val="22"/>
                <w:szCs w:val="22"/>
                <w:color w:val="0000FF"/>
                <w:w w:val="88"/>
              </w:rPr>
              <w:t>7.</w:t>
            </w:r>
            <w:r>
              <w:rPr>
                <w:rFonts w:ascii="Arial" w:cs="Arial" w:eastAsia="Arial" w:hAnsi="Arial"/>
                <w:sz w:val="22"/>
                <w:szCs w:val="22"/>
                <w:u w:val="single" w:color="auto"/>
                <w:color w:val="0000FF"/>
                <w:w w:val="88"/>
              </w:rPr>
              <w:t>16</w:t>
            </w:r>
          </w:p>
        </w:tc>
        <w:tc>
          <w:tcPr>
            <w:tcW w:w="7820" w:type="dxa"/>
            <w:vAlign w:val="bottom"/>
            <w:gridSpan w:val="9"/>
          </w:tcPr>
          <w:p>
            <w:pPr>
              <w:ind w:left="20"/>
              <w:spacing w:after="0" w:line="237" w:lineRule="exact"/>
              <w:rPr>
                <w:sz w:val="20"/>
                <w:szCs w:val="20"/>
                <w:color w:val="auto"/>
              </w:rPr>
            </w:pPr>
            <w:r>
              <w:rPr>
                <w:rFonts w:ascii="Arial" w:cs="Arial" w:eastAsia="Arial" w:hAnsi="Arial"/>
                <w:sz w:val="22"/>
                <w:szCs w:val="22"/>
                <w:color w:val="0000FF"/>
              </w:rPr>
              <w:t xml:space="preserve">Sanctions; Anti-Corruption Use of Proceeds..  </w:t>
            </w:r>
            <w:r>
              <w:rPr>
                <w:rFonts w:ascii="Arial" w:cs="Arial" w:eastAsia="Arial" w:hAnsi="Arial"/>
                <w:sz w:val="22"/>
                <w:szCs w:val="22"/>
                <w:color w:val="000000"/>
              </w:rPr>
              <w:t>117</w:t>
            </w:r>
          </w:p>
        </w:tc>
      </w:tr>
      <w:tr>
        <w:trPr>
          <w:trHeight w:val="20"/>
        </w:trPr>
        <w:tc>
          <w:tcPr>
            <w:tcW w:w="4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gridSpan w:val="2"/>
          </w:tcPr>
          <w:p>
            <w:pPr>
              <w:jc w:val="right"/>
              <w:ind w:right="40"/>
              <w:spacing w:after="0"/>
              <w:rPr>
                <w:sz w:val="20"/>
                <w:szCs w:val="20"/>
                <w:color w:val="auto"/>
              </w:rPr>
            </w:pPr>
            <w:r>
              <w:rPr>
                <w:rFonts w:ascii="Arial" w:cs="Arial" w:eastAsia="Arial" w:hAnsi="Arial"/>
                <w:sz w:val="22"/>
                <w:szCs w:val="22"/>
                <w:color w:val="0000FF"/>
                <w:w w:val="91"/>
              </w:rPr>
              <w:t>SECTION</w:t>
            </w:r>
          </w:p>
        </w:tc>
        <w:tc>
          <w:tcPr>
            <w:tcW w:w="3440" w:type="dxa"/>
            <w:vAlign w:val="bottom"/>
            <w:gridSpan w:val="11"/>
          </w:tcPr>
          <w:p>
            <w:pPr>
              <w:ind w:left="20"/>
              <w:spacing w:after="0"/>
              <w:rPr>
                <w:sz w:val="20"/>
                <w:szCs w:val="20"/>
                <w:color w:val="auto"/>
              </w:rPr>
            </w:pPr>
            <w:r>
              <w:rPr>
                <w:rFonts w:ascii="Arial" w:cs="Arial" w:eastAsia="Arial" w:hAnsi="Arial"/>
                <w:sz w:val="22"/>
                <w:szCs w:val="22"/>
                <w:color w:val="0000FF"/>
              </w:rPr>
              <w:t xml:space="preserve">8. EVENTS OF DEFAULT  </w:t>
            </w:r>
            <w:r>
              <w:rPr>
                <w:rFonts w:ascii="Arial" w:cs="Arial" w:eastAsia="Arial" w:hAnsi="Arial"/>
                <w:sz w:val="22"/>
                <w:szCs w:val="22"/>
                <w:color w:val="000000"/>
              </w:rPr>
              <w:t>117</w:t>
            </w:r>
          </w:p>
        </w:tc>
        <w:tc>
          <w:tcPr>
            <w:tcW w:w="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960" w:type="dxa"/>
            <w:vAlign w:val="bottom"/>
            <w:tcBorders>
              <w:bottom w:val="single" w:sz="8" w:color="0000FF"/>
            </w:tcBorders>
            <w:gridSpan w:val="2"/>
          </w:tcPr>
          <w:p>
            <w:pPr>
              <w:jc w:val="right"/>
              <w:ind w:right="40"/>
              <w:spacing w:after="0"/>
              <w:rPr>
                <w:sz w:val="20"/>
                <w:szCs w:val="20"/>
                <w:color w:val="auto"/>
              </w:rPr>
            </w:pPr>
            <w:r>
              <w:rPr>
                <w:rFonts w:ascii="Arial" w:cs="Arial" w:eastAsia="Arial" w:hAnsi="Arial"/>
                <w:sz w:val="22"/>
                <w:szCs w:val="22"/>
                <w:color w:val="0000FF"/>
                <w:w w:val="91"/>
              </w:rPr>
              <w:t>SECTION</w:t>
            </w:r>
          </w:p>
        </w:tc>
        <w:tc>
          <w:tcPr>
            <w:tcW w:w="3320" w:type="dxa"/>
            <w:vAlign w:val="bottom"/>
            <w:tcBorders>
              <w:bottom w:val="single" w:sz="8" w:color="0000FF"/>
            </w:tcBorders>
            <w:gridSpan w:val="10"/>
          </w:tcPr>
          <w:p>
            <w:pPr>
              <w:ind w:left="20"/>
              <w:spacing w:after="0"/>
              <w:rPr>
                <w:sz w:val="20"/>
                <w:szCs w:val="20"/>
                <w:color w:val="auto"/>
              </w:rPr>
            </w:pPr>
            <w:r>
              <w:rPr>
                <w:rFonts w:ascii="Arial" w:cs="Arial" w:eastAsia="Arial" w:hAnsi="Arial"/>
                <w:sz w:val="22"/>
                <w:szCs w:val="22"/>
                <w:color w:val="0000FF"/>
                <w:w w:val="96"/>
              </w:rPr>
              <w:t>9. THE ADMINISTRATIVE AGENT</w:t>
            </w:r>
          </w:p>
        </w:tc>
        <w:tc>
          <w:tcPr>
            <w:tcW w:w="12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Arial" w:cs="Arial" w:eastAsia="Arial" w:hAnsi="Arial"/>
                <w:sz w:val="22"/>
                <w:szCs w:val="22"/>
                <w:color w:val="auto"/>
              </w:rPr>
              <w:t>120</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6"/>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9.</w:t>
            </w:r>
            <w:r>
              <w:rPr>
                <w:rFonts w:ascii="Arial" w:cs="Arial" w:eastAsia="Arial" w:hAnsi="Arial"/>
                <w:sz w:val="22"/>
                <w:szCs w:val="22"/>
                <w:u w:val="single" w:color="auto"/>
                <w:color w:val="0000FF"/>
              </w:rPr>
              <w:t>1</w:t>
            </w:r>
          </w:p>
        </w:tc>
        <w:tc>
          <w:tcPr>
            <w:tcW w:w="3440" w:type="dxa"/>
            <w:vAlign w:val="bottom"/>
            <w:gridSpan w:val="11"/>
          </w:tcPr>
          <w:p>
            <w:pPr>
              <w:ind w:left="20"/>
              <w:spacing w:after="0" w:line="237" w:lineRule="exact"/>
              <w:rPr>
                <w:sz w:val="20"/>
                <w:szCs w:val="20"/>
                <w:color w:val="auto"/>
              </w:rPr>
            </w:pPr>
            <w:r>
              <w:rPr>
                <w:rFonts w:ascii="Arial" w:cs="Arial" w:eastAsia="Arial" w:hAnsi="Arial"/>
                <w:sz w:val="22"/>
                <w:szCs w:val="22"/>
                <w:color w:val="0000FF"/>
              </w:rPr>
              <w:t xml:space="preserve">Appointment  </w:t>
            </w:r>
            <w:r>
              <w:rPr>
                <w:rFonts w:ascii="Arial" w:cs="Arial" w:eastAsia="Arial" w:hAnsi="Arial"/>
                <w:sz w:val="22"/>
                <w:szCs w:val="22"/>
                <w:color w:val="000000"/>
              </w:rPr>
              <w:t>120</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9.</w:t>
            </w:r>
            <w:r>
              <w:rPr>
                <w:rFonts w:ascii="Arial" w:cs="Arial" w:eastAsia="Arial" w:hAnsi="Arial"/>
                <w:sz w:val="22"/>
                <w:szCs w:val="22"/>
                <w:u w:val="single" w:color="auto"/>
                <w:color w:val="0000FF"/>
              </w:rPr>
              <w:t>2</w:t>
            </w:r>
          </w:p>
        </w:tc>
        <w:tc>
          <w:tcPr>
            <w:tcW w:w="3440" w:type="dxa"/>
            <w:vAlign w:val="bottom"/>
            <w:gridSpan w:val="11"/>
          </w:tcPr>
          <w:p>
            <w:pPr>
              <w:ind w:left="20"/>
              <w:spacing w:after="0" w:line="237" w:lineRule="exact"/>
              <w:rPr>
                <w:sz w:val="20"/>
                <w:szCs w:val="20"/>
                <w:color w:val="auto"/>
              </w:rPr>
            </w:pPr>
            <w:r>
              <w:rPr>
                <w:rFonts w:ascii="Arial" w:cs="Arial" w:eastAsia="Arial" w:hAnsi="Arial"/>
                <w:sz w:val="22"/>
                <w:szCs w:val="22"/>
                <w:color w:val="0000FF"/>
              </w:rPr>
              <w:t xml:space="preserve">Delegation of Duties  </w:t>
            </w:r>
            <w:r>
              <w:rPr>
                <w:rFonts w:ascii="Arial" w:cs="Arial" w:eastAsia="Arial" w:hAnsi="Arial"/>
                <w:sz w:val="22"/>
                <w:szCs w:val="22"/>
                <w:color w:val="000000"/>
              </w:rPr>
              <w:t>121</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9.</w:t>
            </w:r>
            <w:r>
              <w:rPr>
                <w:rFonts w:ascii="Arial" w:cs="Arial" w:eastAsia="Arial" w:hAnsi="Arial"/>
                <w:sz w:val="22"/>
                <w:szCs w:val="22"/>
                <w:u w:val="single" w:color="auto"/>
                <w:color w:val="0000FF"/>
              </w:rPr>
              <w:t>3</w:t>
            </w:r>
          </w:p>
        </w:tc>
        <w:tc>
          <w:tcPr>
            <w:tcW w:w="3440" w:type="dxa"/>
            <w:vAlign w:val="bottom"/>
            <w:gridSpan w:val="11"/>
          </w:tcPr>
          <w:p>
            <w:pPr>
              <w:ind w:left="20"/>
              <w:spacing w:after="0" w:line="237" w:lineRule="exact"/>
              <w:rPr>
                <w:sz w:val="20"/>
                <w:szCs w:val="20"/>
                <w:color w:val="auto"/>
              </w:rPr>
            </w:pPr>
            <w:r>
              <w:rPr>
                <w:rFonts w:ascii="Arial" w:cs="Arial" w:eastAsia="Arial" w:hAnsi="Arial"/>
                <w:sz w:val="22"/>
                <w:szCs w:val="22"/>
                <w:color w:val="0000FF"/>
              </w:rPr>
              <w:t xml:space="preserve">Exculpatory Provisions  </w:t>
            </w:r>
            <w:r>
              <w:rPr>
                <w:rFonts w:ascii="Arial" w:cs="Arial" w:eastAsia="Arial" w:hAnsi="Arial"/>
                <w:sz w:val="22"/>
                <w:szCs w:val="22"/>
                <w:color w:val="000000"/>
              </w:rPr>
              <w:t>121</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9.</w:t>
            </w:r>
            <w:r>
              <w:rPr>
                <w:rFonts w:ascii="Arial" w:cs="Arial" w:eastAsia="Arial" w:hAnsi="Arial"/>
                <w:sz w:val="22"/>
                <w:szCs w:val="22"/>
                <w:u w:val="single" w:color="auto"/>
                <w:color w:val="0000FF"/>
              </w:rPr>
              <w:t>4</w:t>
            </w:r>
          </w:p>
        </w:tc>
        <w:tc>
          <w:tcPr>
            <w:tcW w:w="3440" w:type="dxa"/>
            <w:vAlign w:val="bottom"/>
            <w:gridSpan w:val="11"/>
          </w:tcPr>
          <w:p>
            <w:pPr>
              <w:ind w:left="20"/>
              <w:spacing w:after="0" w:line="237" w:lineRule="exact"/>
              <w:rPr>
                <w:sz w:val="20"/>
                <w:szCs w:val="20"/>
                <w:color w:val="auto"/>
              </w:rPr>
            </w:pPr>
            <w:r>
              <w:rPr>
                <w:rFonts w:ascii="Arial" w:cs="Arial" w:eastAsia="Arial" w:hAnsi="Arial"/>
                <w:sz w:val="22"/>
                <w:szCs w:val="22"/>
                <w:color w:val="0000FF"/>
                <w:w w:val="94"/>
              </w:rPr>
              <w:t>Reliance by the Administrative Agent</w:t>
            </w:r>
          </w:p>
        </w:tc>
        <w:tc>
          <w:tcPr>
            <w:tcW w:w="720" w:type="dxa"/>
            <w:vAlign w:val="bottom"/>
          </w:tcPr>
          <w:p>
            <w:pPr>
              <w:jc w:val="right"/>
              <w:ind w:right="212"/>
              <w:spacing w:after="0" w:line="237" w:lineRule="exact"/>
              <w:rPr>
                <w:sz w:val="20"/>
                <w:szCs w:val="20"/>
                <w:color w:val="auto"/>
              </w:rPr>
            </w:pPr>
            <w:r>
              <w:rPr>
                <w:rFonts w:ascii="Arial" w:cs="Arial" w:eastAsia="Arial" w:hAnsi="Arial"/>
                <w:sz w:val="22"/>
                <w:szCs w:val="22"/>
                <w:color w:val="auto"/>
              </w:rPr>
              <w:t>121</w:t>
            </w: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9.</w:t>
            </w:r>
            <w:r>
              <w:rPr>
                <w:rFonts w:ascii="Arial" w:cs="Arial" w:eastAsia="Arial" w:hAnsi="Arial"/>
                <w:sz w:val="22"/>
                <w:szCs w:val="22"/>
                <w:u w:val="single" w:color="auto"/>
                <w:color w:val="0000FF"/>
              </w:rPr>
              <w:t>5</w:t>
            </w:r>
          </w:p>
        </w:tc>
        <w:tc>
          <w:tcPr>
            <w:tcW w:w="1580" w:type="dxa"/>
            <w:vAlign w:val="bottom"/>
            <w:gridSpan w:val="4"/>
          </w:tcPr>
          <w:p>
            <w:pPr>
              <w:ind w:left="20"/>
              <w:spacing w:after="0" w:line="237" w:lineRule="exact"/>
              <w:rPr>
                <w:sz w:val="20"/>
                <w:szCs w:val="20"/>
                <w:color w:val="auto"/>
              </w:rPr>
            </w:pPr>
            <w:r>
              <w:rPr>
                <w:rFonts w:ascii="Arial" w:cs="Arial" w:eastAsia="Arial" w:hAnsi="Arial"/>
                <w:sz w:val="22"/>
                <w:szCs w:val="22"/>
                <w:color w:val="0000FF"/>
                <w:w w:val="94"/>
              </w:rPr>
              <w:t>Notice of Default</w:t>
            </w:r>
          </w:p>
        </w:tc>
        <w:tc>
          <w:tcPr>
            <w:tcW w:w="820" w:type="dxa"/>
            <w:vAlign w:val="bottom"/>
            <w:gridSpan w:val="3"/>
          </w:tcPr>
          <w:p>
            <w:pPr>
              <w:jc w:val="right"/>
              <w:ind w:right="320"/>
              <w:spacing w:after="0" w:line="237" w:lineRule="exact"/>
              <w:rPr>
                <w:sz w:val="20"/>
                <w:szCs w:val="20"/>
                <w:color w:val="auto"/>
              </w:rPr>
            </w:pPr>
            <w:r>
              <w:rPr>
                <w:rFonts w:ascii="Arial" w:cs="Arial" w:eastAsia="Arial" w:hAnsi="Arial"/>
                <w:sz w:val="22"/>
                <w:szCs w:val="22"/>
                <w:color w:val="auto"/>
              </w:rPr>
              <w:t>122</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9.</w:t>
            </w:r>
            <w:r>
              <w:rPr>
                <w:rFonts w:ascii="Arial" w:cs="Arial" w:eastAsia="Arial" w:hAnsi="Arial"/>
                <w:sz w:val="22"/>
                <w:szCs w:val="22"/>
                <w:u w:val="single" w:color="auto"/>
                <w:color w:val="0000FF"/>
              </w:rPr>
              <w:t>6</w:t>
            </w:r>
          </w:p>
        </w:tc>
        <w:tc>
          <w:tcPr>
            <w:tcW w:w="5940" w:type="dxa"/>
            <w:vAlign w:val="bottom"/>
            <w:gridSpan w:val="14"/>
          </w:tcPr>
          <w:p>
            <w:pPr>
              <w:ind w:left="20"/>
              <w:spacing w:after="0" w:line="237" w:lineRule="exact"/>
              <w:rPr>
                <w:sz w:val="20"/>
                <w:szCs w:val="20"/>
                <w:color w:val="auto"/>
              </w:rPr>
            </w:pPr>
            <w:r>
              <w:rPr>
                <w:rFonts w:ascii="Arial" w:cs="Arial" w:eastAsia="Arial" w:hAnsi="Arial"/>
                <w:sz w:val="22"/>
                <w:szCs w:val="22"/>
                <w:color w:val="0000FF"/>
                <w:w w:val="91"/>
              </w:rPr>
              <w:t xml:space="preserve">Non-Reliance on the Administrative Agent and Other Lenders  </w:t>
            </w:r>
            <w:r>
              <w:rPr>
                <w:rFonts w:ascii="Arial" w:cs="Arial" w:eastAsia="Arial" w:hAnsi="Arial"/>
                <w:sz w:val="22"/>
                <w:szCs w:val="22"/>
                <w:color w:val="000000"/>
                <w:w w:val="91"/>
              </w:rPr>
              <w:t>122</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9.</w:t>
            </w:r>
            <w:r>
              <w:rPr>
                <w:rFonts w:ascii="Arial" w:cs="Arial" w:eastAsia="Arial" w:hAnsi="Arial"/>
                <w:sz w:val="22"/>
                <w:szCs w:val="22"/>
                <w:u w:val="single" w:color="auto"/>
                <w:color w:val="0000FF"/>
              </w:rPr>
              <w:t>7</w:t>
            </w:r>
          </w:p>
        </w:tc>
        <w:tc>
          <w:tcPr>
            <w:tcW w:w="1580" w:type="dxa"/>
            <w:vAlign w:val="bottom"/>
            <w:gridSpan w:val="4"/>
          </w:tcPr>
          <w:p>
            <w:pPr>
              <w:ind w:left="20"/>
              <w:spacing w:after="0" w:line="237" w:lineRule="exact"/>
              <w:rPr>
                <w:sz w:val="20"/>
                <w:szCs w:val="20"/>
                <w:color w:val="auto"/>
              </w:rPr>
            </w:pPr>
            <w:r>
              <w:rPr>
                <w:rFonts w:ascii="Arial" w:cs="Arial" w:eastAsia="Arial" w:hAnsi="Arial"/>
                <w:sz w:val="22"/>
                <w:szCs w:val="22"/>
                <w:color w:val="0000FF"/>
              </w:rPr>
              <w:t>Indemnification</w:t>
            </w:r>
          </w:p>
        </w:tc>
        <w:tc>
          <w:tcPr>
            <w:tcW w:w="460" w:type="dxa"/>
            <w:vAlign w:val="bottom"/>
            <w:gridSpan w:val="2"/>
          </w:tcPr>
          <w:p>
            <w:pPr>
              <w:jc w:val="right"/>
              <w:ind w:right="100"/>
              <w:spacing w:after="0" w:line="237" w:lineRule="exact"/>
              <w:rPr>
                <w:sz w:val="20"/>
                <w:szCs w:val="20"/>
                <w:color w:val="auto"/>
              </w:rPr>
            </w:pPr>
            <w:r>
              <w:rPr>
                <w:rFonts w:ascii="Arial" w:cs="Arial" w:eastAsia="Arial" w:hAnsi="Arial"/>
                <w:sz w:val="22"/>
                <w:szCs w:val="22"/>
                <w:color w:val="auto"/>
                <w:w w:val="92"/>
              </w:rPr>
              <w:t>123</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r>
      <w:tr>
        <w:trPr>
          <w:trHeight w:val="236"/>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9.</w:t>
            </w:r>
            <w:r>
              <w:rPr>
                <w:rFonts w:ascii="Arial" w:cs="Arial" w:eastAsia="Arial" w:hAnsi="Arial"/>
                <w:sz w:val="22"/>
                <w:szCs w:val="22"/>
                <w:u w:val="single" w:color="auto"/>
                <w:color w:val="0000FF"/>
              </w:rPr>
              <w:t>8</w:t>
            </w:r>
          </w:p>
        </w:tc>
        <w:tc>
          <w:tcPr>
            <w:tcW w:w="5940" w:type="dxa"/>
            <w:vAlign w:val="bottom"/>
            <w:gridSpan w:val="14"/>
          </w:tcPr>
          <w:p>
            <w:pPr>
              <w:ind w:left="20"/>
              <w:spacing w:after="0" w:line="237" w:lineRule="exact"/>
              <w:rPr>
                <w:sz w:val="20"/>
                <w:szCs w:val="20"/>
                <w:color w:val="auto"/>
              </w:rPr>
            </w:pPr>
            <w:r>
              <w:rPr>
                <w:rFonts w:ascii="Arial" w:cs="Arial" w:eastAsia="Arial" w:hAnsi="Arial"/>
                <w:sz w:val="22"/>
                <w:szCs w:val="22"/>
                <w:color w:val="0000FF"/>
              </w:rPr>
              <w:t xml:space="preserve">Administrative Agent in Its Individual Capacity  </w:t>
            </w:r>
            <w:r>
              <w:rPr>
                <w:rFonts w:ascii="Arial" w:cs="Arial" w:eastAsia="Arial" w:hAnsi="Arial"/>
                <w:sz w:val="22"/>
                <w:szCs w:val="22"/>
                <w:color w:val="000000"/>
              </w:rPr>
              <w:t>123</w:t>
            </w: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20" w:type="dxa"/>
            <w:vAlign w:val="bottom"/>
            <w:gridSpan w:val="8"/>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96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0000FF"/>
              </w:rPr>
              <w:t>9.</w:t>
            </w:r>
            <w:r>
              <w:rPr>
                <w:rFonts w:ascii="Arial" w:cs="Arial" w:eastAsia="Arial" w:hAnsi="Arial"/>
                <w:sz w:val="22"/>
                <w:szCs w:val="22"/>
                <w:u w:val="single" w:color="auto"/>
                <w:color w:val="0000FF"/>
              </w:rPr>
              <w:t>9</w:t>
            </w:r>
          </w:p>
        </w:tc>
        <w:tc>
          <w:tcPr>
            <w:tcW w:w="3440" w:type="dxa"/>
            <w:vAlign w:val="bottom"/>
            <w:gridSpan w:val="11"/>
          </w:tcPr>
          <w:p>
            <w:pPr>
              <w:ind w:left="20"/>
              <w:spacing w:after="0" w:line="237" w:lineRule="exact"/>
              <w:rPr>
                <w:sz w:val="20"/>
                <w:szCs w:val="20"/>
                <w:color w:val="auto"/>
              </w:rPr>
            </w:pPr>
            <w:r>
              <w:rPr>
                <w:rFonts w:ascii="Arial" w:cs="Arial" w:eastAsia="Arial" w:hAnsi="Arial"/>
                <w:sz w:val="22"/>
                <w:szCs w:val="22"/>
                <w:color w:val="0000FF"/>
                <w:w w:val="94"/>
              </w:rPr>
              <w:t xml:space="preserve">Successor Administrative Agent  </w:t>
            </w:r>
            <w:r>
              <w:rPr>
                <w:rFonts w:ascii="Arial" w:cs="Arial" w:eastAsia="Arial" w:hAnsi="Arial"/>
                <w:sz w:val="22"/>
                <w:szCs w:val="22"/>
                <w:color w:val="000000"/>
                <w:w w:val="94"/>
              </w:rPr>
              <w:t>123</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60" w:type="dxa"/>
            <w:vAlign w:val="bottom"/>
            <w:gridSpan w:val="2"/>
          </w:tcPr>
          <w:p>
            <w:pPr>
              <w:ind w:left="660"/>
              <w:spacing w:after="0" w:line="243" w:lineRule="exact"/>
              <w:rPr>
                <w:sz w:val="20"/>
                <w:szCs w:val="20"/>
                <w:color w:val="auto"/>
              </w:rPr>
            </w:pPr>
            <w:r>
              <w:rPr>
                <w:rFonts w:ascii="Arial" w:cs="Arial" w:eastAsia="Arial" w:hAnsi="Arial"/>
                <w:sz w:val="22"/>
                <w:szCs w:val="22"/>
                <w:color w:val="0000FF"/>
                <w:w w:val="88"/>
              </w:rPr>
              <w:t>9.</w:t>
            </w:r>
            <w:r>
              <w:rPr>
                <w:rFonts w:ascii="Arial" w:cs="Arial" w:eastAsia="Arial" w:hAnsi="Arial"/>
                <w:sz w:val="22"/>
                <w:szCs w:val="22"/>
                <w:u w:val="single" w:color="auto"/>
                <w:color w:val="0000FF"/>
                <w:w w:val="88"/>
              </w:rPr>
              <w:t>10</w:t>
            </w:r>
          </w:p>
        </w:tc>
        <w:tc>
          <w:tcPr>
            <w:tcW w:w="4920" w:type="dxa"/>
            <w:vAlign w:val="bottom"/>
            <w:gridSpan w:val="11"/>
          </w:tcPr>
          <w:p>
            <w:pPr>
              <w:ind w:left="20"/>
              <w:spacing w:after="0" w:line="243" w:lineRule="exact"/>
              <w:rPr>
                <w:sz w:val="20"/>
                <w:szCs w:val="20"/>
                <w:color w:val="auto"/>
              </w:rPr>
            </w:pPr>
            <w:r>
              <w:rPr>
                <w:rFonts w:ascii="Arial" w:cs="Arial" w:eastAsia="Arial" w:hAnsi="Arial"/>
                <w:sz w:val="22"/>
                <w:szCs w:val="22"/>
                <w:color w:val="0000FF"/>
                <w:w w:val="95"/>
              </w:rPr>
              <w:t xml:space="preserve">Authorization to Release Liens and Guarantees  </w:t>
            </w:r>
            <w:r>
              <w:rPr>
                <w:rFonts w:ascii="Arial" w:cs="Arial" w:eastAsia="Arial" w:hAnsi="Arial"/>
                <w:sz w:val="22"/>
                <w:szCs w:val="22"/>
                <w:color w:val="000000"/>
                <w:w w:val="95"/>
              </w:rPr>
              <w:t>124</w:t>
            </w:r>
          </w:p>
        </w:tc>
        <w:tc>
          <w:tcPr>
            <w:tcW w:w="5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p>
        </w:tc>
        <w:tc>
          <w:tcPr>
            <w:tcW w:w="5240" w:type="dxa"/>
            <w:vAlign w:val="bottom"/>
            <w:tcBorders>
              <w:bottom w:val="single" w:sz="8" w:color="0000FF"/>
            </w:tcBorders>
            <w:gridSpan w:val="11"/>
          </w:tcPr>
          <w:p>
            <w:pPr>
              <w:spacing w:after="0" w:line="237" w:lineRule="exact"/>
              <w:rPr>
                <w:sz w:val="20"/>
                <w:szCs w:val="20"/>
                <w:color w:val="auto"/>
              </w:rPr>
            </w:pPr>
            <w:r>
              <w:rPr>
                <w:rFonts w:ascii="Arial" w:cs="Arial" w:eastAsia="Arial" w:hAnsi="Arial"/>
                <w:sz w:val="22"/>
                <w:szCs w:val="22"/>
                <w:color w:val="0000FF"/>
                <w:w w:val="88"/>
              </w:rPr>
              <w:t>9.</w:t>
            </w:r>
            <w:r>
              <w:rPr>
                <w:rFonts w:ascii="Arial" w:cs="Arial" w:eastAsia="Arial" w:hAnsi="Arial"/>
                <w:sz w:val="22"/>
                <w:szCs w:val="22"/>
                <w:u w:val="single" w:color="auto"/>
                <w:color w:val="0000FF"/>
                <w:w w:val="88"/>
              </w:rPr>
              <w:t>11</w:t>
            </w:r>
            <w:r>
              <w:rPr>
                <w:rFonts w:ascii="Arial" w:cs="Arial" w:eastAsia="Arial" w:hAnsi="Arial"/>
                <w:sz w:val="22"/>
                <w:szCs w:val="22"/>
                <w:color w:val="0000FF"/>
                <w:w w:val="88"/>
              </w:rPr>
              <w:t xml:space="preserve"> The Lead Arrangers; the Bookrunners; the Co-Manager</w:t>
            </w:r>
          </w:p>
        </w:tc>
        <w:tc>
          <w:tcPr>
            <w:tcW w:w="80" w:type="dxa"/>
            <w:vAlign w:val="bottom"/>
          </w:tcPr>
          <w:p>
            <w:pPr>
              <w:spacing w:after="0"/>
              <w:rPr>
                <w:sz w:val="20"/>
                <w:szCs w:val="20"/>
                <w:color w:val="auto"/>
              </w:rPr>
            </w:pPr>
          </w:p>
        </w:tc>
        <w:tc>
          <w:tcPr>
            <w:tcW w:w="540" w:type="dxa"/>
            <w:vAlign w:val="bottom"/>
          </w:tcPr>
          <w:p>
            <w:pPr>
              <w:jc w:val="right"/>
              <w:spacing w:after="0" w:line="237" w:lineRule="exact"/>
              <w:rPr>
                <w:sz w:val="20"/>
                <w:szCs w:val="20"/>
                <w:color w:val="auto"/>
              </w:rPr>
            </w:pPr>
            <w:r>
              <w:rPr>
                <w:rFonts w:ascii="Arial" w:cs="Arial" w:eastAsia="Arial" w:hAnsi="Arial"/>
                <w:sz w:val="22"/>
                <w:szCs w:val="22"/>
                <w:color w:val="auto"/>
              </w:rPr>
              <w:t>124</w:t>
            </w:r>
          </w:p>
        </w:tc>
      </w:tr>
      <w:tr>
        <w:trPr>
          <w:trHeight w:val="236"/>
        </w:trPr>
        <w:tc>
          <w:tcPr>
            <w:tcW w:w="10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88"/>
              </w:rPr>
              <w:t>9.</w:t>
            </w:r>
            <w:r>
              <w:rPr>
                <w:rFonts w:ascii="Arial" w:cs="Arial" w:eastAsia="Arial" w:hAnsi="Arial"/>
                <w:sz w:val="22"/>
                <w:szCs w:val="22"/>
                <w:u w:val="single" w:color="auto"/>
                <w:color w:val="0000FF"/>
                <w:w w:val="88"/>
              </w:rPr>
              <w:t>12</w:t>
            </w:r>
          </w:p>
        </w:tc>
        <w:tc>
          <w:tcPr>
            <w:tcW w:w="2180" w:type="dxa"/>
            <w:vAlign w:val="bottom"/>
            <w:gridSpan w:val="5"/>
          </w:tcPr>
          <w:p>
            <w:pPr>
              <w:ind w:left="20"/>
              <w:spacing w:after="0" w:line="237" w:lineRule="exact"/>
              <w:rPr>
                <w:sz w:val="20"/>
                <w:szCs w:val="20"/>
                <w:color w:val="auto"/>
              </w:rPr>
            </w:pPr>
            <w:r>
              <w:rPr>
                <w:rFonts w:ascii="Arial" w:cs="Arial" w:eastAsia="Arial" w:hAnsi="Arial"/>
                <w:sz w:val="22"/>
                <w:szCs w:val="22"/>
                <w:color w:val="0000FF"/>
              </w:rPr>
              <w:t xml:space="preserve">Withholding  </w:t>
            </w:r>
            <w:r>
              <w:rPr>
                <w:rFonts w:ascii="Arial" w:cs="Arial" w:eastAsia="Arial" w:hAnsi="Arial"/>
                <w:sz w:val="22"/>
                <w:szCs w:val="22"/>
                <w:color w:val="000000"/>
              </w:rPr>
              <w:t>124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10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88"/>
              </w:rPr>
              <w:t>9.</w:t>
            </w:r>
            <w:r>
              <w:rPr>
                <w:rFonts w:ascii="Arial" w:cs="Arial" w:eastAsia="Arial" w:hAnsi="Arial"/>
                <w:sz w:val="22"/>
                <w:szCs w:val="22"/>
                <w:u w:val="single" w:color="auto"/>
                <w:color w:val="0000FF"/>
                <w:w w:val="88"/>
              </w:rPr>
              <w:t>13</w:t>
            </w:r>
          </w:p>
        </w:tc>
        <w:tc>
          <w:tcPr>
            <w:tcW w:w="2180" w:type="dxa"/>
            <w:vAlign w:val="bottom"/>
            <w:gridSpan w:val="5"/>
          </w:tcPr>
          <w:p>
            <w:pPr>
              <w:ind w:left="20"/>
              <w:spacing w:after="0" w:line="237" w:lineRule="exact"/>
              <w:rPr>
                <w:sz w:val="20"/>
                <w:szCs w:val="20"/>
                <w:color w:val="auto"/>
              </w:rPr>
            </w:pPr>
            <w:r>
              <w:rPr>
                <w:rFonts w:ascii="Arial" w:cs="Arial" w:eastAsia="Arial" w:hAnsi="Arial"/>
                <w:sz w:val="22"/>
                <w:szCs w:val="22"/>
                <w:color w:val="0000FF"/>
                <w:w w:val="93"/>
              </w:rPr>
              <w:t>Certain ERISA Matters.</w:t>
            </w:r>
          </w:p>
        </w:tc>
        <w:tc>
          <w:tcPr>
            <w:tcW w:w="820" w:type="dxa"/>
            <w:vAlign w:val="bottom"/>
            <w:gridSpan w:val="2"/>
          </w:tcPr>
          <w:p>
            <w:pPr>
              <w:jc w:val="right"/>
              <w:ind w:right="360"/>
              <w:spacing w:after="0" w:line="237" w:lineRule="exact"/>
              <w:rPr>
                <w:sz w:val="20"/>
                <w:szCs w:val="20"/>
                <w:color w:val="auto"/>
              </w:rPr>
            </w:pPr>
            <w:r>
              <w:rPr>
                <w:rFonts w:ascii="Arial" w:cs="Arial" w:eastAsia="Arial" w:hAnsi="Arial"/>
                <w:sz w:val="22"/>
                <w:szCs w:val="22"/>
                <w:color w:val="auto"/>
              </w:rPr>
              <w:t>124</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53"/>
        </w:trPr>
        <w:tc>
          <w:tcPr>
            <w:tcW w:w="3160" w:type="dxa"/>
            <w:vAlign w:val="bottom"/>
            <w:tcBorders>
              <w:bottom w:val="single" w:sz="8" w:color="0000FF"/>
            </w:tcBorders>
            <w:gridSpan w:val="6"/>
          </w:tcPr>
          <w:p>
            <w:pPr>
              <w:spacing w:after="0"/>
              <w:rPr>
                <w:sz w:val="20"/>
                <w:szCs w:val="20"/>
                <w:color w:val="auto"/>
              </w:rPr>
            </w:pPr>
            <w:r>
              <w:rPr>
                <w:rFonts w:ascii="Arial" w:cs="Arial" w:eastAsia="Arial" w:hAnsi="Arial"/>
                <w:sz w:val="22"/>
                <w:szCs w:val="22"/>
                <w:color w:val="0000FF"/>
                <w:w w:val="95"/>
              </w:rPr>
              <w:t>SECTION 10. MISCELLANEOUS</w:t>
            </w:r>
          </w:p>
        </w:tc>
        <w:tc>
          <w:tcPr>
            <w:tcW w:w="80" w:type="dxa"/>
            <w:vAlign w:val="bottom"/>
          </w:tcPr>
          <w:p>
            <w:pPr>
              <w:spacing w:after="0"/>
              <w:rPr>
                <w:sz w:val="24"/>
                <w:szCs w:val="2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22"/>
                <w:szCs w:val="22"/>
                <w:color w:val="auto"/>
              </w:rPr>
              <w:t>127</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6"/>
        </w:trPr>
        <w:tc>
          <w:tcPr>
            <w:tcW w:w="10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88"/>
              </w:rPr>
              <w:t>10.</w:t>
            </w:r>
            <w:r>
              <w:rPr>
                <w:rFonts w:ascii="Arial" w:cs="Arial" w:eastAsia="Arial" w:hAnsi="Arial"/>
                <w:sz w:val="22"/>
                <w:szCs w:val="22"/>
                <w:u w:val="single" w:color="auto"/>
                <w:color w:val="0000FF"/>
                <w:w w:val="88"/>
              </w:rPr>
              <w:t>1</w:t>
            </w:r>
          </w:p>
        </w:tc>
        <w:tc>
          <w:tcPr>
            <w:tcW w:w="4920" w:type="dxa"/>
            <w:vAlign w:val="bottom"/>
            <w:gridSpan w:val="11"/>
          </w:tcPr>
          <w:p>
            <w:pPr>
              <w:ind w:left="20"/>
              <w:spacing w:after="0" w:line="237" w:lineRule="exact"/>
              <w:rPr>
                <w:sz w:val="20"/>
                <w:szCs w:val="20"/>
                <w:color w:val="auto"/>
              </w:rPr>
            </w:pPr>
            <w:r>
              <w:rPr>
                <w:rFonts w:ascii="Arial" w:cs="Arial" w:eastAsia="Arial" w:hAnsi="Arial"/>
                <w:sz w:val="22"/>
                <w:szCs w:val="22"/>
                <w:color w:val="0000FF"/>
              </w:rPr>
              <w:t xml:space="preserve">Amendments and Waivers  </w:t>
            </w:r>
            <w:r>
              <w:rPr>
                <w:rFonts w:ascii="Arial" w:cs="Arial" w:eastAsia="Arial" w:hAnsi="Arial"/>
                <w:sz w:val="22"/>
                <w:szCs w:val="22"/>
                <w:color w:val="000000"/>
              </w:rPr>
              <w:t>127</w:t>
            </w: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10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88"/>
              </w:rPr>
              <w:t>10.</w:t>
            </w:r>
            <w:r>
              <w:rPr>
                <w:rFonts w:ascii="Arial" w:cs="Arial" w:eastAsia="Arial" w:hAnsi="Arial"/>
                <w:sz w:val="22"/>
                <w:szCs w:val="22"/>
                <w:u w:val="single" w:color="auto"/>
                <w:color w:val="0000FF"/>
                <w:w w:val="88"/>
              </w:rPr>
              <w:t>2</w:t>
            </w:r>
          </w:p>
        </w:tc>
        <w:tc>
          <w:tcPr>
            <w:tcW w:w="2180" w:type="dxa"/>
            <w:vAlign w:val="bottom"/>
            <w:gridSpan w:val="5"/>
          </w:tcPr>
          <w:p>
            <w:pPr>
              <w:ind w:left="20"/>
              <w:spacing w:after="0" w:line="237" w:lineRule="exact"/>
              <w:rPr>
                <w:sz w:val="20"/>
                <w:szCs w:val="20"/>
                <w:color w:val="auto"/>
              </w:rPr>
            </w:pPr>
            <w:r>
              <w:rPr>
                <w:rFonts w:ascii="Arial" w:cs="Arial" w:eastAsia="Arial" w:hAnsi="Arial"/>
                <w:sz w:val="22"/>
                <w:szCs w:val="22"/>
                <w:color w:val="0000FF"/>
              </w:rPr>
              <w:t xml:space="preserve">Notices  </w:t>
            </w:r>
            <w:r>
              <w:rPr>
                <w:rFonts w:ascii="Arial" w:cs="Arial" w:eastAsia="Arial" w:hAnsi="Arial"/>
                <w:sz w:val="22"/>
                <w:szCs w:val="22"/>
                <w:color w:val="000000"/>
              </w:rPr>
              <w:t>130</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10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88"/>
              </w:rPr>
              <w:t>10.</w:t>
            </w:r>
            <w:r>
              <w:rPr>
                <w:rFonts w:ascii="Arial" w:cs="Arial" w:eastAsia="Arial" w:hAnsi="Arial"/>
                <w:sz w:val="22"/>
                <w:szCs w:val="22"/>
                <w:u w:val="single" w:color="auto"/>
                <w:color w:val="0000FF"/>
                <w:w w:val="88"/>
              </w:rPr>
              <w:t>3</w:t>
            </w:r>
          </w:p>
        </w:tc>
        <w:tc>
          <w:tcPr>
            <w:tcW w:w="4920" w:type="dxa"/>
            <w:vAlign w:val="bottom"/>
            <w:gridSpan w:val="11"/>
          </w:tcPr>
          <w:p>
            <w:pPr>
              <w:ind w:left="20"/>
              <w:spacing w:after="0" w:line="237" w:lineRule="exact"/>
              <w:rPr>
                <w:sz w:val="20"/>
                <w:szCs w:val="20"/>
                <w:color w:val="auto"/>
              </w:rPr>
            </w:pPr>
            <w:r>
              <w:rPr>
                <w:rFonts w:ascii="Arial" w:cs="Arial" w:eastAsia="Arial" w:hAnsi="Arial"/>
                <w:sz w:val="22"/>
                <w:szCs w:val="22"/>
                <w:color w:val="0000FF"/>
              </w:rPr>
              <w:t xml:space="preserve">No Waiver; Cumulative Remedies  </w:t>
            </w:r>
            <w:r>
              <w:rPr>
                <w:rFonts w:ascii="Arial" w:cs="Arial" w:eastAsia="Arial" w:hAnsi="Arial"/>
                <w:sz w:val="22"/>
                <w:szCs w:val="22"/>
                <w:color w:val="000000"/>
              </w:rPr>
              <w:t>132</w:t>
            </w: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10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88"/>
              </w:rPr>
              <w:t>10.</w:t>
            </w:r>
            <w:r>
              <w:rPr>
                <w:rFonts w:ascii="Arial" w:cs="Arial" w:eastAsia="Arial" w:hAnsi="Arial"/>
                <w:sz w:val="22"/>
                <w:szCs w:val="22"/>
                <w:u w:val="single" w:color="auto"/>
                <w:color w:val="0000FF"/>
                <w:w w:val="88"/>
              </w:rPr>
              <w:t>4</w:t>
            </w:r>
          </w:p>
        </w:tc>
        <w:tc>
          <w:tcPr>
            <w:tcW w:w="4920" w:type="dxa"/>
            <w:vAlign w:val="bottom"/>
            <w:gridSpan w:val="11"/>
          </w:tcPr>
          <w:p>
            <w:pPr>
              <w:ind w:left="20"/>
              <w:spacing w:after="0" w:line="237" w:lineRule="exact"/>
              <w:rPr>
                <w:sz w:val="20"/>
                <w:szCs w:val="20"/>
                <w:color w:val="auto"/>
              </w:rPr>
            </w:pPr>
            <w:r>
              <w:rPr>
                <w:rFonts w:ascii="Arial" w:cs="Arial" w:eastAsia="Arial" w:hAnsi="Arial"/>
                <w:sz w:val="22"/>
                <w:szCs w:val="22"/>
                <w:color w:val="0000FF"/>
              </w:rPr>
              <w:t xml:space="preserve">Survival of Representations and Warranties  </w:t>
            </w:r>
            <w:r>
              <w:rPr>
                <w:rFonts w:ascii="Arial" w:cs="Arial" w:eastAsia="Arial" w:hAnsi="Arial"/>
                <w:sz w:val="22"/>
                <w:szCs w:val="22"/>
                <w:color w:val="000000"/>
              </w:rPr>
              <w:t>132</w:t>
            </w: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10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88"/>
              </w:rPr>
              <w:t>10.</w:t>
            </w:r>
            <w:r>
              <w:rPr>
                <w:rFonts w:ascii="Arial" w:cs="Arial" w:eastAsia="Arial" w:hAnsi="Arial"/>
                <w:sz w:val="22"/>
                <w:szCs w:val="22"/>
                <w:u w:val="single" w:color="auto"/>
                <w:color w:val="0000FF"/>
                <w:w w:val="88"/>
              </w:rPr>
              <w:t>5</w:t>
            </w:r>
          </w:p>
        </w:tc>
        <w:tc>
          <w:tcPr>
            <w:tcW w:w="4920" w:type="dxa"/>
            <w:vAlign w:val="bottom"/>
            <w:gridSpan w:val="11"/>
          </w:tcPr>
          <w:p>
            <w:pPr>
              <w:ind w:left="20"/>
              <w:spacing w:after="0" w:line="237" w:lineRule="exact"/>
              <w:rPr>
                <w:sz w:val="20"/>
                <w:szCs w:val="20"/>
                <w:color w:val="auto"/>
              </w:rPr>
            </w:pPr>
            <w:r>
              <w:rPr>
                <w:rFonts w:ascii="Arial" w:cs="Arial" w:eastAsia="Arial" w:hAnsi="Arial"/>
                <w:sz w:val="22"/>
                <w:szCs w:val="22"/>
                <w:color w:val="0000FF"/>
              </w:rPr>
              <w:t xml:space="preserve">Payment of Expenses  </w:t>
            </w:r>
            <w:r>
              <w:rPr>
                <w:rFonts w:ascii="Arial" w:cs="Arial" w:eastAsia="Arial" w:hAnsi="Arial"/>
                <w:sz w:val="22"/>
                <w:szCs w:val="22"/>
                <w:color w:val="000000"/>
              </w:rPr>
              <w:t>132</w:t>
            </w:r>
          </w:p>
        </w:tc>
        <w:tc>
          <w:tcPr>
            <w:tcW w:w="5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1060" w:type="dxa"/>
            <w:vAlign w:val="bottom"/>
            <w:gridSpan w:val="2"/>
          </w:tcPr>
          <w:p>
            <w:pPr>
              <w:ind w:left="660"/>
              <w:spacing w:after="0" w:line="237" w:lineRule="exact"/>
              <w:rPr>
                <w:sz w:val="20"/>
                <w:szCs w:val="20"/>
                <w:color w:val="auto"/>
              </w:rPr>
            </w:pPr>
            <w:r>
              <w:rPr>
                <w:rFonts w:ascii="Arial" w:cs="Arial" w:eastAsia="Arial" w:hAnsi="Arial"/>
                <w:sz w:val="22"/>
                <w:szCs w:val="22"/>
                <w:color w:val="0000FF"/>
                <w:w w:val="88"/>
              </w:rPr>
              <w:t>10.</w:t>
            </w:r>
            <w:r>
              <w:rPr>
                <w:rFonts w:ascii="Arial" w:cs="Arial" w:eastAsia="Arial" w:hAnsi="Arial"/>
                <w:sz w:val="22"/>
                <w:szCs w:val="22"/>
                <w:u w:val="single" w:color="auto"/>
                <w:color w:val="0000FF"/>
                <w:w w:val="88"/>
              </w:rPr>
              <w:t>6</w:t>
            </w:r>
          </w:p>
        </w:tc>
        <w:tc>
          <w:tcPr>
            <w:tcW w:w="4920" w:type="dxa"/>
            <w:vAlign w:val="bottom"/>
            <w:gridSpan w:val="11"/>
          </w:tcPr>
          <w:p>
            <w:pPr>
              <w:ind w:left="20"/>
              <w:spacing w:after="0" w:line="237" w:lineRule="exact"/>
              <w:rPr>
                <w:sz w:val="20"/>
                <w:szCs w:val="20"/>
                <w:color w:val="auto"/>
              </w:rPr>
            </w:pPr>
            <w:r>
              <w:rPr>
                <w:rFonts w:ascii="Arial" w:cs="Arial" w:eastAsia="Arial" w:hAnsi="Arial"/>
                <w:sz w:val="22"/>
                <w:szCs w:val="22"/>
                <w:color w:val="0000FF"/>
                <w:w w:val="87"/>
              </w:rPr>
              <w:t>Successors and Assigns; Participations and Assignments</w:t>
            </w:r>
          </w:p>
        </w:tc>
        <w:tc>
          <w:tcPr>
            <w:tcW w:w="540" w:type="dxa"/>
            <w:vAlign w:val="bottom"/>
          </w:tcPr>
          <w:p>
            <w:pPr>
              <w:jc w:val="right"/>
              <w:spacing w:after="0" w:line="237" w:lineRule="exact"/>
              <w:rPr>
                <w:sz w:val="20"/>
                <w:szCs w:val="20"/>
                <w:color w:val="auto"/>
              </w:rPr>
            </w:pPr>
            <w:r>
              <w:rPr>
                <w:rFonts w:ascii="Arial" w:cs="Arial" w:eastAsia="Arial" w:hAnsi="Arial"/>
                <w:sz w:val="22"/>
                <w:szCs w:val="22"/>
                <w:color w:val="auto"/>
              </w:rPr>
              <w:t>134</w:t>
            </w: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22"/>
          <w:szCs w:val="22"/>
          <w:color w:val="FF0000"/>
          <w:strike w:val="1"/>
        </w:rPr>
        <w:t>3</w:t>
      </w:r>
    </w:p>
    <w:p>
      <w:pPr>
        <w:sectPr>
          <w:pgSz w:w="11900" w:h="16838" w:orient="portrait"/>
          <w:cols w:equalWidth="0" w:num="1">
            <w:col w:w="10139"/>
          </w:cols>
          <w:pgMar w:left="320" w:top="1399"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53"/>
        </w:trPr>
        <w:tc>
          <w:tcPr>
            <w:tcW w:w="400" w:type="dxa"/>
            <w:vAlign w:val="bottom"/>
          </w:tcPr>
          <w:p>
            <w:pPr>
              <w:spacing w:after="0"/>
              <w:rPr>
                <w:sz w:val="20"/>
                <w:szCs w:val="20"/>
                <w:color w:val="auto"/>
              </w:rPr>
            </w:pPr>
            <w:r>
              <w:rPr>
                <w:rFonts w:ascii="Arial" w:cs="Arial" w:eastAsia="Arial" w:hAnsi="Arial"/>
                <w:sz w:val="22"/>
                <w:szCs w:val="22"/>
                <w:color w:val="0000FF"/>
                <w:w w:val="88"/>
              </w:rPr>
              <w:t>10.</w:t>
            </w:r>
            <w:r>
              <w:rPr>
                <w:rFonts w:ascii="Arial" w:cs="Arial" w:eastAsia="Arial" w:hAnsi="Arial"/>
                <w:sz w:val="22"/>
                <w:szCs w:val="22"/>
                <w:u w:val="single" w:color="auto"/>
                <w:color w:val="0000FF"/>
                <w:w w:val="88"/>
              </w:rPr>
              <w:t>7</w:t>
            </w:r>
          </w:p>
        </w:tc>
        <w:tc>
          <w:tcPr>
            <w:tcW w:w="2040" w:type="dxa"/>
            <w:vAlign w:val="bottom"/>
            <w:gridSpan w:val="9"/>
          </w:tcPr>
          <w:p>
            <w:pPr>
              <w:ind w:left="20"/>
              <w:spacing w:after="0"/>
              <w:rPr>
                <w:sz w:val="20"/>
                <w:szCs w:val="20"/>
                <w:color w:val="auto"/>
              </w:rPr>
            </w:pPr>
            <w:r>
              <w:rPr>
                <w:rFonts w:ascii="Arial" w:cs="Arial" w:eastAsia="Arial" w:hAnsi="Arial"/>
                <w:sz w:val="22"/>
                <w:szCs w:val="22"/>
                <w:color w:val="0000FF"/>
              </w:rPr>
              <w:t>Adjustments; Set-off</w:t>
            </w:r>
          </w:p>
        </w:tc>
        <w:tc>
          <w:tcPr>
            <w:tcW w:w="580" w:type="dxa"/>
            <w:vAlign w:val="bottom"/>
            <w:gridSpan w:val="2"/>
          </w:tcPr>
          <w:p>
            <w:pPr>
              <w:jc w:val="right"/>
              <w:ind w:right="260"/>
              <w:spacing w:after="0"/>
              <w:rPr>
                <w:sz w:val="20"/>
                <w:szCs w:val="20"/>
                <w:color w:val="auto"/>
              </w:rPr>
            </w:pPr>
            <w:r>
              <w:rPr>
                <w:rFonts w:ascii="Arial" w:cs="Arial" w:eastAsia="Arial" w:hAnsi="Arial"/>
                <w:sz w:val="22"/>
                <w:szCs w:val="22"/>
                <w:color w:val="auto"/>
                <w:w w:val="81"/>
              </w:rPr>
              <w:t>140</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7"/>
        </w:trPr>
        <w:tc>
          <w:tcPr>
            <w:tcW w:w="400" w:type="dxa"/>
            <w:vAlign w:val="bottom"/>
            <w:tcBorders>
              <w:top w:val="single" w:sz="8" w:color="0000FF"/>
            </w:tcBorders>
          </w:tcPr>
          <w:p>
            <w:pPr>
              <w:spacing w:after="0" w:line="237" w:lineRule="exact"/>
              <w:rPr>
                <w:sz w:val="20"/>
                <w:szCs w:val="20"/>
                <w:color w:val="auto"/>
              </w:rPr>
            </w:pPr>
            <w:r>
              <w:rPr>
                <w:rFonts w:ascii="Arial" w:cs="Arial" w:eastAsia="Arial" w:hAnsi="Arial"/>
                <w:sz w:val="22"/>
                <w:szCs w:val="22"/>
                <w:color w:val="0000FF"/>
                <w:w w:val="88"/>
              </w:rPr>
              <w:t>10.</w:t>
            </w:r>
            <w:r>
              <w:rPr>
                <w:rFonts w:ascii="Arial" w:cs="Arial" w:eastAsia="Arial" w:hAnsi="Arial"/>
                <w:sz w:val="22"/>
                <w:szCs w:val="22"/>
                <w:u w:val="single" w:color="auto"/>
                <w:color w:val="0000FF"/>
                <w:w w:val="88"/>
              </w:rPr>
              <w:t>8</w:t>
            </w:r>
          </w:p>
        </w:tc>
        <w:tc>
          <w:tcPr>
            <w:tcW w:w="1220" w:type="dxa"/>
            <w:vAlign w:val="bottom"/>
            <w:tcBorders>
              <w:top w:val="single" w:sz="8" w:color="0000FF"/>
            </w:tcBorders>
            <w:gridSpan w:val="4"/>
          </w:tcPr>
          <w:p>
            <w:pPr>
              <w:ind w:left="20"/>
              <w:spacing w:after="0" w:line="237" w:lineRule="exact"/>
              <w:rPr>
                <w:sz w:val="20"/>
                <w:szCs w:val="20"/>
                <w:color w:val="auto"/>
              </w:rPr>
            </w:pPr>
            <w:r>
              <w:rPr>
                <w:rFonts w:ascii="Arial" w:cs="Arial" w:eastAsia="Arial" w:hAnsi="Arial"/>
                <w:sz w:val="22"/>
                <w:szCs w:val="22"/>
                <w:color w:val="0000FF"/>
                <w:w w:val="92"/>
              </w:rPr>
              <w:t>Counterparts</w:t>
            </w:r>
          </w:p>
        </w:tc>
        <w:tc>
          <w:tcPr>
            <w:tcW w:w="540" w:type="dxa"/>
            <w:vAlign w:val="bottom"/>
            <w:tcBorders>
              <w:top w:val="single" w:sz="8" w:color="0000FF"/>
            </w:tcBorders>
            <w:gridSpan w:val="2"/>
          </w:tcPr>
          <w:p>
            <w:pPr>
              <w:jc w:val="right"/>
              <w:ind w:right="80"/>
              <w:spacing w:after="0" w:line="237" w:lineRule="exact"/>
              <w:rPr>
                <w:sz w:val="20"/>
                <w:szCs w:val="20"/>
                <w:color w:val="auto"/>
              </w:rPr>
            </w:pPr>
            <w:r>
              <w:rPr>
                <w:rFonts w:ascii="Arial" w:cs="Arial" w:eastAsia="Arial" w:hAnsi="Arial"/>
                <w:sz w:val="22"/>
                <w:szCs w:val="22"/>
                <w:color w:val="auto"/>
              </w:rPr>
              <w:t>140</w:t>
            </w:r>
          </w:p>
        </w:tc>
        <w:tc>
          <w:tcPr>
            <w:tcW w:w="6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7"/>
        </w:trPr>
        <w:tc>
          <w:tcPr>
            <w:tcW w:w="400" w:type="dxa"/>
            <w:vAlign w:val="bottom"/>
            <w:tcBorders>
              <w:top w:val="single" w:sz="8" w:color="0000FF"/>
              <w:bottom w:val="single" w:sz="8" w:color="0000FF"/>
            </w:tcBorders>
          </w:tcPr>
          <w:p>
            <w:pPr>
              <w:spacing w:after="0" w:line="237" w:lineRule="exact"/>
              <w:rPr>
                <w:sz w:val="20"/>
                <w:szCs w:val="20"/>
                <w:color w:val="auto"/>
              </w:rPr>
            </w:pPr>
            <w:r>
              <w:rPr>
                <w:rFonts w:ascii="Arial" w:cs="Arial" w:eastAsia="Arial" w:hAnsi="Arial"/>
                <w:sz w:val="22"/>
                <w:szCs w:val="22"/>
                <w:color w:val="0000FF"/>
                <w:w w:val="88"/>
              </w:rPr>
              <w:t>10.</w:t>
            </w:r>
            <w:r>
              <w:rPr>
                <w:rFonts w:ascii="Arial" w:cs="Arial" w:eastAsia="Arial" w:hAnsi="Arial"/>
                <w:sz w:val="22"/>
                <w:szCs w:val="22"/>
                <w:u w:val="single" w:color="auto"/>
                <w:color w:val="0000FF"/>
                <w:w w:val="88"/>
              </w:rPr>
              <w:t>9</w:t>
            </w:r>
          </w:p>
        </w:tc>
        <w:tc>
          <w:tcPr>
            <w:tcW w:w="1080" w:type="dxa"/>
            <w:vAlign w:val="bottom"/>
            <w:tcBorders>
              <w:top w:val="single" w:sz="8" w:color="0000FF"/>
              <w:bottom w:val="single" w:sz="8" w:color="0000FF"/>
            </w:tcBorders>
            <w:gridSpan w:val="2"/>
          </w:tcPr>
          <w:p>
            <w:pPr>
              <w:ind w:left="20"/>
              <w:spacing w:after="0" w:line="237" w:lineRule="exact"/>
              <w:rPr>
                <w:sz w:val="20"/>
                <w:szCs w:val="20"/>
                <w:color w:val="auto"/>
              </w:rPr>
            </w:pPr>
            <w:r>
              <w:rPr>
                <w:rFonts w:ascii="Arial" w:cs="Arial" w:eastAsia="Arial" w:hAnsi="Arial"/>
                <w:sz w:val="22"/>
                <w:szCs w:val="22"/>
                <w:color w:val="0000FF"/>
                <w:w w:val="91"/>
              </w:rPr>
              <w:t>Severability</w:t>
            </w:r>
          </w:p>
        </w:tc>
        <w:tc>
          <w:tcPr>
            <w:tcW w:w="6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140"/>
              <w:spacing w:after="0" w:line="237" w:lineRule="exact"/>
              <w:rPr>
                <w:sz w:val="20"/>
                <w:szCs w:val="20"/>
                <w:color w:val="auto"/>
              </w:rPr>
            </w:pPr>
            <w:r>
              <w:rPr>
                <w:rFonts w:ascii="Arial" w:cs="Arial" w:eastAsia="Arial" w:hAnsi="Arial"/>
                <w:sz w:val="22"/>
                <w:szCs w:val="22"/>
                <w:color w:val="auto"/>
              </w:rPr>
              <w:t>140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6"/>
        </w:trPr>
        <w:tc>
          <w:tcPr>
            <w:tcW w:w="500" w:type="dxa"/>
            <w:vAlign w:val="bottom"/>
            <w:gridSpan w:val="2"/>
          </w:tcPr>
          <w:p>
            <w:pPr>
              <w:spacing w:after="0" w:line="237" w:lineRule="exact"/>
              <w:rPr>
                <w:sz w:val="20"/>
                <w:szCs w:val="20"/>
                <w:color w:val="auto"/>
              </w:rPr>
            </w:pPr>
            <w:r>
              <w:rPr>
                <w:rFonts w:ascii="Arial" w:cs="Arial" w:eastAsia="Arial" w:hAnsi="Arial"/>
                <w:sz w:val="22"/>
                <w:szCs w:val="22"/>
                <w:color w:val="0000FF"/>
                <w:w w:val="87"/>
              </w:rPr>
              <w:t>10.</w:t>
            </w:r>
            <w:r>
              <w:rPr>
                <w:rFonts w:ascii="Arial" w:cs="Arial" w:eastAsia="Arial" w:hAnsi="Arial"/>
                <w:sz w:val="22"/>
                <w:szCs w:val="22"/>
                <w:u w:val="single" w:color="auto"/>
                <w:color w:val="0000FF"/>
                <w:w w:val="87"/>
              </w:rPr>
              <w:t>10</w:t>
            </w:r>
          </w:p>
        </w:tc>
        <w:tc>
          <w:tcPr>
            <w:tcW w:w="1120" w:type="dxa"/>
            <w:vAlign w:val="bottom"/>
            <w:gridSpan w:val="3"/>
          </w:tcPr>
          <w:p>
            <w:pPr>
              <w:ind w:left="40"/>
              <w:spacing w:after="0" w:line="237" w:lineRule="exact"/>
              <w:rPr>
                <w:sz w:val="20"/>
                <w:szCs w:val="20"/>
                <w:color w:val="auto"/>
              </w:rPr>
            </w:pPr>
            <w:r>
              <w:rPr>
                <w:rFonts w:ascii="Arial" w:cs="Arial" w:eastAsia="Arial" w:hAnsi="Arial"/>
                <w:sz w:val="22"/>
                <w:szCs w:val="22"/>
                <w:color w:val="0000FF"/>
              </w:rPr>
              <w:t>Integration</w:t>
            </w:r>
          </w:p>
        </w:tc>
        <w:tc>
          <w:tcPr>
            <w:tcW w:w="540" w:type="dxa"/>
            <w:vAlign w:val="bottom"/>
            <w:gridSpan w:val="2"/>
          </w:tcPr>
          <w:p>
            <w:pPr>
              <w:jc w:val="right"/>
              <w:ind w:right="140"/>
              <w:spacing w:after="0" w:line="237" w:lineRule="exact"/>
              <w:rPr>
                <w:sz w:val="20"/>
                <w:szCs w:val="20"/>
                <w:color w:val="auto"/>
              </w:rPr>
            </w:pPr>
            <w:r>
              <w:rPr>
                <w:rFonts w:ascii="Arial" w:cs="Arial" w:eastAsia="Arial" w:hAnsi="Arial"/>
                <w:sz w:val="22"/>
                <w:szCs w:val="22"/>
                <w:color w:val="auto"/>
              </w:rPr>
              <w:t>141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2440" w:type="dxa"/>
            <w:vAlign w:val="bottom"/>
            <w:tcBorders>
              <w:bottom w:val="single" w:sz="8" w:color="0000FF"/>
            </w:tcBorders>
            <w:gridSpan w:val="10"/>
          </w:tcPr>
          <w:p>
            <w:pPr>
              <w:spacing w:after="0" w:line="237" w:lineRule="exact"/>
              <w:rPr>
                <w:sz w:val="20"/>
                <w:szCs w:val="20"/>
                <w:color w:val="auto"/>
              </w:rPr>
            </w:pPr>
            <w:r>
              <w:rPr>
                <w:rFonts w:ascii="Arial" w:cs="Arial" w:eastAsia="Arial" w:hAnsi="Arial"/>
                <w:sz w:val="22"/>
                <w:szCs w:val="22"/>
                <w:color w:val="0000FF"/>
                <w:w w:val="96"/>
              </w:rPr>
              <w:t>10.</w:t>
            </w:r>
            <w:r>
              <w:rPr>
                <w:rFonts w:ascii="Arial" w:cs="Arial" w:eastAsia="Arial" w:hAnsi="Arial"/>
                <w:sz w:val="22"/>
                <w:szCs w:val="22"/>
                <w:u w:val="single" w:color="auto"/>
                <w:color w:val="0000FF"/>
                <w:w w:val="96"/>
              </w:rPr>
              <w:t>11</w:t>
            </w:r>
            <w:r>
              <w:rPr>
                <w:rFonts w:ascii="Arial" w:cs="Arial" w:eastAsia="Arial" w:hAnsi="Arial"/>
                <w:sz w:val="22"/>
                <w:szCs w:val="22"/>
                <w:color w:val="0000FF"/>
                <w:w w:val="96"/>
              </w:rPr>
              <w:t xml:space="preserve"> </w:t>
            </w:r>
            <w:r>
              <w:rPr>
                <w:rFonts w:ascii="Arial" w:cs="Arial" w:eastAsia="Arial" w:hAnsi="Arial"/>
                <w:sz w:val="22"/>
                <w:szCs w:val="22"/>
                <w:b w:val="1"/>
                <w:bCs w:val="1"/>
                <w:color w:val="0000FF"/>
                <w:w w:val="96"/>
              </w:rPr>
              <w:t>GOVERNING LAW</w:t>
            </w:r>
          </w:p>
        </w:tc>
        <w:tc>
          <w:tcPr>
            <w:tcW w:w="580" w:type="dxa"/>
            <w:vAlign w:val="bottom"/>
            <w:gridSpan w:val="2"/>
          </w:tcPr>
          <w:p>
            <w:pPr>
              <w:jc w:val="right"/>
              <w:ind w:right="40"/>
              <w:spacing w:after="0" w:line="237" w:lineRule="exact"/>
              <w:rPr>
                <w:sz w:val="20"/>
                <w:szCs w:val="20"/>
                <w:color w:val="auto"/>
              </w:rPr>
            </w:pPr>
            <w:r>
              <w:rPr>
                <w:rFonts w:ascii="Arial" w:cs="Arial" w:eastAsia="Arial" w:hAnsi="Arial"/>
                <w:sz w:val="22"/>
                <w:szCs w:val="22"/>
                <w:color w:val="auto"/>
              </w:rPr>
              <w:t>141</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7"/>
        </w:trPr>
        <w:tc>
          <w:tcPr>
            <w:tcW w:w="500" w:type="dxa"/>
            <w:vAlign w:val="bottom"/>
            <w:gridSpan w:val="2"/>
          </w:tcPr>
          <w:p>
            <w:pPr>
              <w:spacing w:after="0" w:line="237" w:lineRule="exact"/>
              <w:rPr>
                <w:sz w:val="20"/>
                <w:szCs w:val="20"/>
                <w:color w:val="auto"/>
              </w:rPr>
            </w:pPr>
            <w:r>
              <w:rPr>
                <w:rFonts w:ascii="Arial" w:cs="Arial" w:eastAsia="Arial" w:hAnsi="Arial"/>
                <w:sz w:val="22"/>
                <w:szCs w:val="22"/>
                <w:color w:val="0000FF"/>
                <w:w w:val="87"/>
              </w:rPr>
              <w:t>10.</w:t>
            </w:r>
            <w:r>
              <w:rPr>
                <w:rFonts w:ascii="Arial" w:cs="Arial" w:eastAsia="Arial" w:hAnsi="Arial"/>
                <w:sz w:val="22"/>
                <w:szCs w:val="22"/>
                <w:u w:val="single" w:color="auto"/>
                <w:color w:val="0000FF"/>
                <w:w w:val="87"/>
              </w:rPr>
              <w:t>12</w:t>
            </w:r>
          </w:p>
        </w:tc>
        <w:tc>
          <w:tcPr>
            <w:tcW w:w="6780" w:type="dxa"/>
            <w:vAlign w:val="bottom"/>
            <w:gridSpan w:val="15"/>
          </w:tcPr>
          <w:p>
            <w:pPr>
              <w:ind w:left="40"/>
              <w:spacing w:after="0" w:line="237" w:lineRule="exact"/>
              <w:rPr>
                <w:sz w:val="20"/>
                <w:szCs w:val="20"/>
                <w:color w:val="auto"/>
              </w:rPr>
            </w:pPr>
            <w:r>
              <w:rPr>
                <w:rFonts w:ascii="Arial" w:cs="Arial" w:eastAsia="Arial" w:hAnsi="Arial"/>
                <w:sz w:val="22"/>
                <w:szCs w:val="22"/>
                <w:color w:val="0000FF"/>
              </w:rPr>
              <w:t xml:space="preserve">Submission To Jurisdiction; Waivers  </w:t>
            </w:r>
            <w:r>
              <w:rPr>
                <w:rFonts w:ascii="Arial" w:cs="Arial" w:eastAsia="Arial" w:hAnsi="Arial"/>
                <w:sz w:val="22"/>
                <w:szCs w:val="22"/>
                <w:color w:val="000000"/>
              </w:rPr>
              <w:t>141</w:t>
            </w:r>
          </w:p>
        </w:tc>
      </w:tr>
      <w:tr>
        <w:trPr>
          <w:trHeight w:val="237"/>
        </w:trPr>
        <w:tc>
          <w:tcPr>
            <w:tcW w:w="500" w:type="dxa"/>
            <w:vAlign w:val="bottom"/>
            <w:tcBorders>
              <w:top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7"/>
              </w:rPr>
              <w:t>10.</w:t>
            </w:r>
            <w:r>
              <w:rPr>
                <w:rFonts w:ascii="Arial" w:cs="Arial" w:eastAsia="Arial" w:hAnsi="Arial"/>
                <w:sz w:val="22"/>
                <w:szCs w:val="22"/>
                <w:u w:val="single" w:color="auto"/>
                <w:color w:val="0000FF"/>
                <w:w w:val="87"/>
              </w:rPr>
              <w:t>13</w:t>
            </w:r>
          </w:p>
        </w:tc>
        <w:tc>
          <w:tcPr>
            <w:tcW w:w="3200" w:type="dxa"/>
            <w:vAlign w:val="bottom"/>
            <w:tcBorders>
              <w:top w:val="single" w:sz="8" w:color="0000FF"/>
            </w:tcBorders>
            <w:gridSpan w:val="12"/>
          </w:tcPr>
          <w:p>
            <w:pPr>
              <w:ind w:left="40"/>
              <w:spacing w:after="0" w:line="237" w:lineRule="exact"/>
              <w:rPr>
                <w:sz w:val="20"/>
                <w:szCs w:val="20"/>
                <w:color w:val="auto"/>
              </w:rPr>
            </w:pPr>
            <w:r>
              <w:rPr>
                <w:rFonts w:ascii="Arial" w:cs="Arial" w:eastAsia="Arial" w:hAnsi="Arial"/>
                <w:sz w:val="22"/>
                <w:szCs w:val="22"/>
                <w:color w:val="0000FF"/>
              </w:rPr>
              <w:t xml:space="preserve">Acknowledgments  </w:t>
            </w:r>
            <w:r>
              <w:rPr>
                <w:rFonts w:ascii="Arial" w:cs="Arial" w:eastAsia="Arial" w:hAnsi="Arial"/>
                <w:sz w:val="22"/>
                <w:szCs w:val="22"/>
                <w:color w:val="000000"/>
              </w:rPr>
              <w:t>142</w:t>
            </w:r>
          </w:p>
        </w:tc>
        <w:tc>
          <w:tcPr>
            <w:tcW w:w="3580" w:type="dxa"/>
            <w:vAlign w:val="bottom"/>
            <w:gridSpan w:val="3"/>
          </w:tcPr>
          <w:p>
            <w:pPr>
              <w:spacing w:after="0"/>
              <w:rPr>
                <w:sz w:val="20"/>
                <w:szCs w:val="20"/>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500" w:type="dxa"/>
            <w:vAlign w:val="bottom"/>
            <w:gridSpan w:val="2"/>
          </w:tcPr>
          <w:p>
            <w:pPr>
              <w:spacing w:after="0" w:line="237" w:lineRule="exact"/>
              <w:rPr>
                <w:sz w:val="20"/>
                <w:szCs w:val="20"/>
                <w:color w:val="auto"/>
              </w:rPr>
            </w:pPr>
            <w:r>
              <w:rPr>
                <w:rFonts w:ascii="Arial" w:cs="Arial" w:eastAsia="Arial" w:hAnsi="Arial"/>
                <w:sz w:val="22"/>
                <w:szCs w:val="22"/>
                <w:color w:val="0000FF"/>
                <w:w w:val="87"/>
              </w:rPr>
              <w:t>10.</w:t>
            </w:r>
            <w:r>
              <w:rPr>
                <w:rFonts w:ascii="Arial" w:cs="Arial" w:eastAsia="Arial" w:hAnsi="Arial"/>
                <w:sz w:val="22"/>
                <w:szCs w:val="22"/>
                <w:u w:val="single" w:color="auto"/>
                <w:color w:val="0000FF"/>
                <w:w w:val="87"/>
              </w:rPr>
              <w:t>14</w:t>
            </w:r>
          </w:p>
        </w:tc>
        <w:tc>
          <w:tcPr>
            <w:tcW w:w="1940" w:type="dxa"/>
            <w:vAlign w:val="bottom"/>
            <w:gridSpan w:val="8"/>
          </w:tcPr>
          <w:p>
            <w:pPr>
              <w:ind w:left="40"/>
              <w:spacing w:after="0" w:line="237" w:lineRule="exact"/>
              <w:rPr>
                <w:sz w:val="20"/>
                <w:szCs w:val="20"/>
                <w:color w:val="auto"/>
              </w:rPr>
            </w:pPr>
            <w:r>
              <w:rPr>
                <w:rFonts w:ascii="Arial" w:cs="Arial" w:eastAsia="Arial" w:hAnsi="Arial"/>
                <w:sz w:val="22"/>
                <w:szCs w:val="22"/>
                <w:color w:val="0000FF"/>
              </w:rPr>
              <w:t xml:space="preserve">Confidentiality  </w:t>
            </w:r>
            <w:r>
              <w:rPr>
                <w:rFonts w:ascii="Arial" w:cs="Arial" w:eastAsia="Arial" w:hAnsi="Arial"/>
                <w:sz w:val="22"/>
                <w:szCs w:val="22"/>
                <w:color w:val="000000"/>
              </w:rPr>
              <w:t>143</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500" w:type="dxa"/>
            <w:vAlign w:val="bottom"/>
            <w:gridSpan w:val="2"/>
          </w:tcPr>
          <w:p>
            <w:pPr>
              <w:spacing w:after="0" w:line="237" w:lineRule="exact"/>
              <w:rPr>
                <w:sz w:val="20"/>
                <w:szCs w:val="20"/>
                <w:color w:val="auto"/>
              </w:rPr>
            </w:pPr>
            <w:r>
              <w:rPr>
                <w:rFonts w:ascii="Arial" w:cs="Arial" w:eastAsia="Arial" w:hAnsi="Arial"/>
                <w:sz w:val="22"/>
                <w:szCs w:val="22"/>
                <w:color w:val="0000FF"/>
                <w:w w:val="87"/>
              </w:rPr>
              <w:t>10.</w:t>
            </w:r>
            <w:r>
              <w:rPr>
                <w:rFonts w:ascii="Arial" w:cs="Arial" w:eastAsia="Arial" w:hAnsi="Arial"/>
                <w:sz w:val="22"/>
                <w:szCs w:val="22"/>
                <w:u w:val="single" w:color="auto"/>
                <w:color w:val="0000FF"/>
                <w:w w:val="87"/>
              </w:rPr>
              <w:t>15</w:t>
            </w:r>
          </w:p>
        </w:tc>
        <w:tc>
          <w:tcPr>
            <w:tcW w:w="6780" w:type="dxa"/>
            <w:vAlign w:val="bottom"/>
            <w:gridSpan w:val="15"/>
          </w:tcPr>
          <w:p>
            <w:pPr>
              <w:ind w:left="40"/>
              <w:spacing w:after="0" w:line="237" w:lineRule="exact"/>
              <w:rPr>
                <w:sz w:val="20"/>
                <w:szCs w:val="20"/>
                <w:color w:val="auto"/>
              </w:rPr>
            </w:pPr>
            <w:r>
              <w:rPr>
                <w:rFonts w:ascii="Arial" w:cs="Arial" w:eastAsia="Arial" w:hAnsi="Arial"/>
                <w:sz w:val="22"/>
                <w:szCs w:val="22"/>
                <w:color w:val="0000FF"/>
              </w:rPr>
              <w:t xml:space="preserve">Release of Collateral and Guarantee Obligations  </w:t>
            </w:r>
            <w:r>
              <w:rPr>
                <w:rFonts w:ascii="Arial" w:cs="Arial" w:eastAsia="Arial" w:hAnsi="Arial"/>
                <w:sz w:val="22"/>
                <w:szCs w:val="22"/>
                <w:color w:val="000000"/>
              </w:rPr>
              <w:t>144</w:t>
            </w:r>
          </w:p>
        </w:tc>
      </w:tr>
      <w:tr>
        <w:trPr>
          <w:trHeight w:val="237"/>
        </w:trPr>
        <w:tc>
          <w:tcPr>
            <w:tcW w:w="500" w:type="dxa"/>
            <w:vAlign w:val="bottom"/>
            <w:tcBorders>
              <w:top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7"/>
              </w:rPr>
              <w:t>10.</w:t>
            </w:r>
            <w:r>
              <w:rPr>
                <w:rFonts w:ascii="Arial" w:cs="Arial" w:eastAsia="Arial" w:hAnsi="Arial"/>
                <w:sz w:val="22"/>
                <w:szCs w:val="22"/>
                <w:u w:val="single" w:color="auto"/>
                <w:color w:val="0000FF"/>
                <w:w w:val="87"/>
              </w:rPr>
              <w:t>16</w:t>
            </w:r>
          </w:p>
        </w:tc>
        <w:tc>
          <w:tcPr>
            <w:tcW w:w="1940" w:type="dxa"/>
            <w:vAlign w:val="bottom"/>
            <w:tcBorders>
              <w:top w:val="single" w:sz="8" w:color="0000FF"/>
            </w:tcBorders>
            <w:gridSpan w:val="8"/>
          </w:tcPr>
          <w:p>
            <w:pPr>
              <w:ind w:left="40"/>
              <w:spacing w:after="0" w:line="237" w:lineRule="exact"/>
              <w:rPr>
                <w:sz w:val="20"/>
                <w:szCs w:val="20"/>
                <w:color w:val="auto"/>
              </w:rPr>
            </w:pPr>
            <w:r>
              <w:rPr>
                <w:rFonts w:ascii="Arial" w:cs="Arial" w:eastAsia="Arial" w:hAnsi="Arial"/>
                <w:sz w:val="22"/>
                <w:szCs w:val="22"/>
                <w:color w:val="0000FF"/>
                <w:w w:val="92"/>
              </w:rPr>
              <w:t>Accounting Changes</w:t>
            </w:r>
          </w:p>
        </w:tc>
        <w:tc>
          <w:tcPr>
            <w:tcW w:w="580" w:type="dxa"/>
            <w:vAlign w:val="bottom"/>
            <w:tcBorders>
              <w:top w:val="single" w:sz="8" w:color="0000FF"/>
            </w:tcBorders>
            <w:gridSpan w:val="2"/>
          </w:tcPr>
          <w:p>
            <w:pPr>
              <w:jc w:val="right"/>
              <w:ind w:right="140"/>
              <w:spacing w:after="0" w:line="237" w:lineRule="exact"/>
              <w:rPr>
                <w:sz w:val="20"/>
                <w:szCs w:val="20"/>
                <w:color w:val="auto"/>
              </w:rPr>
            </w:pPr>
            <w:r>
              <w:rPr>
                <w:rFonts w:ascii="Arial" w:cs="Arial" w:eastAsia="Arial" w:hAnsi="Arial"/>
                <w:sz w:val="22"/>
                <w:szCs w:val="22"/>
                <w:color w:val="auto"/>
              </w:rPr>
              <w:t>144</w:t>
            </w:r>
          </w:p>
        </w:tc>
        <w:tc>
          <w:tcPr>
            <w:tcW w:w="2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20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500" w:type="dxa"/>
            <w:vAlign w:val="bottom"/>
            <w:gridSpan w:val="2"/>
          </w:tcPr>
          <w:p>
            <w:pPr>
              <w:spacing w:after="0" w:line="237" w:lineRule="exact"/>
              <w:rPr>
                <w:sz w:val="20"/>
                <w:szCs w:val="20"/>
                <w:color w:val="auto"/>
              </w:rPr>
            </w:pPr>
            <w:r>
              <w:rPr>
                <w:rFonts w:ascii="Arial" w:cs="Arial" w:eastAsia="Arial" w:hAnsi="Arial"/>
                <w:sz w:val="22"/>
                <w:szCs w:val="22"/>
                <w:color w:val="0000FF"/>
                <w:w w:val="87"/>
              </w:rPr>
              <w:t>10.</w:t>
            </w:r>
            <w:r>
              <w:rPr>
                <w:rFonts w:ascii="Arial" w:cs="Arial" w:eastAsia="Arial" w:hAnsi="Arial"/>
                <w:sz w:val="22"/>
                <w:szCs w:val="22"/>
                <w:u w:val="single" w:color="auto"/>
                <w:color w:val="0000FF"/>
                <w:w w:val="87"/>
              </w:rPr>
              <w:t>17</w:t>
            </w:r>
          </w:p>
        </w:tc>
        <w:tc>
          <w:tcPr>
            <w:tcW w:w="6780" w:type="dxa"/>
            <w:vAlign w:val="bottom"/>
            <w:gridSpan w:val="15"/>
          </w:tcPr>
          <w:p>
            <w:pPr>
              <w:ind w:left="40"/>
              <w:spacing w:after="0" w:line="237" w:lineRule="exact"/>
              <w:rPr>
                <w:sz w:val="20"/>
                <w:szCs w:val="20"/>
                <w:color w:val="auto"/>
              </w:rPr>
            </w:pPr>
            <w:r>
              <w:rPr>
                <w:rFonts w:ascii="Arial" w:cs="Arial" w:eastAsia="Arial" w:hAnsi="Arial"/>
                <w:sz w:val="22"/>
                <w:szCs w:val="22"/>
                <w:color w:val="0000FF"/>
              </w:rPr>
              <w:t xml:space="preserve">Delivery of Lender Addenda  </w:t>
            </w:r>
            <w:r>
              <w:rPr>
                <w:rFonts w:ascii="Arial" w:cs="Arial" w:eastAsia="Arial" w:hAnsi="Arial"/>
                <w:sz w:val="22"/>
                <w:szCs w:val="22"/>
                <w:color w:val="000000"/>
              </w:rPr>
              <w:t>145</w:t>
            </w: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500" w:type="dxa"/>
            <w:vAlign w:val="bottom"/>
            <w:gridSpan w:val="2"/>
          </w:tcPr>
          <w:p>
            <w:pPr>
              <w:spacing w:after="0" w:line="237" w:lineRule="exact"/>
              <w:rPr>
                <w:sz w:val="20"/>
                <w:szCs w:val="20"/>
                <w:color w:val="auto"/>
              </w:rPr>
            </w:pPr>
            <w:r>
              <w:rPr>
                <w:rFonts w:ascii="Arial" w:cs="Arial" w:eastAsia="Arial" w:hAnsi="Arial"/>
                <w:sz w:val="22"/>
                <w:szCs w:val="22"/>
                <w:color w:val="0000FF"/>
                <w:w w:val="87"/>
              </w:rPr>
              <w:t>10.</w:t>
            </w:r>
            <w:r>
              <w:rPr>
                <w:rFonts w:ascii="Arial" w:cs="Arial" w:eastAsia="Arial" w:hAnsi="Arial"/>
                <w:sz w:val="22"/>
                <w:szCs w:val="22"/>
                <w:u w:val="single" w:color="auto"/>
                <w:color w:val="0000FF"/>
                <w:w w:val="87"/>
              </w:rPr>
              <w:t>18</w:t>
            </w:r>
          </w:p>
        </w:tc>
        <w:tc>
          <w:tcPr>
            <w:tcW w:w="6780" w:type="dxa"/>
            <w:vAlign w:val="bottom"/>
            <w:gridSpan w:val="15"/>
          </w:tcPr>
          <w:p>
            <w:pPr>
              <w:ind w:left="40"/>
              <w:spacing w:after="0" w:line="237" w:lineRule="exact"/>
              <w:rPr>
                <w:sz w:val="20"/>
                <w:szCs w:val="20"/>
                <w:color w:val="auto"/>
              </w:rPr>
            </w:pPr>
            <w:r>
              <w:rPr>
                <w:rFonts w:ascii="Arial" w:cs="Arial" w:eastAsia="Arial" w:hAnsi="Arial"/>
                <w:sz w:val="22"/>
                <w:szCs w:val="22"/>
                <w:b w:val="1"/>
                <w:bCs w:val="1"/>
                <w:color w:val="0000FF"/>
              </w:rPr>
              <w:t xml:space="preserve">WAIVERS OF JURY TRIAL  </w:t>
            </w:r>
            <w:r>
              <w:rPr>
                <w:rFonts w:ascii="Arial" w:cs="Arial" w:eastAsia="Arial" w:hAnsi="Arial"/>
                <w:sz w:val="22"/>
                <w:szCs w:val="22"/>
                <w:color w:val="000000"/>
              </w:rPr>
              <w:t>145</w:t>
            </w:r>
          </w:p>
        </w:tc>
      </w:tr>
      <w:tr>
        <w:trPr>
          <w:trHeight w:val="236"/>
        </w:trPr>
        <w:tc>
          <w:tcPr>
            <w:tcW w:w="500" w:type="dxa"/>
            <w:vAlign w:val="bottom"/>
            <w:tcBorders>
              <w:top w:val="single" w:sz="8" w:color="0000FF"/>
            </w:tcBorders>
            <w:gridSpan w:val="2"/>
          </w:tcPr>
          <w:p>
            <w:pPr>
              <w:spacing w:after="0" w:line="237" w:lineRule="exact"/>
              <w:rPr>
                <w:sz w:val="20"/>
                <w:szCs w:val="20"/>
                <w:color w:val="auto"/>
              </w:rPr>
            </w:pPr>
            <w:r>
              <w:rPr>
                <w:rFonts w:ascii="Arial" w:cs="Arial" w:eastAsia="Arial" w:hAnsi="Arial"/>
                <w:sz w:val="22"/>
                <w:szCs w:val="22"/>
                <w:color w:val="0000FF"/>
                <w:w w:val="87"/>
              </w:rPr>
              <w:t>10.</w:t>
            </w:r>
            <w:r>
              <w:rPr>
                <w:rFonts w:ascii="Arial" w:cs="Arial" w:eastAsia="Arial" w:hAnsi="Arial"/>
                <w:sz w:val="22"/>
                <w:szCs w:val="22"/>
                <w:u w:val="single" w:color="auto"/>
                <w:color w:val="0000FF"/>
                <w:w w:val="87"/>
              </w:rPr>
              <w:t>19</w:t>
            </w:r>
          </w:p>
        </w:tc>
        <w:tc>
          <w:tcPr>
            <w:tcW w:w="2760" w:type="dxa"/>
            <w:vAlign w:val="bottom"/>
            <w:tcBorders>
              <w:top w:val="single" w:sz="8" w:color="0000FF"/>
            </w:tcBorders>
            <w:gridSpan w:val="11"/>
          </w:tcPr>
          <w:p>
            <w:pPr>
              <w:ind w:left="40"/>
              <w:spacing w:after="0" w:line="237" w:lineRule="exact"/>
              <w:rPr>
                <w:sz w:val="20"/>
                <w:szCs w:val="20"/>
                <w:color w:val="auto"/>
              </w:rPr>
            </w:pPr>
            <w:r>
              <w:rPr>
                <w:rFonts w:ascii="Arial" w:cs="Arial" w:eastAsia="Arial" w:hAnsi="Arial"/>
                <w:sz w:val="22"/>
                <w:szCs w:val="22"/>
                <w:color w:val="0000FF"/>
                <w:w w:val="96"/>
              </w:rPr>
              <w:t xml:space="preserve">Intercreditor Agreement  </w:t>
            </w:r>
            <w:r>
              <w:rPr>
                <w:rFonts w:ascii="Arial" w:cs="Arial" w:eastAsia="Arial" w:hAnsi="Arial"/>
                <w:sz w:val="22"/>
                <w:szCs w:val="22"/>
                <w:color w:val="000000"/>
                <w:w w:val="96"/>
              </w:rPr>
              <w:t>145</w:t>
            </w:r>
          </w:p>
        </w:tc>
        <w:tc>
          <w:tcPr>
            <w:tcW w:w="4020" w:type="dxa"/>
            <w:vAlign w:val="bottom"/>
            <w:gridSpan w:val="4"/>
          </w:tcPr>
          <w:p>
            <w:pPr>
              <w:spacing w:after="0"/>
              <w:rPr>
                <w:sz w:val="20"/>
                <w:szCs w:val="20"/>
                <w:color w:val="auto"/>
              </w:rPr>
            </w:pPr>
          </w:p>
        </w:tc>
      </w:tr>
      <w:tr>
        <w:trPr>
          <w:trHeight w:val="20"/>
        </w:trPr>
        <w:tc>
          <w:tcPr>
            <w:tcW w:w="500" w:type="dxa"/>
            <w:vAlign w:val="bottom"/>
            <w:gridSpan w:val="2"/>
            <w:shd w:val="clear" w:color="auto" w:fill="0000FF"/>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500" w:type="dxa"/>
            <w:vAlign w:val="bottom"/>
            <w:gridSpan w:val="2"/>
          </w:tcPr>
          <w:p>
            <w:pPr>
              <w:spacing w:after="0" w:line="237" w:lineRule="exact"/>
              <w:rPr>
                <w:sz w:val="20"/>
                <w:szCs w:val="20"/>
                <w:color w:val="auto"/>
              </w:rPr>
            </w:pPr>
            <w:r>
              <w:rPr>
                <w:rFonts w:ascii="Arial" w:cs="Arial" w:eastAsia="Arial" w:hAnsi="Arial"/>
                <w:sz w:val="22"/>
                <w:szCs w:val="22"/>
                <w:color w:val="0000FF"/>
                <w:w w:val="87"/>
              </w:rPr>
              <w:t>10.</w:t>
            </w:r>
            <w:r>
              <w:rPr>
                <w:rFonts w:ascii="Arial" w:cs="Arial" w:eastAsia="Arial" w:hAnsi="Arial"/>
                <w:sz w:val="22"/>
                <w:szCs w:val="22"/>
                <w:u w:val="single" w:color="auto"/>
                <w:color w:val="0000FF"/>
                <w:w w:val="87"/>
              </w:rPr>
              <w:t>20</w:t>
            </w:r>
          </w:p>
        </w:tc>
        <w:tc>
          <w:tcPr>
            <w:tcW w:w="6780" w:type="dxa"/>
            <w:vAlign w:val="bottom"/>
            <w:gridSpan w:val="15"/>
          </w:tcPr>
          <w:p>
            <w:pPr>
              <w:ind w:left="40"/>
              <w:spacing w:after="0" w:line="237" w:lineRule="exact"/>
              <w:rPr>
                <w:sz w:val="20"/>
                <w:szCs w:val="20"/>
                <w:color w:val="auto"/>
              </w:rPr>
            </w:pPr>
            <w:r>
              <w:rPr>
                <w:rFonts w:ascii="Arial" w:cs="Arial" w:eastAsia="Arial" w:hAnsi="Arial"/>
                <w:sz w:val="22"/>
                <w:szCs w:val="22"/>
                <w:color w:val="0000FF"/>
                <w:w w:val="92"/>
              </w:rPr>
              <w:t xml:space="preserve">Acknowledgement and Consent to Bail-In of EEA Financial Institution.  </w:t>
            </w:r>
            <w:r>
              <w:rPr>
                <w:rFonts w:ascii="Arial" w:cs="Arial" w:eastAsia="Arial" w:hAnsi="Arial"/>
                <w:sz w:val="22"/>
                <w:szCs w:val="22"/>
                <w:color w:val="000000"/>
                <w:w w:val="92"/>
              </w:rPr>
              <w:t>145</w:t>
            </w:r>
          </w:p>
        </w:tc>
      </w:tr>
      <w:tr>
        <w:trPr>
          <w:trHeight w:val="20"/>
        </w:trPr>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FF0000"/>
          <w:strike w:val="1"/>
        </w:rPr>
        <w:t>4</w:t>
      </w:r>
    </w:p>
    <w:p>
      <w:pPr>
        <w:sectPr>
          <w:pgSz w:w="11900" w:h="16838" w:orient="portrait"/>
          <w:cols w:equalWidth="0" w:num="1">
            <w:col w:w="9479"/>
          </w:cols>
          <w:pgMar w:left="980" w:top="1399"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53"/>
        </w:trPr>
        <w:tc>
          <w:tcPr>
            <w:tcW w:w="1720" w:type="dxa"/>
            <w:vAlign w:val="bottom"/>
            <w:gridSpan w:val="2"/>
          </w:tcPr>
          <w:p>
            <w:pPr>
              <w:spacing w:after="0"/>
              <w:rPr>
                <w:sz w:val="20"/>
                <w:szCs w:val="20"/>
                <w:color w:val="auto"/>
              </w:rPr>
            </w:pPr>
            <w:r>
              <w:rPr>
                <w:rFonts w:ascii="Arial" w:cs="Arial" w:eastAsia="Arial" w:hAnsi="Arial"/>
                <w:sz w:val="22"/>
                <w:szCs w:val="22"/>
                <w:color w:val="auto"/>
              </w:rPr>
              <w:t>Schedules</w:t>
            </w:r>
          </w:p>
        </w:tc>
        <w:tc>
          <w:tcPr>
            <w:tcW w:w="3960" w:type="dxa"/>
            <w:vAlign w:val="bottom"/>
          </w:tcPr>
          <w:p>
            <w:pPr>
              <w:spacing w:after="0"/>
              <w:rPr>
                <w:sz w:val="21"/>
                <w:szCs w:val="2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485"/>
        </w:trPr>
        <w:tc>
          <w:tcPr>
            <w:tcW w:w="1720" w:type="dxa"/>
            <w:vAlign w:val="bottom"/>
            <w:gridSpan w:val="2"/>
          </w:tcPr>
          <w:p>
            <w:pPr>
              <w:spacing w:after="0"/>
              <w:rPr>
                <w:sz w:val="20"/>
                <w:szCs w:val="20"/>
                <w:color w:val="auto"/>
              </w:rPr>
            </w:pPr>
            <w:r>
              <w:rPr>
                <w:rFonts w:ascii="Arial" w:cs="Arial" w:eastAsia="Arial" w:hAnsi="Arial"/>
                <w:sz w:val="22"/>
                <w:szCs w:val="22"/>
                <w:color w:val="auto"/>
              </w:rPr>
              <w:t>Schedule 2.1</w:t>
            </w:r>
          </w:p>
        </w:tc>
        <w:tc>
          <w:tcPr>
            <w:tcW w:w="3960" w:type="dxa"/>
            <w:vAlign w:val="bottom"/>
          </w:tcPr>
          <w:p>
            <w:pPr>
              <w:ind w:left="60"/>
              <w:spacing w:after="0"/>
              <w:rPr>
                <w:sz w:val="20"/>
                <w:szCs w:val="20"/>
                <w:color w:val="auto"/>
              </w:rPr>
            </w:pPr>
            <w:r>
              <w:rPr>
                <w:rFonts w:ascii="Arial" w:cs="Arial" w:eastAsia="Arial" w:hAnsi="Arial"/>
                <w:sz w:val="22"/>
                <w:szCs w:val="22"/>
                <w:color w:val="auto"/>
                <w:w w:val="89"/>
              </w:rPr>
              <w:t>Lenders and Initial Term Loan Commitments</w:t>
            </w:r>
          </w:p>
        </w:tc>
      </w:tr>
      <w:tr>
        <w:trPr>
          <w:trHeight w:val="256"/>
        </w:trPr>
        <w:tc>
          <w:tcPr>
            <w:tcW w:w="1720" w:type="dxa"/>
            <w:vAlign w:val="bottom"/>
            <w:gridSpan w:val="2"/>
          </w:tcPr>
          <w:p>
            <w:pPr>
              <w:spacing w:after="0"/>
              <w:rPr>
                <w:sz w:val="20"/>
                <w:szCs w:val="20"/>
                <w:color w:val="auto"/>
              </w:rPr>
            </w:pPr>
            <w:r>
              <w:rPr>
                <w:rFonts w:ascii="Arial" w:cs="Arial" w:eastAsia="Arial" w:hAnsi="Arial"/>
                <w:sz w:val="22"/>
                <w:szCs w:val="22"/>
                <w:color w:val="auto"/>
              </w:rPr>
              <w:t>Schedule 2.3</w:t>
            </w:r>
          </w:p>
        </w:tc>
        <w:tc>
          <w:tcPr>
            <w:tcW w:w="3960" w:type="dxa"/>
            <w:vAlign w:val="bottom"/>
          </w:tcPr>
          <w:p>
            <w:pPr>
              <w:ind w:left="60"/>
              <w:spacing w:after="0"/>
              <w:rPr>
                <w:sz w:val="20"/>
                <w:szCs w:val="20"/>
                <w:color w:val="auto"/>
              </w:rPr>
            </w:pPr>
            <w:r>
              <w:rPr>
                <w:rFonts w:ascii="Arial" w:cs="Arial" w:eastAsia="Arial" w:hAnsi="Arial"/>
                <w:sz w:val="22"/>
                <w:szCs w:val="22"/>
                <w:color w:val="auto"/>
                <w:w w:val="89"/>
              </w:rPr>
              <w:t>Lenders and Revolving Credit Commitments</w:t>
            </w:r>
          </w:p>
        </w:tc>
      </w:tr>
      <w:tr>
        <w:trPr>
          <w:trHeight w:val="274"/>
        </w:trPr>
        <w:tc>
          <w:tcPr>
            <w:tcW w:w="1720" w:type="dxa"/>
            <w:vAlign w:val="bottom"/>
            <w:gridSpan w:val="2"/>
          </w:tcPr>
          <w:p>
            <w:pPr>
              <w:spacing w:after="0"/>
              <w:rPr>
                <w:sz w:val="20"/>
                <w:szCs w:val="20"/>
                <w:color w:val="auto"/>
              </w:rPr>
            </w:pPr>
            <w:r>
              <w:rPr>
                <w:rFonts w:ascii="Arial" w:cs="Arial" w:eastAsia="Arial" w:hAnsi="Arial"/>
                <w:sz w:val="22"/>
                <w:szCs w:val="22"/>
                <w:color w:val="auto"/>
                <w:w w:val="90"/>
              </w:rPr>
              <w:t>Schedule 4.19(a)(i)</w:t>
            </w:r>
          </w:p>
        </w:tc>
        <w:tc>
          <w:tcPr>
            <w:tcW w:w="3960" w:type="dxa"/>
            <w:vAlign w:val="bottom"/>
          </w:tcPr>
          <w:p>
            <w:pPr>
              <w:ind w:left="380"/>
              <w:spacing w:after="0"/>
              <w:rPr>
                <w:sz w:val="20"/>
                <w:szCs w:val="20"/>
                <w:color w:val="auto"/>
              </w:rPr>
            </w:pPr>
            <w:r>
              <w:rPr>
                <w:rFonts w:ascii="Arial" w:cs="Arial" w:eastAsia="Arial" w:hAnsi="Arial"/>
                <w:sz w:val="22"/>
                <w:szCs w:val="22"/>
                <w:color w:val="auto"/>
              </w:rPr>
              <w:t>UCC Filing Office</w:t>
            </w:r>
          </w:p>
        </w:tc>
      </w:tr>
    </w:tbl>
    <w:p>
      <w:pPr>
        <w:ind w:right="2080"/>
        <w:spacing w:after="0" w:line="281" w:lineRule="auto"/>
        <w:rPr>
          <w:sz w:val="20"/>
          <w:szCs w:val="20"/>
          <w:color w:val="auto"/>
        </w:rPr>
      </w:pPr>
      <w:r>
        <w:rPr>
          <w:rFonts w:ascii="Arial" w:cs="Arial" w:eastAsia="Arial" w:hAnsi="Arial"/>
          <w:sz w:val="19"/>
          <w:szCs w:val="19"/>
          <w:color w:val="auto"/>
        </w:rPr>
        <w:t>Schedule 4.19(a)(ii) Existing UCC Financing Statements To Remain On File After Closing Date Schedule 4.19(a)(iii) Existing UCC Financing Statements To Be Terminated On or Before Closing Date</w:t>
      </w: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line="207" w:lineRule="exact"/>
              <w:rPr>
                <w:sz w:val="20"/>
                <w:szCs w:val="20"/>
                <w:color w:val="auto"/>
              </w:rPr>
            </w:pPr>
            <w:r>
              <w:rPr>
                <w:rFonts w:ascii="Arial" w:cs="Arial" w:eastAsia="Arial" w:hAnsi="Arial"/>
                <w:sz w:val="22"/>
                <w:szCs w:val="22"/>
                <w:color w:val="0000FF"/>
                <w:w w:val="98"/>
              </w:rPr>
              <w:t>Schedule 6.11</w:t>
            </w:r>
          </w:p>
        </w:tc>
        <w:tc>
          <w:tcPr>
            <w:tcW w:w="2520" w:type="dxa"/>
            <w:vAlign w:val="bottom"/>
            <w:gridSpan w:val="3"/>
          </w:tcPr>
          <w:p>
            <w:pPr>
              <w:jc w:val="right"/>
              <w:ind w:right="1660"/>
              <w:spacing w:after="0" w:line="207" w:lineRule="exact"/>
              <w:rPr>
                <w:sz w:val="20"/>
                <w:szCs w:val="20"/>
                <w:color w:val="auto"/>
              </w:rPr>
            </w:pPr>
            <w:r>
              <w:rPr>
                <w:rFonts w:ascii="Arial" w:cs="Arial" w:eastAsia="Arial" w:hAnsi="Arial"/>
                <w:sz w:val="22"/>
                <w:szCs w:val="22"/>
                <w:color w:val="0000FF"/>
                <w:w w:val="92"/>
              </w:rPr>
              <w:t>Accounts</w:t>
            </w:r>
          </w:p>
        </w:tc>
      </w:tr>
      <w:tr>
        <w:trPr>
          <w:trHeight w:val="20"/>
        </w:trPr>
        <w:tc>
          <w:tcPr>
            <w:tcW w:w="7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69"/>
        </w:trPr>
        <w:tc>
          <w:tcPr>
            <w:tcW w:w="1400" w:type="dxa"/>
            <w:vAlign w:val="bottom"/>
            <w:gridSpan w:val="3"/>
          </w:tcPr>
          <w:p>
            <w:pPr>
              <w:spacing w:after="0"/>
              <w:rPr>
                <w:sz w:val="20"/>
                <w:szCs w:val="20"/>
                <w:color w:val="auto"/>
              </w:rPr>
            </w:pPr>
            <w:r>
              <w:rPr>
                <w:rFonts w:ascii="Arial" w:cs="Arial" w:eastAsia="Arial" w:hAnsi="Arial"/>
                <w:sz w:val="22"/>
                <w:szCs w:val="22"/>
                <w:color w:val="auto"/>
                <w:w w:val="88"/>
              </w:rPr>
              <w:t>Schedule 7.2(d)</w:t>
            </w:r>
          </w:p>
        </w:tc>
        <w:tc>
          <w:tcPr>
            <w:tcW w:w="40" w:type="dxa"/>
            <w:vAlign w:val="bottom"/>
          </w:tcPr>
          <w:p>
            <w:pPr>
              <w:spacing w:after="0"/>
              <w:rPr>
                <w:sz w:val="23"/>
                <w:szCs w:val="23"/>
                <w:color w:val="auto"/>
              </w:rPr>
            </w:pPr>
          </w:p>
        </w:tc>
        <w:tc>
          <w:tcPr>
            <w:tcW w:w="2480" w:type="dxa"/>
            <w:vAlign w:val="bottom"/>
            <w:gridSpan w:val="2"/>
          </w:tcPr>
          <w:p>
            <w:pPr>
              <w:ind w:left="360"/>
              <w:spacing w:after="0"/>
              <w:rPr>
                <w:sz w:val="20"/>
                <w:szCs w:val="20"/>
                <w:color w:val="auto"/>
              </w:rPr>
            </w:pPr>
            <w:r>
              <w:rPr>
                <w:rFonts w:ascii="Arial" w:cs="Arial" w:eastAsia="Arial" w:hAnsi="Arial"/>
                <w:sz w:val="22"/>
                <w:szCs w:val="22"/>
                <w:color w:val="auto"/>
              </w:rPr>
              <w:t>Indebtedness</w:t>
            </w:r>
          </w:p>
        </w:tc>
      </w:tr>
      <w:tr>
        <w:trPr>
          <w:trHeight w:val="257"/>
        </w:trPr>
        <w:tc>
          <w:tcPr>
            <w:tcW w:w="1400" w:type="dxa"/>
            <w:vAlign w:val="bottom"/>
            <w:gridSpan w:val="3"/>
          </w:tcPr>
          <w:p>
            <w:pPr>
              <w:spacing w:after="0"/>
              <w:rPr>
                <w:sz w:val="20"/>
                <w:szCs w:val="20"/>
                <w:color w:val="auto"/>
              </w:rPr>
            </w:pPr>
            <w:r>
              <w:rPr>
                <w:rFonts w:ascii="Arial" w:cs="Arial" w:eastAsia="Arial" w:hAnsi="Arial"/>
                <w:sz w:val="22"/>
                <w:szCs w:val="22"/>
                <w:color w:val="auto"/>
                <w:w w:val="92"/>
              </w:rPr>
              <w:t>Schedule 7.3(f)</w:t>
            </w:r>
          </w:p>
        </w:tc>
        <w:tc>
          <w:tcPr>
            <w:tcW w:w="40" w:type="dxa"/>
            <w:vAlign w:val="bottom"/>
          </w:tcPr>
          <w:p>
            <w:pPr>
              <w:spacing w:after="0"/>
              <w:rPr>
                <w:sz w:val="22"/>
                <w:szCs w:val="22"/>
                <w:color w:val="auto"/>
              </w:rPr>
            </w:pPr>
          </w:p>
        </w:tc>
        <w:tc>
          <w:tcPr>
            <w:tcW w:w="2480" w:type="dxa"/>
            <w:vAlign w:val="bottom"/>
            <w:gridSpan w:val="2"/>
          </w:tcPr>
          <w:p>
            <w:pPr>
              <w:jc w:val="right"/>
              <w:ind w:right="1660"/>
              <w:spacing w:after="0"/>
              <w:rPr>
                <w:sz w:val="20"/>
                <w:szCs w:val="20"/>
                <w:color w:val="auto"/>
              </w:rPr>
            </w:pPr>
            <w:r>
              <w:rPr>
                <w:rFonts w:ascii="Arial" w:cs="Arial" w:eastAsia="Arial" w:hAnsi="Arial"/>
                <w:sz w:val="22"/>
                <w:szCs w:val="22"/>
                <w:color w:val="auto"/>
              </w:rPr>
              <w:t>Liens</w:t>
            </w:r>
          </w:p>
        </w:tc>
      </w:tr>
      <w:tr>
        <w:trPr>
          <w:trHeight w:val="257"/>
        </w:trPr>
        <w:tc>
          <w:tcPr>
            <w:tcW w:w="1400" w:type="dxa"/>
            <w:vAlign w:val="bottom"/>
            <w:gridSpan w:val="3"/>
          </w:tcPr>
          <w:p>
            <w:pPr>
              <w:spacing w:after="0"/>
              <w:rPr>
                <w:sz w:val="20"/>
                <w:szCs w:val="20"/>
                <w:color w:val="auto"/>
              </w:rPr>
            </w:pPr>
            <w:r>
              <w:rPr>
                <w:rFonts w:ascii="Arial" w:cs="Arial" w:eastAsia="Arial" w:hAnsi="Arial"/>
                <w:sz w:val="22"/>
                <w:szCs w:val="22"/>
                <w:color w:val="auto"/>
                <w:w w:val="98"/>
              </w:rPr>
              <w:t>Schedule 7.10</w:t>
            </w:r>
          </w:p>
        </w:tc>
        <w:tc>
          <w:tcPr>
            <w:tcW w:w="40" w:type="dxa"/>
            <w:vAlign w:val="bottom"/>
          </w:tcPr>
          <w:p>
            <w:pPr>
              <w:spacing w:after="0"/>
              <w:rPr>
                <w:sz w:val="22"/>
                <w:szCs w:val="22"/>
                <w:color w:val="auto"/>
              </w:rPr>
            </w:pPr>
          </w:p>
        </w:tc>
        <w:tc>
          <w:tcPr>
            <w:tcW w:w="2480" w:type="dxa"/>
            <w:vAlign w:val="bottom"/>
            <w:gridSpan w:val="2"/>
          </w:tcPr>
          <w:p>
            <w:pPr>
              <w:ind w:left="420"/>
              <w:spacing w:after="0"/>
              <w:rPr>
                <w:sz w:val="20"/>
                <w:szCs w:val="20"/>
                <w:color w:val="auto"/>
              </w:rPr>
            </w:pPr>
            <w:r>
              <w:rPr>
                <w:rFonts w:ascii="Arial" w:cs="Arial" w:eastAsia="Arial" w:hAnsi="Arial"/>
                <w:sz w:val="22"/>
                <w:szCs w:val="22"/>
                <w:color w:val="auto"/>
                <w:w w:val="99"/>
              </w:rPr>
              <w:t>Affiliate Transactions</w:t>
            </w:r>
          </w:p>
        </w:tc>
      </w:tr>
      <w:tr>
        <w:trPr>
          <w:trHeight w:val="274"/>
        </w:trPr>
        <w:tc>
          <w:tcPr>
            <w:tcW w:w="1400" w:type="dxa"/>
            <w:vAlign w:val="bottom"/>
            <w:gridSpan w:val="3"/>
          </w:tcPr>
          <w:p>
            <w:pPr>
              <w:spacing w:after="0"/>
              <w:rPr>
                <w:sz w:val="20"/>
                <w:szCs w:val="20"/>
                <w:color w:val="auto"/>
              </w:rPr>
            </w:pPr>
            <w:r>
              <w:rPr>
                <w:rFonts w:ascii="Arial" w:cs="Arial" w:eastAsia="Arial" w:hAnsi="Arial"/>
                <w:sz w:val="22"/>
                <w:szCs w:val="22"/>
                <w:color w:val="auto"/>
                <w:w w:val="98"/>
              </w:rPr>
              <w:t>Schedule 7.13</w:t>
            </w:r>
          </w:p>
        </w:tc>
        <w:tc>
          <w:tcPr>
            <w:tcW w:w="40" w:type="dxa"/>
            <w:vAlign w:val="bottom"/>
          </w:tcPr>
          <w:p>
            <w:pPr>
              <w:spacing w:after="0"/>
              <w:rPr>
                <w:sz w:val="23"/>
                <w:szCs w:val="23"/>
                <w:color w:val="auto"/>
              </w:rPr>
            </w:pPr>
          </w:p>
        </w:tc>
        <w:tc>
          <w:tcPr>
            <w:tcW w:w="2480" w:type="dxa"/>
            <w:vAlign w:val="bottom"/>
            <w:gridSpan w:val="2"/>
          </w:tcPr>
          <w:p>
            <w:pPr>
              <w:ind w:left="440"/>
              <w:spacing w:after="0"/>
              <w:rPr>
                <w:sz w:val="20"/>
                <w:szCs w:val="20"/>
                <w:color w:val="auto"/>
              </w:rPr>
            </w:pPr>
            <w:r>
              <w:rPr>
                <w:rFonts w:ascii="Arial" w:cs="Arial" w:eastAsia="Arial" w:hAnsi="Arial"/>
                <w:sz w:val="22"/>
                <w:szCs w:val="22"/>
                <w:color w:val="auto"/>
                <w:w w:val="88"/>
              </w:rPr>
              <w:t>Restrictive Agreements</w:t>
            </w:r>
          </w:p>
        </w:tc>
      </w:tr>
      <w:tr>
        <w:trPr>
          <w:trHeight w:val="422"/>
        </w:trPr>
        <w:tc>
          <w:tcPr>
            <w:tcW w:w="1400" w:type="dxa"/>
            <w:vAlign w:val="bottom"/>
            <w:gridSpan w:val="3"/>
          </w:tcPr>
          <w:p>
            <w:pPr>
              <w:spacing w:after="0"/>
              <w:rPr>
                <w:sz w:val="20"/>
                <w:szCs w:val="20"/>
                <w:color w:val="auto"/>
              </w:rPr>
            </w:pPr>
            <w:r>
              <w:rPr>
                <w:rFonts w:ascii="Arial" w:cs="Arial" w:eastAsia="Arial" w:hAnsi="Arial"/>
                <w:sz w:val="22"/>
                <w:szCs w:val="22"/>
                <w:color w:val="auto"/>
              </w:rPr>
              <w:t>Exhibits</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Borrowing Notice</w:t>
      </w:r>
    </w:p>
    <w:p>
      <w:pPr>
        <w:spacing w:after="0" w:line="21"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Compliance Certificate</w:t>
      </w:r>
    </w:p>
    <w:p>
      <w:pPr>
        <w:spacing w:after="0" w:line="4"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Exhibit C</w:t>
      </w:r>
      <w:r>
        <w:rPr>
          <w:sz w:val="20"/>
          <w:szCs w:val="20"/>
          <w:color w:val="auto"/>
        </w:rPr>
        <w:tab/>
      </w:r>
      <w:r>
        <w:rPr>
          <w:rFonts w:ascii="Arial" w:cs="Arial" w:eastAsia="Arial" w:hAnsi="Arial"/>
          <w:sz w:val="19"/>
          <w:szCs w:val="19"/>
          <w:color w:val="auto"/>
        </w:rPr>
        <w:t>Form of Lender Addendum</w:t>
      </w:r>
    </w:p>
    <w:p>
      <w:pPr>
        <w:spacing w:after="0" w:line="4"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color w:val="auto"/>
        </w:rPr>
        <w:t>Exhibit D-1</w:t>
      </w:r>
      <w:r>
        <w:rPr>
          <w:sz w:val="20"/>
          <w:szCs w:val="20"/>
          <w:color w:val="auto"/>
        </w:rPr>
        <w:tab/>
      </w:r>
      <w:r>
        <w:rPr>
          <w:rFonts w:ascii="Arial" w:cs="Arial" w:eastAsia="Arial" w:hAnsi="Arial"/>
          <w:sz w:val="19"/>
          <w:szCs w:val="19"/>
          <w:color w:val="auto"/>
        </w:rPr>
        <w:t>Form of Term Note</w:t>
      </w:r>
    </w:p>
    <w:p>
      <w:pPr>
        <w:spacing w:after="0" w:line="4"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color w:val="auto"/>
        </w:rPr>
        <w:t>Exhibit D-2</w:t>
      </w:r>
      <w:r>
        <w:rPr>
          <w:sz w:val="20"/>
          <w:szCs w:val="20"/>
          <w:color w:val="auto"/>
        </w:rPr>
        <w:tab/>
      </w:r>
      <w:r>
        <w:rPr>
          <w:rFonts w:ascii="Arial" w:cs="Arial" w:eastAsia="Arial" w:hAnsi="Arial"/>
          <w:sz w:val="19"/>
          <w:szCs w:val="19"/>
          <w:color w:val="auto"/>
        </w:rPr>
        <w:t>Form of Revolving Credit Note</w:t>
      </w:r>
    </w:p>
    <w:p>
      <w:pPr>
        <w:spacing w:after="0" w:line="4"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color w:val="auto"/>
        </w:rPr>
        <w:t>Exhibit D-3</w:t>
      </w:r>
      <w:r>
        <w:rPr>
          <w:sz w:val="20"/>
          <w:szCs w:val="20"/>
          <w:color w:val="auto"/>
        </w:rPr>
        <w:tab/>
      </w:r>
      <w:r>
        <w:rPr>
          <w:rFonts w:ascii="Arial" w:cs="Arial" w:eastAsia="Arial" w:hAnsi="Arial"/>
          <w:sz w:val="19"/>
          <w:szCs w:val="19"/>
          <w:color w:val="auto"/>
        </w:rPr>
        <w:t>Form of Swing Line Note</w:t>
      </w:r>
    </w:p>
    <w:p>
      <w:pPr>
        <w:spacing w:after="0" w:line="4" w:lineRule="exact"/>
        <w:rPr>
          <w:sz w:val="20"/>
          <w:szCs w:val="20"/>
          <w:color w:val="auto"/>
        </w:rPr>
      </w:pPr>
    </w:p>
    <w:p>
      <w:pPr>
        <w:ind w:left="1220" w:hanging="2591"/>
        <w:spacing w:after="0" w:line="243" w:lineRule="auto"/>
        <w:tabs>
          <w:tab w:leader="none" w:pos="1200" w:val="left"/>
        </w:tabs>
        <w:rPr>
          <w:sz w:val="20"/>
          <w:szCs w:val="20"/>
          <w:color w:val="auto"/>
        </w:rPr>
      </w:pPr>
      <w:r>
        <w:rPr>
          <w:rFonts w:ascii="Arial" w:cs="Arial" w:eastAsia="Arial" w:hAnsi="Arial"/>
          <w:sz w:val="22"/>
          <w:szCs w:val="22"/>
          <w:color w:val="auto"/>
        </w:rPr>
        <w:t>Exhibit E-1</w:t>
        <w:tab/>
        <w:t>Form of U.S. Tax Compliance Certificate (For Foreign Lenders That Are Not Partnerships For U.S. Federal Income Tax Purposes)</w:t>
      </w:r>
    </w:p>
    <w:p>
      <w:pPr>
        <w:spacing w:after="0" w:line="1" w:lineRule="exact"/>
        <w:rPr>
          <w:sz w:val="20"/>
          <w:szCs w:val="20"/>
          <w:color w:val="auto"/>
        </w:rPr>
      </w:pPr>
    </w:p>
    <w:p>
      <w:pPr>
        <w:ind w:left="1220" w:right="220" w:hanging="2591"/>
        <w:spacing w:after="0" w:line="227" w:lineRule="auto"/>
        <w:tabs>
          <w:tab w:leader="none" w:pos="1200" w:val="left"/>
        </w:tabs>
        <w:rPr>
          <w:sz w:val="20"/>
          <w:szCs w:val="20"/>
          <w:color w:val="auto"/>
        </w:rPr>
      </w:pPr>
      <w:r>
        <w:rPr>
          <w:rFonts w:ascii="Arial" w:cs="Arial" w:eastAsia="Arial" w:hAnsi="Arial"/>
          <w:sz w:val="22"/>
          <w:szCs w:val="22"/>
          <w:color w:val="auto"/>
        </w:rPr>
        <w:t>Exhibit E-2</w:t>
        <w:tab/>
        <w:t xml:space="preserve">Form of U.S. Tax Compliance Certificate </w:t>
      </w:r>
      <w:r>
        <w:rPr>
          <w:rFonts w:ascii="Arial" w:cs="Arial" w:eastAsia="Arial" w:hAnsi="Arial"/>
          <w:sz w:val="19"/>
          <w:szCs w:val="19"/>
          <w:color w:val="auto"/>
        </w:rPr>
        <w:t>(For Foreign Participants That Are Not Partnerships For U.S. Federal Income</w:t>
      </w:r>
      <w:r>
        <w:rPr>
          <w:rFonts w:ascii="Arial" w:cs="Arial" w:eastAsia="Arial" w:hAnsi="Arial"/>
          <w:sz w:val="22"/>
          <w:szCs w:val="22"/>
          <w:color w:val="auto"/>
        </w:rPr>
        <w:t xml:space="preserve"> </w:t>
      </w:r>
      <w:r>
        <w:rPr>
          <w:rFonts w:ascii="Arial" w:cs="Arial" w:eastAsia="Arial" w:hAnsi="Arial"/>
          <w:sz w:val="19"/>
          <w:szCs w:val="19"/>
          <w:color w:val="auto"/>
        </w:rPr>
        <w:t>Tax Purposes)</w:t>
      </w:r>
    </w:p>
    <w:p>
      <w:pPr>
        <w:spacing w:after="0" w:line="1" w:lineRule="exact"/>
        <w:rPr>
          <w:sz w:val="20"/>
          <w:szCs w:val="20"/>
          <w:color w:val="auto"/>
        </w:rPr>
      </w:pPr>
    </w:p>
    <w:p>
      <w:pPr>
        <w:ind w:left="1220" w:right="280" w:hanging="2591"/>
        <w:spacing w:after="0" w:line="230" w:lineRule="auto"/>
        <w:tabs>
          <w:tab w:leader="none" w:pos="1200" w:val="left"/>
        </w:tabs>
        <w:rPr>
          <w:sz w:val="20"/>
          <w:szCs w:val="20"/>
          <w:color w:val="auto"/>
        </w:rPr>
      </w:pPr>
      <w:r>
        <w:rPr>
          <w:rFonts w:ascii="Arial" w:cs="Arial" w:eastAsia="Arial" w:hAnsi="Arial"/>
          <w:sz w:val="22"/>
          <w:szCs w:val="22"/>
          <w:color w:val="auto"/>
        </w:rPr>
        <w:t>Exhibit E-3</w:t>
        <w:tab/>
        <w:t xml:space="preserve">Form of U.S. Tax Compliance Certificate </w:t>
      </w:r>
      <w:r>
        <w:rPr>
          <w:rFonts w:ascii="Arial" w:cs="Arial" w:eastAsia="Arial" w:hAnsi="Arial"/>
          <w:sz w:val="19"/>
          <w:szCs w:val="19"/>
          <w:color w:val="auto"/>
        </w:rPr>
        <w:t>(For Foreign Participants That Are Partnerships for U.S. Federal Income Tax</w:t>
      </w:r>
      <w:r>
        <w:rPr>
          <w:rFonts w:ascii="Arial" w:cs="Arial" w:eastAsia="Arial" w:hAnsi="Arial"/>
          <w:sz w:val="22"/>
          <w:szCs w:val="22"/>
          <w:color w:val="auto"/>
        </w:rPr>
        <w:t xml:space="preserve"> </w:t>
      </w:r>
      <w:r>
        <w:rPr>
          <w:rFonts w:ascii="Arial" w:cs="Arial" w:eastAsia="Arial" w:hAnsi="Arial"/>
          <w:sz w:val="19"/>
          <w:szCs w:val="19"/>
          <w:color w:val="auto"/>
        </w:rPr>
        <w:t>Purposes)</w:t>
      </w:r>
    </w:p>
    <w:p>
      <w:pPr>
        <w:spacing w:after="0" w:line="1" w:lineRule="exact"/>
        <w:rPr>
          <w:sz w:val="20"/>
          <w:szCs w:val="20"/>
          <w:color w:val="auto"/>
        </w:rPr>
      </w:pPr>
    </w:p>
    <w:p>
      <w:pPr>
        <w:ind w:left="1220" w:hanging="2591"/>
        <w:spacing w:after="0" w:line="246" w:lineRule="auto"/>
        <w:tabs>
          <w:tab w:leader="none" w:pos="1200" w:val="left"/>
        </w:tabs>
        <w:rPr>
          <w:sz w:val="20"/>
          <w:szCs w:val="20"/>
          <w:color w:val="auto"/>
        </w:rPr>
      </w:pPr>
      <w:r>
        <w:rPr>
          <w:rFonts w:ascii="Arial" w:cs="Arial" w:eastAsia="Arial" w:hAnsi="Arial"/>
          <w:sz w:val="22"/>
          <w:szCs w:val="22"/>
          <w:color w:val="auto"/>
        </w:rPr>
        <w:t>Exhibit E-4</w:t>
        <w:tab/>
        <w:t>Form of U.S. Tax Compliance Certificate (For Foreign Lenders That Are Partnerships For U.S. Federal Income Tax Purposes)</w:t>
      </w:r>
    </w:p>
    <w:p>
      <w:pPr>
        <w:spacing w:after="0"/>
        <w:tabs>
          <w:tab w:leader="none" w:pos="1440" w:val="left"/>
        </w:tabs>
        <w:rPr>
          <w:sz w:val="20"/>
          <w:szCs w:val="20"/>
          <w:color w:val="auto"/>
        </w:rPr>
      </w:pPr>
      <w:r>
        <w:rPr>
          <w:rFonts w:ascii="Arial" w:cs="Arial" w:eastAsia="Arial" w:hAnsi="Arial"/>
          <w:sz w:val="22"/>
          <w:szCs w:val="22"/>
          <w:color w:val="auto"/>
        </w:rPr>
        <w:t>Exhibit F</w:t>
      </w:r>
      <w:r>
        <w:rPr>
          <w:sz w:val="20"/>
          <w:szCs w:val="20"/>
          <w:color w:val="auto"/>
        </w:rPr>
        <w:tab/>
      </w:r>
      <w:r>
        <w:rPr>
          <w:rFonts w:ascii="Arial" w:cs="Arial" w:eastAsia="Arial" w:hAnsi="Arial"/>
          <w:sz w:val="19"/>
          <w:szCs w:val="19"/>
          <w:color w:val="auto"/>
        </w:rPr>
        <w:t>Form of Assignment and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220"/>
          </w:cols>
          <w:pgMar w:left="320" w:top="1399" w:right="359" w:bottom="1440" w:gutter="0" w:footer="0" w:header="0"/>
        </w:sectPr>
      </w:pPr>
    </w:p>
    <w:bookmarkStart w:id="90" w:name="page91"/>
    <w:bookmarkEnd w:id="90"/>
    <w:p>
      <w:pPr>
        <w:jc w:val="both"/>
        <w:ind w:firstLine="1296"/>
        <w:spacing w:after="0" w:line="248" w:lineRule="auto"/>
        <w:rPr>
          <w:sz w:val="20"/>
          <w:szCs w:val="20"/>
          <w:color w:val="auto"/>
        </w:rPr>
      </w:pPr>
      <w:r>
        <w:rPr>
          <w:rFonts w:ascii="Arial" w:cs="Arial" w:eastAsia="Arial" w:hAnsi="Arial"/>
          <w:sz w:val="22"/>
          <w:szCs w:val="22"/>
          <w:color w:val="auto"/>
        </w:rPr>
        <w:t>CREDIT AGREEMENT, dated as of June 20, 2018, among National CineMedia, LLC, a Delaware limited liability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the several banks and other financial institutions or entities from time to time parties to this Agreement (the “</w:t>
      </w:r>
      <w:r>
        <w:rPr>
          <w:rFonts w:ascii="Arial" w:cs="Arial" w:eastAsia="Arial" w:hAnsi="Arial"/>
          <w:sz w:val="22"/>
          <w:szCs w:val="22"/>
          <w:u w:val="single" w:color="auto"/>
          <w:color w:val="auto"/>
        </w:rPr>
        <w:t>Lenders</w:t>
      </w:r>
      <w:r>
        <w:rPr>
          <w:rFonts w:ascii="Arial" w:cs="Arial" w:eastAsia="Arial" w:hAnsi="Arial"/>
          <w:sz w:val="22"/>
          <w:szCs w:val="22"/>
          <w:color w:val="auto"/>
        </w:rPr>
        <w:t>”), and JPMorgan Chase Bank, N.A., as administrative agent (in such capacity, the “</w:t>
      </w:r>
      <w:r>
        <w:rPr>
          <w:rFonts w:ascii="Arial" w:cs="Arial" w:eastAsia="Arial" w:hAnsi="Arial"/>
          <w:sz w:val="22"/>
          <w:szCs w:val="22"/>
          <w:u w:val="single" w:color="auto"/>
          <w:color w:val="auto"/>
        </w:rPr>
        <w:t>Administrative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Agent</w:t>
      </w:r>
      <w:r>
        <w:rPr>
          <w:rFonts w:ascii="Arial" w:cs="Arial" w:eastAsia="Arial" w:hAnsi="Arial"/>
          <w:sz w:val="22"/>
          <w:szCs w:val="22"/>
          <w:color w:val="auto"/>
        </w:rPr>
        <w:t>”)</w:t>
      </w:r>
      <w:r>
        <w:rPr>
          <w:rFonts w:ascii="Arial" w:cs="Arial" w:eastAsia="Arial" w:hAnsi="Arial"/>
          <w:sz w:val="22"/>
          <w:szCs w:val="22"/>
          <w:u w:val="single" w:color="auto"/>
          <w:color w:val="0000FF"/>
        </w:rPr>
        <w:t>, as amended by that certain Amendment No. 1 to Credit Agreement, dated as of April 30, 2020 and that certain</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Amendment No. 2 to Credit Agreement, dated as of March 8, 2021</w:t>
      </w:r>
      <w:r>
        <w:rPr>
          <w:rFonts w:ascii="Arial" w:cs="Arial" w:eastAsia="Arial" w:hAnsi="Arial"/>
          <w:sz w:val="22"/>
          <w:szCs w:val="22"/>
          <w:color w:val="000000"/>
        </w:rPr>
        <w: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p>
    <w:p>
      <w:pPr>
        <w:spacing w:after="0" w:line="22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WHEREAS, the Borrower has requested (a) the Term Loan Lenders (as defined herein) to extend credit in the form of new Term Loans on the Closing Date, in an aggregate principal amount of $270,000,000, and (b) the Revolving Credit Lenders (as defined herein) continue to extend credit to the Borrower in the form of a Revolving Credit Facility in an aggregate amount of $175,000,000 as of the date hereof;</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WHEREAS, the proceeds of the Term Loans made on the Closing Date will be permitted to be used (i) to repay in full all existing term loans outstanding under the Existing Credit Agreement and (ii) to pay fees and expenses incurred in connection with the foregoing (collectively, the “</w:t>
      </w:r>
      <w:r>
        <w:rPr>
          <w:rFonts w:ascii="Arial" w:cs="Arial" w:eastAsia="Arial" w:hAnsi="Arial"/>
          <w:sz w:val="22"/>
          <w:szCs w:val="22"/>
          <w:u w:val="single" w:color="auto"/>
          <w:color w:val="auto"/>
        </w:rPr>
        <w:t>Transaction</w:t>
      </w:r>
      <w:r>
        <w:rPr>
          <w:rFonts w:ascii="Arial" w:cs="Arial" w:eastAsia="Arial" w:hAnsi="Arial"/>
          <w:sz w:val="22"/>
          <w:szCs w:val="22"/>
          <w:color w:val="auto"/>
        </w:rPr>
        <w:t>”);</w:t>
      </w:r>
    </w:p>
    <w:p>
      <w:pPr>
        <w:spacing w:after="0" w:line="18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WHEREAS, the proceeds of the Revolving Credit Loans will be permitted to be used (i) for working capital and general corporate purposes of the Borrower and its Subsidiaries, and (ii) to fund acquisitions, Restricted Payments and other distributions permitted by </w:t>
      </w:r>
      <w:r>
        <w:rPr>
          <w:rFonts w:ascii="Arial" w:cs="Arial" w:eastAsia="Arial" w:hAnsi="Arial"/>
          <w:sz w:val="21"/>
          <w:szCs w:val="21"/>
          <w:u w:val="single" w:color="auto"/>
          <w:color w:val="auto"/>
        </w:rPr>
        <w:t>Section 7.6</w:t>
      </w:r>
      <w:r>
        <w:rPr>
          <w:rFonts w:ascii="Arial" w:cs="Arial" w:eastAsia="Arial" w:hAnsi="Arial"/>
          <w:sz w:val="21"/>
          <w:szCs w:val="21"/>
          <w:color w:val="auto"/>
        </w:rPr>
        <w:t>, and for any other purpose not prohibited by this Agreement;</w:t>
      </w:r>
    </w:p>
    <w:p>
      <w:pPr>
        <w:spacing w:after="0" w:line="16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the Lenders are willing to make such credit facilities available upon and subject to the terms and conditions hereinafter set forth;</w:t>
      </w:r>
    </w:p>
    <w:p>
      <w:pPr>
        <w:spacing w:after="0" w:line="17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NOW, THEREFORE, in consideration of the premises and the agreements hereinafter set forth, the parties hereto hereby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  DEFINITIONS</w:t>
      </w:r>
    </w:p>
    <w:p>
      <w:pPr>
        <w:spacing w:after="0" w:line="220" w:lineRule="exact"/>
        <w:rPr>
          <w:sz w:val="20"/>
          <w:szCs w:val="20"/>
          <w:color w:val="auto"/>
        </w:rPr>
      </w:pPr>
    </w:p>
    <w:p>
      <w:pPr>
        <w:ind w:left="1940" w:hanging="636"/>
        <w:spacing w:after="0"/>
        <w:tabs>
          <w:tab w:leader="none" w:pos="194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Defined Terms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As used in this Agreement, the terms listed in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shall have the respective meanings set forth in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Acceptable Discount</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2.11(c)(iv)</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Acceptable Prepayment Amount</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2.11(c)(iv)</w:t>
      </w:r>
      <w:r>
        <w:rPr>
          <w:rFonts w:ascii="Arial" w:cs="Arial" w:eastAsia="Arial" w:hAnsi="Arial"/>
          <w:sz w:val="22"/>
          <w:szCs w:val="22"/>
          <w:color w:val="auto"/>
        </w:rPr>
        <w: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Acceptance Date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2.11(c)(iv)</w:t>
      </w: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as to any Person, (x) the acquisition of a majority of the Capital Stock of any other Person which have the ordinary voting power for the election of the board of directors (or equivalent governing body) of such other Person, (y) the acquisition of all or substantially all of the assets of any other Person or (z)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8"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auto"/>
        </w:rPr>
        <w:t>acquisition of all or substantially all of the assets constituting a business line or division of any other Person.</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Lender</w:t>
      </w:r>
      <w:r>
        <w:rPr>
          <w:rFonts w:ascii="Arial" w:cs="Arial" w:eastAsia="Arial" w:hAnsi="Arial"/>
          <w:sz w:val="22"/>
          <w:szCs w:val="22"/>
          <w:color w:val="auto"/>
        </w:rPr>
        <w:t xml:space="preserve">” means at any time, any existing Lender or any other bank or other financial institution </w:t>
      </w:r>
      <w:r>
        <w:rPr>
          <w:rFonts w:ascii="Arial" w:cs="Arial" w:eastAsia="Arial" w:hAnsi="Arial"/>
          <w:sz w:val="22"/>
          <w:szCs w:val="22"/>
          <w:u w:val="single" w:color="auto"/>
          <w:color w:val="0000FF"/>
        </w:rPr>
        <w:t>or other lender</w:t>
      </w:r>
      <w:r>
        <w:rPr>
          <w:rFonts w:ascii="Arial" w:cs="Arial" w:eastAsia="Arial" w:hAnsi="Arial"/>
          <w:sz w:val="22"/>
          <w:szCs w:val="22"/>
          <w:color w:val="auto"/>
        </w:rPr>
        <w:t xml:space="preserve"> selected by the Borrower that agrees to provide any portion of any Incremental Term Loans, Revolving Credit Commitment Increases or Replacement Revolving Credit Commitments.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Consolidated EBITDA</w:t>
      </w:r>
      <w:r>
        <w:rPr>
          <w:rFonts w:ascii="Arial" w:cs="Arial" w:eastAsia="Arial" w:hAnsi="Arial"/>
          <w:sz w:val="22"/>
          <w:szCs w:val="22"/>
          <w:color w:val="auto"/>
        </w:rPr>
        <w:t>” means as to the Borrower and its Subsidiaries for a particular period, the sum of:</w:t>
      </w:r>
    </w:p>
    <w:p>
      <w:pPr>
        <w:spacing w:after="0" w:line="220" w:lineRule="exact"/>
        <w:rPr>
          <w:sz w:val="20"/>
          <w:szCs w:val="20"/>
          <w:color w:val="auto"/>
        </w:rPr>
      </w:pPr>
    </w:p>
    <w:p>
      <w:pPr>
        <w:ind w:left="2600" w:hanging="648"/>
        <w:spacing w:after="0"/>
        <w:tabs>
          <w:tab w:leader="none" w:pos="26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Consolidated EBITDA of Borrower and its Subsidiaries for such period; plus</w:t>
      </w:r>
    </w:p>
    <w:p>
      <w:pPr>
        <w:spacing w:after="0" w:line="219" w:lineRule="exact"/>
        <w:rPr>
          <w:rFonts w:ascii="Arial" w:cs="Arial" w:eastAsia="Arial" w:hAnsi="Arial"/>
          <w:sz w:val="22"/>
          <w:szCs w:val="22"/>
          <w:color w:val="auto"/>
        </w:rPr>
      </w:pPr>
    </w:p>
    <w:p>
      <w:pPr>
        <w:jc w:val="both"/>
        <w:ind w:left="1300" w:firstLine="652"/>
        <w:spacing w:after="0" w:line="250" w:lineRule="auto"/>
        <w:tabs>
          <w:tab w:leader="none" w:pos="2591"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for each such period ending after the Closing Date, amounts received by the Borrower during such period pursuant to the Loews Agreement or other similar agreements to the extent such amounts are not otherwise included in determining Consolidated EBITDA of Borrower and its Subsidiaries under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definition for such period; plus</w:t>
      </w:r>
    </w:p>
    <w:p>
      <w:pPr>
        <w:spacing w:after="0" w:line="187" w:lineRule="exact"/>
        <w:rPr>
          <w:rFonts w:ascii="Arial" w:cs="Arial" w:eastAsia="Arial" w:hAnsi="Arial"/>
          <w:sz w:val="22"/>
          <w:szCs w:val="22"/>
          <w:color w:val="auto"/>
        </w:rPr>
      </w:pPr>
    </w:p>
    <w:p>
      <w:pPr>
        <w:jc w:val="both"/>
        <w:ind w:left="1300" w:firstLine="652"/>
        <w:spacing w:after="0" w:line="265" w:lineRule="auto"/>
        <w:tabs>
          <w:tab w:leader="none" w:pos="2593"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for each such period ending after the Closing Date, the aggregate amount of cash payments received by the Borrower during such period pursuant to </w:t>
      </w:r>
      <w:r>
        <w:rPr>
          <w:rFonts w:ascii="Arial" w:cs="Arial" w:eastAsia="Arial" w:hAnsi="Arial"/>
          <w:sz w:val="21"/>
          <w:szCs w:val="21"/>
          <w:u w:val="single" w:color="auto"/>
          <w:color w:val="auto"/>
        </w:rPr>
        <w:t>Section 4(b)</w:t>
      </w:r>
      <w:r>
        <w:rPr>
          <w:rFonts w:ascii="Arial" w:cs="Arial" w:eastAsia="Arial" w:hAnsi="Arial"/>
          <w:sz w:val="21"/>
          <w:szCs w:val="21"/>
          <w:color w:val="auto"/>
        </w:rPr>
        <w:t xml:space="preserve"> of the Common Unit Adjustment Agreement to the extent such amounts are not otherwise included in determining Consolidated EBITDA of the Borrower and its Subsidiaries under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of this definition for such period.</w:t>
      </w:r>
    </w:p>
    <w:p>
      <w:pPr>
        <w:spacing w:after="0" w:line="175" w:lineRule="exact"/>
        <w:rPr>
          <w:sz w:val="20"/>
          <w:szCs w:val="20"/>
          <w:color w:val="auto"/>
        </w:rPr>
      </w:pPr>
    </w:p>
    <w:p>
      <w:pPr>
        <w:ind w:right="3560"/>
        <w:spacing w:after="0" w:line="51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Adjustment Date</w:t>
      </w:r>
      <w:r>
        <w:rPr>
          <w:rFonts w:ascii="Arial" w:cs="Arial" w:eastAsia="Arial" w:hAnsi="Arial"/>
          <w:sz w:val="19"/>
          <w:szCs w:val="19"/>
          <w:color w:val="auto"/>
        </w:rPr>
        <w:t>” shall have the meaning as defined in the definition of “Pricing Grid.”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shall have the meaning as defined in the preamble hereto.</w:t>
      </w:r>
    </w:p>
    <w:p>
      <w:pPr>
        <w:spacing w:after="0"/>
        <w:rPr>
          <w:sz w:val="20"/>
          <w:szCs w:val="20"/>
          <w:color w:val="auto"/>
        </w:rPr>
      </w:pPr>
      <w:r>
        <w:rPr>
          <w:rFonts w:ascii="Arial" w:cs="Arial" w:eastAsia="Arial" w:hAnsi="Arial"/>
          <w:sz w:val="22"/>
          <w:szCs w:val="22"/>
          <w:u w:val="single" w:color="auto"/>
          <w:color w:val="0000FF"/>
        </w:rPr>
        <w:t>“Affected Financial Institution” means (a) any EEA Financial Institution or (b) any UK Financial Institution.</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as to any Person, any other Person that, directly or indirectly, is in control of, is controlled by, or is under common control with,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w:t>
      </w:r>
      <w:r>
        <w:rPr>
          <w:rFonts w:ascii="Arial" w:cs="Arial" w:eastAsia="Arial" w:hAnsi="Arial"/>
          <w:sz w:val="19"/>
          <w:szCs w:val="19"/>
          <w:u w:val="single" w:color="auto"/>
          <w:color w:val="auto"/>
        </w:rPr>
        <w:t>Section 7.10</w:t>
      </w:r>
      <w:r>
        <w:rPr>
          <w:rFonts w:ascii="Arial" w:cs="Arial" w:eastAsia="Arial" w:hAnsi="Arial"/>
          <w:sz w:val="19"/>
          <w:szCs w:val="19"/>
          <w:color w:val="auto"/>
        </w:rPr>
        <w:t>, an “Affiliate” shall not include any Person that, directly or indirectly, is in control of, is controlled by, or is under common control with, any Founding Member Parent (excluding Holdings, each Subsidiary of Holdings and each Subsidiary of such Founding Member Parent). For purposes of this definition, “control” of a Person means the power, directly or indirectly, either to (a) vote 10% or more of the securities having ordinary voting power for the election of directors (or persons performing similar functions) of such Person or (b) direct or cause the direction of the management and policies of such Person, whether by contract or otherwise.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“Affiliated Lender” means any Non-Debt Fund Affiliate, the Borrower, Holdings and any of its other Subsidiaries.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Exposure</w:t>
      </w:r>
      <w:r>
        <w:rPr>
          <w:rFonts w:ascii="Arial" w:cs="Arial" w:eastAsia="Arial" w:hAnsi="Arial"/>
          <w:sz w:val="22"/>
          <w:szCs w:val="22"/>
          <w:color w:val="auto"/>
        </w:rPr>
        <w:t>” means with respect to any Lender at any time, an amount equal to the sum of (i) the aggregate then unpaid principal amount of such Lender’s Term Loans and (ii) the amount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92" w:name="page93"/>
    <w:bookmarkEnd w:id="92"/>
    <w:p>
      <w:pPr>
        <w:jc w:val="both"/>
        <w:spacing w:after="0" w:line="263" w:lineRule="auto"/>
        <w:rPr>
          <w:sz w:val="20"/>
          <w:szCs w:val="20"/>
          <w:color w:val="auto"/>
        </w:rPr>
      </w:pPr>
      <w:r>
        <w:rPr>
          <w:rFonts w:ascii="Arial" w:cs="Arial" w:eastAsia="Arial" w:hAnsi="Arial"/>
          <w:sz w:val="22"/>
          <w:szCs w:val="22"/>
          <w:color w:val="auto"/>
        </w:rPr>
        <w:t>Lender’s Revolving Credit Commitment then in effect or, if any Class of Revolving Credit Commitments of such Lender have been terminated, the amount of such Lender’s Revolving Extensions of Credit then outstanding.</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Aggregate Exposure Percentage</w:t>
      </w:r>
      <w:r>
        <w:rPr>
          <w:rFonts w:ascii="Arial" w:cs="Arial" w:eastAsia="Arial" w:hAnsi="Arial"/>
          <w:sz w:val="21"/>
          <w:szCs w:val="21"/>
          <w:color w:val="auto"/>
        </w:rPr>
        <w:t>” means with respect to any Lender at any time, the ratio (expressed as a percentage) of such Lender’s Aggregate Exposure at such time to the sum of the Aggregate Exposures of all Lenders at such time.</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Credit Agreement, as it may be amended, restated, amended and restated, supplemented or otherwise modified from time to time.</w:t>
      </w:r>
    </w:p>
    <w:p>
      <w:pPr>
        <w:spacing w:after="0" w:line="148"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All-in Yield</w:t>
      </w:r>
      <w:r>
        <w:rPr>
          <w:rFonts w:ascii="Arial" w:cs="Arial" w:eastAsia="Arial" w:hAnsi="Arial"/>
          <w:sz w:val="21"/>
          <w:szCs w:val="21"/>
          <w:color w:val="auto"/>
        </w:rPr>
        <w:t xml:space="preserve">” means, with respect to any Indebtedness, the yield of such Indebtedness, whether in the form of interest rate, margin, original issue discount, upfront fees, index floors or otherwise, in each case payable by the Borrower generally to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original issue discount and upfront fees shall be equated to interest rate assuming a four-year life to maturity, and shall not include arrangement fees, structuring fees, ticking fees, commitment fees, unused line fees, underwriting fees and any amendment and similar fees (regardless of whether paid in whole or in part to the relevant lenders)</w:t>
      </w:r>
      <w:r>
        <w:rPr>
          <w:rFonts w:ascii="Arial" w:cs="Arial" w:eastAsia="Arial" w:hAnsi="Arial"/>
          <w:sz w:val="21"/>
          <w:szCs w:val="21"/>
          <w:color w:val="auto"/>
          <w:strike w:val="1"/>
        </w:rPr>
        <w:t>.</w:t>
      </w:r>
      <w:r>
        <w:rPr>
          <w:rFonts w:ascii="Arial" w:cs="Arial" w:eastAsia="Arial" w:hAnsi="Arial"/>
          <w:sz w:val="21"/>
          <w:szCs w:val="21"/>
          <w:u w:val="single" w:color="auto"/>
          <w:color w:val="661DE8"/>
        </w:rPr>
        <w:t>; provided,</w:t>
      </w:r>
      <w:r>
        <w:rPr>
          <w:rFonts w:ascii="Arial" w:cs="Arial" w:eastAsia="Arial" w:hAnsi="Arial"/>
          <w:sz w:val="21"/>
          <w:szCs w:val="21"/>
          <w:color w:val="auto"/>
        </w:rPr>
        <w:t xml:space="preserve"> </w:t>
      </w:r>
      <w:r>
        <w:rPr>
          <w:rFonts w:ascii="Arial" w:cs="Arial" w:eastAsia="Arial" w:hAnsi="Arial"/>
          <w:sz w:val="21"/>
          <w:szCs w:val="21"/>
          <w:u w:val="single" w:color="auto"/>
          <w:color w:val="661DE8"/>
        </w:rPr>
        <w:t>further, that with respect to Section 2.25, “All-in Yield” shall include any amendment, consent, or similar fee paid to the holders of Indebtedness (other than with respect to Loans hereunder) in connection with any amendment, consent or waiver related to the incurrence of the Indebtedness then being incurred under Section 2.25 (in each case assuming (and equated to) a four-year life to maturity).</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u w:val="single" w:color="auto"/>
          <w:color w:val="661DE8"/>
        </w:rPr>
        <w:t>“Amendment No. 1” means Amendment No. 1 to this Agreement dated as of April 30, 2020, among the Borrower, the Lenders party thereto and the Administrative Agent.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 Effective Date</w:t>
      </w:r>
      <w:r>
        <w:rPr>
          <w:rFonts w:ascii="Arial" w:cs="Arial" w:eastAsia="Arial" w:hAnsi="Arial"/>
          <w:sz w:val="22"/>
          <w:szCs w:val="22"/>
          <w:color w:val="auto"/>
        </w:rPr>
        <w:t xml:space="preserve">” </w:t>
      </w:r>
      <w:r>
        <w:rPr>
          <w:rFonts w:ascii="Arial" w:cs="Arial" w:eastAsia="Arial" w:hAnsi="Arial"/>
          <w:sz w:val="22"/>
          <w:szCs w:val="22"/>
          <w:color w:val="EE2724"/>
          <w:strike w:val="1"/>
        </w:rPr>
        <w:t>means</w:t>
      </w:r>
      <w:r>
        <w:rPr>
          <w:rFonts w:ascii="Arial" w:cs="Arial" w:eastAsia="Arial" w:hAnsi="Arial"/>
          <w:sz w:val="22"/>
          <w:szCs w:val="22"/>
          <w:color w:val="auto"/>
        </w:rPr>
        <w:t xml:space="preserve"> has the meaning assigned thereto in Amendment No 1.</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w:t>
      </w:r>
      <w:r>
        <w:rPr>
          <w:rFonts w:ascii="Arial" w:cs="Arial" w:eastAsia="Arial" w:hAnsi="Arial"/>
          <w:sz w:val="22"/>
          <w:szCs w:val="22"/>
          <w:color w:val="auto"/>
        </w:rPr>
        <w:t xml:space="preserve"> </w:t>
      </w:r>
      <w:r>
        <w:rPr>
          <w:rFonts w:ascii="Arial" w:cs="Arial" w:eastAsia="Arial" w:hAnsi="Arial"/>
          <w:sz w:val="22"/>
          <w:szCs w:val="22"/>
          <w:u w:val="single" w:color="auto"/>
          <w:color w:val="FF0000"/>
          <w:strike w:val="1"/>
        </w:rPr>
        <w:t>1</w:t>
      </w:r>
      <w:r>
        <w:rPr>
          <w:rFonts w:ascii="Arial" w:cs="Arial" w:eastAsia="Arial" w:hAnsi="Arial"/>
          <w:sz w:val="22"/>
          <w:szCs w:val="22"/>
          <w:u w:val="single" w:color="auto"/>
          <w:color w:val="0000FF"/>
        </w:rPr>
        <w:t>2</w:t>
      </w:r>
      <w:r>
        <w:rPr>
          <w:rFonts w:ascii="Arial" w:cs="Arial" w:eastAsia="Arial" w:hAnsi="Arial"/>
          <w:sz w:val="22"/>
          <w:szCs w:val="22"/>
          <w:color w:val="auto"/>
        </w:rPr>
        <w:t xml:space="preserve">” means Amendment No. </w:t>
      </w:r>
      <w:r>
        <w:rPr>
          <w:rFonts w:ascii="Arial" w:cs="Arial" w:eastAsia="Arial" w:hAnsi="Arial"/>
          <w:sz w:val="22"/>
          <w:szCs w:val="22"/>
          <w:color w:val="FF0000"/>
          <w:strike w:val="1"/>
        </w:rPr>
        <w:t>1</w:t>
      </w:r>
      <w:r>
        <w:rPr>
          <w:rFonts w:ascii="Arial" w:cs="Arial" w:eastAsia="Arial" w:hAnsi="Arial"/>
          <w:sz w:val="22"/>
          <w:szCs w:val="22"/>
          <w:u w:val="single" w:color="auto"/>
          <w:color w:val="0000FF"/>
        </w:rPr>
        <w:t>2</w:t>
      </w:r>
      <w:r>
        <w:rPr>
          <w:rFonts w:ascii="Arial" w:cs="Arial" w:eastAsia="Arial" w:hAnsi="Arial"/>
          <w:sz w:val="22"/>
          <w:szCs w:val="22"/>
          <w:color w:val="auto"/>
        </w:rPr>
        <w:t xml:space="preserve"> to this Agreement dated as of </w:t>
      </w:r>
      <w:r>
        <w:rPr>
          <w:rFonts w:ascii="Arial" w:cs="Arial" w:eastAsia="Arial" w:hAnsi="Arial"/>
          <w:sz w:val="22"/>
          <w:szCs w:val="22"/>
          <w:color w:val="FF0000"/>
          <w:strike w:val="1"/>
        </w:rPr>
        <w:t>April 30</w:t>
      </w:r>
      <w:r>
        <w:rPr>
          <w:rFonts w:ascii="Arial" w:cs="Arial" w:eastAsia="Arial" w:hAnsi="Arial"/>
          <w:sz w:val="22"/>
          <w:szCs w:val="22"/>
          <w:u w:val="single" w:color="auto"/>
          <w:color w:val="0000FF"/>
        </w:rPr>
        <w:t>March 8</w:t>
      </w:r>
      <w:r>
        <w:rPr>
          <w:rFonts w:ascii="Arial" w:cs="Arial" w:eastAsia="Arial" w:hAnsi="Arial"/>
          <w:sz w:val="22"/>
          <w:szCs w:val="22"/>
          <w:color w:val="auto"/>
        </w:rPr>
        <w:t xml:space="preserve">, </w:t>
      </w:r>
      <w:r>
        <w:rPr>
          <w:rFonts w:ascii="Arial" w:cs="Arial" w:eastAsia="Arial" w:hAnsi="Arial"/>
          <w:sz w:val="22"/>
          <w:szCs w:val="22"/>
          <w:color w:val="FF0000"/>
          <w:strike w:val="1"/>
        </w:rPr>
        <w:t>2020</w:t>
      </w:r>
      <w:r>
        <w:rPr>
          <w:rFonts w:ascii="Arial" w:cs="Arial" w:eastAsia="Arial" w:hAnsi="Arial"/>
          <w:sz w:val="22"/>
          <w:szCs w:val="22"/>
          <w:u w:val="single" w:color="auto"/>
          <w:color w:val="0000FF"/>
        </w:rPr>
        <w:t>2021</w:t>
      </w:r>
      <w:r>
        <w:rPr>
          <w:rFonts w:ascii="Arial" w:cs="Arial" w:eastAsia="Arial" w:hAnsi="Arial"/>
          <w:sz w:val="22"/>
          <w:szCs w:val="22"/>
          <w:color w:val="auto"/>
        </w:rPr>
        <w:t>, among the Borrower, the Lenders party thereto and the Administrative Agent.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“Amendment No. 2 Effective Date” has the meaning assigned thereto in Amendment No 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4.22(b)</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Discount</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2.11(c)(iii)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xml:space="preserve">” means (a) with respect to any Initial Term Loan, </w:t>
      </w:r>
      <w:r>
        <w:rPr>
          <w:rFonts w:ascii="Arial" w:cs="Arial" w:eastAsia="Arial" w:hAnsi="Arial"/>
          <w:sz w:val="19"/>
          <w:szCs w:val="19"/>
          <w:u w:val="single" w:color="auto"/>
          <w:color w:val="0000FF"/>
        </w:rPr>
        <w:t>(A) at all times prior to the Amendment No. 2 Effective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Date,</w:t>
      </w:r>
      <w:r>
        <w:rPr>
          <w:rFonts w:ascii="Arial" w:cs="Arial" w:eastAsia="Arial" w:hAnsi="Arial"/>
          <w:sz w:val="19"/>
          <w:szCs w:val="19"/>
          <w:color w:val="0000FF"/>
        </w:rPr>
        <w:t xml:space="preserve"> </w:t>
      </w:r>
      <w:r>
        <w:rPr>
          <w:rFonts w:ascii="Arial" w:cs="Arial" w:eastAsia="Arial" w:hAnsi="Arial"/>
          <w:sz w:val="19"/>
          <w:szCs w:val="19"/>
          <w:color w:val="000000"/>
        </w:rPr>
        <w:t>2.00% in the case of Base Rate Loans and 3.00% in the case of Eurodollar Loans</w:t>
      </w:r>
      <w:r>
        <w:rPr>
          <w:rFonts w:ascii="Arial" w:cs="Arial" w:eastAsia="Arial" w:hAnsi="Arial"/>
          <w:sz w:val="19"/>
          <w:szCs w:val="19"/>
          <w:color w:val="0000FF"/>
        </w:rPr>
        <w:t xml:space="preserve"> and (B) at all times on and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5017135</wp:posOffset>
            </wp:positionH>
            <wp:positionV relativeFrom="paragraph">
              <wp:posOffset>-6985</wp:posOffset>
            </wp:positionV>
            <wp:extent cx="21139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Amendment No. 2 Effective Date, 3.00% in the case of Base Rate Loans and 4.00% in the case of Eurodollar Loans</w:t>
      </w:r>
      <w:r>
        <w:rPr>
          <w:rFonts w:ascii="Arial" w:cs="Arial" w:eastAsia="Arial" w:hAnsi="Arial"/>
          <w:sz w:val="19"/>
          <w:szCs w:val="19"/>
          <w:color w:val="000000"/>
        </w:rPr>
        <w:t>, (b) with</w:t>
      </w:r>
    </w:p>
    <w:p>
      <w:pPr>
        <w:spacing w:after="0" w:line="3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respect to any Revolving Credit Loan, </w:t>
      </w:r>
      <w:r>
        <w:rPr>
          <w:rFonts w:ascii="Arial" w:cs="Arial" w:eastAsia="Arial" w:hAnsi="Arial"/>
          <w:sz w:val="19"/>
          <w:szCs w:val="19"/>
          <w:u w:val="single" w:color="auto"/>
          <w:color w:val="0000FF"/>
        </w:rPr>
        <w:t>(A) at all times prior to the Amendment No. 2 Effective Date,</w:t>
      </w:r>
      <w:r>
        <w:rPr>
          <w:rFonts w:ascii="Arial" w:cs="Arial" w:eastAsia="Arial" w:hAnsi="Arial"/>
          <w:sz w:val="19"/>
          <w:szCs w:val="19"/>
          <w:color w:val="auto"/>
        </w:rPr>
        <w:t xml:space="preserve"> as determined pursuant to the </w:t>
      </w:r>
      <w:r>
        <w:rPr>
          <w:rFonts w:ascii="Arial" w:cs="Arial" w:eastAsia="Arial" w:hAnsi="Arial"/>
          <w:sz w:val="19"/>
          <w:szCs w:val="19"/>
          <w:u w:val="single" w:color="auto"/>
          <w:color w:val="0000FF"/>
        </w:rPr>
        <w:t>“</w:t>
      </w:r>
      <w:r>
        <w:rPr>
          <w:rFonts w:ascii="Arial" w:cs="Arial" w:eastAsia="Arial" w:hAnsi="Arial"/>
          <w:sz w:val="19"/>
          <w:szCs w:val="19"/>
          <w:color w:val="auto"/>
        </w:rPr>
        <w:t xml:space="preserve">Pricing Grid </w:t>
      </w:r>
      <w:r>
        <w:rPr>
          <w:rFonts w:ascii="Arial" w:cs="Arial" w:eastAsia="Arial" w:hAnsi="Arial"/>
          <w:sz w:val="19"/>
          <w:szCs w:val="19"/>
          <w:color w:val="FF0000"/>
        </w:rPr>
        <w:t>and</w:t>
      </w:r>
      <w:r>
        <w:rPr>
          <w:rFonts w:ascii="Arial" w:cs="Arial" w:eastAsia="Arial" w:hAnsi="Arial"/>
          <w:sz w:val="19"/>
          <w:szCs w:val="19"/>
          <w:u w:val="single" w:color="auto"/>
          <w:color w:val="0000FF"/>
        </w:rPr>
        <w:t>” (as defined in this Agreement prior to the Amendment No. 2 Effective Date; it being understood and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agreed that, upon the Amendment No. 2 Effective Date and until adjusted on the next applicable Adjustment Date, the pricing level I indicated on the Pricing Grid shall be applicable) and (B) at all times on and after the Amendment No. 2 Effective Date, as determined pursuant to the “Pricing Grid”,</w:t>
      </w:r>
      <w:r>
        <w:rPr>
          <w:rFonts w:ascii="Arial" w:cs="Arial" w:eastAsia="Arial" w:hAnsi="Arial"/>
          <w:sz w:val="19"/>
          <w:szCs w:val="19"/>
          <w:color w:val="0000FF"/>
        </w:rPr>
        <w:t xml:space="preserve"> </w:t>
      </w:r>
      <w:r>
        <w:rPr>
          <w:rFonts w:ascii="Arial" w:cs="Arial" w:eastAsia="Arial" w:hAnsi="Arial"/>
          <w:sz w:val="19"/>
          <w:szCs w:val="19"/>
          <w:color w:val="000000"/>
        </w:rPr>
        <w:t>(c) with respect to any</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New Incremental Loan, 7.00% in the case of Base Rate Loans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and 8.00% in the case of Eurodollar Loans and (d) with respect to any other</w:t>
      </w:r>
      <w:r>
        <w:rPr>
          <w:rFonts w:ascii="Arial" w:cs="Arial" w:eastAsia="Arial" w:hAnsi="Arial"/>
          <w:sz w:val="19"/>
          <w:szCs w:val="19"/>
          <w:color w:val="0000FF"/>
        </w:rPr>
        <w:t xml:space="preserve"> </w:t>
      </w:r>
      <w:r>
        <w:rPr>
          <w:rFonts w:ascii="Arial" w:cs="Arial" w:eastAsia="Arial" w:hAnsi="Arial"/>
          <w:sz w:val="19"/>
          <w:szCs w:val="19"/>
          <w:color w:val="000000"/>
        </w:rPr>
        <w:t>Incremental Term Loan, the rate per annum specified</w:t>
      </w:r>
      <w:r>
        <w:rPr>
          <w:rFonts w:ascii="Arial" w:cs="Arial" w:eastAsia="Arial" w:hAnsi="Arial"/>
          <w:sz w:val="19"/>
          <w:szCs w:val="19"/>
          <w:color w:val="0000FF"/>
        </w:rPr>
        <w:t xml:space="preserve"> </w:t>
      </w:r>
      <w:r>
        <w:rPr>
          <w:rFonts w:ascii="Arial" w:cs="Arial" w:eastAsia="Arial" w:hAnsi="Arial"/>
          <w:sz w:val="19"/>
          <w:szCs w:val="19"/>
          <w:color w:val="000000"/>
        </w:rPr>
        <w:t>in the Incremental Amendment establishing such Incremental Term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-922655</wp:posOffset>
            </wp:positionV>
            <wp:extent cx="2495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49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93" w:name="page94"/>
    <w:bookmarkEnd w:id="93"/>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w:t>
      </w:r>
    </w:p>
    <w:p>
      <w:pPr>
        <w:spacing w:after="0" w:line="185" w:lineRule="exact"/>
        <w:rPr>
          <w:sz w:val="20"/>
          <w:szCs w:val="20"/>
          <w:color w:val="auto"/>
        </w:rPr>
      </w:pPr>
    </w:p>
    <w:p>
      <w:pPr>
        <w:jc w:val="both"/>
        <w:spacing w:after="0" w:line="283" w:lineRule="auto"/>
        <w:rPr>
          <w:sz w:val="20"/>
          <w:szCs w:val="20"/>
          <w:color w:val="auto"/>
        </w:rPr>
      </w:pPr>
      <w:r>
        <w:rPr>
          <w:rFonts w:ascii="Arial" w:cs="Arial" w:eastAsia="Arial" w:hAnsi="Arial"/>
          <w:sz w:val="19"/>
          <w:szCs w:val="19"/>
          <w:u w:val="single" w:color="auto"/>
          <w:color w:val="0000FF"/>
        </w:rPr>
        <w:t>“Applicable Premium” means, with respect to the principal amount of the Initial Term Loans then being paid, prepaid, repaid or accelerated on or prior to the first anniversary of the Amendment No. 2 Effective Date, the present value as of such date of payment, prepayment, repayment or acceleration, of all remaining interest that would have accrued on such principal amount of such Initial Term Loans from such date through the first anniversary of the Amendment No. 2 Effective Date (taking into account any scheduled amortization payments required to be made prior to such date) at a rate per annum equal to the Applicable Margin applicable to Eurodollar Loans (determined for a three-month Interest Period commencing on such date and assuming such Eurodollar Rate remains the same for the entire period from such date to the first anniversary of the New Incremental Loan Funding Date) constituting Initial Term Loans on such date (computed on the basis of actual days elapsed over a year of 360 days, using a discount rate equal to the Treasury Rate as of such date plus 50 basis points, and discounted in accordance with standard financial practice, and the term “Treasury Rate” shall mean, as of any date, the rate per annum equal to the weekly average yield as of such date on actually traded United States Treasury securities with a maturity nearest to the first anniversary of the Amendment No. 2 Effective Date (as compiled and published in the most recent Federal Reserve Statistical Release H.15</w:t>
      </w:r>
    </w:p>
    <w:p>
      <w:pPr>
        <w:spacing w:after="0" w:line="4" w:lineRule="exact"/>
        <w:rPr>
          <w:sz w:val="20"/>
          <w:szCs w:val="20"/>
          <w:color w:val="auto"/>
        </w:rPr>
      </w:pPr>
    </w:p>
    <w:p>
      <w:pPr>
        <w:jc w:val="both"/>
        <w:ind w:firstLine="8"/>
        <w:spacing w:after="0" w:line="302" w:lineRule="auto"/>
        <w:tabs>
          <w:tab w:leader="none" w:pos="536" w:val="left"/>
        </w:tabs>
        <w:numPr>
          <w:ilvl w:val="0"/>
          <w:numId w:val="35"/>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that has become publicly available at least two Business Days prior to such date and which establishes yields on actively traded United States Treasury securities adjusted to a constant maturity of one year under the caption “Treasury Constant Maturities” (or, if such Statistical Release is no longer published, any publicly available source of similar market data)).</w:t>
      </w:r>
    </w:p>
    <w:p>
      <w:pPr>
        <w:spacing w:after="0" w:line="143"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u w:val="single" w:color="auto"/>
          <w:color w:val="0000FF"/>
        </w:rPr>
        <w:t>“Applicable New Incremental Loan Premium” means, with respect to the principal amount of the New Incremental Loans then being paid, prepaid, repaid or accelerated (as applicable):</w:t>
      </w:r>
    </w:p>
    <w:p>
      <w:pPr>
        <w:spacing w:after="0" w:line="175" w:lineRule="exact"/>
        <w:rPr>
          <w:sz w:val="20"/>
          <w:szCs w:val="20"/>
          <w:color w:val="auto"/>
        </w:rPr>
      </w:pPr>
    </w:p>
    <w:p>
      <w:pPr>
        <w:ind w:left="2600" w:hanging="648"/>
        <w:spacing w:after="0"/>
        <w:tabs>
          <w:tab w:leader="none" w:pos="2600" w:val="left"/>
        </w:tabs>
        <w:numPr>
          <w:ilvl w:val="0"/>
          <w:numId w:val="36"/>
        </w:numPr>
        <w:rPr>
          <w:rFonts w:ascii="Arial" w:cs="Arial" w:eastAsia="Arial" w:hAnsi="Arial"/>
          <w:sz w:val="19"/>
          <w:szCs w:val="19"/>
          <w:u w:val="single" w:color="auto"/>
          <w:color w:val="0000FF"/>
        </w:rPr>
      </w:pPr>
      <w:r>
        <w:rPr>
          <w:rFonts w:ascii="Arial" w:cs="Arial" w:eastAsia="Arial" w:hAnsi="Arial"/>
          <w:sz w:val="19"/>
          <w:szCs w:val="19"/>
          <w:u w:val="single" w:color="auto"/>
          <w:color w:val="008000"/>
        </w:rPr>
        <w:t xml:space="preserve">on or prior to the date that is </w:t>
      </w:r>
      <w:r>
        <w:rPr>
          <w:rFonts w:ascii="Arial" w:cs="Arial" w:eastAsia="Arial" w:hAnsi="Arial"/>
          <w:sz w:val="19"/>
          <w:szCs w:val="19"/>
          <w:u w:val="single" w:color="auto"/>
          <w:color w:val="0000FF"/>
        </w:rPr>
        <w:t>eighteen months after the New Incremental Loan Funding Date, the</w:t>
      </w:r>
    </w:p>
    <w:p>
      <w:pPr>
        <w:spacing w:after="0" w:line="55" w:lineRule="exact"/>
        <w:rPr>
          <w:rFonts w:ascii="Arial" w:cs="Arial" w:eastAsia="Arial" w:hAnsi="Arial"/>
          <w:sz w:val="19"/>
          <w:szCs w:val="19"/>
          <w:u w:val="single" w:color="auto"/>
          <w:color w:val="0000FF"/>
        </w:rPr>
      </w:pPr>
    </w:p>
    <w:p>
      <w:pPr>
        <w:ind w:left="1300"/>
        <w:spacing w:after="0"/>
        <w:rPr>
          <w:rFonts w:ascii="Arial" w:cs="Arial" w:eastAsia="Arial" w:hAnsi="Arial"/>
          <w:sz w:val="19"/>
          <w:szCs w:val="19"/>
          <w:u w:val="single" w:color="auto"/>
          <w:color w:val="0000FF"/>
        </w:rPr>
      </w:pPr>
      <w:r>
        <w:rPr>
          <w:rFonts w:ascii="Arial" w:cs="Arial" w:eastAsia="Arial" w:hAnsi="Arial"/>
          <w:sz w:val="22"/>
          <w:szCs w:val="22"/>
          <w:u w:val="single" w:color="auto"/>
          <w:color w:val="0000FF"/>
        </w:rPr>
        <w:t>greater of:</w:t>
      </w:r>
    </w:p>
    <w:p>
      <w:pPr>
        <w:spacing w:after="0" w:line="202" w:lineRule="exact"/>
        <w:rPr>
          <w:sz w:val="20"/>
          <w:szCs w:val="20"/>
          <w:color w:val="auto"/>
        </w:rPr>
      </w:pPr>
    </w:p>
    <w:p>
      <w:pPr>
        <w:ind w:left="1960" w:hanging="8"/>
        <w:spacing w:after="0" w:line="263" w:lineRule="auto"/>
        <w:tabs>
          <w:tab w:leader="none" w:pos="2603" w:val="left"/>
        </w:tabs>
        <w:numPr>
          <w:ilvl w:val="0"/>
          <w:numId w:val="37"/>
        </w:numPr>
        <w:rPr>
          <w:rFonts w:ascii="Arial" w:cs="Arial" w:eastAsia="Arial" w:hAnsi="Arial"/>
          <w:sz w:val="22"/>
          <w:szCs w:val="22"/>
          <w:u w:val="single" w:color="auto"/>
          <w:color w:val="0000FF"/>
        </w:rPr>
      </w:pPr>
      <w:r>
        <w:rPr>
          <w:rFonts w:ascii="Arial" w:cs="Arial" w:eastAsia="Arial" w:hAnsi="Arial"/>
          <w:sz w:val="22"/>
          <w:szCs w:val="22"/>
          <w:u w:val="single" w:color="auto"/>
          <w:color w:val="008000"/>
        </w:rPr>
        <w:t xml:space="preserve">an amount equal to </w:t>
      </w:r>
      <w:r>
        <w:rPr>
          <w:rFonts w:ascii="Arial" w:cs="Arial" w:eastAsia="Arial" w:hAnsi="Arial"/>
          <w:sz w:val="22"/>
          <w:szCs w:val="22"/>
          <w:u w:val="single" w:color="auto"/>
          <w:color w:val="0000FF"/>
        </w:rPr>
        <w:t>the product of the principal amount of the applicable New Incremental Loans</w:t>
      </w:r>
      <w:r>
        <w:rPr>
          <w:rFonts w:ascii="Arial" w:cs="Arial" w:eastAsia="Arial" w:hAnsi="Arial"/>
          <w:sz w:val="22"/>
          <w:szCs w:val="22"/>
          <w:u w:val="single" w:color="auto"/>
          <w:color w:val="008000"/>
        </w:rPr>
        <w:t xml:space="preserve"> </w:t>
      </w:r>
      <w:r>
        <w:rPr>
          <w:rFonts w:ascii="Arial" w:cs="Arial" w:eastAsia="Arial" w:hAnsi="Arial"/>
          <w:sz w:val="22"/>
          <w:szCs w:val="22"/>
          <w:u w:val="single" w:color="auto"/>
          <w:color w:val="0000FF"/>
        </w:rPr>
        <w:t>then being paid, repaid, prepaid or accelerated times 3.00%; and</w:t>
      </w:r>
    </w:p>
    <w:p>
      <w:pPr>
        <w:spacing w:after="0" w:line="174" w:lineRule="exact"/>
        <w:rPr>
          <w:rFonts w:ascii="Arial" w:cs="Arial" w:eastAsia="Arial" w:hAnsi="Arial"/>
          <w:sz w:val="22"/>
          <w:szCs w:val="22"/>
          <w:u w:val="single" w:color="auto"/>
          <w:color w:val="0000FF"/>
        </w:rPr>
      </w:pPr>
    </w:p>
    <w:p>
      <w:pPr>
        <w:jc w:val="both"/>
        <w:ind w:left="1960" w:hanging="8"/>
        <w:spacing w:after="0" w:line="292" w:lineRule="auto"/>
        <w:tabs>
          <w:tab w:leader="none" w:pos="2603" w:val="left"/>
        </w:tabs>
        <w:numPr>
          <w:ilvl w:val="0"/>
          <w:numId w:val="37"/>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the present value as of such date of payment, prepayment, repayment or acceleration, of all remaining interest that would have accrued on such principal amount of such New Incremental Loans from such date through the date that is eighteen months after the New Incremental Loan Funding Date (taking into account any scheduled amortization payments required to be made prior to such date) at a rate per annum equal to the Applicable Margin applicable to Eurodollar Loans (determined for a three-month Interest Period commencing on such date and assuming such Eurodollar Rate remains the same for the entire period from such date to the date that is eighteen months after the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94" w:name="page95"/>
    <w:bookmarkEnd w:id="94"/>
    <w:p>
      <w:pPr>
        <w:jc w:val="both"/>
        <w:ind w:left="1960"/>
        <w:spacing w:after="0" w:line="288" w:lineRule="auto"/>
        <w:rPr>
          <w:sz w:val="20"/>
          <w:szCs w:val="20"/>
          <w:color w:val="auto"/>
        </w:rPr>
      </w:pPr>
      <w:r>
        <w:rPr>
          <w:rFonts w:ascii="Arial" w:cs="Arial" w:eastAsia="Arial" w:hAnsi="Arial"/>
          <w:sz w:val="19"/>
          <w:szCs w:val="19"/>
          <w:u w:val="single" w:color="auto"/>
          <w:color w:val="0000FF"/>
        </w:rPr>
        <w:t>Incremental Loan Funding Date) constituting New Incremental Loans on such date (computed on the basis of actual days elapsed over a year of 360 days, using a discount rate equal to the Treasury Rate as of such date plus 50 basis points, and discounted in accordance with standard financial practice, and the term “Treasury Rate” shall mean, as of any date, the rate per annum equal to the weekly average yield as of such date on actually traded United States Treasury securities with a maturity nearest to the date that is eighteen months after the New Incremental Loan Funding Date (as compiled and published in the most recent Federal Reserve Statistical Release H.15 (519) that has become publicly available at least two Business Days prior to such date and which establishes yields on actively traded United States Treasury securities adjusted to a constant maturity of one year under the caption “Treasury Constant Maturities” (or, if such Statistical Release is no longer published, any publicly available source of similar market data));</w:t>
      </w:r>
    </w:p>
    <w:p>
      <w:pPr>
        <w:spacing w:after="0" w:line="159" w:lineRule="exact"/>
        <w:rPr>
          <w:sz w:val="20"/>
          <w:szCs w:val="20"/>
          <w:color w:val="auto"/>
        </w:rPr>
      </w:pPr>
    </w:p>
    <w:p>
      <w:pPr>
        <w:jc w:val="both"/>
        <w:ind w:left="1300" w:firstLine="652"/>
        <w:spacing w:after="0" w:line="250" w:lineRule="auto"/>
        <w:tabs>
          <w:tab w:leader="none" w:pos="2591" w:val="left"/>
        </w:tabs>
        <w:numPr>
          <w:ilvl w:val="0"/>
          <w:numId w:val="38"/>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after the date that is eighteen months after the New Incremental Loan Funding Date but on or prior to the second anniversary of the New Incremental Loan Funding Date, a cash amount equal to the product of the principal amount of the applicable New Incremental Loans then being paid, repaid, prepaid or accelerated times 3.00%;</w:t>
      </w:r>
    </w:p>
    <w:p>
      <w:pPr>
        <w:spacing w:after="0" w:line="187" w:lineRule="exact"/>
        <w:rPr>
          <w:rFonts w:ascii="Arial" w:cs="Arial" w:eastAsia="Arial" w:hAnsi="Arial"/>
          <w:sz w:val="22"/>
          <w:szCs w:val="22"/>
          <w:u w:val="single" w:color="auto"/>
          <w:color w:val="0000FF"/>
        </w:rPr>
      </w:pPr>
    </w:p>
    <w:p>
      <w:pPr>
        <w:jc w:val="both"/>
        <w:ind w:left="1300" w:firstLine="652"/>
        <w:spacing w:after="0" w:line="250" w:lineRule="auto"/>
        <w:tabs>
          <w:tab w:leader="none" w:pos="2593" w:val="left"/>
        </w:tabs>
        <w:numPr>
          <w:ilvl w:val="0"/>
          <w:numId w:val="38"/>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after the date that is after the second anniversary of the New Incremental Loan Funding Date but on or prior to the third anniversary of the New Incremental Loan Funding Date, a cash amount equal to the product of the principal amount of the applicable New Incremental Loans then being paid, repaid, prepaid or accelerated times 2.00%;</w:t>
      </w:r>
    </w:p>
    <w:p>
      <w:pPr>
        <w:spacing w:after="0" w:line="187" w:lineRule="exact"/>
        <w:rPr>
          <w:rFonts w:ascii="Arial" w:cs="Arial" w:eastAsia="Arial" w:hAnsi="Arial"/>
          <w:sz w:val="22"/>
          <w:szCs w:val="22"/>
          <w:u w:val="single" w:color="auto"/>
          <w:color w:val="0000FF"/>
        </w:rPr>
      </w:pPr>
    </w:p>
    <w:p>
      <w:pPr>
        <w:jc w:val="both"/>
        <w:ind w:left="1300" w:firstLine="652"/>
        <w:spacing w:after="0" w:line="312" w:lineRule="auto"/>
        <w:tabs>
          <w:tab w:leader="none" w:pos="2591" w:val="left"/>
        </w:tabs>
        <w:numPr>
          <w:ilvl w:val="0"/>
          <w:numId w:val="38"/>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after the third anniversary of the New Incremental Loan Funding Date but on or prior to the fourth anniversary of the New Incremental Loan Funding Date, a cash amount equal to the product of the principal amount of the applicable New Incremental Loans then being paid, repaid, prepaid or accelerated times 1.00%; or</w:t>
      </w:r>
    </w:p>
    <w:p>
      <w:pPr>
        <w:spacing w:after="0" w:line="133" w:lineRule="exact"/>
        <w:rPr>
          <w:rFonts w:ascii="Arial" w:cs="Arial" w:eastAsia="Arial" w:hAnsi="Arial"/>
          <w:sz w:val="19"/>
          <w:szCs w:val="19"/>
          <w:u w:val="single" w:color="auto"/>
          <w:color w:val="0000FF"/>
        </w:rPr>
      </w:pPr>
    </w:p>
    <w:p>
      <w:pPr>
        <w:jc w:val="both"/>
        <w:ind w:left="1300" w:firstLine="652"/>
        <w:spacing w:after="0" w:line="253" w:lineRule="auto"/>
        <w:tabs>
          <w:tab w:leader="none" w:pos="2593" w:val="left"/>
        </w:tabs>
        <w:numPr>
          <w:ilvl w:val="0"/>
          <w:numId w:val="38"/>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after the fourth anniversary of the New Incremental Loan Funding Date, a cash amount equal to the product of the principal amount of the New Incremental Loans then being paid, repaid, prepaid or accelerated times 0.00%.</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Tax Rate</w:t>
      </w:r>
      <w:r>
        <w:rPr>
          <w:rFonts w:ascii="Arial" w:cs="Arial" w:eastAsia="Arial" w:hAnsi="Arial"/>
          <w:sz w:val="22"/>
          <w:szCs w:val="22"/>
          <w:color w:val="auto"/>
        </w:rPr>
        <w:t xml:space="preserve">” means (a) 40% or (b) if, at the time of the relevant distribution described in </w:t>
      </w:r>
      <w:r>
        <w:rPr>
          <w:rFonts w:ascii="Arial" w:cs="Arial" w:eastAsia="Arial" w:hAnsi="Arial"/>
          <w:sz w:val="22"/>
          <w:szCs w:val="22"/>
          <w:u w:val="single" w:color="auto"/>
          <w:color w:val="auto"/>
        </w:rPr>
        <w:t>Section 7.6(f)</w:t>
      </w:r>
      <w:r>
        <w:rPr>
          <w:rFonts w:ascii="Arial" w:cs="Arial" w:eastAsia="Arial" w:hAnsi="Arial"/>
          <w:sz w:val="22"/>
          <w:szCs w:val="22"/>
          <w:color w:val="auto"/>
        </w:rPr>
        <w:t xml:space="preserve"> herein, the highest combined federal, state and local marginal rate applicable to corporate taxpayers residing in New York City, New York, taking into account the deductibility of state and local income taxes for federal income tax purposes shall exceed 40%, such higher rate.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Application</w:t>
      </w:r>
      <w:r>
        <w:rPr>
          <w:rFonts w:ascii="Arial" w:cs="Arial" w:eastAsia="Arial" w:hAnsi="Arial"/>
          <w:sz w:val="22"/>
          <w:szCs w:val="22"/>
          <w:color w:val="auto"/>
        </w:rPr>
        <w:t xml:space="preserve">” means an application, in such form as the relevant Issuing Lender may specify from time to time, requesting such Issuing Lender to issue a Letter of Credit (which application shall be subject to </w:t>
      </w:r>
      <w:r>
        <w:rPr>
          <w:rFonts w:ascii="Arial" w:cs="Arial" w:eastAsia="Arial" w:hAnsi="Arial"/>
          <w:sz w:val="22"/>
          <w:szCs w:val="22"/>
          <w:u w:val="single" w:color="auto"/>
          <w:color w:val="auto"/>
        </w:rPr>
        <w:t>Section 3.8</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95" w:name="page96"/>
    <w:bookmarkEnd w:id="95"/>
    <w:p>
      <w:pPr>
        <w:jc w:val="both"/>
        <w:ind w:right="20"/>
        <w:spacing w:after="0" w:line="263" w:lineRule="auto"/>
        <w:rPr>
          <w:sz w:val="20"/>
          <w:szCs w:val="20"/>
          <w:color w:val="auto"/>
        </w:rPr>
      </w:pPr>
      <w:r>
        <w:rPr>
          <w:rFonts w:ascii="Arial" w:cs="Arial" w:eastAsia="Arial" w:hAnsi="Arial"/>
          <w:sz w:val="22"/>
          <w:szCs w:val="22"/>
          <w:u w:val="single" w:color="auto"/>
          <w:color w:val="0000FF"/>
        </w:rPr>
        <w:t>“Approved Deposit Account” shall have the meaning assigned thereto in Section 6.11 (which, for the avoidance of doubt, shall not include any Excluded Accounts).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0000FF"/>
        </w:rPr>
        <w:t>“Approved Deposit Bank” means a Revolving Lender (or an affiliate thereof) as of the Amendment No. 2 Effective Date that is an insured depository institution that is regulated by foreign, federal or state banking regulators, including, without limitation, the United States Office of the Comptroller of the Currency, the Federal Deposit Insurance Corporation or the Board.</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Sale</w:t>
      </w:r>
      <w:r>
        <w:rPr>
          <w:rFonts w:ascii="Arial" w:cs="Arial" w:eastAsia="Arial" w:hAnsi="Arial"/>
          <w:sz w:val="19"/>
          <w:szCs w:val="19"/>
          <w:color w:val="auto"/>
        </w:rPr>
        <w:t xml:space="preserve">” means any Disposition of Property or series of related Dispositions of Property (excluding any such Disposition permitted by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(m)</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p</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which yields Net Cash Proceeds to the Borrower or any of its Subsidiaries (valued at the outstanding principal amount thereof in the case of non-cash proceeds consisting of notes or other debt securities and valued at fair market value in the case of other non-cash proceeds) in excess of $10,000,000 </w:t>
      </w:r>
      <w:r>
        <w:rPr>
          <w:rFonts w:ascii="Arial" w:cs="Arial" w:eastAsia="Arial" w:hAnsi="Arial"/>
          <w:sz w:val="19"/>
          <w:szCs w:val="19"/>
          <w:u w:val="single" w:color="auto"/>
          <w:color w:val="0000FF"/>
        </w:rPr>
        <w:t>(provided that such</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threshold is reduced to $5,000,000 from and after the Amendment No. 2 Effective Date through the Q3 End Date)</w:t>
      </w:r>
      <w:r>
        <w:rPr>
          <w:rFonts w:ascii="Arial" w:cs="Arial" w:eastAsia="Arial" w:hAnsi="Arial"/>
          <w:sz w:val="19"/>
          <w:szCs w:val="19"/>
          <w:color w:val="000000"/>
        </w:rPr>
        <w:t>.</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Assignee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10.6(b)</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10.6(c)</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Assignor</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10.6(b)</w:t>
      </w:r>
      <w:r>
        <w:rPr>
          <w:rFonts w:ascii="Arial" w:cs="Arial" w:eastAsia="Arial" w:hAnsi="Arial"/>
          <w:sz w:val="22"/>
          <w:szCs w:val="22"/>
          <w:color w:val="auto"/>
        </w:rPr>
        <w:t>.</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Auction Agent</w:t>
      </w:r>
      <w:r>
        <w:rPr>
          <w:rFonts w:ascii="Arial" w:cs="Arial" w:eastAsia="Arial" w:hAnsi="Arial"/>
          <w:sz w:val="22"/>
          <w:szCs w:val="22"/>
          <w:color w:val="auto"/>
        </w:rPr>
        <w:t xml:space="preserve">” means (a) the Administrative Agent or (b) any other financial institution or advisor employed by the Borrower (whether or not an Affiliate of the Administrative Agent) to act as an arranger in connection with any Discounted Loan Prepayment pursuant to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Arial" w:cs="Arial" w:eastAsia="Arial" w:hAnsi="Arial"/>
          <w:sz w:val="22"/>
          <w:szCs w:val="22"/>
          <w:u w:val="single" w:color="auto"/>
          <w:color w:val="auto"/>
        </w:rPr>
        <w:t>provided</w:t>
      </w:r>
      <w:r>
        <w:rPr>
          <w:rFonts w:ascii="Arial" w:cs="Arial" w:eastAsia="Arial" w:hAnsi="Arial"/>
          <w:sz w:val="22"/>
          <w:szCs w:val="22"/>
          <w:color w:val="auto"/>
        </w:rPr>
        <w:t>, further</w:t>
      </w:r>
      <w:r>
        <w:rPr>
          <w:rFonts w:ascii="Arial" w:cs="Arial" w:eastAsia="Arial" w:hAnsi="Arial"/>
          <w:sz w:val="22"/>
          <w:szCs w:val="22"/>
          <w:i w:val="1"/>
          <w:iCs w:val="1"/>
          <w:color w:val="auto"/>
        </w:rPr>
        <w:t>,</w:t>
      </w:r>
      <w:r>
        <w:rPr>
          <w:rFonts w:ascii="Arial" w:cs="Arial" w:eastAsia="Arial" w:hAnsi="Arial"/>
          <w:sz w:val="22"/>
          <w:szCs w:val="22"/>
          <w:color w:val="auto"/>
        </w:rPr>
        <w:t xml:space="preserve"> that neither the Borrower nor any of its Affiliates may act as the Auction Agent.</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Cash</w:t>
      </w:r>
      <w:r>
        <w:rPr>
          <w:rFonts w:ascii="Arial" w:cs="Arial" w:eastAsia="Arial" w:hAnsi="Arial"/>
          <w:sz w:val="19"/>
          <w:szCs w:val="19"/>
          <w:color w:val="auto"/>
        </w:rPr>
        <w:t xml:space="preserve">” means for a particular period (i) the Borrower’s earnings before interest, taxes, depreciation and amortization (as determined in accordance with GAAP);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non-cash items of deduction or loss (other than items related to barter transactions) subtracted in determining the Borrower’s earnings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interest income received by the Borrower to the extent such income is not otherwise included in determining the Borrower’s earnings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p>
    <w:p>
      <w:pPr>
        <w:spacing w:after="0" w:line="3" w:lineRule="exact"/>
        <w:rPr>
          <w:sz w:val="20"/>
          <w:szCs w:val="20"/>
          <w:color w:val="auto"/>
        </w:rPr>
      </w:pPr>
    </w:p>
    <w:p>
      <w:pPr>
        <w:jc w:val="both"/>
        <w:ind w:firstLine="8"/>
        <w:spacing w:after="0" w:line="286" w:lineRule="auto"/>
        <w:tabs>
          <w:tab w:leader="none" w:pos="372"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amounts received by the Borrower pursuant to the Loews Agreement or other similar agreements to the extent such amounts are not otherwise included in determining the Borrower’s earnings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 amounts received by the Borrower pursuant to the Common Unit Adjustment Agreement to the extent such amounts are not otherwise included in determining the Borrower’s earnings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(vi) amounts received by the Borrower pursuant to </w:t>
      </w:r>
      <w:r>
        <w:rPr>
          <w:rFonts w:ascii="Arial" w:cs="Arial" w:eastAsia="Arial" w:hAnsi="Arial"/>
          <w:sz w:val="19"/>
          <w:szCs w:val="19"/>
          <w:u w:val="single" w:color="auto"/>
          <w:color w:val="auto"/>
        </w:rPr>
        <w:t>Section 3.5(c)</w:t>
      </w:r>
      <w:r>
        <w:rPr>
          <w:rFonts w:ascii="Arial" w:cs="Arial" w:eastAsia="Arial" w:hAnsi="Arial"/>
          <w:sz w:val="19"/>
          <w:szCs w:val="19"/>
          <w:color w:val="auto"/>
        </w:rPr>
        <w:t xml:space="preserve"> of the Borrower LLC Operating Agreement to the extent such amounts are not otherwise included in determining the Borrower’s earnings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(vii) net proceeds (after expenses attributable to the sale) from the sale of Borrower assets to the extent such proceeds are not otherwise included in determining the Borrower’s earnings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(viii) for the second quarterly period of each fiscal year of the Borrower, the amount of any Distribution Increase (as hereinafter defined) attributable to the Distribution Year (as hereinafter defined);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(ix) for the fourth quarterly period of each fiscal year of the Borrower, any amounts that the Borrower was not permitted to distribute to its members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96" w:name="page97"/>
    <w:bookmarkEnd w:id="96"/>
    <w:p>
      <w:pPr>
        <w:jc w:val="both"/>
        <w:spacing w:after="0" w:line="283" w:lineRule="auto"/>
        <w:rPr>
          <w:sz w:val="20"/>
          <w:szCs w:val="20"/>
          <w:color w:val="auto"/>
        </w:rPr>
      </w:pPr>
      <w:r>
        <w:rPr>
          <w:rFonts w:ascii="Arial" w:cs="Arial" w:eastAsia="Arial" w:hAnsi="Arial"/>
          <w:sz w:val="19"/>
          <w:szCs w:val="19"/>
          <w:color w:val="auto"/>
        </w:rPr>
        <w:t xml:space="preserve">each of the immediately preceding three quarterly fiscal periods of such fiscal year as a result of the application of </w:t>
      </w:r>
      <w:r>
        <w:rPr>
          <w:rFonts w:ascii="Arial" w:cs="Arial" w:eastAsia="Arial" w:hAnsi="Arial"/>
          <w:sz w:val="19"/>
          <w:szCs w:val="19"/>
          <w:u w:val="single" w:color="auto"/>
          <w:color w:val="auto"/>
        </w:rPr>
        <w:t>Section 7.6(h)</w:t>
      </w:r>
      <w:r>
        <w:rPr>
          <w:rFonts w:ascii="Arial" w:cs="Arial" w:eastAsia="Arial" w:hAnsi="Arial"/>
          <w:sz w:val="19"/>
          <w:szCs w:val="19"/>
          <w:color w:val="auto"/>
        </w:rPr>
        <w:t xml:space="preserve"> of this Agreement (to the extent such amounts are not restricted under </w:t>
      </w:r>
      <w:r>
        <w:rPr>
          <w:rFonts w:ascii="Arial" w:cs="Arial" w:eastAsia="Arial" w:hAnsi="Arial"/>
          <w:sz w:val="19"/>
          <w:szCs w:val="19"/>
          <w:u w:val="single" w:color="auto"/>
          <w:color w:val="auto"/>
        </w:rPr>
        <w:t>Section 7.6(h)</w:t>
      </w:r>
      <w:r>
        <w:rPr>
          <w:rFonts w:ascii="Arial" w:cs="Arial" w:eastAsia="Arial" w:hAnsi="Arial"/>
          <w:sz w:val="19"/>
          <w:szCs w:val="19"/>
          <w:color w:val="auto"/>
        </w:rPr>
        <w:t xml:space="preserve"> as of the last day of such fourth quarterly fiscal period);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(x) non-cash items of income or gain (other than items related to barter transactions) added in determining the Borrower’s earnings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(xi) amounts paid by the Borrower pursuant to the ESAs, the Management Agreement or other similar agreements to the extent such amounts are not otherwise deducted in determining the Borrower’s earnings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(xii) amounts paid by the Borrower pursuant to the Common Unit Adjustment Agreement to the extent such amounts are not otherwise deducted in determining the Borrower’s earnings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(xiii) taxes paid by the Borrower;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(xiv) Capital Expenditures made by the Borrower, minus any Agreed Increase in Available Cash in such period relating to a Specified Capital Expenditure, plus any Agreed Decrease in Available Cash in such period relating to a Specified Capital Expenditure;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all Agreed Decreases in Available Cash relating to any Specified Capital Expenditure for all fiscal quarters must equal the Agreed Increase in Available Cash relating to such Specified Capital Expenditure prior to the Initial Term Loan Maturity Date;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(xv) for the second quarterly period of each fiscal year of the Borrower, the amount of any Distribution Decrease (as hereinafter defined) attributable to the Distribution Year; </w:t>
      </w:r>
      <w:r>
        <w:rPr>
          <w:rFonts w:ascii="Arial" w:cs="Arial" w:eastAsia="Arial" w:hAnsi="Arial"/>
          <w:sz w:val="19"/>
          <w:szCs w:val="19"/>
          <w:u w:val="single" w:color="auto"/>
          <w:color w:val="auto"/>
        </w:rPr>
        <w:t>less</w:t>
      </w:r>
    </w:p>
    <w:p>
      <w:pPr>
        <w:spacing w:after="0" w:line="3" w:lineRule="exact"/>
        <w:rPr>
          <w:sz w:val="20"/>
          <w:szCs w:val="20"/>
          <w:color w:val="auto"/>
        </w:rPr>
      </w:pPr>
    </w:p>
    <w:p>
      <w:pPr>
        <w:jc w:val="both"/>
        <w:ind w:firstLine="8"/>
        <w:spacing w:after="0" w:line="281" w:lineRule="auto"/>
        <w:tabs>
          <w:tab w:leader="none" w:pos="496"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interest paid by the Borrower on Specified Funded Indebtedness (as hereinafter defined);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(xvii) mandatory principal payments made by the Borrower on the Specified Funded Indebtedness to the extent such principal payments are made from funds other than funds that were restricted pursuant to </w:t>
      </w:r>
      <w:r>
        <w:rPr>
          <w:rFonts w:ascii="Arial" w:cs="Arial" w:eastAsia="Arial" w:hAnsi="Arial"/>
          <w:sz w:val="19"/>
          <w:szCs w:val="19"/>
          <w:u w:val="single" w:color="auto"/>
          <w:color w:val="auto"/>
        </w:rPr>
        <w:t>Section 7.6(h)</w:t>
      </w:r>
      <w:r>
        <w:rPr>
          <w:rFonts w:ascii="Arial" w:cs="Arial" w:eastAsia="Arial" w:hAnsi="Arial"/>
          <w:sz w:val="19"/>
          <w:szCs w:val="19"/>
          <w:color w:val="auto"/>
        </w:rPr>
        <w:t xml:space="preserve"> of this Agreement);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(xviii) amounts (other than interest and principal payments) paid by the Borrower with respect to Specified Funded Indebtedness to the extent such amounts are not otherwise deducted in determining the Borrower’s earnings under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amounts borrowed under, and optional principal payments made on, the Revolving Credit Loans shall not be taken into account in determining Available Cash; (B) amounts received or paid by the Borrower pursuant to the terms of the Tax Receivable Agreement shall not be taken into account in determining Available Cash; (C) for the quarterly period that includes the Closing Date, Available Cash shall be determined beginning on the day following the Closing Date through the last day of such quarterly fiscal period; and (D) proceeds of or any payments made with or out of the proceeds of any Indebtedness incurred pursuant to </w:t>
      </w:r>
      <w:r>
        <w:rPr>
          <w:rFonts w:ascii="Arial" w:cs="Arial" w:eastAsia="Arial" w:hAnsi="Arial"/>
          <w:sz w:val="19"/>
          <w:szCs w:val="19"/>
          <w:u w:val="single" w:color="auto"/>
          <w:color w:val="auto"/>
        </w:rPr>
        <w:t>Sections 7.2(k)</w:t>
      </w:r>
      <w:r>
        <w:rPr>
          <w:rFonts w:ascii="Arial" w:cs="Arial" w:eastAsia="Arial" w:hAnsi="Arial"/>
          <w:sz w:val="19"/>
          <w:szCs w:val="19"/>
          <w:color w:val="auto"/>
        </w:rPr>
        <w:t xml:space="preserve">, </w:t>
      </w:r>
      <w:r>
        <w:rPr>
          <w:rFonts w:ascii="Arial" w:cs="Arial" w:eastAsia="Arial" w:hAnsi="Arial"/>
          <w:sz w:val="19"/>
          <w:szCs w:val="19"/>
          <w:u w:val="single" w:color="auto"/>
          <w:color w:val="auto"/>
        </w:rPr>
        <w:t>(n)</w:t>
      </w:r>
      <w:r>
        <w:rPr>
          <w:rFonts w:ascii="Arial" w:cs="Arial" w:eastAsia="Arial" w:hAnsi="Arial"/>
          <w:sz w:val="19"/>
          <w:szCs w:val="19"/>
          <w:color w:val="auto"/>
        </w:rPr>
        <w:t xml:space="preserve">, </w:t>
      </w:r>
      <w:r>
        <w:rPr>
          <w:rFonts w:ascii="Arial" w:cs="Arial" w:eastAsia="Arial" w:hAnsi="Arial"/>
          <w:sz w:val="19"/>
          <w:szCs w:val="19"/>
          <w:u w:val="single" w:color="auto"/>
          <w:color w:val="auto"/>
        </w:rPr>
        <w:t>(o)</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(p)</w:t>
      </w:r>
      <w:r>
        <w:rPr>
          <w:rFonts w:ascii="Arial" w:cs="Arial" w:eastAsia="Arial" w:hAnsi="Arial"/>
          <w:sz w:val="19"/>
          <w:szCs w:val="19"/>
          <w:color w:val="auto"/>
        </w:rPr>
        <w:t xml:space="preserve"> shall not be taken in account in determining Available Cash. For purposes of this definition of Available Cash: (a) the term “Agreed Increase in Available Cash” means, with respect to any Specified Capital Expenditure, the amount of the increase in Available Cash in the fiscal quarter in which such Capital Expenditure is made that was agreed to among the Borrower and the members of the Borrower, such amount not to exceed the amount of such Specified Capital Expenditure; (b) the term “Specified Capital Expenditure” means any Capital Expenditure with respect to which (and to the extent that) the Borrower has agreed with the members of the Borrower to an Agreed Increase in Available Cash in the fiscal quarter in which such Capital Expenditure is made and to one or more Agreed Decreases in Available Cash in one or more fiscal quarters during the term of this Agreement;</w:t>
      </w:r>
    </w:p>
    <w:p>
      <w:pPr>
        <w:spacing w:after="0" w:line="11" w:lineRule="exact"/>
        <w:rPr>
          <w:rFonts w:ascii="Arial" w:cs="Arial" w:eastAsia="Arial" w:hAnsi="Arial"/>
          <w:sz w:val="19"/>
          <w:szCs w:val="19"/>
          <w:color w:val="auto"/>
        </w:rPr>
      </w:pPr>
    </w:p>
    <w:p>
      <w:pPr>
        <w:jc w:val="both"/>
        <w:spacing w:after="0" w:line="257" w:lineRule="auto"/>
        <w:rPr>
          <w:rFonts w:ascii="Arial" w:cs="Arial" w:eastAsia="Arial" w:hAnsi="Arial"/>
          <w:sz w:val="19"/>
          <w:szCs w:val="19"/>
          <w:color w:val="auto"/>
        </w:rPr>
      </w:pPr>
      <w:r>
        <w:rPr>
          <w:rFonts w:ascii="Arial" w:cs="Arial" w:eastAsia="Arial" w:hAnsi="Arial"/>
          <w:sz w:val="21"/>
          <w:szCs w:val="21"/>
          <w:color w:val="auto"/>
        </w:rPr>
        <w:t xml:space="preserve">(c) the term “Agreed Decrease in Available Cash” means, with respect to any Specified Capital Expenditure, the amount of the decrease in Available Cash in any quarter that was agreed to among the Borrower and the members of 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amount of all such Agreed Decreases in Available Cash for any Specified Capital Expenditure shall not exceed the amount of such Specified Capital Expenditure; and (d) “Specified Funded Indebtedness” means the sum of (x) Indebtedness of the Borrower pursuant to any Loan Document, plus (y) additional Indebtedness, or any refinancing thereof, of the Borrower as permitted under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97" w:name="page98"/>
    <w:bookmarkEnd w:id="97"/>
    <w:p>
      <w:pPr>
        <w:jc w:val="both"/>
        <w:spacing w:after="0" w:line="245" w:lineRule="auto"/>
        <w:rPr>
          <w:sz w:val="20"/>
          <w:szCs w:val="20"/>
          <w:color w:val="auto"/>
        </w:rPr>
      </w:pPr>
      <w:r>
        <w:rPr>
          <w:rFonts w:ascii="Arial" w:cs="Arial" w:eastAsia="Arial" w:hAnsi="Arial"/>
          <w:sz w:val="22"/>
          <w:szCs w:val="22"/>
          <w:color w:val="auto"/>
        </w:rPr>
        <w:t>The Borrower shall determine Available Cash (i) for each quarterly fiscal period of the Borrower, and (ii) for each fiscal year of the Borrower (the “</w:t>
      </w:r>
      <w:r>
        <w:rPr>
          <w:rFonts w:ascii="Arial" w:cs="Arial" w:eastAsia="Arial" w:hAnsi="Arial"/>
          <w:sz w:val="22"/>
          <w:szCs w:val="22"/>
          <w:u w:val="single" w:color="auto"/>
          <w:color w:val="auto"/>
        </w:rPr>
        <w:t>Distribution Year</w:t>
      </w:r>
      <w:r>
        <w:rPr>
          <w:rFonts w:ascii="Arial" w:cs="Arial" w:eastAsia="Arial" w:hAnsi="Arial"/>
          <w:sz w:val="22"/>
          <w:szCs w:val="22"/>
          <w:color w:val="auto"/>
        </w:rPr>
        <w:t xml:space="preserve">”) in connection with the preparation of the financial statements of the Borrower referred to in </w:t>
      </w:r>
      <w:r>
        <w:rPr>
          <w:rFonts w:ascii="Arial" w:cs="Arial" w:eastAsia="Arial" w:hAnsi="Arial"/>
          <w:sz w:val="22"/>
          <w:szCs w:val="22"/>
          <w:u w:val="single" w:color="auto"/>
          <w:color w:val="auto"/>
        </w:rPr>
        <w:t>Section 6.1(a)</w:t>
      </w:r>
      <w:r>
        <w:rPr>
          <w:rFonts w:ascii="Arial" w:cs="Arial" w:eastAsia="Arial" w:hAnsi="Arial"/>
          <w:sz w:val="22"/>
          <w:szCs w:val="22"/>
          <w:color w:val="auto"/>
        </w:rPr>
        <w:t xml:space="preserve">. To the extent Available Cash for the Distribution Year is greater than the total amount of Restricted Payments made pursuant to </w:t>
      </w:r>
      <w:r>
        <w:rPr>
          <w:rFonts w:ascii="Arial" w:cs="Arial" w:eastAsia="Arial" w:hAnsi="Arial"/>
          <w:sz w:val="22"/>
          <w:szCs w:val="22"/>
          <w:u w:val="single" w:color="auto"/>
          <w:color w:val="auto"/>
        </w:rPr>
        <w:t>Section 7.6</w:t>
      </w:r>
      <w:r>
        <w:rPr>
          <w:rFonts w:ascii="Arial" w:cs="Arial" w:eastAsia="Arial" w:hAnsi="Arial"/>
          <w:sz w:val="22"/>
          <w:szCs w:val="22"/>
          <w:color w:val="auto"/>
        </w:rPr>
        <w:t xml:space="preserve"> with respect to the four quarterly fiscal periods in such Distribution Year (the “</w:t>
      </w:r>
      <w:r>
        <w:rPr>
          <w:rFonts w:ascii="Arial" w:cs="Arial" w:eastAsia="Arial" w:hAnsi="Arial"/>
          <w:sz w:val="22"/>
          <w:szCs w:val="22"/>
          <w:u w:val="single" w:color="auto"/>
          <w:color w:val="auto"/>
        </w:rPr>
        <w:t>Distribution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Increase</w:t>
      </w:r>
      <w:r>
        <w:rPr>
          <w:rFonts w:ascii="Arial" w:cs="Arial" w:eastAsia="Arial" w:hAnsi="Arial"/>
          <w:sz w:val="22"/>
          <w:szCs w:val="22"/>
          <w:color w:val="auto"/>
        </w:rPr>
        <w:t xml:space="preserve">”), the Distribution Increase will be added to Available Cash for the second quarterly period in the fiscal year following the Distribution Year. To the extent Available Cash for the Distribution Year is less than the total amount of Restricted Payments made pursuant to </w:t>
      </w:r>
      <w:r>
        <w:rPr>
          <w:rFonts w:ascii="Arial" w:cs="Arial" w:eastAsia="Arial" w:hAnsi="Arial"/>
          <w:sz w:val="22"/>
          <w:szCs w:val="22"/>
          <w:u w:val="single" w:color="auto"/>
          <w:color w:val="auto"/>
        </w:rPr>
        <w:t>Section 7.6</w:t>
      </w:r>
      <w:r>
        <w:rPr>
          <w:rFonts w:ascii="Arial" w:cs="Arial" w:eastAsia="Arial" w:hAnsi="Arial"/>
          <w:sz w:val="22"/>
          <w:szCs w:val="22"/>
          <w:color w:val="auto"/>
        </w:rPr>
        <w:t xml:space="preserve"> with respect to the four quarterly fiscal periods in such Distribution Year (the “</w:t>
      </w:r>
      <w:r>
        <w:rPr>
          <w:rFonts w:ascii="Arial" w:cs="Arial" w:eastAsia="Arial" w:hAnsi="Arial"/>
          <w:sz w:val="22"/>
          <w:szCs w:val="22"/>
          <w:u w:val="single" w:color="auto"/>
          <w:color w:val="auto"/>
        </w:rPr>
        <w:t>Distribution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Decrease</w:t>
      </w:r>
      <w:r>
        <w:rPr>
          <w:rFonts w:ascii="Arial" w:cs="Arial" w:eastAsia="Arial" w:hAnsi="Arial"/>
          <w:sz w:val="22"/>
          <w:szCs w:val="22"/>
          <w:color w:val="auto"/>
        </w:rPr>
        <w:t>”), the Distribution Decrease will be subtracted from Available Cash for the second quarterly period in the fiscal year following the Distribution Year.</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Revolving Credit Commitment</w:t>
      </w:r>
      <w:r>
        <w:rPr>
          <w:rFonts w:ascii="Arial" w:cs="Arial" w:eastAsia="Arial" w:hAnsi="Arial"/>
          <w:sz w:val="21"/>
          <w:szCs w:val="21"/>
          <w:color w:val="auto"/>
        </w:rPr>
        <w:t xml:space="preserve">” means with respect to any Revolving Credit Lender at any time, an amount equal to the excess, if any, of (a) such Lender’s Revolving Credit Commitment then in effect over (b) such Lender’s Revolving Extensions of Credit then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calculating any Lender’s Revolving Extensions of Credit for the purpose of determining such Lender’s Available Revolving Credit Commitment pursuant to </w:t>
      </w:r>
      <w:r>
        <w:rPr>
          <w:rFonts w:ascii="Arial" w:cs="Arial" w:eastAsia="Arial" w:hAnsi="Arial"/>
          <w:sz w:val="21"/>
          <w:szCs w:val="21"/>
          <w:u w:val="single" w:color="auto"/>
          <w:color w:val="auto"/>
        </w:rPr>
        <w:t>Section 2.9</w:t>
      </w:r>
      <w:r>
        <w:rPr>
          <w:rFonts w:ascii="Arial" w:cs="Arial" w:eastAsia="Arial" w:hAnsi="Arial"/>
          <w:sz w:val="21"/>
          <w:szCs w:val="21"/>
          <w:color w:val="auto"/>
        </w:rPr>
        <w:t>, the aggregate principal amount of Swing Line Loans then outstanding shall be deemed to be zero.</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xml:space="preserve">” means the exercise of any Write-Down and Conversion Powers by the applicable EEA Resolution Authority in respect of any liability of an </w:t>
      </w:r>
      <w:r>
        <w:rPr>
          <w:rFonts w:ascii="Arial" w:cs="Arial" w:eastAsia="Arial" w:hAnsi="Arial"/>
          <w:sz w:val="22"/>
          <w:szCs w:val="22"/>
          <w:color w:val="FF0000"/>
          <w:strike w:val="1"/>
        </w:rPr>
        <w:t>EEA</w:t>
      </w:r>
      <w:r>
        <w:rPr>
          <w:rFonts w:ascii="Arial" w:cs="Arial" w:eastAsia="Arial" w:hAnsi="Arial"/>
          <w:sz w:val="22"/>
          <w:szCs w:val="22"/>
          <w:u w:val="single" w:color="auto"/>
          <w:color w:val="0000FF"/>
        </w:rPr>
        <w:t>Affected</w:t>
      </w:r>
      <w:r>
        <w:rPr>
          <w:rFonts w:ascii="Arial" w:cs="Arial" w:eastAsia="Arial" w:hAnsi="Arial"/>
          <w:sz w:val="22"/>
          <w:szCs w:val="22"/>
          <w:color w:val="auto"/>
        </w:rPr>
        <w:t xml:space="preserve"> Financial Institution.</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xml:space="preserve">” means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19"/>
          <w:szCs w:val="19"/>
          <w:u w:val="single" w:color="auto"/>
          <w:color w:val="0000FF"/>
        </w:rPr>
        <w:t>, regulation, rule or requirement</w:t>
      </w:r>
      <w:r>
        <w:rPr>
          <w:rFonts w:ascii="Arial" w:cs="Arial" w:eastAsia="Arial" w:hAnsi="Arial"/>
          <w:sz w:val="19"/>
          <w:szCs w:val="19"/>
          <w:color w:val="auto"/>
        </w:rPr>
        <w:t xml:space="preserve"> for such EEA Member Country from time to time which is described in the EU Bail-In Legislation Schedule</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and (b) with respect to</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means, for any day, a rate per annum equal to the greatest of (a) the Prime Rate in effect on such day, (b) the NYFRB Rate in effect on such day plus ½ of 1% and (c) the Eurodollar Rate for a one month Interest Period on such day (or if such day is not a Business Day, the immediately preceding Business Day) plus 1%, provided that for the purpose of this definition, the Eurodollar Rate for any day shall be based on the LIBO Screen Rate (or if the LIBO Screen Rate is not available for such one month Interest Period, the Interpolated Rate) at approximately 11:00 a.m. London time on such day. Any change in the Base Rate due to a change in the Prime Rate, the NYFRB Rate or the Eurodollar Rate shall be effective from and including the effective date of such change in the Prime Rate, the NYFRB Rate or the Eurodollar Rate, respectively. If the Base Rate is being used as an alternate rate of interest pursuant to Section 2.17 hereof,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Loans</w:t>
      </w:r>
      <w:r>
        <w:rPr>
          <w:rFonts w:ascii="Arial" w:cs="Arial" w:eastAsia="Arial" w:hAnsi="Arial"/>
          <w:sz w:val="22"/>
          <w:szCs w:val="22"/>
          <w:color w:val="auto"/>
        </w:rPr>
        <w:t>” means Loans for which the applicable rate of interest is based upon the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98" w:name="page99"/>
    <w:bookmarkEnd w:id="98"/>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Benefitted Lender</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10.7</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“BHC Act Affiliate” of a party means an “affiliate” (as such term is defined under, and interpreted in accordance with, 12 U.S.C.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1841(k)) of such party.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Governors of the Federal Reserve System of the United States (or any successor).</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0000FF"/>
        </w:rPr>
        <w:t>“Bona Fide Joint Venture” means any newly acquired, formed or structured Subsidiary that is a Joint Venture formed, acquired or structured for a bona fide business purpose (as determined by the Borrower acting in good faith) and, if owned in part by any Person that is an Affiliate of the Borrower (other than a Loan Party), any applicable transactions amongst the Loan Parties, on the one hand, and such Bona Fide Joint Venture, on the other hand, comply with Section 7.10 (without giving effect to the first parenthetical thereof).</w:t>
      </w:r>
    </w:p>
    <w:p>
      <w:pPr>
        <w:spacing w:after="0" w:line="184" w:lineRule="exact"/>
        <w:rPr>
          <w:sz w:val="20"/>
          <w:szCs w:val="20"/>
          <w:color w:val="auto"/>
        </w:rPr>
      </w:pPr>
    </w:p>
    <w:p>
      <w:pPr>
        <w:jc w:val="both"/>
        <w:ind w:right="20"/>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Bookrunners</w:t>
      </w:r>
      <w:r>
        <w:rPr>
          <w:rFonts w:ascii="Arial" w:cs="Arial" w:eastAsia="Arial" w:hAnsi="Arial"/>
          <w:sz w:val="22"/>
          <w:szCs w:val="22"/>
          <w:color w:val="auto"/>
        </w:rPr>
        <w:t>” means JPMorgan Chase Bank, N.A., Merrill Lynch, Pierce, Fenner &amp; Smith Incorporated, RBC Capital Markets</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and Barclays Bank PLC, as joint bookrunners.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shall have the meaning as defined in the preamble hereto.</w:t>
      </w:r>
    </w:p>
    <w:p>
      <w:pPr>
        <w:spacing w:after="0" w:line="220"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 LLC Operating Agreement</w:t>
      </w:r>
      <w:r>
        <w:rPr>
          <w:rFonts w:ascii="Arial" w:cs="Arial" w:eastAsia="Arial" w:hAnsi="Arial"/>
          <w:sz w:val="21"/>
          <w:szCs w:val="21"/>
          <w:color w:val="auto"/>
        </w:rPr>
        <w:t>” means the Third Amended and Restated Limited Liability Company Operating Agreement of the Borrower, as the same may be amended, supplemented or otherwise modified from time to time.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Membership Units</w:t>
      </w:r>
      <w:r>
        <w:rPr>
          <w:rFonts w:ascii="Arial" w:cs="Arial" w:eastAsia="Arial" w:hAnsi="Arial"/>
          <w:sz w:val="22"/>
          <w:szCs w:val="22"/>
          <w:color w:val="auto"/>
        </w:rPr>
        <w:t>” means the common membership units of the Borrower.</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Offer of Specified Discount Prepayment</w:t>
      </w:r>
      <w:r>
        <w:rPr>
          <w:rFonts w:ascii="Arial" w:cs="Arial" w:eastAsia="Arial" w:hAnsi="Arial"/>
          <w:sz w:val="22"/>
          <w:szCs w:val="22"/>
          <w:color w:val="auto"/>
        </w:rPr>
        <w:t xml:space="preserve">” means the offer by the Borrower to make a voluntary prepayment of Loans at a specified discount to par pursuant to </w:t>
      </w:r>
      <w:r>
        <w:rPr>
          <w:rFonts w:ascii="Arial" w:cs="Arial" w:eastAsia="Arial" w:hAnsi="Arial"/>
          <w:sz w:val="22"/>
          <w:szCs w:val="22"/>
          <w:u w:val="single" w:color="auto"/>
          <w:color w:val="auto"/>
        </w:rPr>
        <w:t>Section 2.11(c)(ii)</w:t>
      </w:r>
      <w:r>
        <w:rPr>
          <w:rFonts w:ascii="Arial" w:cs="Arial" w:eastAsia="Arial" w:hAnsi="Arial"/>
          <w:sz w:val="22"/>
          <w:szCs w:val="22"/>
          <w:color w:val="auto"/>
        </w:rPr>
        <w: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Solicitation of Discount Range Prepayment Offers</w:t>
      </w:r>
      <w:r>
        <w:rPr>
          <w:rFonts w:ascii="Arial" w:cs="Arial" w:eastAsia="Arial" w:hAnsi="Arial"/>
          <w:sz w:val="22"/>
          <w:szCs w:val="22"/>
          <w:color w:val="auto"/>
        </w:rPr>
        <w:t xml:space="preserve">” means the solicitation by the Borrower of offers for, and the corresponding acceptance by a Lender of, a voluntary prepayment of Loans at a specified range of discounts to par pursuant to </w:t>
      </w:r>
      <w:r>
        <w:rPr>
          <w:rFonts w:ascii="Arial" w:cs="Arial" w:eastAsia="Arial" w:hAnsi="Arial"/>
          <w:sz w:val="22"/>
          <w:szCs w:val="22"/>
          <w:u w:val="single" w:color="auto"/>
          <w:color w:val="auto"/>
        </w:rPr>
        <w:t>Section 2.11(c)(iii)</w:t>
      </w:r>
      <w:r>
        <w:rPr>
          <w:rFonts w:ascii="Arial" w:cs="Arial" w:eastAsia="Arial" w:hAnsi="Arial"/>
          <w:sz w:val="22"/>
          <w:szCs w:val="22"/>
          <w:color w:val="auto"/>
        </w:rPr>
        <w: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Solicitation of Discounted Prepayment Offers</w:t>
      </w:r>
      <w:r>
        <w:rPr>
          <w:rFonts w:ascii="Arial" w:cs="Arial" w:eastAsia="Arial" w:hAnsi="Arial"/>
          <w:sz w:val="22"/>
          <w:szCs w:val="22"/>
          <w:color w:val="auto"/>
        </w:rPr>
        <w:t xml:space="preserve">” means the solicitation by the Borrower of offers for, and the subsequent acceptance, if any, by a Lender of, a voluntary prepayment of Loans at a discount to par pursuant to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w:t>
      </w:r>
      <w:r>
        <w:rPr>
          <w:rFonts w:ascii="Arial" w:cs="Arial" w:eastAsia="Arial" w:hAnsi="Arial"/>
          <w:sz w:val="22"/>
          <w:szCs w:val="22"/>
          <w:u w:val="single" w:color="auto"/>
          <w:color w:val="auto"/>
        </w:rPr>
        <w:t>(iv)</w:t>
      </w:r>
      <w:r>
        <w:rPr>
          <w:rFonts w:ascii="Arial" w:cs="Arial" w:eastAsia="Arial" w:hAnsi="Arial"/>
          <w:sz w:val="22"/>
          <w:szCs w:val="22"/>
          <w:color w:val="auto"/>
        </w:rPr>
        <w: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Date</w:t>
      </w:r>
      <w:r>
        <w:rPr>
          <w:rFonts w:ascii="Arial" w:cs="Arial" w:eastAsia="Arial" w:hAnsi="Arial"/>
          <w:sz w:val="22"/>
          <w:szCs w:val="22"/>
          <w:color w:val="auto"/>
        </w:rPr>
        <w:t>” means any Business Day specified by the Borrower as a date on which the Borrower requests the relevant Lenders to make Loans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6" w:lineRule="exact"/>
        <w:rPr>
          <w:sz w:val="20"/>
          <w:szCs w:val="20"/>
          <w:color w:val="auto"/>
        </w:rPr>
      </w:pPr>
    </w:p>
    <w:p>
      <w:pPr>
        <w:ind w:left="120" w:hanging="112"/>
        <w:spacing w:after="0"/>
        <w:tabs>
          <w:tab w:leader="none" w:pos="12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RBC Capital Markets is a brand name for the capital markets businesses of Royal Bank of Canada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8" w:right="339" w:bottom="1440" w:gutter="0" w:footer="0" w:header="0"/>
        </w:sectPr>
      </w:pPr>
    </w:p>
    <w:bookmarkStart w:id="99" w:name="page100"/>
    <w:bookmarkEnd w:id="99"/>
    <w:p>
      <w:pPr>
        <w:jc w:val="both"/>
        <w:ind w:right="2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Notice</w:t>
      </w:r>
      <w:r>
        <w:rPr>
          <w:rFonts w:ascii="Arial" w:cs="Arial" w:eastAsia="Arial" w:hAnsi="Arial"/>
          <w:sz w:val="19"/>
          <w:szCs w:val="19"/>
          <w:color w:val="auto"/>
        </w:rPr>
        <w:t xml:space="preserve">” means with respect to any request for borrowing of Loans hereunder, a notice from the Borrower, substantially in the form of, and containing the information prescribed by, </w:t>
      </w:r>
      <w:r>
        <w:rPr>
          <w:rFonts w:ascii="Arial" w:cs="Arial" w:eastAsia="Arial" w:hAnsi="Arial"/>
          <w:sz w:val="19"/>
          <w:szCs w:val="19"/>
          <w:u w:val="single" w:color="auto"/>
          <w:color w:val="auto"/>
        </w:rPr>
        <w:t>Exhibit A</w:t>
      </w:r>
      <w:r>
        <w:rPr>
          <w:rFonts w:ascii="Arial" w:cs="Arial" w:eastAsia="Arial" w:hAnsi="Arial"/>
          <w:sz w:val="19"/>
          <w:szCs w:val="19"/>
          <w:color w:val="auto"/>
        </w:rPr>
        <w:t>, delivered to the Administrative Agent.</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means (a) for all purposes other than as covered by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below, a day other than a Saturday, Sunday or other day on which commercial banks in New York City are authorized or required by law to close and (b) with respect to all notices and determinations in connection with, and payments of principal and interest on, Eurodollar Loans, any day which is a Business Day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and which is also a day for trading by and between banks in Dollar deposits in the interbank eurodollar market.</w:t>
      </w:r>
    </w:p>
    <w:p>
      <w:pPr>
        <w:spacing w:after="0" w:line="16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Expenditures</w:t>
      </w:r>
      <w:r>
        <w:rPr>
          <w:rFonts w:ascii="Arial" w:cs="Arial" w:eastAsia="Arial" w:hAnsi="Arial"/>
          <w:sz w:val="22"/>
          <w:szCs w:val="22"/>
          <w:color w:val="auto"/>
        </w:rPr>
        <w:t>” means all expenditures by the Borrower for the acquisition or leasing (pursuant to a capital lease) of fixed or capital assets or additions to equipment (including replacements, capitalized repairs and improvements) that the Borrower is required to capitalize for financial reporting purposes in accordance with GAAP.</w:t>
      </w:r>
    </w:p>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xml:space="preserve">”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obligations that are recharacterized as capital leases due to a change in GAAP after the Closing Date shall not be treated as capital leases for any purpose under this Agreement, but instead shall be accounted for as if they were operating leases for all purposes under this Agreement.</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 any and all shares, interests, participations or other equivalents (however designated) of capital stock of a corporation, any and all equivalent ownership interests in a Person (other than a corporation) and any and all warrants, rights or options to purchase any of the foregoing.</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Collateralize</w:t>
      </w:r>
      <w:r>
        <w:rPr>
          <w:rFonts w:ascii="Arial" w:cs="Arial" w:eastAsia="Arial" w:hAnsi="Arial"/>
          <w:sz w:val="21"/>
          <w:szCs w:val="21"/>
          <w:color w:val="auto"/>
        </w:rPr>
        <w:t>” means to pledge and deposit with or deliver to the Administrative Agent, for the benefit of one or more of the Issuing Lenders or Lenders, as collateral for L/C Obligations or obligations of Lenders to fund participations in respect of L/C Obligations, cash or deposit account balances or, if the Administrative Agent and each applicable Issuing Lender shall agree in its sole discretion, other credit support, in each case pursuant to documentation in form and substance satisfactory to the Administrative Agent and each applicable Issuing Lender. “</w:t>
      </w:r>
      <w:r>
        <w:rPr>
          <w:rFonts w:ascii="Arial" w:cs="Arial" w:eastAsia="Arial" w:hAnsi="Arial"/>
          <w:sz w:val="21"/>
          <w:szCs w:val="21"/>
          <w:u w:val="single" w:color="auto"/>
          <w:color w:val="auto"/>
        </w:rPr>
        <w:t>Cash Collateral</w:t>
      </w:r>
      <w:r>
        <w:rPr>
          <w:rFonts w:ascii="Arial" w:cs="Arial" w:eastAsia="Arial" w:hAnsi="Arial"/>
          <w:sz w:val="21"/>
          <w:szCs w:val="21"/>
          <w:color w:val="auto"/>
        </w:rPr>
        <w:t>” shall have a meaning analogous to the foregoing and shall include the proceeds of such cash collateral and other credit support.</w:t>
      </w:r>
    </w:p>
    <w:p>
      <w:pPr>
        <w:spacing w:after="0" w:line="179"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(a) marketable direct obligations issued by, or unconditionally guaranteed by, the United States government or issued by any agency or political subdivision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of America or any state thereof having combined capital and surplus of not less than $500,000,000; (c) commercial paper of an issuer rated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00" w:name="page101"/>
    <w:bookmarkEnd w:id="100"/>
    <w:p>
      <w:pPr>
        <w:jc w:val="both"/>
        <w:spacing w:after="0" w:line="287" w:lineRule="auto"/>
        <w:rPr>
          <w:sz w:val="20"/>
          <w:szCs w:val="20"/>
          <w:color w:val="auto"/>
        </w:rPr>
      </w:pPr>
      <w:r>
        <w:rPr>
          <w:rFonts w:ascii="Arial" w:cs="Arial" w:eastAsia="Arial" w:hAnsi="Arial"/>
          <w:sz w:val="19"/>
          <w:szCs w:val="19"/>
          <w:color w:val="auto"/>
        </w:rPr>
        <w:t>least A-2 by Standard &amp; Poor’s Ratings Services (“</w:t>
      </w:r>
      <w:r>
        <w:rPr>
          <w:rFonts w:ascii="Arial" w:cs="Arial" w:eastAsia="Arial" w:hAnsi="Arial"/>
          <w:sz w:val="19"/>
          <w:szCs w:val="19"/>
          <w:u w:val="single" w:color="auto"/>
          <w:color w:val="auto"/>
        </w:rPr>
        <w:t>S&amp;P</w:t>
      </w:r>
      <w:r>
        <w:rPr>
          <w:rFonts w:ascii="Arial" w:cs="Arial" w:eastAsia="Arial" w:hAnsi="Arial"/>
          <w:sz w:val="19"/>
          <w:szCs w:val="19"/>
          <w:color w:val="auto"/>
        </w:rPr>
        <w:t>”) or P-2 by Moody’s Investors Service, Inc. (“</w:t>
      </w:r>
      <w:r>
        <w:rPr>
          <w:rFonts w:ascii="Arial" w:cs="Arial" w:eastAsia="Arial" w:hAnsi="Arial"/>
          <w:sz w:val="19"/>
          <w:szCs w:val="19"/>
          <w:u w:val="single" w:color="auto"/>
          <w:color w:val="auto"/>
        </w:rPr>
        <w:t>Moody’s</w:t>
      </w:r>
      <w:r>
        <w:rPr>
          <w:rFonts w:ascii="Arial" w:cs="Arial" w:eastAsia="Arial" w:hAnsi="Arial"/>
          <w:sz w:val="19"/>
          <w:szCs w:val="19"/>
          <w:color w:val="auto"/>
        </w:rPr>
        <w:t xml:space="preserve">”),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definition; and (g) shares of money market mutual or similar funds which invest exclusively in assets satisfying the requirements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of this definition.</w:t>
      </w:r>
    </w:p>
    <w:p>
      <w:pPr>
        <w:spacing w:after="0" w:line="132"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Agreement</w:t>
      </w:r>
      <w:r>
        <w:rPr>
          <w:rFonts w:ascii="Arial" w:cs="Arial" w:eastAsia="Arial" w:hAnsi="Arial"/>
          <w:sz w:val="22"/>
          <w:szCs w:val="22"/>
          <w:color w:val="auto"/>
        </w:rPr>
        <w:t>” means mean any agreement or arrangement to provide cash management services, including treasury, depository, overdraft, credit or debit card, stored value card, electronic funds transfer, purchasing cards, netting services, check drawing services, automated payment services (including depository, overdraft, controlled disbursement, ACH transactions, return items and interstate depository network services), positive pay service, employee credit card programs, cash pooling services and any arrangements or services similar to any of the foregoing and/or otherwise in connection with cash management and deposit accounts.</w:t>
      </w:r>
    </w:p>
    <w:p>
      <w:pPr>
        <w:spacing w:after="0" w:line="159" w:lineRule="exact"/>
        <w:rPr>
          <w:sz w:val="20"/>
          <w:szCs w:val="20"/>
          <w:color w:val="auto"/>
        </w:rPr>
      </w:pPr>
    </w:p>
    <w:p>
      <w:pPr>
        <w:jc w:val="both"/>
        <w:ind w:right="20"/>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Obligations</w:t>
      </w:r>
      <w:r>
        <w:rPr>
          <w:rFonts w:ascii="Arial" w:cs="Arial" w:eastAsia="Arial" w:hAnsi="Arial"/>
          <w:sz w:val="22"/>
          <w:szCs w:val="22"/>
          <w:color w:val="auto"/>
        </w:rPr>
        <w:t>” means, as to any person, any and all obligations of such person, whether absolute or contingent and however and whenever created, arising, evidenced or acquired (including all renewals, extensions and modifications thereof and substitutions therefor), under any Cash Management Agreement.</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the occurrence of any of the following events:</w:t>
      </w:r>
    </w:p>
    <w:p>
      <w:pPr>
        <w:spacing w:after="0" w:line="220" w:lineRule="exact"/>
        <w:rPr>
          <w:sz w:val="20"/>
          <w:szCs w:val="20"/>
          <w:color w:val="auto"/>
        </w:rPr>
      </w:pPr>
    </w:p>
    <w:p>
      <w:pPr>
        <w:jc w:val="both"/>
        <w:ind w:left="1300" w:firstLine="652"/>
        <w:spacing w:after="0" w:line="271" w:lineRule="auto"/>
        <w:tabs>
          <w:tab w:leader="none" w:pos="2593" w:val="left"/>
        </w:tabs>
        <w:numPr>
          <w:ilvl w:val="0"/>
          <w:numId w:val="42"/>
        </w:numPr>
        <w:rPr>
          <w:rFonts w:ascii="Arial" w:cs="Arial" w:eastAsia="Arial" w:hAnsi="Arial"/>
          <w:sz w:val="21"/>
          <w:szCs w:val="21"/>
          <w:color w:val="auto"/>
        </w:rPr>
      </w:pPr>
      <w:r>
        <w:rPr>
          <w:rFonts w:ascii="Arial" w:cs="Arial" w:eastAsia="Arial" w:hAnsi="Arial"/>
          <w:sz w:val="21"/>
          <w:szCs w:val="21"/>
          <w:color w:val="auto"/>
        </w:rPr>
        <w:t>(i) any “person” or “group” (as such terms are used in Sections 13(d) and 14(d) of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excluding any Founding Member or Holdings, shall become the “beneficial owner” (as defined in Rules 13(d)3 and 13(d)5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101" w:name="page102"/>
    <w:bookmarkEnd w:id="101"/>
    <w:p>
      <w:pPr>
        <w:jc w:val="both"/>
        <w:ind w:left="1300"/>
        <w:spacing w:after="0" w:line="246" w:lineRule="auto"/>
        <w:rPr>
          <w:sz w:val="20"/>
          <w:szCs w:val="20"/>
          <w:color w:val="auto"/>
        </w:rPr>
      </w:pPr>
      <w:r>
        <w:rPr>
          <w:rFonts w:ascii="Arial" w:cs="Arial" w:eastAsia="Arial" w:hAnsi="Arial"/>
          <w:sz w:val="22"/>
          <w:szCs w:val="22"/>
          <w:color w:val="auto"/>
        </w:rPr>
        <w:t xml:space="preserve">Exchange Act), directly or indirectly, of more than 50% of the then issued and outstanding Borrower Membership Units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(ii) at such time (x) the voting requirements under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of Holding’s Amended and Restated Certificate of Incorporation (applying the ownership threshold for the Founding Members set forth in such Section in effect on the Closing Date) is not applicable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(y) no Founding Member is entitled to participate in giving Founding Member Approval (as such definition is defined in the Borrower LLC Operating Agreement on the Closing Date) pursuant to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of the Borrower LLC Operating Agreement (as such Section is in effect on the Closing Date); or</w:t>
      </w:r>
    </w:p>
    <w:p>
      <w:pPr>
        <w:spacing w:after="0" w:line="196" w:lineRule="exact"/>
        <w:rPr>
          <w:sz w:val="20"/>
          <w:szCs w:val="20"/>
          <w:color w:val="auto"/>
        </w:rPr>
      </w:pPr>
    </w:p>
    <w:p>
      <w:pPr>
        <w:jc w:val="both"/>
        <w:ind w:left="1300" w:firstLine="652"/>
        <w:spacing w:after="0" w:line="290" w:lineRule="auto"/>
        <w:tabs>
          <w:tab w:leader="none" w:pos="2591"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 any Person, other than a Founding Member, acquires the right to (A) elect, or (B) nominate for election or (C) designate for nomination pursuant to the Designation Agreement, a majority of the members of the board of directors of Holdings and (ii) at such time (x) the voting requirements under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of Holding’s Amended and Restated Certificate of Incorporation (applying the ownership threshold for the Founding Members set forth in such Section in effect on the Closing Date) is not applicable and (y) no Founding Member is entitled to participate in giving Founding Member Approval (as such definition is defined in the Borrower LLC Operating Agreement on the Closing Date) pursuant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of the Borrower LLC Operating Agreement (as such Section is in effect on the Closing Date); or</w:t>
      </w:r>
    </w:p>
    <w:p>
      <w:pPr>
        <w:spacing w:after="0" w:line="155" w:lineRule="exact"/>
        <w:rPr>
          <w:rFonts w:ascii="Arial" w:cs="Arial" w:eastAsia="Arial" w:hAnsi="Arial"/>
          <w:sz w:val="19"/>
          <w:szCs w:val="19"/>
          <w:color w:val="auto"/>
        </w:rPr>
      </w:pPr>
    </w:p>
    <w:p>
      <w:pPr>
        <w:jc w:val="both"/>
        <w:ind w:left="1300" w:firstLine="652"/>
        <w:spacing w:after="0" w:line="294" w:lineRule="auto"/>
        <w:tabs>
          <w:tab w:leader="none" w:pos="2593"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 Holdings shall cease to be the manager of the Borrower and (ii) at such time (x) the voting requirements under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of Holding’s Amended and Restated Certificate of Incorporation (applying the ownership threshold for the Founding Members set forth in such Section in effect on the Closing Date) is not applicable and (y) no Founding Member is entitled to participate in giving Founding Member Approval (as such definition is defined in the Borrower LLC Operating Agreement on the Closing Date) pursuant to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of the Borrower LLC Operating Agreement (as such Section is in effect on the Closing Date).</w:t>
      </w:r>
    </w:p>
    <w:p>
      <w:pPr>
        <w:spacing w:after="0" w:line="149" w:lineRule="exact"/>
        <w:rPr>
          <w:sz w:val="20"/>
          <w:szCs w:val="20"/>
          <w:color w:val="auto"/>
        </w:rPr>
      </w:pPr>
    </w:p>
    <w:p>
      <w:pPr>
        <w:ind w:left="1960"/>
        <w:spacing w:after="0"/>
        <w:rPr>
          <w:sz w:val="20"/>
          <w:szCs w:val="20"/>
          <w:color w:val="auto"/>
        </w:rPr>
      </w:pPr>
      <w:r>
        <w:rPr>
          <w:rFonts w:ascii="Arial" w:cs="Arial" w:eastAsia="Arial" w:hAnsi="Arial"/>
          <w:sz w:val="21"/>
          <w:szCs w:val="21"/>
          <w:color w:val="auto"/>
        </w:rPr>
        <w:t>For purposes of this definition of Change of Control only, the term “Founding Member” shall mean</w:t>
      </w:r>
    </w:p>
    <w:p>
      <w:pPr>
        <w:spacing w:after="0" w:line="33" w:lineRule="exact"/>
        <w:rPr>
          <w:sz w:val="20"/>
          <w:szCs w:val="20"/>
          <w:color w:val="auto"/>
        </w:rPr>
      </w:pPr>
    </w:p>
    <w:p>
      <w:pPr>
        <w:jc w:val="both"/>
        <w:ind w:left="1300" w:firstLine="4"/>
        <w:spacing w:after="0" w:line="244" w:lineRule="auto"/>
        <w:tabs>
          <w:tab w:leader="none" w:pos="1602" w:val="left"/>
        </w:tabs>
        <w:numPr>
          <w:ilvl w:val="0"/>
          <w:numId w:val="44"/>
        </w:numPr>
        <w:rPr>
          <w:rFonts w:ascii="Arial" w:cs="Arial" w:eastAsia="Arial" w:hAnsi="Arial"/>
          <w:sz w:val="22"/>
          <w:szCs w:val="22"/>
          <w:color w:val="auto"/>
        </w:rPr>
      </w:pPr>
      <w:r>
        <w:rPr>
          <w:rFonts w:ascii="Arial" w:cs="Arial" w:eastAsia="Arial" w:hAnsi="Arial"/>
          <w:sz w:val="22"/>
          <w:szCs w:val="22"/>
          <w:color w:val="auto"/>
        </w:rPr>
        <w:t>each of American Multi-Cinema, Inc., a Missouri corporation, Cinemark Media, Inc., a Delaware corporation, and Regal CineMedia Holdings, LLC, a Delaware limited liability company, and (b) each Permitted Transferee (as such definition is defined in the Borrower LLC Operating Agreement on the Closing Date) that constitutes a Founding Member Affiliate.</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w:t>
      </w:r>
      <w:r>
        <w:rPr>
          <w:rFonts w:ascii="Arial" w:cs="Arial" w:eastAsia="Arial" w:hAnsi="Arial"/>
          <w:sz w:val="22"/>
          <w:szCs w:val="22"/>
          <w:color w:val="auto"/>
        </w:rPr>
        <w:t>” means when used in reference to any Loan or any borrowing, refers to whether such Loan, or the Loans comprising such borrowing, are Revolving Credit Loans, Extended Revolving Credit Loans of the same Extension Series and including any related swingline loans thereunder, Replacement Revolving Credit Loans (of the same series and any related swingline loans thereunder), Term Loans, Extended Term Loans of the same Extension Series or Swing Line Loans and, when used in reference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02" w:name="page103"/>
    <w:bookmarkEnd w:id="102"/>
    <w:p>
      <w:pPr>
        <w:jc w:val="both"/>
        <w:spacing w:after="0" w:line="248" w:lineRule="auto"/>
        <w:rPr>
          <w:sz w:val="20"/>
          <w:szCs w:val="20"/>
          <w:color w:val="auto"/>
        </w:rPr>
      </w:pPr>
      <w:r>
        <w:rPr>
          <w:rFonts w:ascii="Arial" w:cs="Arial" w:eastAsia="Arial" w:hAnsi="Arial"/>
          <w:sz w:val="22"/>
          <w:szCs w:val="22"/>
          <w:color w:val="auto"/>
        </w:rPr>
        <w:t xml:space="preserve">Revolving Credit Commitment, refers to whether such Revolving Credit Commitment is a Revolving Credit Commitment, </w:t>
      </w:r>
      <w:r>
        <w:rPr>
          <w:rFonts w:ascii="Arial" w:cs="Arial" w:eastAsia="Arial" w:hAnsi="Arial"/>
          <w:sz w:val="22"/>
          <w:szCs w:val="22"/>
          <w:u w:val="single" w:color="auto"/>
          <w:color w:val="0000FF"/>
        </w:rPr>
        <w:t>a</w:t>
      </w:r>
      <w:r>
        <w:rPr>
          <w:rFonts w:ascii="Arial" w:cs="Arial" w:eastAsia="Arial" w:hAnsi="Arial"/>
          <w:sz w:val="22"/>
          <w:szCs w:val="22"/>
          <w:color w:val="auto"/>
        </w:rPr>
        <w:t xml:space="preserve"> </w:t>
      </w:r>
      <w:r>
        <w:rPr>
          <w:rFonts w:ascii="Arial" w:cs="Arial" w:eastAsia="Arial" w:hAnsi="Arial"/>
          <w:sz w:val="22"/>
          <w:szCs w:val="22"/>
          <w:u w:val="single" w:color="auto"/>
          <w:color w:val="0000FF"/>
        </w:rPr>
        <w:t>Revolving Credit Commitment Increase established as a separate tranche under Section 2.25, or</w:t>
      </w:r>
      <w:r>
        <w:rPr>
          <w:rFonts w:ascii="Arial" w:cs="Arial" w:eastAsia="Arial" w:hAnsi="Arial"/>
          <w:sz w:val="22"/>
          <w:szCs w:val="22"/>
          <w:color w:val="0000FF"/>
        </w:rPr>
        <w:t xml:space="preserve"> </w:t>
      </w:r>
      <w:r>
        <w:rPr>
          <w:rFonts w:ascii="Arial" w:cs="Arial" w:eastAsia="Arial" w:hAnsi="Arial"/>
          <w:sz w:val="22"/>
          <w:szCs w:val="22"/>
          <w:color w:val="000000"/>
        </w:rPr>
        <w:t>an Extended Revolving Credit</w:t>
      </w:r>
      <w:r>
        <w:rPr>
          <w:rFonts w:ascii="Arial" w:cs="Arial" w:eastAsia="Arial" w:hAnsi="Arial"/>
          <w:sz w:val="22"/>
          <w:szCs w:val="22"/>
          <w:color w:val="0000FF"/>
        </w:rPr>
        <w:t xml:space="preserve"> </w:t>
      </w:r>
      <w:r>
        <w:rPr>
          <w:rFonts w:ascii="Arial" w:cs="Arial" w:eastAsia="Arial" w:hAnsi="Arial"/>
          <w:sz w:val="22"/>
          <w:szCs w:val="22"/>
          <w:color w:val="000000"/>
        </w:rPr>
        <w:t>Commitment of the same Extension Series and including any related swingline commitments thereunder, a Replacement Revolving Credit Commitment (of the same series and any related swingline commitment thereunder) or a Swing Line Commitment.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June 20, 2018.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Co-Manager</w:t>
      </w:r>
      <w:r>
        <w:rPr>
          <w:rFonts w:ascii="Arial" w:cs="Arial" w:eastAsia="Arial" w:hAnsi="Arial"/>
          <w:sz w:val="22"/>
          <w:szCs w:val="22"/>
          <w:color w:val="auto"/>
        </w:rPr>
        <w:t>” means ZB, N.A. dba Vectra Bank Colorado.</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Property of the Loan Parties, now owned or hereafter acquired, upon which a Lien is purported to be created by any Security Document.</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(a) with respect to each Lender (to the extent applicable), such Lender’s Revolving Credit Commitment, Extended Revolving Credit Commitment of the same Extension Series, Replacement Revolving Credit Commitment, Incremental Term Commitment or any combination thereof (as the context requires) and (b) with respect to the Swing Line Lender or any swingline lender under any Extended Revolving Credit Commitment or Replacement Revolving Credit Commitment, its swingline commitment.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 Rate</w:t>
      </w:r>
      <w:r>
        <w:rPr>
          <w:rFonts w:ascii="Arial" w:cs="Arial" w:eastAsia="Arial" w:hAnsi="Arial"/>
          <w:sz w:val="22"/>
          <w:szCs w:val="22"/>
          <w:color w:val="auto"/>
        </w:rPr>
        <w:t>” means 0.50% per annum.</w:t>
      </w:r>
    </w:p>
    <w:p>
      <w:pPr>
        <w:spacing w:after="0" w:line="220"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means the Commodity Exchange Act (7 U.S.C. § 1 </w:t>
      </w:r>
      <w:r>
        <w:rPr>
          <w:rFonts w:ascii="Arial" w:cs="Arial" w:eastAsia="Arial" w:hAnsi="Arial"/>
          <w:sz w:val="22"/>
          <w:szCs w:val="22"/>
          <w:i w:val="1"/>
          <w:iCs w:val="1"/>
          <w:color w:val="auto"/>
        </w:rPr>
        <w:t>et seq</w:t>
      </w:r>
      <w:r>
        <w:rPr>
          <w:rFonts w:ascii="Arial" w:cs="Arial" w:eastAsia="Arial" w:hAnsi="Arial"/>
          <w:sz w:val="22"/>
          <w:szCs w:val="22"/>
          <w:color w:val="auto"/>
        </w:rPr>
        <w:t>.), as amended from time to time, and any successor statute.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Unit Adjustment Agreement</w:t>
      </w:r>
      <w:r>
        <w:rPr>
          <w:rFonts w:ascii="Arial" w:cs="Arial" w:eastAsia="Arial" w:hAnsi="Arial"/>
          <w:sz w:val="22"/>
          <w:szCs w:val="22"/>
          <w:color w:val="auto"/>
        </w:rPr>
        <w:t>” means the Common Unit Adjustment Agreement by and among Holdings, the Borrower, the Founding Members and the ESA Parties dated as of February 13, 2007, as the same may be amended, supplemented or modified from time.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Commonly Controlled Entity</w:t>
      </w:r>
      <w:r>
        <w:rPr>
          <w:rFonts w:ascii="Arial" w:cs="Arial" w:eastAsia="Arial" w:hAnsi="Arial"/>
          <w:sz w:val="22"/>
          <w:szCs w:val="22"/>
          <w:color w:val="auto"/>
        </w:rPr>
        <w:t>” means an entity, whether or not incorporated, that is under common control with the Borrower within the meaning of Section 4001 of ERISA or is part of a group that includes the Borrower and that is treated as a single employer under Section 414 of the Code.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a certificate duly executed by a Responsible Officer,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25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means, of the Borrower for any period, Consolidated Net Income of the Borrower and its Subsidiaries for such period plus, without duplication and to the extent deducted in determining such Consolidated Net Income for such period, the sum of (a) expenses for taxes based on income or capital (including franchise and similar taxes), (b) interest expense of the Borrower and its Subsidiaries, amortization or writeoff of debt discount and debt issuance costs and commissions, discounts and other fees and charges incurred in connection with or associated with Indebtedness (including without limitation, as it relates to the Borrower and its Subsidiaries, the Facilities), (c) depreciation and amortization expense, (d) amortization of intangibles (including, but not limited to, goodwill) and organization costs, (e) any extraordinary, unusual or non-recurring charges, expenses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03" w:name="page104"/>
    <w:bookmarkEnd w:id="103"/>
    <w:p>
      <w:pPr>
        <w:jc w:val="both"/>
        <w:spacing w:after="0" w:line="284" w:lineRule="auto"/>
        <w:rPr>
          <w:sz w:val="20"/>
          <w:szCs w:val="20"/>
          <w:color w:val="auto"/>
        </w:rPr>
      </w:pPr>
      <w:r>
        <w:rPr>
          <w:rFonts w:ascii="Arial" w:cs="Arial" w:eastAsia="Arial" w:hAnsi="Arial"/>
          <w:sz w:val="19"/>
          <w:szCs w:val="19"/>
          <w:color w:val="auto"/>
        </w:rPr>
        <w:t xml:space="preserve">losses (including, whether or not otherwise includable as a separate item in the statement of such Consolidated Net Income for such period, losses on sales of assets outside of the ordinary course of business), including without limitation, as it relates to the Borrower and its Subsidiaries, all fees, commissions, expenses, costs, charges and reorganizations costs (including reasonable legal, accounting, financing, consulting and advisory costs, fees and expenses) incurred in connection with the Facilities or the initial public offering of the common stock of Holdings </w:t>
      </w:r>
      <w:r>
        <w:rPr>
          <w:rFonts w:ascii="Arial" w:cs="Arial" w:eastAsia="Arial" w:hAnsi="Arial"/>
          <w:sz w:val="19"/>
          <w:szCs w:val="19"/>
          <w:color w:val="0000FF"/>
        </w:rPr>
        <w:t>(</w:t>
      </w:r>
      <w:r>
        <w:rPr>
          <w:rFonts w:ascii="Arial" w:cs="Arial" w:eastAsia="Arial" w:hAnsi="Arial"/>
          <w:sz w:val="19"/>
          <w:szCs w:val="19"/>
          <w:i w:val="1"/>
          <w:iCs w:val="1"/>
          <w:color w:val="0000FF"/>
        </w:rPr>
        <w:t>provided</w:t>
      </w:r>
      <w:r>
        <w:rPr>
          <w:rFonts w:ascii="Arial" w:cs="Arial" w:eastAsia="Arial" w:hAnsi="Arial"/>
          <w:sz w:val="19"/>
          <w:szCs w:val="19"/>
          <w:color w:val="0000FF"/>
        </w:rPr>
        <w:t>, that the addback pursuant to this clause (e), when combined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with Pro Forma Cost Savings added back (or adjusted) in connection with such calculation, shall not exceed 15.0% of Consolidated EBITDA calculated after giving effect to this clause (e) and such adjustment for Pro Forma Cost Savings)</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-354965</wp:posOffset>
            </wp:positionV>
            <wp:extent cx="40170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4017010" cy="8890"/>
                    </a:xfrm>
                    <a:prstGeom prst="rect">
                      <a:avLst/>
                    </a:prstGeom>
                    <a:noFill/>
                  </pic:spPr>
                </pic:pic>
              </a:graphicData>
            </a:graphic>
          </wp:anchor>
        </w:drawing>
      </w:r>
    </w:p>
    <w:p>
      <w:pPr>
        <w:jc w:val="both"/>
        <w:ind w:firstLine="8"/>
        <w:spacing w:after="0" w:line="285" w:lineRule="auto"/>
        <w:tabs>
          <w:tab w:leader="none" w:pos="297"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severance plan costs or expense, (g) any other non-cash charges, expenses or losses of the Borrower and its Subsidiaries, including without limitation, (x) non-cash compensation expenses arising from the issuance by Holdings, the Borrower or the applicable Subsidiary of equity, options to purchase equity, stock or equity appreciation rights or similar rights to the employees of Holdings, the Borrower and Subsidiaries of the Borrower and (y) non-cash charges related to changes in the exposure of the Borrower and its Subsidiaries under Hedge Agreements, and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to the extent included in determining such Consolidated Net Income for such period, the sum of (a) interest income (except to the extent deducted in determining such Consolidated Net Income), (b) any extraordinary, unusual or non-recurring income or gains (including, whether or not otherwise includable as a separate item in the statement of such Consolidated Net Income for such period, gains on the sales of assets outside of the ordinary course of business), (c) any other non-cash income and (d) any cash payments made during such period in respect of items described in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above subsequent to the fiscal quarter in which the relevant non-cash expenses or losses were reflected as a charge in the statement of Consolidated Net Income, all as determined on a consolidated basis.</w:t>
      </w:r>
    </w:p>
    <w:p>
      <w:pPr>
        <w:spacing w:after="0" w:line="16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For the purposes of calculating Consolidated EBITDA for any period of four consecutive fiscal quarters (each, a “</w:t>
      </w:r>
      <w:r>
        <w:rPr>
          <w:rFonts w:ascii="Arial" w:cs="Arial" w:eastAsia="Arial" w:hAnsi="Arial"/>
          <w:sz w:val="19"/>
          <w:szCs w:val="19"/>
          <w:u w:val="single" w:color="auto"/>
          <w:color w:val="auto"/>
        </w:rPr>
        <w:t>Reference Period</w:t>
      </w:r>
      <w:r>
        <w:rPr>
          <w:rFonts w:ascii="Arial" w:cs="Arial" w:eastAsia="Arial" w:hAnsi="Arial"/>
          <w:sz w:val="19"/>
          <w:szCs w:val="19"/>
          <w:color w:val="auto"/>
        </w:rPr>
        <w:t xml:space="preserve">”) pursuant to any determination of the Consolidated Net Senior Secured Leverage Ratio, (i) if at any time during such Reference Period or after the end of such Reference Period and on or prior to the date on which such determination is being made, the Borrower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or after the end of such Reference Period and on or prior to the date on which such determination is being made, the Borrower or any Subsidiary shall have made a Material Acquisition, Consolidated EBITDA for such Reference Period shall be calculated after giving pro forma effect thereto (taking into account any Pro Forma Cost Savings </w:t>
      </w:r>
      <w:r>
        <w:rPr>
          <w:rFonts w:ascii="Arial" w:cs="Arial" w:eastAsia="Arial" w:hAnsi="Arial"/>
          <w:sz w:val="19"/>
          <w:szCs w:val="19"/>
          <w:u w:val="single" w:color="auto"/>
          <w:color w:val="0000FF"/>
        </w:rPr>
        <w:t>(provided that, when combined with amounts added back</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pursuant to clause (e) of this definition, the aggregate amount of adjustments for Pro Forma Cost Savings and amounts added back pursuant to such clause (e) shall not exceed 15.0% of Consolidated EBITDA (after giving effect to such adjustments for Pro Forma Cost Savings and pursuant to clause (e))</w:t>
      </w:r>
      <w:r>
        <w:rPr>
          <w:rFonts w:ascii="Arial" w:cs="Arial" w:eastAsia="Arial" w:hAnsi="Arial"/>
          <w:sz w:val="19"/>
          <w:szCs w:val="19"/>
          <w:color w:val="000000"/>
        </w:rPr>
        <w:t>) as if such Material Acquisition occurred on the first day of such Reference</w:t>
      </w:r>
      <w:r>
        <w:rPr>
          <w:rFonts w:ascii="Arial" w:cs="Arial" w:eastAsia="Arial" w:hAnsi="Arial"/>
          <w:sz w:val="19"/>
          <w:szCs w:val="19"/>
          <w:color w:val="0000FF"/>
        </w:rPr>
        <w:t xml:space="preserve"> </w:t>
      </w:r>
      <w:r>
        <w:rPr>
          <w:rFonts w:ascii="Arial" w:cs="Arial" w:eastAsia="Arial" w:hAnsi="Arial"/>
          <w:sz w:val="19"/>
          <w:szCs w:val="19"/>
          <w:color w:val="000000"/>
        </w:rPr>
        <w:t>Period. As used in this definition, “</w:t>
      </w:r>
      <w:r>
        <w:rPr>
          <w:rFonts w:ascii="Arial" w:cs="Arial" w:eastAsia="Arial" w:hAnsi="Arial"/>
          <w:sz w:val="19"/>
          <w:szCs w:val="19"/>
          <w:u w:val="single" w:color="auto"/>
          <w:color w:val="000000"/>
        </w:rPr>
        <w:t>Material Acquisition</w:t>
      </w:r>
      <w:r>
        <w:rPr>
          <w:rFonts w:ascii="Arial" w:cs="Arial" w:eastAsia="Arial" w:hAnsi="Arial"/>
          <w:sz w:val="19"/>
          <w:szCs w:val="19"/>
          <w:color w:val="000000"/>
        </w:rPr>
        <w:t xml:space="preserve">” means any Acquisition that involves the payment of consideration </w:t>
      </w:r>
      <w:r>
        <w:rPr>
          <w:rFonts w:ascii="Arial" w:cs="Arial" w:eastAsia="Arial" w:hAnsi="Arial"/>
          <w:sz w:val="19"/>
          <w:szCs w:val="19"/>
          <w:u w:val="single" w:color="auto"/>
          <w:color w:val="0000FF"/>
        </w:rPr>
        <w:t>(including stock consideration)</w:t>
      </w:r>
      <w:r>
        <w:rPr>
          <w:rFonts w:ascii="Arial" w:cs="Arial" w:eastAsia="Arial" w:hAnsi="Arial"/>
          <w:sz w:val="19"/>
          <w:szCs w:val="19"/>
          <w:color w:val="0000FF"/>
        </w:rPr>
        <w:t xml:space="preserve"> </w:t>
      </w:r>
      <w:r>
        <w:rPr>
          <w:rFonts w:ascii="Arial" w:cs="Arial" w:eastAsia="Arial" w:hAnsi="Arial"/>
          <w:sz w:val="19"/>
          <w:szCs w:val="19"/>
          <w:color w:val="000000"/>
        </w:rPr>
        <w:t>by the Borrower and</w:t>
      </w:r>
      <w:r>
        <w:rPr>
          <w:rFonts w:ascii="Arial" w:cs="Arial" w:eastAsia="Arial" w:hAnsi="Arial"/>
          <w:sz w:val="19"/>
          <w:szCs w:val="19"/>
          <w:u w:val="single" w:color="auto"/>
          <w:color w:val="0000FF"/>
        </w:rPr>
        <w:t>/or</w:t>
      </w:r>
      <w:r>
        <w:rPr>
          <w:rFonts w:ascii="Arial" w:cs="Arial" w:eastAsia="Arial" w:hAnsi="Arial"/>
          <w:sz w:val="19"/>
          <w:szCs w:val="19"/>
          <w:color w:val="0000FF"/>
        </w:rPr>
        <w:t xml:space="preserve"> </w:t>
      </w:r>
      <w:r>
        <w:rPr>
          <w:rFonts w:ascii="Arial" w:cs="Arial" w:eastAsia="Arial" w:hAnsi="Arial"/>
          <w:sz w:val="19"/>
          <w:szCs w:val="19"/>
          <w:color w:val="000000"/>
        </w:rPr>
        <w:t>its</w:t>
      </w:r>
      <w:r>
        <w:rPr>
          <w:rFonts w:ascii="Arial" w:cs="Arial" w:eastAsia="Arial" w:hAnsi="Arial"/>
          <w:sz w:val="19"/>
          <w:szCs w:val="19"/>
          <w:color w:val="0000FF"/>
        </w:rPr>
        <w:t xml:space="preserve"> </w:t>
      </w:r>
      <w:r>
        <w:rPr>
          <w:rFonts w:ascii="Arial" w:cs="Arial" w:eastAsia="Arial" w:hAnsi="Arial"/>
          <w:sz w:val="19"/>
          <w:szCs w:val="19"/>
          <w:color w:val="FF0000"/>
          <w:strike w:val="1"/>
        </w:rPr>
        <w:t>Subsidiaries</w:t>
      </w:r>
      <w:r>
        <w:rPr>
          <w:rFonts w:ascii="Arial" w:cs="Arial" w:eastAsia="Arial" w:hAnsi="Arial"/>
          <w:sz w:val="19"/>
          <w:szCs w:val="19"/>
          <w:u w:val="single" w:color="auto"/>
          <w:color w:val="0000FF"/>
        </w:rPr>
        <w:t>Affiliates</w:t>
      </w:r>
      <w:r>
        <w:rPr>
          <w:rFonts w:ascii="Arial" w:cs="Arial" w:eastAsia="Arial" w:hAnsi="Arial"/>
          <w:sz w:val="19"/>
          <w:szCs w:val="19"/>
          <w:color w:val="0000FF"/>
        </w:rPr>
        <w:t xml:space="preserve"> </w:t>
      </w:r>
      <w:r>
        <w:rPr>
          <w:rFonts w:ascii="Arial" w:cs="Arial" w:eastAsia="Arial" w:hAnsi="Arial"/>
          <w:sz w:val="19"/>
          <w:szCs w:val="19"/>
          <w:color w:val="000000"/>
        </w:rPr>
        <w:t>in excess of an amount equal to 10% of</w:t>
      </w:r>
      <w:r>
        <w:rPr>
          <w:rFonts w:ascii="Arial" w:cs="Arial" w:eastAsia="Arial" w:hAnsi="Arial"/>
          <w:sz w:val="19"/>
          <w:szCs w:val="19"/>
          <w:color w:val="0000FF"/>
        </w:rPr>
        <w:t xml:space="preserve"> </w:t>
      </w:r>
      <w:r>
        <w:rPr>
          <w:rFonts w:ascii="Arial" w:cs="Arial" w:eastAsia="Arial" w:hAnsi="Arial"/>
          <w:sz w:val="19"/>
          <w:szCs w:val="19"/>
          <w:color w:val="000000"/>
        </w:rPr>
        <w:t>Consolidated EBITDA of the Borrower and its Subsidiaries for the period of the most recent four consecutive fiscal quarters ending prior to the closing date of such Acquisition with respect to which financial statements have been prepared by the Borrower. “</w:t>
      </w:r>
      <w:r>
        <w:rPr>
          <w:rFonts w:ascii="Arial" w:cs="Arial" w:eastAsia="Arial" w:hAnsi="Arial"/>
          <w:sz w:val="19"/>
          <w:szCs w:val="19"/>
          <w:u w:val="single" w:color="auto"/>
          <w:color w:val="000000"/>
        </w:rPr>
        <w:t>Material Disposition</w:t>
      </w:r>
      <w:r>
        <w:rPr>
          <w:rFonts w:ascii="Arial" w:cs="Arial" w:eastAsia="Arial" w:hAnsi="Arial"/>
          <w:sz w:val="19"/>
          <w:szCs w:val="19"/>
          <w:color w:val="000000"/>
        </w:rPr>
        <w:t>” means any Disposition of property or series of related Dispositions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04" w:name="page105"/>
    <w:bookmarkEnd w:id="104"/>
    <w:p>
      <w:pPr>
        <w:jc w:val="both"/>
        <w:spacing w:after="0" w:line="312" w:lineRule="auto"/>
        <w:rPr>
          <w:sz w:val="20"/>
          <w:szCs w:val="20"/>
          <w:color w:val="auto"/>
        </w:rPr>
      </w:pPr>
      <w:r>
        <w:rPr>
          <w:rFonts w:ascii="Arial" w:cs="Arial" w:eastAsia="Arial" w:hAnsi="Arial"/>
          <w:sz w:val="19"/>
          <w:szCs w:val="19"/>
          <w:color w:val="auto"/>
        </w:rPr>
        <w:t>property that yields gross proceeds to the Borrower or any of its Subsidiaries in excess of an amount equal to 10% of Consolidated EBITDA of the Borrower and its Subsidiaries for the period of the most recent four consecutive fiscal quarters ending prior to the date of such Disposition with respect to which financial statements have been prepared by the Borrower.</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Net Income</w:t>
      </w:r>
      <w:r>
        <w:rPr>
          <w:rFonts w:ascii="Arial" w:cs="Arial" w:eastAsia="Arial" w:hAnsi="Arial"/>
          <w:sz w:val="21"/>
          <w:szCs w:val="21"/>
          <w:color w:val="auto"/>
        </w:rPr>
        <w:t xml:space="preserve">” means, of any Person for any period, the consolidated net income (or loss) of such Person and its Subsidiaries for such period, determined on a consolidated basis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that in calculating Consolidated Net Income of the Borrower and its consolidated Subsidiaries for any period, there shall be excluded (a) except as set forth in the second paragraph of the definition of “Consolidated EBITDA,”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Senior Secured Leverage Ratio</w:t>
      </w:r>
      <w:r>
        <w:rPr>
          <w:rFonts w:ascii="Arial" w:cs="Arial" w:eastAsia="Arial" w:hAnsi="Arial"/>
          <w:sz w:val="19"/>
          <w:szCs w:val="19"/>
          <w:color w:val="auto"/>
        </w:rPr>
        <w:t xml:space="preserve">” means as of any date of determination, the ratio of (a) Consolidated Senior Secured Debt on such day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the aggregate amount of cash and Cash Equivalents owned by the Borrower and its Subsidiaries on such day in an amount not to exceed $100,000,000 (in each case, free and clear of all Liens (other than Liens permitted by </w:t>
      </w:r>
      <w:r>
        <w:rPr>
          <w:rFonts w:ascii="Arial" w:cs="Arial" w:eastAsia="Arial" w:hAnsi="Arial"/>
          <w:sz w:val="19"/>
          <w:szCs w:val="19"/>
          <w:u w:val="single" w:color="auto"/>
          <w:color w:val="auto"/>
        </w:rPr>
        <w:t>Section 7.3(a)</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(l)</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and/or Liens securing the Senior Secured 2028 Notes (or any Permitted Refinancing thereof))</w:t>
      </w:r>
      <w:r>
        <w:rPr>
          <w:rFonts w:ascii="Arial" w:cs="Arial" w:eastAsia="Arial" w:hAnsi="Arial"/>
          <w:sz w:val="19"/>
          <w:szCs w:val="19"/>
          <w:color w:val="auto"/>
        </w:rPr>
        <w:t>) to</w:t>
      </w:r>
    </w:p>
    <w:p>
      <w:pPr>
        <w:spacing w:after="0" w:line="3" w:lineRule="exact"/>
        <w:rPr>
          <w:sz w:val="20"/>
          <w:szCs w:val="20"/>
          <w:color w:val="auto"/>
        </w:rPr>
      </w:pPr>
    </w:p>
    <w:p>
      <w:pPr>
        <w:jc w:val="both"/>
        <w:ind w:firstLine="8"/>
        <w:spacing w:after="0" w:line="245" w:lineRule="auto"/>
        <w:tabs>
          <w:tab w:leader="none" w:pos="294"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Adjusted Consolidated EBITDA of the Borrower and its Subsidiaries for the Reference Period most recently ended on or prior to such date of determination for which (excluding for purposes of </w:t>
      </w:r>
      <w:r>
        <w:rPr>
          <w:rFonts w:ascii="Arial" w:cs="Arial" w:eastAsia="Arial" w:hAnsi="Arial"/>
          <w:sz w:val="22"/>
          <w:szCs w:val="22"/>
          <w:u w:val="single" w:color="auto"/>
          <w:color w:val="auto"/>
        </w:rPr>
        <w:t>Section 7.1</w:t>
      </w:r>
      <w:r>
        <w:rPr>
          <w:rFonts w:ascii="Arial" w:cs="Arial" w:eastAsia="Arial" w:hAnsi="Arial"/>
          <w:sz w:val="22"/>
          <w:szCs w:val="22"/>
          <w:color w:val="auto"/>
        </w:rPr>
        <w:t>) financial statements have been prepared by the Borrower.</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Senior Secured Debt</w:t>
      </w:r>
      <w:r>
        <w:rPr>
          <w:rFonts w:ascii="Arial" w:cs="Arial" w:eastAsia="Arial" w:hAnsi="Arial"/>
          <w:sz w:val="22"/>
          <w:szCs w:val="22"/>
          <w:color w:val="auto"/>
        </w:rPr>
        <w:t>” means at any date, Consolidated Total Debt (other than Permitted Unsecured Indebtedness) at such date, determined on a consolidated basis in accordance with GAAP, that is secured by a Lien on any assets of the Borrower or its Subsidiaries.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Debt</w:t>
      </w:r>
      <w:r>
        <w:rPr>
          <w:rFonts w:ascii="Arial" w:cs="Arial" w:eastAsia="Arial" w:hAnsi="Arial"/>
          <w:sz w:val="22"/>
          <w:szCs w:val="22"/>
          <w:color w:val="auto"/>
        </w:rPr>
        <w:t xml:space="preserve">” means at any date, the aggregate principal amount of all Indebtedness of the Borrower and its Subsidiaries of the type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(e)</w:t>
      </w:r>
      <w:r>
        <w:rPr>
          <w:rFonts w:ascii="Arial" w:cs="Arial" w:eastAsia="Arial" w:hAnsi="Arial"/>
          <w:sz w:val="22"/>
          <w:szCs w:val="22"/>
          <w:color w:val="auto"/>
        </w:rPr>
        <w:t xml:space="preserve"> of the definition of “Indebtedness” in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at such date, determined on a consolidated basis in accordance with GAAP.</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Leverage Ratio</w:t>
      </w:r>
      <w:r>
        <w:rPr>
          <w:rFonts w:ascii="Arial" w:cs="Arial" w:eastAsia="Arial" w:hAnsi="Arial"/>
          <w:sz w:val="19"/>
          <w:szCs w:val="19"/>
          <w:color w:val="auto"/>
        </w:rPr>
        <w:t xml:space="preserve">” means as of any date of determination, the ratio of (a) Consolidated Total Debt on such date less the aggregate amount of cash and Cash Equivalents owned by the Borrower and its Subsidiaries on such date in an amount not to exceed $100,000,000 (in each case, free and clear of all Liens (other than Liens permitted by </w:t>
      </w:r>
      <w:r>
        <w:rPr>
          <w:rFonts w:ascii="Arial" w:cs="Arial" w:eastAsia="Arial" w:hAnsi="Arial"/>
          <w:sz w:val="19"/>
          <w:szCs w:val="19"/>
          <w:u w:val="single" w:color="auto"/>
          <w:color w:val="auto"/>
        </w:rPr>
        <w:t>Section 7.3(a)</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(l)</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and/or Liens securing the Senior Secured 2028 Notes (or any Permitted Refinancing thereof))</w:t>
      </w:r>
      <w:r>
        <w:rPr>
          <w:rFonts w:ascii="Arial" w:cs="Arial" w:eastAsia="Arial" w:hAnsi="Arial"/>
          <w:sz w:val="19"/>
          <w:szCs w:val="19"/>
          <w:color w:val="000000"/>
        </w:rPr>
        <w:t>) to (b) Adjusted Consolidated</w:t>
      </w:r>
      <w:r>
        <w:rPr>
          <w:rFonts w:ascii="Arial" w:cs="Arial" w:eastAsia="Arial" w:hAnsi="Arial"/>
          <w:sz w:val="19"/>
          <w:szCs w:val="19"/>
          <w:color w:val="0000FF"/>
        </w:rPr>
        <w:t xml:space="preserve"> </w:t>
      </w:r>
      <w:r>
        <w:rPr>
          <w:rFonts w:ascii="Arial" w:cs="Arial" w:eastAsia="Arial" w:hAnsi="Arial"/>
          <w:sz w:val="19"/>
          <w:szCs w:val="19"/>
          <w:color w:val="000000"/>
        </w:rPr>
        <w:t>EBITDA of the Borrower and its Subsidiaries for the period of the most recent four consecutive fiscal quarters ending prior to the date of such determination with respect to which financial statements have been prepared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105" w:name="page106"/>
    <w:bookmarkEnd w:id="105"/>
    <w:p>
      <w:pPr>
        <w:jc w:val="both"/>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Contractual Obligation</w:t>
      </w:r>
      <w:r>
        <w:rPr>
          <w:rFonts w:ascii="Arial" w:cs="Arial" w:eastAsia="Arial" w:hAnsi="Arial"/>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u w:val="single" w:color="auto"/>
          <w:color w:val="0000FF"/>
        </w:rPr>
        <w:t xml:space="preserve">“Control Agreement” means an account control agreement that establishes the Administrative Agent’s “control” over a deposit account or securities account (as applicable) within the meaning of Section 8-106 or 9-104 of the UCC, as applicable, each in form and substance </w:t>
      </w:r>
      <w:r>
        <w:rPr>
          <w:rFonts w:ascii="Arial" w:cs="Arial" w:eastAsia="Arial" w:hAnsi="Arial"/>
          <w:sz w:val="22"/>
          <w:szCs w:val="22"/>
          <w:u w:val="single" w:color="auto"/>
          <w:color w:val="008000"/>
        </w:rPr>
        <w:t>reasonably satisfactory to the</w:t>
      </w:r>
      <w:r>
        <w:rPr>
          <w:rFonts w:ascii="Arial" w:cs="Arial" w:eastAsia="Arial" w:hAnsi="Arial"/>
          <w:sz w:val="22"/>
          <w:szCs w:val="22"/>
          <w:u w:val="single" w:color="auto"/>
          <w:color w:val="0000FF"/>
        </w:rPr>
        <w:t xml:space="preserve"> Administrative Agent and the Borrower.</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 Investment Affiliate</w:t>
      </w:r>
      <w:r>
        <w:rPr>
          <w:rFonts w:ascii="Arial" w:cs="Arial" w:eastAsia="Arial" w:hAnsi="Arial"/>
          <w:sz w:val="22"/>
          <w:szCs w:val="22"/>
          <w:color w:val="auto"/>
        </w:rPr>
        <w:t>” means as to any Person, any other Person that (a) directly or indirectly, is in control of, is controlled by, or is under common control with, such Person and (b) is organized by such Person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40" w:type="dxa"/>
            <w:vAlign w:val="bottom"/>
            <w:gridSpan w:val="5"/>
          </w:tcPr>
          <w:p>
            <w:pPr>
              <w:spacing w:after="0"/>
              <w:rPr>
                <w:sz w:val="20"/>
                <w:szCs w:val="20"/>
                <w:color w:val="auto"/>
              </w:rPr>
            </w:pPr>
            <w:r>
              <w:rPr>
                <w:rFonts w:ascii="Arial" w:cs="Arial" w:eastAsia="Arial" w:hAnsi="Arial"/>
                <w:sz w:val="22"/>
                <w:szCs w:val="22"/>
                <w:color w:val="0000FF"/>
                <w:w w:val="93"/>
              </w:rPr>
              <w:t>“Covenant Holiday Period” shall have the meaning assigned thereto in Section 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53"/>
        </w:trPr>
        <w:tc>
          <w:tcPr>
            <w:tcW w:w="40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22"/>
                <w:szCs w:val="22"/>
                <w:color w:val="0000FF"/>
                <w:w w:val="92"/>
              </w:rPr>
              <w:t>“Covered Entity” means any of the following:</w:t>
            </w:r>
          </w:p>
        </w:tc>
        <w:tc>
          <w:tcPr>
            <w:tcW w:w="3180" w:type="dxa"/>
            <w:vAlign w:val="bottom"/>
            <w:tcBorders>
              <w:top w:val="single" w:sz="8" w:color="0000FF"/>
            </w:tcBorders>
          </w:tcPr>
          <w:p>
            <w:pPr>
              <w:spacing w:after="0"/>
              <w:rPr>
                <w:sz w:val="24"/>
                <w:szCs w:val="24"/>
                <w:color w:val="auto"/>
              </w:rPr>
            </w:pPr>
          </w:p>
        </w:tc>
        <w:tc>
          <w:tcPr>
            <w:tcW w:w="3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7540" w:type="dxa"/>
            <w:vAlign w:val="bottom"/>
            <w:tcBorders>
              <w:bottom w:val="single" w:sz="8" w:color="0000FF"/>
            </w:tcBorders>
            <w:gridSpan w:val="5"/>
          </w:tcPr>
          <w:p>
            <w:pPr>
              <w:spacing w:after="0"/>
              <w:rPr>
                <w:sz w:val="20"/>
                <w:szCs w:val="20"/>
                <w:color w:val="auto"/>
              </w:rPr>
            </w:pPr>
            <w:r>
              <w:rPr>
                <w:rFonts w:ascii="Arial" w:cs="Arial" w:eastAsia="Arial" w:hAnsi="Arial"/>
                <w:sz w:val="22"/>
                <w:szCs w:val="22"/>
                <w:color w:val="0000FF"/>
                <w:w w:val="90"/>
              </w:rPr>
              <w:t>(1) a “covered entity” as that term is defined in, and interpreted in accordance with, 12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88"/>
              </w:rPr>
              <w:t>C.F.R. § 252.82(b);</w:t>
            </w:r>
          </w:p>
        </w:tc>
      </w:tr>
      <w:tr>
        <w:trPr>
          <w:trHeight w:val="453"/>
        </w:trPr>
        <w:tc>
          <w:tcPr>
            <w:tcW w:w="7460" w:type="dxa"/>
            <w:vAlign w:val="bottom"/>
            <w:tcBorders>
              <w:bottom w:val="single" w:sz="8" w:color="0000FF"/>
            </w:tcBorders>
            <w:gridSpan w:val="4"/>
          </w:tcPr>
          <w:p>
            <w:pPr>
              <w:spacing w:after="0"/>
              <w:rPr>
                <w:sz w:val="20"/>
                <w:szCs w:val="20"/>
                <w:color w:val="auto"/>
              </w:rPr>
            </w:pPr>
            <w:r>
              <w:rPr>
                <w:rFonts w:ascii="Arial" w:cs="Arial" w:eastAsia="Arial" w:hAnsi="Arial"/>
                <w:sz w:val="22"/>
                <w:szCs w:val="22"/>
                <w:color w:val="0000FF"/>
                <w:w w:val="89"/>
              </w:rPr>
              <w:t>(2) a “covered bank” as that term is defined in, and interpreted in accordance with, 12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0000FF"/>
            </w:tcBorders>
            <w:gridSpan w:val="3"/>
          </w:tcPr>
          <w:p>
            <w:pPr>
              <w:spacing w:after="0"/>
              <w:rPr>
                <w:sz w:val="20"/>
                <w:szCs w:val="20"/>
                <w:color w:val="auto"/>
              </w:rPr>
            </w:pPr>
            <w:r>
              <w:rPr>
                <w:rFonts w:ascii="Arial" w:cs="Arial" w:eastAsia="Arial" w:hAnsi="Arial"/>
                <w:sz w:val="22"/>
                <w:szCs w:val="22"/>
                <w:color w:val="0000FF"/>
                <w:w w:val="88"/>
              </w:rPr>
              <w:t>C.F.R. § 47.3(b); or</w:t>
            </w:r>
          </w:p>
        </w:tc>
        <w:tc>
          <w:tcPr>
            <w:tcW w:w="60" w:type="dxa"/>
            <w:vAlign w:val="bottom"/>
          </w:tcPr>
          <w:p>
            <w:pPr>
              <w:spacing w:after="0"/>
              <w:rPr>
                <w:sz w:val="24"/>
                <w:szCs w:val="24"/>
                <w:color w:val="auto"/>
              </w:rPr>
            </w:pPr>
          </w:p>
        </w:tc>
      </w:tr>
      <w:tr>
        <w:trPr>
          <w:trHeight w:val="453"/>
        </w:trPr>
        <w:tc>
          <w:tcPr>
            <w:tcW w:w="7360" w:type="dxa"/>
            <w:vAlign w:val="bottom"/>
            <w:gridSpan w:val="3"/>
          </w:tcPr>
          <w:p>
            <w:pPr>
              <w:spacing w:after="0"/>
              <w:rPr>
                <w:sz w:val="20"/>
                <w:szCs w:val="20"/>
                <w:color w:val="auto"/>
              </w:rPr>
            </w:pPr>
            <w:r>
              <w:rPr>
                <w:rFonts w:ascii="Arial" w:cs="Arial" w:eastAsia="Arial" w:hAnsi="Arial"/>
                <w:sz w:val="22"/>
                <w:szCs w:val="22"/>
                <w:color w:val="0000FF"/>
                <w:w w:val="89"/>
              </w:rPr>
              <w:t>(3) a “covered FSI” as that term is defined in, and interpreted in accordance with, 12</w:t>
            </w:r>
          </w:p>
        </w:tc>
        <w:tc>
          <w:tcPr>
            <w:tcW w:w="180" w:type="dxa"/>
            <w:vAlign w:val="bottom"/>
            <w:gridSpan w:val="2"/>
          </w:tcPr>
          <w:p>
            <w:pPr>
              <w:spacing w:after="0"/>
              <w:rPr>
                <w:sz w:val="24"/>
                <w:szCs w:val="24"/>
                <w:color w:val="auto"/>
              </w:rPr>
            </w:pPr>
          </w:p>
        </w:tc>
        <w:tc>
          <w:tcPr>
            <w:tcW w:w="1900" w:type="dxa"/>
            <w:vAlign w:val="bottom"/>
            <w:gridSpan w:val="6"/>
          </w:tcPr>
          <w:p>
            <w:pPr>
              <w:ind w:left="40"/>
              <w:spacing w:after="0"/>
              <w:rPr>
                <w:sz w:val="20"/>
                <w:szCs w:val="20"/>
                <w:color w:val="auto"/>
              </w:rPr>
            </w:pPr>
            <w:r>
              <w:rPr>
                <w:rFonts w:ascii="Arial" w:cs="Arial" w:eastAsia="Arial" w:hAnsi="Arial"/>
                <w:sz w:val="22"/>
                <w:szCs w:val="22"/>
                <w:color w:val="0000FF"/>
              </w:rPr>
              <w:t>C.F.R. § 382.2(b).</w:t>
            </w:r>
          </w:p>
        </w:tc>
      </w:tr>
      <w:tr>
        <w:trPr>
          <w:trHeight w:val="20"/>
        </w:trPr>
        <w:tc>
          <w:tcPr>
            <w:tcW w:w="4000" w:type="dxa"/>
            <w:vAlign w:val="bottom"/>
            <w:shd w:val="clear" w:color="auto" w:fill="0000FF"/>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0000FF"/>
        </w:rPr>
        <w:t>“Debt Fund Affiliate” means any Affiliate (other than a natural person) of the Borrower or any of its Subsidiaries that is a bona fide debt fund or investment vehicle that is engaged in, or advises funds or other investment vehicles that are engaged in, making, purchasing, holding or otherwise investing in commercial loans, bonds and similar extensions of credit in the ordinary course of business.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Debtor Relief Laws</w:t>
      </w:r>
      <w:r>
        <w:rPr>
          <w:rFonts w:ascii="Arial" w:cs="Arial" w:eastAsia="Arial" w:hAnsi="Arial"/>
          <w:sz w:val="19"/>
          <w:szCs w:val="19"/>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“Deposit Account Grace Period” shall have the meaning assigned to such term in Section 6.11.</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means any of the events specified in </w:t>
      </w:r>
      <w:r>
        <w:rPr>
          <w:rFonts w:ascii="Arial" w:cs="Arial" w:eastAsia="Arial" w:hAnsi="Arial"/>
          <w:sz w:val="22"/>
          <w:szCs w:val="22"/>
          <w:u w:val="single" w:color="auto"/>
          <w:color w:val="auto"/>
        </w:rPr>
        <w:t>Section 8</w:t>
      </w:r>
      <w:r>
        <w:rPr>
          <w:rFonts w:ascii="Arial" w:cs="Arial" w:eastAsia="Arial" w:hAnsi="Arial"/>
          <w:sz w:val="22"/>
          <w:szCs w:val="22"/>
          <w:color w:val="auto"/>
        </w:rPr>
        <w:t>, whether or not any requirement for the giving of notice, the lapse of time, or both, has been satisfied.</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0000FF"/>
        </w:rPr>
        <w:t>“Default Right” has the meaning assigned to that term in, and shall be interpreted in accordance with, 12 C.F.R. §§ 252.81, 47.2 or 382.1,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106" w:name="page107"/>
    <w:bookmarkEnd w:id="106"/>
    <w:p>
      <w:pPr>
        <w:jc w:val="both"/>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2.24(b)</w:t>
      </w:r>
      <w:r>
        <w:rPr>
          <w:rFonts w:ascii="Arial" w:cs="Arial" w:eastAsia="Arial" w:hAnsi="Arial"/>
          <w:sz w:val="19"/>
          <w:szCs w:val="19"/>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any Swing Line Lender or any other Lender any other amount required to be paid by it hereunder (including, in the case of a Revolving Credit Lender, in respect of its participation in Letters of Credit or Swing Line Loans) within two (2) Business Days of the date when due, (b) has notified the Borrower, the Administrative Agent, any Issuing Lender or any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or</w:t>
      </w:r>
    </w:p>
    <w:p>
      <w:pPr>
        <w:spacing w:after="0" w:line="1"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has, or has a direct or indirect parent company that has, (i) become the subject of a proceeding under any Debtor Relief Law,</w:t>
      </w:r>
    </w:p>
    <w:p>
      <w:pPr>
        <w:spacing w:after="0" w:line="38" w:lineRule="exact"/>
        <w:rPr>
          <w:rFonts w:ascii="Arial" w:cs="Arial" w:eastAsia="Arial" w:hAnsi="Arial"/>
          <w:sz w:val="19"/>
          <w:szCs w:val="19"/>
          <w:color w:val="auto"/>
        </w:rPr>
      </w:pPr>
    </w:p>
    <w:p>
      <w:pPr>
        <w:jc w:val="both"/>
        <w:ind w:firstLine="8"/>
        <w:spacing w:after="0" w:line="285" w:lineRule="auto"/>
        <w:tabs>
          <w:tab w:leader="none" w:pos="334"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Capital Stock in that Lender or any direct or indirect parent company thereof by a Governmental Authority so long as the ownership of such Capital Stock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2.24(b</w:t>
      </w:r>
      <w:r>
        <w:rPr>
          <w:rFonts w:ascii="Arial" w:cs="Arial" w:eastAsia="Arial" w:hAnsi="Arial"/>
          <w:sz w:val="19"/>
          <w:szCs w:val="19"/>
          <w:color w:val="auto"/>
        </w:rPr>
        <w:t>)) upon delivery of written notice of such determination to the Borrower, each Issuing Lender, each Swing Line Lender and each Lender.</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Designation Agreement</w:t>
      </w:r>
      <w:r>
        <w:rPr>
          <w:rFonts w:ascii="Arial" w:cs="Arial" w:eastAsia="Arial" w:hAnsi="Arial"/>
          <w:sz w:val="22"/>
          <w:szCs w:val="22"/>
          <w:color w:val="auto"/>
        </w:rPr>
        <w:t>” means the Director Designation Agreement dated as of February 13, 2007 among Holdings, American Multi-Cinema, Inc., a Missouri corporation, Cinemark Media, Inc., a Delaware corporation, and Regal CineMedia Holdings, LLC, a Delaware limited liability company, as the same may be amended, supplemented or otherwise modified from time to time.</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Discharged in Full</w:t>
      </w:r>
      <w:r>
        <w:rPr>
          <w:rFonts w:ascii="Arial" w:cs="Arial" w:eastAsia="Arial" w:hAnsi="Arial"/>
          <w:sz w:val="22"/>
          <w:szCs w:val="22"/>
          <w:color w:val="auto"/>
        </w:rPr>
        <w:t>” occurs when (i) the Commitments have terminated or expired, no Letter of Credit is outstanding (other than Letters of Credit that have been Cash Collateralized) and all Obligations of all Loan Parties (other than obligations in respect of Hedge Agreements, Cash Management Obligations and contingent indemnification obligations for which no claim has been made) have been paid in full in cash, and (ii) to the extent obligations in respect of Hedge Agreements are then outstanding,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107" w:name="page108"/>
    <w:bookmarkEnd w:id="107"/>
    <w:p>
      <w:pPr>
        <w:jc w:val="both"/>
        <w:spacing w:after="0" w:line="250" w:lineRule="auto"/>
        <w:rPr>
          <w:sz w:val="20"/>
          <w:szCs w:val="20"/>
          <w:color w:val="auto"/>
        </w:rPr>
      </w:pPr>
      <w:r>
        <w:rPr>
          <w:rFonts w:ascii="Arial" w:cs="Arial" w:eastAsia="Arial" w:hAnsi="Arial"/>
          <w:sz w:val="22"/>
          <w:szCs w:val="22"/>
          <w:color w:val="auto"/>
        </w:rPr>
        <w:t xml:space="preserve">otherwise agreed in writing by the applicable counterparties, either (x) no event of default or termination event shall have occurred and be continuing under any such Hedge Agreements, and no event described in </w:t>
      </w:r>
      <w:r>
        <w:rPr>
          <w:rFonts w:ascii="Arial" w:cs="Arial" w:eastAsia="Arial" w:hAnsi="Arial"/>
          <w:sz w:val="22"/>
          <w:szCs w:val="22"/>
          <w:u w:val="single" w:color="auto"/>
          <w:color w:val="auto"/>
        </w:rPr>
        <w:t>Section 8(f)</w:t>
      </w:r>
      <w:r>
        <w:rPr>
          <w:rFonts w:ascii="Arial" w:cs="Arial" w:eastAsia="Arial" w:hAnsi="Arial"/>
          <w:sz w:val="22"/>
          <w:szCs w:val="22"/>
          <w:color w:val="auto"/>
        </w:rPr>
        <w:t xml:space="preserve"> (in respect of Borrower only) shall have occurred and be continuing or (y) the parties have collateralized such obligations in a manner reasonably satisfactory to the relevant counterparty to such Hedge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Discount Prepayment Accepting Lender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Discount Range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2.11(c)(iii)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Discount Range Prepayment Amount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2.11(c)(iii)</w:t>
      </w:r>
      <w:r>
        <w:rPr>
          <w:rFonts w:ascii="Arial" w:cs="Arial" w:eastAsia="Arial" w:hAnsi="Arial"/>
          <w:sz w:val="22"/>
          <w:szCs w:val="22"/>
          <w:color w:val="auto"/>
        </w:rPr>
        <w: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Discount Range Prepayment Notice</w:t>
      </w:r>
      <w:r>
        <w:rPr>
          <w:rFonts w:ascii="Arial" w:cs="Arial" w:eastAsia="Arial" w:hAnsi="Arial"/>
          <w:sz w:val="22"/>
          <w:szCs w:val="22"/>
          <w:color w:val="auto"/>
        </w:rPr>
        <w:t xml:space="preserve">” means a written notice of a Borrower Solicitation of Discount Range Prepayment Offers made pursuant to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substantially in a form mutually agreed to by the Borrower, the Auction Agent and the Administrative Agent.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Discount Range Prepayment Offer</w:t>
      </w:r>
      <w:r>
        <w:rPr>
          <w:rFonts w:ascii="Arial" w:cs="Arial" w:eastAsia="Arial" w:hAnsi="Arial"/>
          <w:sz w:val="22"/>
          <w:szCs w:val="22"/>
          <w:color w:val="auto"/>
        </w:rPr>
        <w:t>” means the irrevocable written offer by a Lender, substantially in a form mutually agreed to by the Borrower, the Auction Agent and the Administrative Agent, submitted in response to an invitation to submit offers following the Auction Agent’s receipt of a Discount Range Prepayment Notice.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Discount Range Prepayment Response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2.11(c)(iii)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Discount Range Proration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2.11(c)(iii)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Discounted Loan Prepayment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Discounted Prepayment Determination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2.11(c)(iv)</w:t>
      </w:r>
      <w:r>
        <w:rPr>
          <w:rFonts w:ascii="Arial" w:cs="Arial" w:eastAsia="Arial" w:hAnsi="Arial"/>
          <w:sz w:val="22"/>
          <w:szCs w:val="22"/>
          <w:color w:val="auto"/>
        </w:rPr>
        <w:t>.</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Discounted Prepayment Effective Date</w:t>
      </w:r>
      <w:r>
        <w:rPr>
          <w:rFonts w:ascii="Arial" w:cs="Arial" w:eastAsia="Arial" w:hAnsi="Arial"/>
          <w:sz w:val="22"/>
          <w:szCs w:val="22"/>
          <w:color w:val="auto"/>
        </w:rPr>
        <w:t xml:space="preserve">” means in the case of any Borrower Offer of Specified Discount Prepayment, Borrower Solicitation of Discount Range Prepayment Offer or Borrower Solicitation of Discounted Prepayment Offer, five (5) Business Days following the respective Specified Discount Prepayment Response Date, Discount Range Prepayment Response Date or Solicited Discounted Prepayment Response Date, as applicable, in accordance with </w:t>
      </w:r>
      <w:r>
        <w:rPr>
          <w:rFonts w:ascii="Arial" w:cs="Arial" w:eastAsia="Arial" w:hAnsi="Arial"/>
          <w:sz w:val="22"/>
          <w:szCs w:val="22"/>
          <w:u w:val="single" w:color="auto"/>
          <w:color w:val="auto"/>
        </w:rPr>
        <w:t>Section 2.11(c)(ii)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2.11(c)(iii)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2.11(c)(iv)</w:t>
      </w:r>
      <w:r>
        <w:rPr>
          <w:rFonts w:ascii="Arial" w:cs="Arial" w:eastAsia="Arial" w:hAnsi="Arial"/>
          <w:sz w:val="22"/>
          <w:szCs w:val="22"/>
          <w:color w:val="auto"/>
        </w:rPr>
        <w:t>, respectively, unless a different period is agreed to between the Borrower and the Auction Agent acting in their reasonable discretion.</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w:t>
      </w:r>
      <w:r>
        <w:rPr>
          <w:rFonts w:ascii="Arial" w:cs="Arial" w:eastAsia="Arial" w:hAnsi="Arial"/>
          <w:sz w:val="22"/>
          <w:szCs w:val="22"/>
          <w:color w:val="auto"/>
        </w:rPr>
        <w:t>” means with respect to any Property, any sale, lease, sale and leaseback, assignment, conveyance, transfer or other disposition thereof; and the terms “</w:t>
      </w:r>
      <w:r>
        <w:rPr>
          <w:rFonts w:ascii="Arial" w:cs="Arial" w:eastAsia="Arial" w:hAnsi="Arial"/>
          <w:sz w:val="22"/>
          <w:szCs w:val="22"/>
          <w:u w:val="single" w:color="auto"/>
          <w:color w:val="auto"/>
        </w:rPr>
        <w:t>Dispose</w:t>
      </w:r>
      <w:r>
        <w:rPr>
          <w:rFonts w:ascii="Arial" w:cs="Arial" w:eastAsia="Arial" w:hAnsi="Arial"/>
          <w:sz w:val="22"/>
          <w:szCs w:val="22"/>
          <w:color w:val="auto"/>
        </w:rPr>
        <w:t>” and “</w:t>
      </w:r>
      <w:r>
        <w:rPr>
          <w:rFonts w:ascii="Arial" w:cs="Arial" w:eastAsia="Arial" w:hAnsi="Arial"/>
          <w:sz w:val="22"/>
          <w:szCs w:val="22"/>
          <w:u w:val="single" w:color="auto"/>
          <w:color w:val="auto"/>
        </w:rPr>
        <w:t>Disposed of</w:t>
      </w:r>
      <w:r>
        <w:rPr>
          <w:rFonts w:ascii="Arial" w:cs="Arial" w:eastAsia="Arial" w:hAnsi="Arial"/>
          <w:sz w:val="22"/>
          <w:szCs w:val="22"/>
          <w:color w:val="auto"/>
        </w:rPr>
        <w:t>” shall have correlative meanings.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0000FF"/>
        </w:rPr>
        <w:t xml:space="preserve">“Disqualified Capital Stock” means any Capital Stock which, by its terms (or by the terms of any security or Capital Stock into which it is convertible or for which it is exchangeable), or upon the happening of any event, (i) matures (excluding any maturity as the result of an optional redemption by the issuer thereof) or is mandatorily redeemable (other than for Qualified Capital Stock), pursuant to a sinking fund obligation or otherwise, or is redeemable </w:t>
      </w:r>
      <w:r>
        <w:rPr>
          <w:rFonts w:ascii="Arial" w:cs="Arial" w:eastAsia="Arial" w:hAnsi="Arial"/>
          <w:sz w:val="19"/>
          <w:szCs w:val="19"/>
          <w:u w:val="single" w:color="auto"/>
          <w:color w:val="008000"/>
        </w:rPr>
        <w:t>at the option of the</w:t>
      </w:r>
      <w:r>
        <w:rPr>
          <w:rFonts w:ascii="Arial" w:cs="Arial" w:eastAsia="Arial" w:hAnsi="Arial"/>
          <w:sz w:val="19"/>
          <w:szCs w:val="19"/>
          <w:u w:val="single" w:color="auto"/>
          <w:color w:val="0000FF"/>
        </w:rPr>
        <w:t xml:space="preserve"> holder thereof (other than for Qualified Capital Stock), in whole or in part, on or prior to 91 days following the Latest Maturity Date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8" w:right="339" w:bottom="1440" w:gutter="0" w:footer="0" w:header="0"/>
        </w:sectPr>
      </w:pPr>
    </w:p>
    <w:bookmarkStart w:id="108" w:name="page109"/>
    <w:bookmarkEnd w:id="108"/>
    <w:p>
      <w:pPr>
        <w:jc w:val="both"/>
        <w:spacing w:after="0" w:line="286" w:lineRule="auto"/>
        <w:rPr>
          <w:sz w:val="20"/>
          <w:szCs w:val="20"/>
          <w:color w:val="auto"/>
        </w:rPr>
      </w:pPr>
      <w:r>
        <w:rPr>
          <w:rFonts w:ascii="Arial" w:cs="Arial" w:eastAsia="Arial" w:hAnsi="Arial"/>
          <w:sz w:val="19"/>
          <w:szCs w:val="19"/>
          <w:u w:val="single" w:color="auto"/>
          <w:color w:val="0000FF"/>
        </w:rPr>
        <w:t>the time such Capital Stock is issued, (ii) is or becomes convertible into or exchangeable (unless at the sole option of the issuer thereof) for (a) debt securities or (b) any Capital Stock that would constitute Disqualified Capital Stock, in each case at any time on or prior to 91 days following the Latest Maturity Date at the time such Capital Stock is issued, (iii) contains any mandatory repurchase obligation which may come into effect prior to the date of the termination of this Agreement or (iv) provides for the scheduled payments of dividends in cash on or prior to 91 days following the Latest Maturity Date at the time such Capital Stock is issued; provided that (x) any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 change in control, or a Disposition occurring prior to 91 days following the Latest Maturity Date at the time such Capital Stock is issued shall not constitute Disqualified Capital Stock if such Capital Stock provides that the issuer thereof will not redeem any such Capital Stock pursuant to such provisions prior to the date of the termination of this Agreement and (y) for purposes of clause (i) through (iv) above, it is understood and agreed that if any such maturity, redemption, conversion, exchange, repurchase obligation or scheduled payment is in part, only such part coming into effect prior to, in the case of clauses (i), (ii) and (iv) above, the date that is 91 days following the Latest Maturity Date and, in the case of clause (iii) above, prior to the date of the termination of this Agreement, shall constitute Disqualified Capital Stock.</w:t>
      </w:r>
    </w:p>
    <w:p>
      <w:pPr>
        <w:spacing w:after="0" w:line="200" w:lineRule="exact"/>
        <w:rPr>
          <w:sz w:val="20"/>
          <w:szCs w:val="20"/>
          <w:color w:val="auto"/>
        </w:rPr>
      </w:pPr>
    </w:p>
    <w:p>
      <w:pPr>
        <w:spacing w:after="0" w:line="21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u w:val="single" w:color="auto"/>
          <w:color w:val="0000FF"/>
        </w:rPr>
        <w:t>Notwithstanding the preceding sentence, (A) if such Capital Stock is issued to any plan for the benefit of directors, officers, employees, members of management, managers or consultants or by any such plan to such directors, officers, employees, members of management, managers or consultants, in each case in the ordinary course of business of the Borrower or any Restricted Subsidiary, such Capital Stock shall not constitute Disqualified Capital Stock solely because it may be required to be repurchased by the issuer thereof in order to satisfy applicable statutory or regulatory obligations and (B) no Capital Stock held by any future, present or former employee, director, officer, manager, member of management or consultant (or their respective Affiliates) of the Borrower (or any Restricted Subsidiary)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Institution</w:t>
      </w:r>
      <w:r>
        <w:rPr>
          <w:rFonts w:ascii="Arial" w:cs="Arial" w:eastAsia="Arial" w:hAnsi="Arial"/>
          <w:sz w:val="19"/>
          <w:szCs w:val="19"/>
          <w:color w:val="auto"/>
        </w:rPr>
        <w:t xml:space="preserve">” means, on any date, (a) any Person designated by the Borrower as a “Disqualified Institution” by written notice delivered to the Administrative Agent on or prior to the date hereof, (b) any other Person that is a competitor of the Borrower or any of its Subsidiaries, which Person has been designated by the Borrower as a “Disqualified Institution” from time to time during the term of this Agreement by written notice to the Administrative Agent not less than 3 Business Days prior to such date and (c) Affiliates of such Persons set forth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to the extent such Affiliates are either (i) identified in writing by Borrower from time to time by means of a written notice to the Administrative Agent or (ii) clearly identifiable solely on the basis of the similarity of such Affiliate’s name;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“Disqualified Institutions” shall exclude any Person that the Borrower has designated as no longer being a “Disqualified Institution” by written notice delivered to the Administrative Agent from time to time unless subsequently identified in writing in accordance with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”means dollars in lawful currency of the United States of America.</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of the Borrower organized under the laws of the United States of America or any jurisdiction within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DQ List</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10.6(i)(iv)</w:t>
      </w:r>
      <w:r>
        <w:rPr>
          <w:rFonts w:ascii="Arial" w:cs="Arial" w:eastAsia="Arial" w:hAnsi="Arial"/>
          <w:sz w:val="22"/>
          <w:szCs w:val="22"/>
          <w:color w:val="auto"/>
        </w:rPr>
        <w:t>.</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ECF Percentage</w:t>
      </w:r>
      <w:r>
        <w:rPr>
          <w:rFonts w:ascii="Arial" w:cs="Arial" w:eastAsia="Arial" w:hAnsi="Arial"/>
          <w:sz w:val="19"/>
          <w:szCs w:val="19"/>
          <w:color w:val="auto"/>
        </w:rPr>
        <w:t xml:space="preserve">” means with respect to any fiscal year of the Borrower, 50%; </w:t>
      </w:r>
      <w:r>
        <w:rPr>
          <w:rFonts w:ascii="Arial" w:cs="Arial" w:eastAsia="Arial" w:hAnsi="Arial"/>
          <w:sz w:val="19"/>
          <w:szCs w:val="19"/>
          <w:u w:val="single" w:color="auto"/>
          <w:color w:val="auto"/>
        </w:rPr>
        <w:t>provided</w:t>
      </w:r>
      <w:r>
        <w:rPr>
          <w:rFonts w:ascii="Arial" w:cs="Arial" w:eastAsia="Arial" w:hAnsi="Arial"/>
          <w:sz w:val="19"/>
          <w:szCs w:val="19"/>
          <w:color w:val="auto"/>
        </w:rPr>
        <w:t>, that, the ECF Percentage shall be 0% if the Consolidated Net Senior Secured Leverage Ratio as of the last day of such fiscal year is less than 3.00 to 1.0.</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of this definition, or (c) any financial institution established in an EEA Member Country which is a subsidiary of an institution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this definition and is subject to consolidated supervision with its parent.</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EEA Member Country</w:t>
      </w:r>
      <w:r>
        <w:rPr>
          <w:rFonts w:ascii="Arial" w:cs="Arial" w:eastAsia="Arial" w:hAnsi="Arial"/>
          <w:sz w:val="21"/>
          <w:szCs w:val="21"/>
          <w:color w:val="auto"/>
        </w:rPr>
        <w:t>” means any of the member states of the European Union, Iceland, Liechtenstein and Norway.</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5"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Agreements</w:t>
      </w:r>
      <w:r>
        <w:rPr>
          <w:rFonts w:ascii="Arial" w:cs="Arial" w:eastAsia="Arial" w:hAnsi="Arial"/>
          <w:sz w:val="22"/>
          <w:szCs w:val="22"/>
          <w:color w:val="auto"/>
        </w:rPr>
        <w:t>” means the collective reference to the employment agreements entered into from time to time among Holdings, the Borrower and each “Service Employee” under (and as defined in) the Management Agreement, in each case as the same may be amended, supplemented or modified from time to time.</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any and all laws, rules, orders, regulations, statutes, ordinances, codes, decrees, or other legally enforceable requirements (including, without limitation, common law) of any international authority, foreign government, the United States, or any state, local, municipal or other governmental authority regulating, relating to or imposing liability or standards of conduct concerning protection of the environment or of human health, or employee health and safety, as has been, is now, or may at any time hereafter be, in effect.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means any and all permits, licenses, approvals, registrations, notifications, exemptions and other authorizations required or issued under any Environmental Law.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(i) a Reportable Event with respect to any Single Employer Plan (excluding those for which the provision for 30 day notice to the PBGC has been waived by regulation); (ii) the failure to meet the minimum funding standard of Section 412 of the Code with respect to any Single Employer Plan (whether or not waived in accordance with Section 412(c) of the Code) or the failure to make by its due date a required installment under Section 430(j) of the Code with respect to any Single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110" w:name="page111"/>
    <w:bookmarkEnd w:id="110"/>
    <w:p>
      <w:pPr>
        <w:jc w:val="both"/>
        <w:spacing w:after="0" w:line="284" w:lineRule="auto"/>
        <w:rPr>
          <w:sz w:val="20"/>
          <w:szCs w:val="20"/>
          <w:color w:val="auto"/>
        </w:rPr>
      </w:pPr>
      <w:r>
        <w:rPr>
          <w:rFonts w:ascii="Arial" w:cs="Arial" w:eastAsia="Arial" w:hAnsi="Arial"/>
          <w:sz w:val="19"/>
          <w:szCs w:val="19"/>
          <w:color w:val="auto"/>
        </w:rPr>
        <w:t>Plan or the failure to make any required contribution to a Multiemployer Plan; (iii) the provision by the administrator of any Single Employer Plan pursuant to Section 4041(a)(2) of ERISA of a notice of intent to terminate such plan in a distress termination described in Section 4041(c) of ERISA; (iv) the withdrawal by the Borrower or any Commonly Controlled Entity from any Single Employer Plan with two or more contributing sponsors or the termination of any such Single Employer Plan resulting in liability to the Borrower or any Commonly Controlled Entity pursuant to Section 4063 or 4064 of ERISA; (v) the institution by the PBGC of proceedings to terminate any Single Employer Plan the termination of or the appointment of a trustee to administer any Single Employer Plan, or the receipt of a written notice in which the PBGC states that either such an event is forthcoming; (vi) the imposition of liability on the Borrower or any Commonly Controlled Entity pursuant to Section 4062(e) or 4069 of ERISA or by reason of the application of Section 4212(c) of ERISA; (vii) the withdrawal of the Borrower or any Commonly Controlled Entity in a complete or partial withdrawal (within the meaning of Sections 4203 and 4205 of ERISA) from any Multiemployer Plan if there is a reasonable expectation of potential liability therefor, or the receipt by the Borrower or any Commonly Controlled Entity of notice from any Multiemployer Plan that it is Insolvent, or that it intends to terminate or has terminated under Section 4041A or 4042 of ERISA; (viii) the occurrence of an act or omission which would reasonably be expected to give rise to the imposition on the Borrower or any Commonly Controlled Entity of fines, penalties, taxes or related charges under Chapter 43 of the Code or under Section 409, Section 502(c), (i) or (l), or Section 4071 of ERISA in respect of any Plan; (ix) the assertion of a material claim (other than routine claims for benefits) against any Plan other than a Multiemployer Plan or the assets thereof, or against the Borrower, or any Commonly Controlled Entity in connection with any Plan; (x) receipt from the Internal Revenue Service of notice of the failure of any Single Employer Plan (or any other Plan intended to be qualified under Section 401(a) of the Code) to qualify under Section 401(a) of the Code, or of the failure of any trust forming part of any Single Employer Plan to qualify for exemption from taxation under Section 501(a) of the Code; or (xi) the imposition of a Lien pursuant to Section 430(k) of the Code or ERISA or a violation of Section 436 of the Code.</w:t>
      </w:r>
    </w:p>
    <w:p>
      <w:pPr>
        <w:spacing w:after="0" w:line="200" w:lineRule="exact"/>
        <w:rPr>
          <w:sz w:val="20"/>
          <w:szCs w:val="20"/>
          <w:color w:val="auto"/>
        </w:rPr>
      </w:pPr>
    </w:p>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ESAs</w:t>
      </w:r>
      <w:r>
        <w:rPr>
          <w:rFonts w:ascii="Arial" w:cs="Arial" w:eastAsia="Arial" w:hAnsi="Arial"/>
          <w:sz w:val="22"/>
          <w:szCs w:val="22"/>
          <w:color w:val="auto"/>
        </w:rPr>
        <w:t>” means the collective reference to (a) the Exhibitor Services Agreement between the Borrower and American Multi-Cinema, Inc., a Missouri corporation, dated as of February 13, 2007, (b) the Exhibitor Services Agreement between the Borrower and Cinemark USA, Inc., a Texas corporation, dated as of February 13, 2007, and (c) the Exhibitor Services Agreement between the Borrower and Regal Cinemas, Inc., a Tennessee corporation, dated as of February 13, 2007, in each case as amended, supplemented or modified from time to time.</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ESA Parties</w:t>
      </w:r>
      <w:r>
        <w:rPr>
          <w:rFonts w:ascii="Arial" w:cs="Arial" w:eastAsia="Arial" w:hAnsi="Arial"/>
          <w:sz w:val="22"/>
          <w:szCs w:val="22"/>
          <w:color w:val="auto"/>
        </w:rPr>
        <w:t>” means the collective reference to American Multi-Cinema, Inc., a Missouri corporation, Cinemark USA, Inc., a Texas corporation, and Regal Cinemas, Inc., a Tennessee corporation.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Loans</w:t>
      </w:r>
      <w:r>
        <w:rPr>
          <w:rFonts w:ascii="Arial" w:cs="Arial" w:eastAsia="Arial" w:hAnsi="Arial"/>
          <w:sz w:val="22"/>
          <w:szCs w:val="22"/>
          <w:color w:val="auto"/>
        </w:rPr>
        <w:t>” means Loans for which the applicable rate of interest is based upon the Eurodollar Rate.</w:t>
      </w:r>
    </w:p>
    <w:p>
      <w:pPr>
        <w:spacing w:after="0" w:line="220"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Rate</w:t>
      </w:r>
      <w:r>
        <w:rPr>
          <w:rFonts w:ascii="Arial" w:cs="Arial" w:eastAsia="Arial" w:hAnsi="Arial"/>
          <w:sz w:val="22"/>
          <w:szCs w:val="22"/>
          <w:color w:val="auto"/>
        </w:rPr>
        <w:t>” ” means, with respect to any borrowing of Eurodollar Loans for any Interest Period, an interest rate per annum (rounded upwards, if necessary, to the next 1/16 of 1%) equal to (a) the LIBO Rate for such Interest Period multiplied by (b) the Statutory Reserve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111" w:name="page112"/>
    <w:bookmarkEnd w:id="111"/>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Tranche</w:t>
      </w:r>
      <w:r>
        <w:rPr>
          <w:rFonts w:ascii="Arial" w:cs="Arial" w:eastAsia="Arial" w:hAnsi="Arial"/>
          <w:sz w:val="22"/>
          <w:szCs w:val="22"/>
          <w:color w:val="auto"/>
        </w:rPr>
        <w:t>” means the collective reference to Eurodollar Loans under a particular Facility the then current Interest Periods with respect to all of which begin on the same date and end on the same later date (whether or not such Loans shall originally have been made on the same day).</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means any of the events specified in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requirement for the giving of notice, the lapse of time, or both, has been satisfied.</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Cash Flow</w:t>
      </w:r>
      <w:r>
        <w:rPr>
          <w:rFonts w:ascii="Arial" w:cs="Arial" w:eastAsia="Arial" w:hAnsi="Arial"/>
          <w:sz w:val="19"/>
          <w:szCs w:val="19"/>
          <w:color w:val="auto"/>
        </w:rPr>
        <w:t xml:space="preserve">” means for a fiscal year of the Borrower, (i) Available Cash for such fiscal year, less (ii) to the extent not deducted in calculating Available Cash for such fiscal year, Restricted Payments and other cash payments as permitted under Section 7.6 made or payable with respect to such fiscal year,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(iii) an amount equal to the greater of (x) $10,000,000 and (y) 5% of Adjusted EBITDA (calculated as of the most recent date for which financial statements have been delivered pursuant to Sections 6.1(a) or (b), at the time made) for such fiscal year,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w:t>
      </w:r>
      <w:r>
        <w:rPr>
          <w:rFonts w:ascii="Arial" w:cs="Arial" w:eastAsia="Arial" w:hAnsi="Arial"/>
          <w:sz w:val="19"/>
          <w:szCs w:val="19"/>
          <w:color w:val="FF0000"/>
          <w:strike w:val="1"/>
        </w:rPr>
        <w:t>iii</w:t>
      </w:r>
      <w:r>
        <w:rPr>
          <w:rFonts w:ascii="Arial" w:cs="Arial" w:eastAsia="Arial" w:hAnsi="Arial"/>
          <w:sz w:val="19"/>
          <w:szCs w:val="19"/>
          <w:u w:val="single" w:color="auto"/>
          <w:color w:val="0000FF"/>
        </w:rPr>
        <w:t>iv</w:t>
      </w:r>
      <w:r>
        <w:rPr>
          <w:rFonts w:ascii="Arial" w:cs="Arial" w:eastAsia="Arial" w:hAnsi="Arial"/>
          <w:sz w:val="19"/>
          <w:szCs w:val="19"/>
          <w:color w:val="auto"/>
        </w:rPr>
        <w:t>) all optional prepayments made after the end of a fiscal year and before the Excess Cash Flow Application Date</w:t>
      </w:r>
      <w:r>
        <w:rPr>
          <w:rFonts w:ascii="Arial" w:cs="Arial" w:eastAsia="Arial" w:hAnsi="Arial"/>
          <w:sz w:val="19"/>
          <w:szCs w:val="19"/>
          <w:color w:val="FF0000"/>
          <w:strike w:val="1"/>
        </w:rPr>
        <w:t>.</w:t>
      </w:r>
      <w:r>
        <w:rPr>
          <w:rFonts w:ascii="Arial" w:cs="Arial" w:eastAsia="Arial" w:hAnsi="Arial"/>
          <w:sz w:val="19"/>
          <w:szCs w:val="19"/>
          <w:u w:val="single" w:color="auto"/>
          <w:color w:val="0000FF"/>
        </w:rPr>
        <w:t>; provided that notwithstanding the foregoing, Excess Cash Flow shall</w:t>
      </w:r>
      <w:r>
        <w:rPr>
          <w:rFonts w:ascii="Arial" w:cs="Arial" w:eastAsia="Arial" w:hAnsi="Arial"/>
          <w:sz w:val="19"/>
          <w:szCs w:val="19"/>
          <w:color w:val="auto"/>
        </w:rPr>
        <w:t xml:space="preserve"> </w:t>
      </w:r>
      <w:r>
        <w:rPr>
          <w:rFonts w:ascii="Arial" w:cs="Arial" w:eastAsia="Arial" w:hAnsi="Arial"/>
          <w:sz w:val="19"/>
          <w:szCs w:val="19"/>
          <w:u w:val="single" w:color="auto"/>
          <w:color w:val="0000FF"/>
        </w:rPr>
        <w:t>not include Available Cash for any fiscal quarters of the Borrower commencing with (inclusively) the fiscal quarter ended June 30, 2020 and ending with (inclusively) the fiscal quarter ending on or about September 29, 2022.</w:t>
      </w:r>
    </w:p>
    <w:p>
      <w:pPr>
        <w:spacing w:after="0" w:line="129" w:lineRule="exact"/>
        <w:rPr>
          <w:sz w:val="20"/>
          <w:szCs w:val="20"/>
          <w:color w:val="auto"/>
        </w:rPr>
      </w:pPr>
    </w:p>
    <w:p>
      <w:pPr>
        <w:jc w:val="both"/>
        <w:spacing w:after="0" w:line="224" w:lineRule="auto"/>
        <w:rPr>
          <w:sz w:val="20"/>
          <w:szCs w:val="20"/>
          <w:color w:val="auto"/>
        </w:rPr>
      </w:pPr>
      <w:r>
        <w:rPr>
          <w:rFonts w:ascii="Arial" w:cs="Arial" w:eastAsia="Arial" w:hAnsi="Arial"/>
          <w:sz w:val="21"/>
          <w:szCs w:val="21"/>
          <w:u w:val="single" w:color="auto"/>
          <w:color w:val="0000FF"/>
        </w:rPr>
        <w:t>“Excluded Accounts” means all deposit accounts and securities accounts (a) used exclusively for payroll, withholding tax or other employee wage and benefit accounts; (b) that are exclusively escrow, fiduciary or other trust or similar accounts; (c) that are exclusively tax accounts, including, without limitation, sales tax accounts and escrow accounts; (d) that are any other accounts that do not have a daily balance or fair market value in excess of $100,000, collectively; and (e) that are owned by a Subsidiary that is not a Loan Party. On the date of delivery of the Compliance Certificate pursuant to Section 6.2(a), the Borrower shall provide notice to the Administrative Agent of all Excluded Accounts.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Excess Cash Flow Application Date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2.12(c)</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“Excluded Collateral” shall have the meaning as defined in the Guarantee and Collateral Agreement.</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u w:val="single" w:color="auto"/>
          <w:color w:val="0000FF"/>
        </w:rPr>
        <w:t>“Excluded Subsidiary” means (a) any Subsidiary that is not a Wholly Owned Subsidiary or (b) any Subsidiary that does not account for either (i) 2.5% or more of the consolidated revenue of the Borrower and its Subsidiaries individually or 5.0% when aggregated with all other Excluded Subsidiaries under this clause (b), in each case as determined in accordance with GAAP or</w:t>
      </w:r>
    </w:p>
    <w:p>
      <w:pPr>
        <w:spacing w:after="0" w:line="1" w:lineRule="exact"/>
        <w:rPr>
          <w:sz w:val="20"/>
          <w:szCs w:val="20"/>
          <w:color w:val="auto"/>
        </w:rPr>
      </w:pPr>
    </w:p>
    <w:p>
      <w:pPr>
        <w:jc w:val="both"/>
        <w:ind w:firstLine="8"/>
        <w:spacing w:after="0" w:line="243" w:lineRule="auto"/>
        <w:tabs>
          <w:tab w:leader="none" w:pos="319" w:val="left"/>
        </w:tabs>
        <w:numPr>
          <w:ilvl w:val="0"/>
          <w:numId w:val="49"/>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 xml:space="preserve">2.5% or more of the Holdings Total Capitalization individually or 5.0% when aggregated with all other Excluded Subsidiaries under this clause (b), in each case measured for the period of four consecutive fiscal quarters ended on the last day of the then most recently ended fiscal quarter with respect to </w:t>
      </w:r>
      <w:r>
        <w:rPr>
          <w:rFonts w:ascii="Arial" w:cs="Arial" w:eastAsia="Arial" w:hAnsi="Arial"/>
          <w:sz w:val="22"/>
          <w:szCs w:val="22"/>
          <w:u w:val="single" w:color="auto"/>
          <w:color w:val="008000"/>
        </w:rPr>
        <w:t>which financial statements have been</w:t>
      </w:r>
      <w:r>
        <w:rPr>
          <w:rFonts w:ascii="Arial" w:cs="Arial" w:eastAsia="Arial" w:hAnsi="Arial"/>
          <w:sz w:val="22"/>
          <w:szCs w:val="22"/>
          <w:u w:val="single" w:color="auto"/>
          <w:color w:val="0000FF"/>
        </w:rPr>
        <w:t xml:space="preserve"> prepared by the Borrower. Notwithstanding anything to the contrary in this Agreement, a Subsidiary that ceases to be a Wholly Owned Subsidiary as a result of any transaction (or series of related transactions) that is not a bona fide, arm’s length business transaction with third parties or, if with Affiliates, upon fair and reasonable terms no less favorable to the Loan Parties than they would obtain in a comparable arm’s length transaction (including, without limitation, any transaction for the sole purpose of releasing such Subsidiary as a Subsidiary Guarantor) shall not be deemed to be an Excluded Subsidiary and shall not release or otherwise impact or affect any Lien, Guaranty Obligation or Collateral under this Agreement or any other Loan Document in any manner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28" w:right="339" w:bottom="1440" w:gutter="0" w:footer="0" w:header="0"/>
        </w:sectPr>
      </w:pPr>
    </w:p>
    <w:bookmarkStart w:id="112" w:name="page113"/>
    <w:bookmarkEnd w:id="112"/>
    <w:p>
      <w:pPr>
        <w:jc w:val="both"/>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Swap Obligation</w:t>
      </w:r>
      <w:r>
        <w:rPr>
          <w:rFonts w:ascii="Arial" w:cs="Arial" w:eastAsia="Arial" w:hAnsi="Arial"/>
          <w:sz w:val="21"/>
          <w:szCs w:val="21"/>
          <w:color w:val="auto"/>
        </w:rPr>
        <w:t>” means, with respect to any Loan Party, any Swap Obligation if, and to the extent that, all or a portion of the guaranty of such Loan Party of,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guaranty of such Loan Party or the grant of security of security interest becomes effective with respect to such related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Class</w:t>
      </w:r>
      <w:r>
        <w:rPr>
          <w:rFonts w:ascii="Arial" w:cs="Arial" w:eastAsia="Arial" w:hAnsi="Arial"/>
          <w:sz w:val="22"/>
          <w:szCs w:val="22"/>
          <w:color w:val="auto"/>
        </w:rPr>
        <w:t>” means each Class of Existing Revolving Credit Loans, Existing Revolving Credit Commitments and Existing Term Loans.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the Credit Agreement, dated as of February 13, 2007 (as amended and restated pursuant to that certain Amendment No. 4, dated as of November 26, 2012, as amended pursuant to that certain Amendment No. 5, dated as of May 2, 2013, as amended pursuant to that certain Incremental Amendment No. 1, dated as of June 18, 2014, as amended pursuant to that certain Amendment No. 6, dated as of July 2, 2014, and as amended pursuant to that certain Incremental Amendment No. 2, dated as of May 26, 2016), by and among the Borrower, the several banks and other financial institutions or entities from time to time party thereto and Barclays Bank PLC, as administrative agent.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Revolving Credit Commitments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Revolving Credit Loans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Term Loans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Loans/Commitments</w:t>
      </w:r>
      <w:r>
        <w:rPr>
          <w:rFonts w:ascii="Arial" w:cs="Arial" w:eastAsia="Arial" w:hAnsi="Arial"/>
          <w:sz w:val="22"/>
          <w:szCs w:val="22"/>
          <w:color w:val="auto"/>
        </w:rPr>
        <w:t>” means the Extended Revolving Credit Loans, Extended Revolving Credit Commitments and/or Extended Term Loans.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Credit Commitments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Credit Loans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Term Loans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 (b)</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Term Loan Lender</w:t>
      </w:r>
      <w:r>
        <w:rPr>
          <w:rFonts w:ascii="Arial" w:cs="Arial" w:eastAsia="Arial" w:hAnsi="Arial"/>
          <w:sz w:val="22"/>
          <w:szCs w:val="22"/>
          <w:color w:val="auto"/>
        </w:rPr>
        <w:t>”: any Extended Lender holding an Extended Term Loan.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Amendment</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2.27(c)</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Date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28"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Election</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2.27(b)</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Request</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Extension Series</w:t>
      </w:r>
      <w:r>
        <w:rPr>
          <w:rFonts w:ascii="Arial" w:cs="Arial" w:eastAsia="Arial" w:hAnsi="Arial"/>
          <w:sz w:val="19"/>
          <w:szCs w:val="19"/>
          <w:color w:val="auto"/>
        </w:rPr>
        <w:t>” means (a) in the case of Extended Revolving Credit Commitments, Extended Revolving Credit Commitments that are established to have the same maturity date pursuant to the same Extension Amendment (or any subsequent Extension Amendment to the extent such Extension Amendment expressly provides that the Extended Revolving Credit Commitments provided for therein are intended to be a part of any previously established Extension Series) and (b) in the case of Extended Term Loans, Extended Term Loans that are established to have the same maturity date pursuant to the same Extension Amendment (or any subsequent Extension Amendment to the extent such Extension Amendment expressly provides that the Extended Term Loans provided for therein are intended to be a part of any previously established Extension Series).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Facility</w:t>
      </w:r>
      <w:r>
        <w:rPr>
          <w:rFonts w:ascii="Arial" w:cs="Arial" w:eastAsia="Arial" w:hAnsi="Arial"/>
          <w:sz w:val="22"/>
          <w:szCs w:val="22"/>
          <w:color w:val="auto"/>
        </w:rPr>
        <w:t>” means each of (a) the Initial Term Loan Commitments and the Initial Term Loans made thereunder (the “</w:t>
      </w:r>
      <w:r>
        <w:rPr>
          <w:rFonts w:ascii="Arial" w:cs="Arial" w:eastAsia="Arial" w:hAnsi="Arial"/>
          <w:sz w:val="22"/>
          <w:szCs w:val="22"/>
          <w:u w:val="single" w:color="auto"/>
          <w:color w:val="auto"/>
        </w:rPr>
        <w:t>Term Loan</w:t>
      </w:r>
      <w:r>
        <w:rPr>
          <w:rFonts w:ascii="Arial" w:cs="Arial" w:eastAsia="Arial" w:hAnsi="Arial"/>
          <w:sz w:val="22"/>
          <w:szCs w:val="22"/>
          <w:color w:val="auto"/>
        </w:rPr>
        <w:t xml:space="preserve"> </w:t>
      </w:r>
      <w:r>
        <w:rPr>
          <w:rFonts w:ascii="Arial" w:cs="Arial" w:eastAsia="Arial" w:hAnsi="Arial"/>
          <w:sz w:val="22"/>
          <w:szCs w:val="22"/>
          <w:u w:val="single" w:color="auto"/>
          <w:color w:val="auto"/>
        </w:rPr>
        <w:t>Facility</w:t>
      </w:r>
      <w:r>
        <w:rPr>
          <w:rFonts w:ascii="Arial" w:cs="Arial" w:eastAsia="Arial" w:hAnsi="Arial"/>
          <w:sz w:val="22"/>
          <w:szCs w:val="22"/>
          <w:color w:val="auto"/>
        </w:rPr>
        <w:t>”), (b) any Incremental Facility and (c) each Class of Revolving Credit Commitments and the extensions of credit made thereunder (each a “</w:t>
      </w:r>
      <w:r>
        <w:rPr>
          <w:rFonts w:ascii="Arial" w:cs="Arial" w:eastAsia="Arial" w:hAnsi="Arial"/>
          <w:sz w:val="22"/>
          <w:szCs w:val="22"/>
          <w:u w:val="single" w:color="auto"/>
          <w:color w:val="auto"/>
        </w:rPr>
        <w:t>Revolving Credit Facility</w:t>
      </w:r>
      <w:r>
        <w:rPr>
          <w:rFonts w:ascii="Arial" w:cs="Arial" w:eastAsia="Arial" w:hAnsi="Arial"/>
          <w:sz w:val="22"/>
          <w:szCs w:val="22"/>
          <w:color w:val="auto"/>
        </w:rPr>
        <w:t>”).</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any intergovernmental agreement entered into in connection with the implementation of such Sections of the Code, and any legislation, regulation or guidance giving effect to such intergovernmental agreements.</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Funds Effective Rate</w:t>
      </w:r>
      <w:r>
        <w:rPr>
          <w:rFonts w:ascii="Arial" w:cs="Arial" w:eastAsia="Arial" w:hAnsi="Arial"/>
          <w:sz w:val="22"/>
          <w:szCs w:val="22"/>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provided that if the Federal Funds Effective Rate as so determined would be less than zero, such rate shall be deemed to zero for the purposes of this Agreement.</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Final Circuit Share Payments</w:t>
      </w:r>
      <w:r>
        <w:rPr>
          <w:rFonts w:ascii="Arial" w:cs="Arial" w:eastAsia="Arial" w:hAnsi="Arial"/>
          <w:sz w:val="21"/>
          <w:szCs w:val="21"/>
          <w:color w:val="auto"/>
        </w:rPr>
        <w:t>” means the collective reference to the “Final Circuit Share Payments” as defined in, and to be paid by the Borrower to the ESA Parties pursuant to, that certain side letter dated as of February 13, 2007, by and among the Borrower and the ESA Parties, substantially in the form filed with the SEC on January 24, 2007.</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Flood Insurance Laws</w:t>
      </w:r>
      <w:r>
        <w:rPr>
          <w:rFonts w:ascii="Arial" w:cs="Arial" w:eastAsia="Arial" w:hAnsi="Arial"/>
          <w:sz w:val="19"/>
          <w:szCs w:val="19"/>
          <w:color w:val="auto"/>
        </w:rPr>
        <w:t>” means (i) the National Flood Insurance Act of 1968 as now or hereafter in effect or any successor statute thereto, (ii) the Flood Disaster Protection Act of 1973 as now or hereafter in effect or any successor statute thereto, (iii) the National Flood Insurance Reform Act of 1994 (amending 42 USC 4001, et seq.), as the same may be amended or recodified from time to time, and (iv) the Flood Insurance Reform Act of 2004 and any regulations promulgated thereunder.</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Lender that is not a U.S. Person.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of the Borrower that is not a Domestic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8" w:right="339" w:bottom="1440" w:gutter="0" w:footer="0" w:header="0"/>
        </w:sectPr>
      </w:pPr>
    </w:p>
    <w:bookmarkStart w:id="114" w:name="page115"/>
    <w:bookmarkEnd w:id="114"/>
    <w:p>
      <w:pPr>
        <w:jc w:val="both"/>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Founding Members</w:t>
      </w:r>
      <w:r>
        <w:rPr>
          <w:rFonts w:ascii="Arial" w:cs="Arial" w:eastAsia="Arial" w:hAnsi="Arial"/>
          <w:sz w:val="21"/>
          <w:szCs w:val="21"/>
          <w:color w:val="auto"/>
        </w:rPr>
        <w:t>” means the collective reference to American Multi-Cinema, Inc., a Missouri corporation, Cinemark Media, Inc., a Delaware corporation, and Regal CineMedia Holdings, LLC, a Delaware limited liability company.</w:t>
      </w:r>
    </w:p>
    <w:p>
      <w:pPr>
        <w:spacing w:after="0" w:line="15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Founding Member Affiliate</w:t>
      </w:r>
      <w:r>
        <w:rPr>
          <w:rFonts w:ascii="Arial" w:cs="Arial" w:eastAsia="Arial" w:hAnsi="Arial"/>
          <w:sz w:val="19"/>
          <w:szCs w:val="19"/>
          <w:color w:val="auto"/>
        </w:rPr>
        <w:t>” means each Founding Member Parent and any Person that, directly or indirectly, is controlled by a Founding Member Parent. For purposes of this definition only, “control” of a Person means the power, directly or indirectly, either to direct or cause the direction of the management and policies of such Person, whether by contract or otherwise.</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Founding Member Parent</w:t>
      </w:r>
      <w:r>
        <w:rPr>
          <w:rFonts w:ascii="Arial" w:cs="Arial" w:eastAsia="Arial" w:hAnsi="Arial"/>
          <w:sz w:val="21"/>
          <w:szCs w:val="21"/>
          <w:color w:val="auto"/>
        </w:rPr>
        <w:t>” means each of (a) Dalian Wanda Group Co., Ltd. or its successor or any Person that wholly-owns Dalian Wanda Group Co., Ltd., directly or indirectly, in the future, in the case of American Multi-Cinema, Inc., (b) Cinemark Holdings, Inc. or its successor or any Person that wholly-owns Cinemark Holdings, Inc., directly or indirectly, in the future, in the case of Cinemark Media, Inc., and (c) Cineworld Group plc or its successor or any Person that wholly-owns Cineworld Group plc, directly or indirectly, in the future, in the case of Regal CineMedia Holdings, LLC.</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FQ1</w:t>
      </w:r>
      <w:r>
        <w:rPr>
          <w:rFonts w:ascii="Arial" w:cs="Arial" w:eastAsia="Arial" w:hAnsi="Arial"/>
          <w:sz w:val="22"/>
          <w:szCs w:val="22"/>
          <w:color w:val="auto"/>
        </w:rPr>
        <w:t>”, “</w:t>
      </w:r>
      <w:r>
        <w:rPr>
          <w:rFonts w:ascii="Arial" w:cs="Arial" w:eastAsia="Arial" w:hAnsi="Arial"/>
          <w:sz w:val="22"/>
          <w:szCs w:val="22"/>
          <w:u w:val="single" w:color="auto"/>
          <w:color w:val="auto"/>
        </w:rPr>
        <w:t>FQ2</w:t>
      </w:r>
      <w:r>
        <w:rPr>
          <w:rFonts w:ascii="Arial" w:cs="Arial" w:eastAsia="Arial" w:hAnsi="Arial"/>
          <w:sz w:val="22"/>
          <w:szCs w:val="22"/>
          <w:color w:val="auto"/>
        </w:rPr>
        <w:t>”, “</w:t>
      </w:r>
      <w:r>
        <w:rPr>
          <w:rFonts w:ascii="Arial" w:cs="Arial" w:eastAsia="Arial" w:hAnsi="Arial"/>
          <w:sz w:val="22"/>
          <w:szCs w:val="22"/>
          <w:u w:val="single" w:color="auto"/>
          <w:color w:val="auto"/>
        </w:rPr>
        <w:t>FQ3</w:t>
      </w:r>
      <w:r>
        <w:rPr>
          <w:rFonts w:ascii="Arial" w:cs="Arial" w:eastAsia="Arial" w:hAnsi="Arial"/>
          <w:sz w:val="22"/>
          <w:szCs w:val="22"/>
          <w:color w:val="auto"/>
        </w:rPr>
        <w:t>”, and “</w:t>
      </w:r>
      <w:r>
        <w:rPr>
          <w:rFonts w:ascii="Arial" w:cs="Arial" w:eastAsia="Arial" w:hAnsi="Arial"/>
          <w:sz w:val="22"/>
          <w:szCs w:val="22"/>
          <w:u w:val="single" w:color="auto"/>
          <w:color w:val="auto"/>
        </w:rPr>
        <w:t>FQ4</w:t>
      </w:r>
      <w:r>
        <w:rPr>
          <w:rFonts w:ascii="Arial" w:cs="Arial" w:eastAsia="Arial" w:hAnsi="Arial"/>
          <w:sz w:val="22"/>
          <w:szCs w:val="22"/>
          <w:color w:val="auto"/>
        </w:rPr>
        <w:t>” means when used with a numerical year designation, means the first, second, third or fourth fiscal quarters, respectively, of such fiscal year of the Borrower (e.g., FQ4 2018 means the fourth fiscal quarter of the Borrower’s 2018 fiscal year, which ends on December 31, 2018).</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(a) with respect to any Issuing Lender, such Defaulting Lender’s Applicable Percentage of the outstanding L/C Obligations with respect to Letters of Credit issued by such Issuing Lender other than L/C Obligations as to which such Defaulting Lender’s participation obligation has been reallocated to other Lenders or Cash Collateralized in accordance with the terms hereof, and (b) with respect to any Swing Line Lender, such Defaulting Lender’s Applicable Percentage of outstanding Swing Line Loans made by such Swing Line Lender other than Swing Line Loans as to which such Defaulting Lender’s participation obligation has been reallocated to other Lenders.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Funding Office</w:t>
      </w:r>
      <w:r>
        <w:rPr>
          <w:rFonts w:ascii="Arial" w:cs="Arial" w:eastAsia="Arial" w:hAnsi="Arial"/>
          <w:sz w:val="22"/>
          <w:szCs w:val="22"/>
          <w:color w:val="auto"/>
        </w:rPr>
        <w:t>” means the office specified from time to time by the Administrative Agent as its funding office by notice to the Borrower and the Lenders.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means generally accepted accounting principles in the United States of America as in effect from time to time.</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(including the National Association of Insurance Commissioners).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 and Collateral Agreement</w:t>
      </w:r>
      <w:r>
        <w:rPr>
          <w:rFonts w:ascii="Arial" w:cs="Arial" w:eastAsia="Arial" w:hAnsi="Arial"/>
          <w:sz w:val="22"/>
          <w:szCs w:val="22"/>
          <w:color w:val="auto"/>
        </w:rPr>
        <w:t>” means the Guarantee and Collateral Agreement executed and delivered by the Borrower and each Subsidiary Guarantor on the Closing Date, as the same may be amended,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8" w:right="339" w:bottom="1440" w:gutter="0" w:footer="0" w:header="0"/>
        </w:sectPr>
      </w:pPr>
    </w:p>
    <w:bookmarkStart w:id="115" w:name="page116"/>
    <w:bookmarkEnd w:id="115"/>
    <w:p>
      <w:pPr>
        <w:jc w:val="both"/>
        <w:spacing w:after="0" w:line="28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Obligation</w:t>
      </w:r>
      <w:r>
        <w:rPr>
          <w:rFonts w:ascii="Arial" w:cs="Arial" w:eastAsia="Arial" w:hAnsi="Arial"/>
          <w:sz w:val="19"/>
          <w:szCs w:val="19"/>
          <w:color w:val="auto"/>
        </w:rPr>
        <w:t>” means as to any Person (the “</w:t>
      </w:r>
      <w:r>
        <w:rPr>
          <w:rFonts w:ascii="Arial" w:cs="Arial" w:eastAsia="Arial" w:hAnsi="Arial"/>
          <w:sz w:val="19"/>
          <w:szCs w:val="19"/>
          <w:u w:val="single" w:color="auto"/>
          <w:color w:val="auto"/>
        </w:rPr>
        <w:t>guaranteeing person</w:t>
      </w:r>
      <w:r>
        <w:rPr>
          <w:rFonts w:ascii="Arial" w:cs="Arial" w:eastAsia="Arial" w:hAnsi="Arial"/>
          <w:sz w:val="19"/>
          <w:szCs w:val="19"/>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in each case, that guarantees or in effect guarantees any Indebtedness, leases, dividends or other obligations (the “</w:t>
      </w:r>
      <w:r>
        <w:rPr>
          <w:rFonts w:ascii="Arial" w:cs="Arial" w:eastAsia="Arial" w:hAnsi="Arial"/>
          <w:sz w:val="19"/>
          <w:szCs w:val="19"/>
          <w:u w:val="single" w:color="auto"/>
          <w:color w:val="auto"/>
        </w:rPr>
        <w:t>primary obligations</w:t>
      </w:r>
      <w:r>
        <w:rPr>
          <w:rFonts w:ascii="Arial" w:cs="Arial" w:eastAsia="Arial" w:hAnsi="Arial"/>
          <w:sz w:val="19"/>
          <w:szCs w:val="19"/>
          <w:color w:val="auto"/>
        </w:rPr>
        <w:t>”) of any other third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w:t>
      </w:r>
    </w:p>
    <w:p>
      <w:pPr>
        <w:spacing w:after="0" w:line="7" w:lineRule="exact"/>
        <w:rPr>
          <w:sz w:val="20"/>
          <w:szCs w:val="20"/>
          <w:color w:val="auto"/>
        </w:rPr>
      </w:pPr>
    </w:p>
    <w:p>
      <w:pPr>
        <w:jc w:val="both"/>
        <w:ind w:firstLine="8"/>
        <w:spacing w:after="0" w:line="286" w:lineRule="auto"/>
        <w:tabs>
          <w:tab w:leader="none" w:pos="394"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otherwise to assure or hold harmless the owner of any such primary obligation against loss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Guarantee Obligation shall not include endorsements of instruments for deposit or collection in the ordinary course of business, customary and reasonable indemnity obligations in effect on the Closing Date or entered into in connection with any Acquisition or Disposition of assets permitted under this Agreement (other than such obligations with respect to Indebtedness, or any Excluded Swap Obligations).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Agreements</w:t>
      </w:r>
      <w:r>
        <w:rPr>
          <w:rFonts w:ascii="Arial" w:cs="Arial" w:eastAsia="Arial" w:hAnsi="Arial"/>
          <w:sz w:val="22"/>
          <w:szCs w:val="22"/>
          <w:color w:val="auto"/>
        </w:rPr>
        <w:t>” means all interest rate or currency forwards, options, swaps, caps or collar agreements, foreign exchange agreements, commodity contracts or similar arrangements entered into by the Borrower or its Subsidiaries providing for protection against fluctuations in interest rates, currency exchange rates, commodity prices or the exchange of nominal interest obligations, either generally or under specific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with respect to any Person, the obligations of such Person under any Hedging Agreements.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w:t>
      </w:r>
      <w:r>
        <w:rPr>
          <w:rFonts w:ascii="Arial" w:cs="Arial" w:eastAsia="Arial" w:hAnsi="Arial"/>
          <w:sz w:val="22"/>
          <w:szCs w:val="22"/>
          <w:color w:val="auto"/>
        </w:rPr>
        <w:t>” means National CineMedia, Inc., a Delaware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 Common Stock</w:t>
      </w:r>
      <w:r>
        <w:rPr>
          <w:rFonts w:ascii="Arial" w:cs="Arial" w:eastAsia="Arial" w:hAnsi="Arial"/>
          <w:sz w:val="22"/>
          <w:szCs w:val="22"/>
          <w:color w:val="auto"/>
        </w:rPr>
        <w:t>” means the common stock, par value $0.01 per share, of Holdings.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 Common Stock Outstanding</w:t>
      </w:r>
      <w:r>
        <w:rPr>
          <w:rFonts w:ascii="Arial" w:cs="Arial" w:eastAsia="Arial" w:hAnsi="Arial"/>
          <w:sz w:val="22"/>
          <w:szCs w:val="22"/>
          <w:color w:val="auto"/>
        </w:rPr>
        <w:t xml:space="preserve">” </w:t>
      </w:r>
      <w:r>
        <w:rPr>
          <w:rFonts w:ascii="Arial" w:cs="Arial" w:eastAsia="Arial" w:hAnsi="Arial"/>
          <w:sz w:val="22"/>
          <w:szCs w:val="22"/>
          <w:color w:val="FF0000"/>
          <w:strike w:val="1"/>
        </w:rPr>
        <w:t>shall mean</w:t>
      </w:r>
      <w:r>
        <w:rPr>
          <w:rFonts w:ascii="Arial" w:cs="Arial" w:eastAsia="Arial" w:hAnsi="Arial"/>
          <w:sz w:val="22"/>
          <w:szCs w:val="22"/>
          <w:u w:val="single" w:color="auto"/>
          <w:color w:val="0000FF"/>
        </w:rPr>
        <w:t>means</w:t>
      </w:r>
      <w:r>
        <w:rPr>
          <w:rFonts w:ascii="Arial" w:cs="Arial" w:eastAsia="Arial" w:hAnsi="Arial"/>
          <w:sz w:val="22"/>
          <w:szCs w:val="22"/>
          <w:color w:val="auto"/>
        </w:rPr>
        <w:t>, as of any date of determination, (a) all shares of Holdings Common Stock actually outstanding on such date, (b) all shares of Holdings Common Stock issuable upon conversion or exchange of the common membership units of the Borrower outstanding on such date, and (c) all shares of Holdings Common Stock issuable upon exercise or conversion of all other options, warrants, evidences of indebtedness, shares (other than the Holdings Common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28" w:right="339" w:bottom="1440" w:gutter="0" w:footer="0" w:header="0"/>
        </w:sectPr>
      </w:pPr>
    </w:p>
    <w:bookmarkStart w:id="116" w:name="page117"/>
    <w:bookmarkEnd w:id="116"/>
    <w:p>
      <w:pPr>
        <w:spacing w:after="0"/>
        <w:rPr>
          <w:sz w:val="20"/>
          <w:szCs w:val="20"/>
          <w:color w:val="auto"/>
        </w:rPr>
      </w:pPr>
      <w:r>
        <w:rPr>
          <w:rFonts w:ascii="Arial" w:cs="Arial" w:eastAsia="Arial" w:hAnsi="Arial"/>
          <w:sz w:val="22"/>
          <w:szCs w:val="22"/>
          <w:color w:val="auto"/>
        </w:rPr>
        <w:t>other securities outstanding on such date that are convertible or exchangeable for Holdings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Holdings Total Capitalization</w:t>
      </w:r>
      <w:r>
        <w:rPr>
          <w:rFonts w:ascii="Arial" w:cs="Arial" w:eastAsia="Arial" w:hAnsi="Arial"/>
          <w:sz w:val="22"/>
          <w:szCs w:val="22"/>
          <w:color w:val="auto"/>
        </w:rPr>
        <w:t>” means, as of any date of determination, the sum of:</w:t>
      </w:r>
    </w:p>
    <w:p>
      <w:pPr>
        <w:spacing w:after="0" w:line="220" w:lineRule="exact"/>
        <w:rPr>
          <w:sz w:val="20"/>
          <w:szCs w:val="20"/>
          <w:color w:val="auto"/>
        </w:rPr>
      </w:pPr>
    </w:p>
    <w:p>
      <w:pPr>
        <w:jc w:val="both"/>
        <w:ind w:left="1300" w:firstLine="652"/>
        <w:spacing w:after="0" w:line="271" w:lineRule="auto"/>
        <w:tabs>
          <w:tab w:leader="none" w:pos="2593"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an amount equal to (i) the number of shares of Holdings Common Stock Outstanding on such date,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(ii) the average of the closing prices of the Holdings Common Stock on the Nasdaq Global Select Market over the 30 day period ending three (3) trading days prior to such date; </w:t>
      </w:r>
      <w:r>
        <w:rPr>
          <w:rFonts w:ascii="Arial" w:cs="Arial" w:eastAsia="Arial" w:hAnsi="Arial"/>
          <w:sz w:val="21"/>
          <w:szCs w:val="21"/>
          <w:u w:val="single" w:color="auto"/>
          <w:color w:val="auto"/>
        </w:rPr>
        <w:t>plus</w:t>
      </w:r>
    </w:p>
    <w:p>
      <w:pPr>
        <w:spacing w:after="0" w:line="167" w:lineRule="exact"/>
        <w:rPr>
          <w:rFonts w:ascii="Arial" w:cs="Arial" w:eastAsia="Arial" w:hAnsi="Arial"/>
          <w:sz w:val="21"/>
          <w:szCs w:val="21"/>
          <w:color w:val="auto"/>
        </w:rPr>
      </w:pPr>
    </w:p>
    <w:p>
      <w:pPr>
        <w:jc w:val="both"/>
        <w:ind w:left="1300" w:firstLine="652"/>
        <w:spacing w:after="0" w:line="263" w:lineRule="auto"/>
        <w:tabs>
          <w:tab w:leader="none" w:pos="2591"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an amount equal to (i) the aggregate principal amount of all Indebtedness of Holdings and its Subsidiaries of the type described in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(e)</w:t>
      </w:r>
      <w:r>
        <w:rPr>
          <w:rFonts w:ascii="Arial" w:cs="Arial" w:eastAsia="Arial" w:hAnsi="Arial"/>
          <w:sz w:val="21"/>
          <w:szCs w:val="21"/>
          <w:color w:val="auto"/>
        </w:rPr>
        <w:t xml:space="preserve"> of the definition of “Indebtedness” in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at such date, determined on a consolidated basis in accordance with GAAP,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(ii) the aggregate amount of cash and Cash Equivalents owned by the Borrower and its Subsidiaries on such date (in each case, free and clear of all Liens (other than Liens permitted by </w:t>
      </w:r>
      <w:r>
        <w:rPr>
          <w:rFonts w:ascii="Arial" w:cs="Arial" w:eastAsia="Arial" w:hAnsi="Arial"/>
          <w:sz w:val="21"/>
          <w:szCs w:val="21"/>
          <w:u w:val="single" w:color="auto"/>
          <w:color w:val="auto"/>
        </w:rPr>
        <w:t>Section 7.3(a)</w:t>
      </w:r>
      <w:r>
        <w:rPr>
          <w:rFonts w:ascii="Arial" w:cs="Arial" w:eastAsia="Arial" w:hAnsi="Arial"/>
          <w:sz w:val="21"/>
          <w:szCs w:val="21"/>
          <w:color w:val="auto"/>
        </w:rPr>
        <w:t xml:space="preserve">, </w:t>
      </w:r>
      <w:r>
        <w:rPr>
          <w:rFonts w:ascii="Arial" w:cs="Arial" w:eastAsia="Arial" w:hAnsi="Arial"/>
          <w:sz w:val="21"/>
          <w:szCs w:val="21"/>
          <w:u w:val="single" w:color="auto"/>
          <w:color w:val="auto"/>
        </w:rPr>
        <w:t>(h)</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(l)</w:t>
      </w:r>
      <w:r>
        <w:rPr>
          <w:rFonts w:ascii="Arial" w:cs="Arial" w:eastAsia="Arial" w:hAnsi="Arial"/>
          <w:sz w:val="21"/>
          <w:szCs w:val="21"/>
          <w:color w:val="auto"/>
        </w:rPr>
        <w:t xml:space="preserve">); </w:t>
      </w:r>
      <w:r>
        <w:rPr>
          <w:rFonts w:ascii="Arial" w:cs="Arial" w:eastAsia="Arial" w:hAnsi="Arial"/>
          <w:sz w:val="21"/>
          <w:szCs w:val="21"/>
          <w:u w:val="single" w:color="auto"/>
          <w:color w:val="auto"/>
        </w:rPr>
        <w:t>plus</w:t>
      </w:r>
    </w:p>
    <w:p>
      <w:pPr>
        <w:spacing w:after="0" w:line="175" w:lineRule="exact"/>
        <w:rPr>
          <w:rFonts w:ascii="Arial" w:cs="Arial" w:eastAsia="Arial" w:hAnsi="Arial"/>
          <w:sz w:val="21"/>
          <w:szCs w:val="21"/>
          <w:color w:val="auto"/>
        </w:rPr>
      </w:pPr>
    </w:p>
    <w:p>
      <w:pPr>
        <w:ind w:left="1300" w:firstLine="652"/>
        <w:spacing w:after="0" w:line="263" w:lineRule="auto"/>
        <w:tabs>
          <w:tab w:leader="none" w:pos="2593"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 amount equal to aggregate book value of all outstanding shares of non-convertible preferred stock of Holdings (if any).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“IBA” has the meaning as defined in Section 1.03.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Impacted Interest Period</w:t>
      </w:r>
      <w:r>
        <w:rPr>
          <w:rFonts w:ascii="Arial" w:cs="Arial" w:eastAsia="Arial" w:hAnsi="Arial"/>
          <w:sz w:val="22"/>
          <w:szCs w:val="22"/>
          <w:color w:val="auto"/>
        </w:rPr>
        <w:t>” has the meaning assigned to it in the definition of “LIBO Rate.”</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w:t>
      </w:r>
      <w:r>
        <w:rPr>
          <w:rFonts w:ascii="Arial" w:cs="Arial" w:eastAsia="Arial" w:hAnsi="Arial"/>
          <w:sz w:val="22"/>
          <w:szCs w:val="22"/>
          <w:color w:val="auto"/>
        </w:rPr>
        <w:t xml:space="preserve"> </w:t>
      </w:r>
      <w:r>
        <w:rPr>
          <w:rFonts w:ascii="Arial" w:cs="Arial" w:eastAsia="Arial" w:hAnsi="Arial"/>
          <w:sz w:val="22"/>
          <w:szCs w:val="22"/>
          <w:u w:val="single" w:color="auto"/>
          <w:color w:val="FF0000"/>
          <w:strike w:val="1"/>
        </w:rPr>
        <w:t>Amendment</w:t>
      </w:r>
      <w:r>
        <w:rPr>
          <w:rFonts w:ascii="Arial" w:cs="Arial" w:eastAsia="Arial" w:hAnsi="Arial"/>
          <w:sz w:val="22"/>
          <w:szCs w:val="22"/>
          <w:u w:val="single" w:color="auto"/>
          <w:color w:val="0000FF"/>
        </w:rPr>
        <w:t>Additional Lender</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2.25</w:t>
      </w:r>
      <w:r>
        <w:rPr>
          <w:rFonts w:ascii="Arial" w:cs="Arial" w:eastAsia="Arial" w:hAnsi="Arial"/>
          <w:sz w:val="22"/>
          <w:szCs w:val="22"/>
          <w:color w:val="FF0000"/>
          <w:strike w:val="1"/>
        </w:rPr>
        <w:t>.</w:t>
      </w:r>
      <w:r>
        <w:rPr>
          <w:rFonts w:ascii="Arial" w:cs="Arial" w:eastAsia="Arial" w:hAnsi="Arial"/>
          <w:sz w:val="22"/>
          <w:szCs w:val="22"/>
          <w:u w:val="single" w:color="auto"/>
          <w:color w:val="0000FF"/>
        </w:rPr>
        <w:t>; provided that, for all purposes</w:t>
      </w:r>
      <w:r>
        <w:rPr>
          <w:rFonts w:ascii="Arial" w:cs="Arial" w:eastAsia="Arial" w:hAnsi="Arial"/>
          <w:sz w:val="22"/>
          <w:szCs w:val="22"/>
          <w:color w:val="auto"/>
        </w:rPr>
        <w:t xml:space="preserve"> </w:t>
      </w:r>
      <w:r>
        <w:rPr>
          <w:rFonts w:ascii="Arial" w:cs="Arial" w:eastAsia="Arial" w:hAnsi="Arial"/>
          <w:sz w:val="22"/>
          <w:szCs w:val="22"/>
          <w:u w:val="single" w:color="auto"/>
          <w:color w:val="0000FF"/>
        </w:rPr>
        <w:t>hereof, Incremental Additional Lender shall not include any financial institution retained as an arranger or fronting agent (or a similar Person acting in such a capacity (or a similar capacity)) on behalf, or at the request of, any Lender (or any Affiliate of (or fund, partnership, account, investment vehicle or other entity managed or advised by) such Person or Lender or an Affiliate thereof).</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w:t>
      </w:r>
      <w:r>
        <w:rPr>
          <w:rFonts w:ascii="Arial" w:cs="Arial" w:eastAsia="Arial" w:hAnsi="Arial"/>
          <w:sz w:val="22"/>
          <w:szCs w:val="22"/>
          <w:color w:val="auto"/>
        </w:rPr>
        <w:t xml:space="preserve"> </w:t>
      </w:r>
      <w:r>
        <w:rPr>
          <w:rFonts w:ascii="Arial" w:cs="Arial" w:eastAsia="Arial" w:hAnsi="Arial"/>
          <w:sz w:val="22"/>
          <w:szCs w:val="22"/>
          <w:u w:val="single" w:color="auto"/>
          <w:color w:val="FF0000"/>
          <w:strike w:val="1"/>
        </w:rPr>
        <w:t>Equivalent Debt</w:t>
      </w:r>
      <w:r>
        <w:rPr>
          <w:rFonts w:ascii="Arial" w:cs="Arial" w:eastAsia="Arial" w:hAnsi="Arial"/>
          <w:sz w:val="22"/>
          <w:szCs w:val="22"/>
          <w:u w:val="single" w:color="auto"/>
          <w:color w:val="0000FF"/>
        </w:rPr>
        <w:t>Amendment</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FF0000"/>
          <w:strike w:val="1"/>
        </w:rPr>
        <w:t>2.26</w:t>
      </w:r>
      <w:r>
        <w:rPr>
          <w:rFonts w:ascii="Arial" w:cs="Arial" w:eastAsia="Arial" w:hAnsi="Arial"/>
          <w:sz w:val="22"/>
          <w:szCs w:val="22"/>
          <w:u w:val="single" w:color="auto"/>
          <w:color w:val="0000FF"/>
        </w:rPr>
        <w:t>2.25</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Facility</w:t>
      </w:r>
      <w:r>
        <w:rPr>
          <w:rFonts w:ascii="Arial" w:cs="Arial" w:eastAsia="Arial" w:hAnsi="Arial"/>
          <w:sz w:val="19"/>
          <w:szCs w:val="19"/>
          <w:color w:val="auto"/>
        </w:rPr>
        <w:t xml:space="preserve">” means an Incremental </w:t>
      </w:r>
      <w:r>
        <w:rPr>
          <w:rFonts w:ascii="Arial" w:cs="Arial" w:eastAsia="Arial" w:hAnsi="Arial"/>
          <w:sz w:val="19"/>
          <w:szCs w:val="19"/>
          <w:u w:val="single" w:color="auto"/>
          <w:color w:val="0000FF"/>
        </w:rPr>
        <w:t>Term Facility or Incremental</w:t>
      </w:r>
      <w:r>
        <w:rPr>
          <w:rFonts w:ascii="Arial" w:cs="Arial" w:eastAsia="Arial" w:hAnsi="Arial"/>
          <w:sz w:val="19"/>
          <w:szCs w:val="19"/>
          <w:color w:val="auto"/>
        </w:rPr>
        <w:t xml:space="preserve"> Revolving Facility </w:t>
      </w:r>
      <w:r>
        <w:rPr>
          <w:rFonts w:ascii="Arial" w:cs="Arial" w:eastAsia="Arial" w:hAnsi="Arial"/>
          <w:sz w:val="19"/>
          <w:szCs w:val="19"/>
          <w:color w:val="FF0000"/>
        </w:rPr>
        <w:t>or an Incremental Term Facility</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5144770</wp:posOffset>
            </wp:positionH>
            <wp:positionV relativeFrom="paragraph">
              <wp:posOffset>-47625</wp:posOffset>
            </wp:positionV>
            <wp:extent cx="17767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1776730" cy="8255"/>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Facility Closing Date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2.25</w:t>
      </w:r>
      <w:r>
        <w:rPr>
          <w:rFonts w:ascii="Arial" w:cs="Arial" w:eastAsia="Arial" w:hAnsi="Arial"/>
          <w:sz w:val="22"/>
          <w:szCs w:val="22"/>
          <w:color w:val="auto"/>
        </w:rPr>
        <w:t>.</w:t>
      </w:r>
    </w:p>
    <w:p>
      <w:pPr>
        <w:spacing w:after="0" w:line="193"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Commitment</w:t>
      </w:r>
      <w:r>
        <w:rPr>
          <w:rFonts w:ascii="Arial" w:cs="Arial" w:eastAsia="Arial" w:hAnsi="Arial"/>
          <w:sz w:val="22"/>
          <w:szCs w:val="22"/>
          <w:color w:val="auto"/>
        </w:rPr>
        <w:t xml:space="preserve">” means, with respect to any Lender, the commitment, if any, of such Lender, established pursuant to an Incremental Amendment and </w:t>
      </w:r>
      <w:r>
        <w:rPr>
          <w:rFonts w:ascii="Arial" w:cs="Arial" w:eastAsia="Arial" w:hAnsi="Arial"/>
          <w:sz w:val="22"/>
          <w:szCs w:val="22"/>
          <w:u w:val="single" w:color="auto"/>
          <w:color w:val="auto"/>
        </w:rPr>
        <w:t>Section 2.25</w:t>
      </w:r>
      <w:r>
        <w:rPr>
          <w:rFonts w:ascii="Arial" w:cs="Arial" w:eastAsia="Arial" w:hAnsi="Arial"/>
          <w:sz w:val="22"/>
          <w:szCs w:val="22"/>
          <w:color w:val="auto"/>
        </w:rPr>
        <w:t>, to make Revolving Loans and to acquire participations in Letters of Credit and Swing Line Loans hereunder.</w:t>
      </w:r>
    </w:p>
    <w:p>
      <w:pPr>
        <w:spacing w:after="0" w:line="200" w:lineRule="exact"/>
        <w:rPr>
          <w:sz w:val="20"/>
          <w:szCs w:val="20"/>
          <w:color w:val="auto"/>
        </w:rPr>
      </w:pPr>
    </w:p>
    <w:p>
      <w:pPr>
        <w:spacing w:after="0" w:line="202"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Facility</w:t>
      </w:r>
      <w:r>
        <w:rPr>
          <w:rFonts w:ascii="Arial" w:cs="Arial" w:eastAsia="Arial" w:hAnsi="Arial"/>
          <w:sz w:val="22"/>
          <w:szCs w:val="22"/>
          <w:color w:val="auto"/>
        </w:rPr>
        <w:t xml:space="preserve">” means an incremental portion of the Revolving </w:t>
      </w:r>
      <w:r>
        <w:rPr>
          <w:rFonts w:ascii="Arial" w:cs="Arial" w:eastAsia="Arial" w:hAnsi="Arial"/>
          <w:sz w:val="22"/>
          <w:szCs w:val="22"/>
          <w:u w:val="single" w:color="auto"/>
          <w:color w:val="661DE8"/>
        </w:rPr>
        <w:t>Credit</w:t>
      </w:r>
      <w:r>
        <w:rPr>
          <w:rFonts w:ascii="Arial" w:cs="Arial" w:eastAsia="Arial" w:hAnsi="Arial"/>
          <w:sz w:val="22"/>
          <w:szCs w:val="22"/>
          <w:color w:val="auto"/>
        </w:rPr>
        <w:t xml:space="preserve"> Commitments established hereunder pursuant to an Incremental Amendment providing for Incremental Revolving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28" w:right="339" w:bottom="1440" w:gutter="0" w:footer="0" w:header="0"/>
        </w:sectPr>
      </w:pPr>
    </w:p>
    <w:bookmarkStart w:id="117" w:name="page118"/>
    <w:bookmarkEnd w:id="117"/>
    <w:p>
      <w:pPr>
        <w:jc w:val="both"/>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Incremental Term Commitment</w:t>
      </w:r>
      <w:r>
        <w:rPr>
          <w:rFonts w:ascii="Arial" w:cs="Arial" w:eastAsia="Arial" w:hAnsi="Arial"/>
          <w:sz w:val="21"/>
          <w:szCs w:val="21"/>
          <w:color w:val="auto"/>
        </w:rPr>
        <w:t xml:space="preserve">” means, with respect to any Lender, the commitment, if any, of such Lender, established pursuant to an Incremental Amendment and </w:t>
      </w:r>
      <w:r>
        <w:rPr>
          <w:rFonts w:ascii="Arial" w:cs="Arial" w:eastAsia="Arial" w:hAnsi="Arial"/>
          <w:sz w:val="21"/>
          <w:szCs w:val="21"/>
          <w:u w:val="single" w:color="auto"/>
          <w:color w:val="auto"/>
        </w:rPr>
        <w:t>Section 2.25</w:t>
      </w:r>
      <w:r>
        <w:rPr>
          <w:rFonts w:ascii="Arial" w:cs="Arial" w:eastAsia="Arial" w:hAnsi="Arial"/>
          <w:sz w:val="21"/>
          <w:szCs w:val="21"/>
          <w:color w:val="auto"/>
        </w:rPr>
        <w:t>, to make Incremental Term Loans, expressed as an amount representing the maximum principal amount of such Incremental Term Loans to be made by such Lender.</w:t>
      </w:r>
    </w:p>
    <w:p>
      <w:pPr>
        <w:spacing w:after="0" w:line="15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Facility</w:t>
      </w:r>
      <w:r>
        <w:rPr>
          <w:rFonts w:ascii="Arial" w:cs="Arial" w:eastAsia="Arial" w:hAnsi="Arial"/>
          <w:sz w:val="22"/>
          <w:szCs w:val="22"/>
          <w:color w:val="auto"/>
        </w:rPr>
        <w:t>” means an incremental term loan facility established hereunder pursuant to an Incremental Amendment providing for Incremental Term Commitments.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Lender</w:t>
      </w:r>
      <w:r>
        <w:rPr>
          <w:rFonts w:ascii="Arial" w:cs="Arial" w:eastAsia="Arial" w:hAnsi="Arial"/>
          <w:sz w:val="19"/>
          <w:szCs w:val="19"/>
          <w:color w:val="auto"/>
        </w:rPr>
        <w:t>” means a Lender with an Incremental Term Commitment or an outstanding Incremental Term Loan.</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Term Loans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2.25</w:t>
      </w:r>
      <w:r>
        <w:rPr>
          <w:rFonts w:ascii="Arial" w:cs="Arial" w:eastAsia="Arial" w:hAnsi="Arial"/>
          <w:sz w:val="22"/>
          <w:szCs w:val="22"/>
          <w:color w:val="auto"/>
        </w:rPr>
        <w:t>.</w:t>
      </w:r>
    </w:p>
    <w:p>
      <w:pPr>
        <w:spacing w:after="0" w:line="193"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Loan Maturity Date</w:t>
      </w:r>
      <w:r>
        <w:rPr>
          <w:rFonts w:ascii="Arial" w:cs="Arial" w:eastAsia="Arial" w:hAnsi="Arial"/>
          <w:sz w:val="19"/>
          <w:szCs w:val="19"/>
          <w:color w:val="auto"/>
        </w:rPr>
        <w:t>” means, with respect to Incremental Term Loans, the scheduled date on which such Incremental Term Loans shall become due and payable in full hereunder, as specified in the applicable Incremental Amendment.</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of any Person at any date, without duplication, (a) all indebtedness of such Person for borrowed money,</w:t>
      </w:r>
    </w:p>
    <w:p>
      <w:pPr>
        <w:spacing w:after="0" w:line="16" w:lineRule="exact"/>
        <w:rPr>
          <w:sz w:val="20"/>
          <w:szCs w:val="20"/>
          <w:color w:val="auto"/>
        </w:rPr>
      </w:pPr>
    </w:p>
    <w:p>
      <w:pPr>
        <w:jc w:val="both"/>
        <w:ind w:firstLine="8"/>
        <w:spacing w:after="0" w:line="237" w:lineRule="auto"/>
        <w:tabs>
          <w:tab w:leader="none" w:pos="334"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all obligations of such Person for the deferred purchase price of Property or services (other than trade payables, deferred compensation arrangements for employees, directors and officers and other accrued obligations, in each case in the ordinary course of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other than customary reservations or retentions of title under agreements with suppliers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such event, the amount of such Indebtedness shall be deemed to be the lesser of the fair market value of such Property and the aggregate principal amount of such Indebtedness, (e) all Capital Lease Obligations of such Person, (f) all obligations of such Person, contingent or otherwise, as an account party or applicant under acceptance, letter of credit, surety bond or similar facilities, (g) for purposes of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only, all obligations of such Person, contingent or otherwise, to purchase, redeem, retire or otherwise acquire for value any Capital Stock of such Person on or prior to June 20, 2025 (other than for consideration consisting of Borrower Membership Units or Holdings Common Stock or cash consideration of, or funded (directly or indirectly) by, Holdings), (h) all Guarantee Obligations of such Person in respect of obligations of the kind referred to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above, (i) all obligations of the kind referred to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w:t>
      </w:r>
    </w:p>
    <w:p>
      <w:pPr>
        <w:spacing w:after="0" w:line="3" w:lineRule="exact"/>
        <w:rPr>
          <w:rFonts w:ascii="Arial" w:cs="Arial" w:eastAsia="Arial" w:hAnsi="Arial"/>
          <w:sz w:val="19"/>
          <w:szCs w:val="19"/>
          <w:color w:val="auto"/>
        </w:rPr>
      </w:pPr>
    </w:p>
    <w:p>
      <w:pPr>
        <w:jc w:val="both"/>
        <w:ind w:firstLine="8"/>
        <w:spacing w:after="0"/>
        <w:tabs>
          <w:tab w:leader="none" w:pos="313" w:val="left"/>
        </w:tabs>
        <w:numPr>
          <w:ilvl w:val="0"/>
          <w:numId w:val="53"/>
        </w:numPr>
        <w:rPr>
          <w:rFonts w:ascii="Arial" w:cs="Arial" w:eastAsia="Arial" w:hAnsi="Arial"/>
          <w:sz w:val="19"/>
          <w:szCs w:val="19"/>
          <w:u w:val="single" w:color="auto"/>
          <w:color w:val="auto"/>
        </w:rPr>
      </w:pPr>
      <w:r>
        <w:rPr>
          <w:rFonts w:ascii="Arial" w:cs="Arial" w:eastAsia="Arial" w:hAnsi="Arial"/>
          <w:sz w:val="19"/>
          <w:szCs w:val="19"/>
          <w:color w:val="auto"/>
        </w:rPr>
        <w:t>above secured by (or for which the holder of such obligation has an existing right, contingent or otherwise, to be secured by) any Lien on Property (including, without limitation, accounts and contract rights) owned by such Person, whether or not such Person has assumed or become liable for the payment of such obligation, (j) for the purposes of Section 8(e) only, all obligations of such Person in respect of Hedge Agreements; provided that for purposes of this definition, the principal amount of any Hedge Agreement as of such date shall be the maximum aggregate amount that such Person would be required to pay if such Hedge Agreement were terminated as of such date (after giving effect to any netting arrangements) and (k) Cash Management Obligations.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 obligations incurred in connection with an acquisition), except in each case to the extent that such amount payable is, or becomes, due and payable; (ii) obligations in respect of non-competes and similar agreements and (iii) licenses and operating leases. The amount of Indebtedness of any Person for purposes of clause (i) above shall (unless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01" w:right="339" w:bottom="1440" w:gutter="0" w:footer="0" w:header="0"/>
        </w:sectPr>
      </w:pPr>
    </w:p>
    <w:bookmarkStart w:id="118" w:name="page119"/>
    <w:bookmarkEnd w:id="118"/>
    <w:p>
      <w:pPr>
        <w:jc w:val="both"/>
        <w:spacing w:after="0" w:line="223" w:lineRule="auto"/>
        <w:rPr>
          <w:sz w:val="20"/>
          <w:szCs w:val="20"/>
          <w:color w:val="auto"/>
        </w:rPr>
      </w:pPr>
      <w:r>
        <w:rPr>
          <w:rFonts w:ascii="Arial" w:cs="Arial" w:eastAsia="Arial" w:hAnsi="Arial"/>
          <w:sz w:val="22"/>
          <w:szCs w:val="22"/>
          <w:color w:val="auto"/>
        </w:rPr>
        <w:t>Indebtedness has been assumed by such Person or such Person has otherwise become liable for the payment thereof) be deemed to be equal to the lesser of (x) the aggregate unpaid amount of such Indebtedness and (y) the fair market value of the property encumbered thereby as determined by such Person in good faith.</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Identified Participating Lenders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2.11(c)(iii)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Identified Qualifying Lenders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2.11(c)(iv)</w:t>
      </w:r>
      <w:r>
        <w:rPr>
          <w:rFonts w:ascii="Arial" w:cs="Arial" w:eastAsia="Arial" w:hAnsi="Arial"/>
          <w:sz w:val="22"/>
          <w:szCs w:val="22"/>
          <w:color w:val="auto"/>
        </w:rPr>
        <w:t>.</w:t>
      </w:r>
    </w:p>
    <w:p>
      <w:pPr>
        <w:spacing w:after="0" w:line="19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Loan</w:t>
      </w:r>
      <w:r>
        <w:rPr>
          <w:rFonts w:ascii="Arial" w:cs="Arial" w:eastAsia="Arial" w:hAnsi="Arial"/>
          <w:sz w:val="22"/>
          <w:szCs w:val="22"/>
          <w:color w:val="auto"/>
        </w:rPr>
        <w:t xml:space="preserve">” means a Loan made pursuant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w:t>
      </w:r>
      <w:r>
        <w:rPr>
          <w:rFonts w:ascii="Arial" w:cs="Arial" w:eastAsia="Arial" w:hAnsi="Arial"/>
          <w:sz w:val="22"/>
          <w:szCs w:val="22"/>
          <w:u w:val="single" w:color="auto"/>
          <w:color w:val="0F7F40"/>
        </w:rPr>
        <w:t>(but excluding, for the avoidance of doubt,</w:t>
      </w:r>
      <w:r>
        <w:rPr>
          <w:rFonts w:ascii="Arial" w:cs="Arial" w:eastAsia="Arial" w:hAnsi="Arial"/>
          <w:sz w:val="22"/>
          <w:szCs w:val="22"/>
          <w:color w:val="auto"/>
        </w:rPr>
        <w:t xml:space="preserve"> </w:t>
      </w:r>
      <w:r>
        <w:rPr>
          <w:rFonts w:ascii="Arial" w:cs="Arial" w:eastAsia="Arial" w:hAnsi="Arial"/>
          <w:sz w:val="22"/>
          <w:szCs w:val="22"/>
          <w:u w:val="single" w:color="auto"/>
          <w:color w:val="661DE8"/>
        </w:rPr>
        <w:t>any New Incremental</w:t>
      </w:r>
      <w:r>
        <w:rPr>
          <w:rFonts w:ascii="Arial" w:cs="Arial" w:eastAsia="Arial" w:hAnsi="Arial"/>
          <w:sz w:val="22"/>
          <w:szCs w:val="22"/>
          <w:color w:val="auto"/>
        </w:rPr>
        <w:t xml:space="preserve"> </w:t>
      </w:r>
      <w:r>
        <w:rPr>
          <w:rFonts w:ascii="Arial" w:cs="Arial" w:eastAsia="Arial" w:hAnsi="Arial"/>
          <w:sz w:val="22"/>
          <w:szCs w:val="22"/>
          <w:u w:val="single" w:color="auto"/>
          <w:color w:val="661DE8"/>
        </w:rPr>
        <w:t>Loan)</w:t>
      </w:r>
      <w:r>
        <w:rPr>
          <w:rFonts w:ascii="Arial" w:cs="Arial" w:eastAsia="Arial" w:hAnsi="Arial"/>
          <w:sz w:val="22"/>
          <w:szCs w:val="22"/>
          <w:color w:val="661DE8"/>
        </w:rPr>
        <w:t>.</w:t>
      </w:r>
    </w:p>
    <w:p>
      <w:pPr>
        <w:spacing w:after="0" w:line="159"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Initial Term Loan Commitment</w:t>
      </w:r>
      <w:r>
        <w:rPr>
          <w:rFonts w:ascii="Arial" w:cs="Arial" w:eastAsia="Arial" w:hAnsi="Arial"/>
          <w:sz w:val="21"/>
          <w:szCs w:val="21"/>
          <w:color w:val="auto"/>
        </w:rPr>
        <w:t xml:space="preserve">” means, with respect to each Lender, the commitment, if any, of such Lender to make an Initial Term Loan on the Closing Date, expressed as an amount representing the maximum principal amount of the Initial Term Loan to be made by such Lender, as such commitment may be reduced or increased from time to time pursuant to assignments by or to such Lender in any Assignment and Assumption related to such Initial Term Loan. The initial amount of the Lender’s Initial Term Loan Commitment is set forth on </w:t>
      </w:r>
      <w:r>
        <w:rPr>
          <w:rFonts w:ascii="Arial" w:cs="Arial" w:eastAsia="Arial" w:hAnsi="Arial"/>
          <w:sz w:val="21"/>
          <w:szCs w:val="21"/>
          <w:u w:val="single" w:color="auto"/>
          <w:color w:val="auto"/>
        </w:rPr>
        <w:t>Schedule 2.1</w:t>
      </w:r>
      <w:r>
        <w:rPr>
          <w:rFonts w:ascii="Arial" w:cs="Arial" w:eastAsia="Arial" w:hAnsi="Arial"/>
          <w:sz w:val="21"/>
          <w:szCs w:val="21"/>
          <w:color w:val="auto"/>
        </w:rPr>
        <w:t xml:space="preserve"> or in the Assignment and Assumption pursuant to which such Lender shall have assumed its Initial Term Loan Commitment, as applicable. The initial aggregate amount of the Initial Term Loan Commitments as of the Closing Date is $270,000,000.</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Term Loan Lender</w:t>
      </w:r>
      <w:r>
        <w:rPr>
          <w:rFonts w:ascii="Arial" w:cs="Arial" w:eastAsia="Arial" w:hAnsi="Arial"/>
          <w:sz w:val="22"/>
          <w:szCs w:val="22"/>
          <w:color w:val="auto"/>
        </w:rPr>
        <w:t>” means each Lender that has an Initial Term Loan Commitment or is the holder of an Initial Term Loan.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Term Loan Maturity Date</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2.27</w:t>
      </w:r>
      <w:r>
        <w:rPr>
          <w:rFonts w:ascii="Arial" w:cs="Arial" w:eastAsia="Arial" w:hAnsi="Arial"/>
          <w:sz w:val="19"/>
          <w:szCs w:val="19"/>
          <w:color w:val="auto"/>
        </w:rPr>
        <w:t>, the seventh anniversary of the Closing Date</w:t>
      </w:r>
      <w:r>
        <w:rPr>
          <w:rFonts w:ascii="Arial" w:cs="Arial" w:eastAsia="Arial" w:hAnsi="Arial"/>
          <w:sz w:val="19"/>
          <w:szCs w:val="19"/>
          <w:color w:val="FF0000"/>
          <w:strike w:val="1"/>
        </w:rPr>
        <w:t>; provided that if</w:t>
      </w:r>
    </w:p>
    <w:p>
      <w:pPr>
        <w:spacing w:after="0" w:line="56" w:lineRule="exact"/>
        <w:rPr>
          <w:sz w:val="20"/>
          <w:szCs w:val="20"/>
          <w:color w:val="auto"/>
        </w:rPr>
      </w:pPr>
    </w:p>
    <w:p>
      <w:pPr>
        <w:jc w:val="both"/>
        <w:ind w:right="20"/>
        <w:spacing w:after="0" w:line="246" w:lineRule="auto"/>
        <w:rPr>
          <w:sz w:val="20"/>
          <w:szCs w:val="20"/>
          <w:color w:val="auto"/>
        </w:rPr>
      </w:pPr>
      <w:r>
        <w:rPr>
          <w:rFonts w:ascii="Arial" w:cs="Arial" w:eastAsia="Arial" w:hAnsi="Arial"/>
          <w:sz w:val="22"/>
          <w:szCs w:val="22"/>
          <w:color w:val="008000"/>
          <w:strike w:val="1"/>
        </w:rPr>
        <w:t xml:space="preserve">Senior Secured Notes are </w:t>
      </w:r>
      <w:r>
        <w:rPr>
          <w:rFonts w:ascii="Arial" w:cs="Arial" w:eastAsia="Arial" w:hAnsi="Arial"/>
          <w:sz w:val="22"/>
          <w:szCs w:val="22"/>
          <w:color w:val="FF0000"/>
          <w:strike w:val="1"/>
        </w:rPr>
        <w:t>not refinanced on or prior to October 30, 2021, then the Initial Term Loans will instead mature on</w:t>
      </w:r>
      <w:r>
        <w:rPr>
          <w:rFonts w:ascii="Arial" w:cs="Arial" w:eastAsia="Arial" w:hAnsi="Arial"/>
          <w:sz w:val="22"/>
          <w:szCs w:val="22"/>
          <w:color w:val="008000"/>
          <w:strike w:val="1"/>
        </w:rPr>
        <w:t xml:space="preserve"> </w:t>
      </w:r>
      <w:r>
        <w:rPr>
          <w:rFonts w:ascii="Arial" w:cs="Arial" w:eastAsia="Arial" w:hAnsi="Arial"/>
          <w:sz w:val="22"/>
          <w:szCs w:val="22"/>
          <w:color w:val="FF0000"/>
          <w:strike w:val="1"/>
        </w:rPr>
        <w:t>December 30, 2021</w:t>
      </w:r>
      <w:r>
        <w:rPr>
          <w:rFonts w:ascii="Arial" w:cs="Arial" w:eastAsia="Arial" w:hAnsi="Arial"/>
          <w:sz w:val="22"/>
          <w:szCs w:val="22"/>
          <w:color w:val="000000"/>
          <w:strike w:val="1"/>
        </w:rPr>
        <w: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w:t>
      </w:r>
      <w:r>
        <w:rPr>
          <w:rFonts w:ascii="Arial" w:cs="Arial" w:eastAsia="Arial" w:hAnsi="Arial"/>
          <w:sz w:val="22"/>
          <w:szCs w:val="22"/>
          <w:color w:val="auto"/>
        </w:rPr>
        <w:t>” means with respect to any Multiemployer Plan, the condition that such Plan is insolvent within the meaning of Section 4245 of ERISA.</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Insolvent</w:t>
      </w:r>
      <w:r>
        <w:rPr>
          <w:rFonts w:ascii="Arial" w:cs="Arial" w:eastAsia="Arial" w:hAnsi="Arial"/>
          <w:sz w:val="22"/>
          <w:szCs w:val="22"/>
          <w:color w:val="auto"/>
        </w:rPr>
        <w:t>” means pertaining to a condition of Insolvency.</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w:t>
      </w:r>
      <w:r>
        <w:rPr>
          <w:rFonts w:ascii="Arial" w:cs="Arial" w:eastAsia="Arial" w:hAnsi="Arial"/>
          <w:sz w:val="21"/>
          <w:szCs w:val="21"/>
          <w:color w:val="auto"/>
        </w:rPr>
        <w:t>” means the collective reference to all rights, priorities and privileges relating to intellectual property, whether arising under United States, multinational or foreign laws or otherwise, including, without limitation, copyrights, copyright licenses, patents, patent licenses, trademarks, service marks, trademark and service mark licenses, domain names, technology, know-how and processes, and all rights to sue at law or in equity for any infringement or other impairment thereof, including the right to receive all proceeds and damages therefrom.</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xml:space="preserve">” means (i) that certain Intercreditor Agreement, dated as of April 27, 2012, among the Borrower, Barclays Bank PLC, as Collateral Agent, Administrative Agent and Authorized Representative (each as defined therein) for the First-Lien Secured Parties and Credit Agreement Secured Parties (each as defined therein), and Wells Fargo Bank, National Association, as the Notes Authorized Representative, with respect to the </w:t>
      </w:r>
      <w:r>
        <w:rPr>
          <w:rFonts w:ascii="Arial" w:cs="Arial" w:eastAsia="Arial" w:hAnsi="Arial"/>
          <w:sz w:val="19"/>
          <w:szCs w:val="19"/>
          <w:u w:val="single" w:color="auto"/>
          <w:color w:val="0000FF"/>
        </w:rPr>
        <w:t>Prior</w:t>
      </w:r>
      <w:r>
        <w:rPr>
          <w:rFonts w:ascii="Arial" w:cs="Arial" w:eastAsia="Arial" w:hAnsi="Arial"/>
          <w:sz w:val="19"/>
          <w:szCs w:val="19"/>
          <w:color w:val="auto"/>
        </w:rPr>
        <w:t xml:space="preserve"> Senior Secured Notes (as supplemented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01" w:right="339" w:bottom="1440" w:gutter="0" w:footer="0" w:header="0"/>
        </w:sectPr>
      </w:pPr>
    </w:p>
    <w:bookmarkStart w:id="119" w:name="page120"/>
    <w:bookmarkEnd w:id="119"/>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Representative Supplement No. 1, dated as of the Closing Date, among the Borrower, Barclays Bank PLC, Wells Fargo Bank, National Association and the Administrative Agent) and (ii) any other Intercreditor Agreement on customary terms which are reasonably satisfactory to the Administrative Agent entered into in connection with any additional Indebtedness contemplated by </w:t>
      </w:r>
      <w:r>
        <w:rPr>
          <w:rFonts w:ascii="Arial" w:cs="Arial" w:eastAsia="Arial" w:hAnsi="Arial"/>
          <w:sz w:val="22"/>
          <w:szCs w:val="22"/>
          <w:u w:val="single" w:color="auto"/>
          <w:color w:val="auto"/>
        </w:rPr>
        <w:t>Section 7.2(p)</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q)</w:t>
      </w:r>
      <w:r>
        <w:rPr>
          <w:rFonts w:ascii="Arial" w:cs="Arial" w:eastAsia="Arial" w:hAnsi="Arial"/>
          <w:sz w:val="22"/>
          <w:szCs w:val="22"/>
          <w:color w:val="auto"/>
        </w:rPr>
        <w:t xml:space="preserve">, including any Permitted Refinancing of the Senior Secured </w:t>
      </w:r>
      <w:r>
        <w:rPr>
          <w:rFonts w:ascii="Arial" w:cs="Arial" w:eastAsia="Arial" w:hAnsi="Arial"/>
          <w:sz w:val="22"/>
          <w:szCs w:val="22"/>
          <w:u w:val="single" w:color="auto"/>
          <w:color w:val="0000FF"/>
        </w:rPr>
        <w:t>2028</w:t>
      </w:r>
      <w:r>
        <w:rPr>
          <w:rFonts w:ascii="Arial" w:cs="Arial" w:eastAsia="Arial" w:hAnsi="Arial"/>
          <w:sz w:val="22"/>
          <w:szCs w:val="22"/>
          <w:color w:val="auto"/>
        </w:rPr>
        <w:t xml:space="preserve"> Notes or any other additional Indebtedness permitted by this Agreement.</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means (a) as to any Base Rate Loan, the last day of each March, June, September and December to occur while such Loan is outstanding and the final maturity date of such Loan, (b) as to any Eurodollar Loan having an Interest Period of three months or shorter, the last day of such Interest Period, (c) as to any Eurodollar Loan having an Interest Period longer than three months, each day that is three months, or a whole multiple thereof, after the first day of such Interest Period and the last day of such Interest Period and (d) as to any Loan (other than any Revolving Credit Loan that is a Base Rate Loan and any Swing Line Loan), the date of any repayment or prepayment made in respect thereof.</w:t>
      </w:r>
    </w:p>
    <w:p>
      <w:pPr>
        <w:spacing w:after="0" w:line="14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as to any Eurodollar Loan, (a) initially, the period commencing on the borrowing or conversion date, as the case may be, with respect to such Eurodollar Loan and ending one, two, three or six months thereafter, as selected by the Borrower in its notice of borrowing or notice of conversion, as the case may be, given with respect thereto; and (b) thereafter, each period commencing on the last day of the next preceding Interest Period applicable to such Eurodollar Loan and ending one, two, three or six months thereafter, as selected by the Borrower by irrevocable notice to the Administrative Agent not later than 12:00 Noon, New York City time, on the date that is three Business Days prior to the last day of the then current Interest Period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of the foregoing provisions relating to Interest Periods are subject to the following:</w:t>
      </w:r>
    </w:p>
    <w:p>
      <w:pPr>
        <w:spacing w:after="0" w:line="151" w:lineRule="exact"/>
        <w:rPr>
          <w:sz w:val="20"/>
          <w:szCs w:val="20"/>
          <w:color w:val="auto"/>
        </w:rPr>
      </w:pPr>
    </w:p>
    <w:p>
      <w:pPr>
        <w:jc w:val="both"/>
        <w:ind w:left="1300" w:firstLine="4"/>
        <w:spacing w:after="0" w:line="250" w:lineRule="auto"/>
        <w:tabs>
          <w:tab w:leader="none" w:pos="1943"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87" w:lineRule="exact"/>
        <w:rPr>
          <w:rFonts w:ascii="Arial" w:cs="Arial" w:eastAsia="Arial" w:hAnsi="Arial"/>
          <w:sz w:val="22"/>
          <w:szCs w:val="22"/>
          <w:color w:val="auto"/>
        </w:rPr>
      </w:pPr>
    </w:p>
    <w:p>
      <w:pPr>
        <w:jc w:val="both"/>
        <w:ind w:left="1300" w:firstLine="4"/>
        <w:spacing w:after="0" w:line="253" w:lineRule="auto"/>
        <w:tabs>
          <w:tab w:leader="none" w:pos="1943"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Interest Period that would otherwise extend beyond the Revolving Credit Termination Date or beyond the date final payment is due on the Term Loans shall end on the Revolving Credit Termination Date or such due date, as applicable; and</w:t>
      </w:r>
    </w:p>
    <w:p>
      <w:pPr>
        <w:spacing w:after="0" w:line="185" w:lineRule="exact"/>
        <w:rPr>
          <w:rFonts w:ascii="Arial" w:cs="Arial" w:eastAsia="Arial" w:hAnsi="Arial"/>
          <w:sz w:val="22"/>
          <w:szCs w:val="22"/>
          <w:color w:val="auto"/>
        </w:rPr>
      </w:pPr>
    </w:p>
    <w:p>
      <w:pPr>
        <w:jc w:val="both"/>
        <w:ind w:left="1300" w:firstLine="4"/>
        <w:spacing w:after="0" w:line="253" w:lineRule="auto"/>
        <w:tabs>
          <w:tab w:leader="none" w:pos="1943"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Interpolated Rate</w:t>
      </w:r>
      <w:r>
        <w:rPr>
          <w:rFonts w:ascii="Arial" w:cs="Arial" w:eastAsia="Arial" w:hAnsi="Arial"/>
          <w:sz w:val="22"/>
          <w:szCs w:val="22"/>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40" w:right="339" w:bottom="1440" w:gutter="0" w:footer="0" w:header="0"/>
        </w:sectPr>
      </w:pPr>
    </w:p>
    <w:bookmarkStart w:id="120" w:name="page121"/>
    <w:bookmarkEnd w:id="120"/>
    <w:p>
      <w:pPr>
        <w:jc w:val="both"/>
        <w:spacing w:after="0" w:line="343" w:lineRule="auto"/>
        <w:rPr>
          <w:sz w:val="20"/>
          <w:szCs w:val="20"/>
          <w:color w:val="auto"/>
        </w:rPr>
      </w:pPr>
      <w:r>
        <w:rPr>
          <w:rFonts w:ascii="Arial" w:cs="Arial" w:eastAsia="Arial" w:hAnsi="Arial"/>
          <w:sz w:val="19"/>
          <w:szCs w:val="19"/>
          <w:color w:val="auto"/>
        </w:rPr>
        <w:t>the LIBO Screen Rate is available) that is shorter than the Impacted Interest Period; and (b) the LIBO Screen Rate for the shortest period (for which that LIBO Screen Rate is available) that exceeds the Impacted Interest Period, in each case, at such time.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Lender</w:t>
      </w:r>
      <w:r>
        <w:rPr>
          <w:rFonts w:ascii="Arial" w:cs="Arial" w:eastAsia="Arial" w:hAnsi="Arial"/>
          <w:sz w:val="19"/>
          <w:szCs w:val="19"/>
          <w:color w:val="auto"/>
        </w:rPr>
        <w:t>” means JPMorgan Chase Bank, N.A. and any other Revolving Credit Lender from time to time designated by the Borrower as an Issuing Lender with the consent of such Revolving Credit Lender and the Administrative Agent.</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21"/>
          <w:szCs w:val="21"/>
          <w:u w:val="single" w:color="auto"/>
          <w:color w:val="0000FF"/>
        </w:rPr>
        <w:t xml:space="preserve">“Joint Venture” means, with respect to any Person, any other Person in which such Person owns Capital Stock (other than any Wholly-Owned Subsidiary), and including, for the avoidance of doubt, any other Person in which such Person owns a minority position in the Capital Stock thereof. Unless otherwise specified, “Joint Venture” shall refer to any Person in which </w:t>
      </w:r>
      <w:r>
        <w:rPr>
          <w:rFonts w:ascii="Arial" w:cs="Arial" w:eastAsia="Arial" w:hAnsi="Arial"/>
          <w:sz w:val="21"/>
          <w:szCs w:val="21"/>
          <w:u w:val="single" w:color="auto"/>
          <w:color w:val="008000"/>
        </w:rPr>
        <w:t>the Borrower</w:t>
      </w:r>
      <w:r>
        <w:rPr>
          <w:rFonts w:ascii="Arial" w:cs="Arial" w:eastAsia="Arial" w:hAnsi="Arial"/>
          <w:sz w:val="21"/>
          <w:szCs w:val="21"/>
          <w:u w:val="single" w:color="auto"/>
          <w:color w:val="0000FF"/>
        </w:rPr>
        <w:t xml:space="preserve"> </w:t>
      </w:r>
      <w:r>
        <w:rPr>
          <w:rFonts w:ascii="Arial" w:cs="Arial" w:eastAsia="Arial" w:hAnsi="Arial"/>
          <w:sz w:val="21"/>
          <w:szCs w:val="21"/>
          <w:u w:val="single" w:color="auto"/>
          <w:color w:val="008000"/>
        </w:rPr>
        <w:t xml:space="preserve">or any Subsidiary </w:t>
      </w:r>
      <w:r>
        <w:rPr>
          <w:rFonts w:ascii="Arial" w:cs="Arial" w:eastAsia="Arial" w:hAnsi="Arial"/>
          <w:sz w:val="21"/>
          <w:szCs w:val="21"/>
          <w:u w:val="single" w:color="auto"/>
          <w:color w:val="0000FF"/>
        </w:rPr>
        <w:t>thereof owns Capital Stock (other than any Wholly Owned Subsidiary).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“Junior Financing” shall have the meaning set forth in Section 7.7.</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“Latest Maturity Date” means the latest of the then Latest Revolving Maturity Date and the then Latest Term Loan Maturity Date.</w:t>
      </w:r>
    </w:p>
    <w:p>
      <w:pPr>
        <w:spacing w:after="0" w:line="254"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Latest Revolving Maturity Date</w:t>
      </w:r>
      <w:r>
        <w:rPr>
          <w:rFonts w:ascii="Arial" w:cs="Arial" w:eastAsia="Arial" w:hAnsi="Arial"/>
          <w:sz w:val="19"/>
          <w:szCs w:val="19"/>
          <w:color w:val="auto"/>
        </w:rPr>
        <w:t>” means with respect to any Indebtedness, the latest Maturity Date applicable to any Revolving Credit Facility that is outstanding hereunder as determined on the date such Indebtedness is issued or incurred.</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Latest Term Loan Maturity Date</w:t>
      </w:r>
      <w:r>
        <w:rPr>
          <w:rFonts w:ascii="Arial" w:cs="Arial" w:eastAsia="Arial" w:hAnsi="Arial"/>
          <w:sz w:val="21"/>
          <w:szCs w:val="21"/>
          <w:color w:val="auto"/>
        </w:rPr>
        <w:t>” means with respect to any Indebtedness, the latest Maturity Date applicable to any Term Loan Facility that is outstanding hereunder as determined on the date such Indebtedness is issued or incurred.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LCT Election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LCT Test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Commitment</w:t>
      </w:r>
      <w:r>
        <w:rPr>
          <w:rFonts w:ascii="Arial" w:cs="Arial" w:eastAsia="Arial" w:hAnsi="Arial"/>
          <w:sz w:val="22"/>
          <w:szCs w:val="22"/>
          <w:color w:val="auto"/>
        </w:rPr>
        <w:t>” means $10,000,000.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an Issuing Lender pursuant to a Letter of Credit.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Fee Payment Date</w:t>
      </w:r>
      <w:r>
        <w:rPr>
          <w:rFonts w:ascii="Arial" w:cs="Arial" w:eastAsia="Arial" w:hAnsi="Arial"/>
          <w:sz w:val="22"/>
          <w:szCs w:val="22"/>
          <w:color w:val="auto"/>
        </w:rPr>
        <w:t>” means the last Business Day of each March, June, September and December and the last day of the Revolving Credit Commitment Period.</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Obligations</w:t>
      </w:r>
      <w:r>
        <w:rPr>
          <w:rFonts w:ascii="Arial" w:cs="Arial" w:eastAsia="Arial" w:hAnsi="Arial"/>
          <w:sz w:val="22"/>
          <w:szCs w:val="22"/>
          <w:color w:val="auto"/>
        </w:rPr>
        <w:t xml:space="preserve">” means at any time, an amount equal to the sum of (a) the aggregate then undrawn and unexpired amount of the then outstanding Letters of Credit and (b) the aggregate amount of drawings under Letters of Credit that have not then been reimbursed pursuant to </w:t>
      </w:r>
      <w:r>
        <w:rPr>
          <w:rFonts w:ascii="Arial" w:cs="Arial" w:eastAsia="Arial" w:hAnsi="Arial"/>
          <w:sz w:val="22"/>
          <w:szCs w:val="22"/>
          <w:u w:val="single" w:color="auto"/>
          <w:color w:val="auto"/>
        </w:rPr>
        <w:t>Section 3.5</w:t>
      </w:r>
      <w:r>
        <w:rPr>
          <w:rFonts w:ascii="Arial" w:cs="Arial" w:eastAsia="Arial" w:hAnsi="Arial"/>
          <w:sz w:val="22"/>
          <w:szCs w:val="22"/>
          <w:color w:val="auto"/>
        </w:rPr>
        <w: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Participants</w:t>
      </w:r>
      <w:r>
        <w:rPr>
          <w:rFonts w:ascii="Arial" w:cs="Arial" w:eastAsia="Arial" w:hAnsi="Arial"/>
          <w:sz w:val="22"/>
          <w:szCs w:val="22"/>
          <w:color w:val="auto"/>
        </w:rPr>
        <w:t>” means with respect to any Letter of Credit, the collective reference to all the Revolving Credit Lenders other than the Issuing Lender that issued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40"/>
          </w:cols>
          <w:pgMar w:left="320" w:top="1428" w:right="339" w:bottom="1440" w:gutter="0" w:footer="0" w:header="0"/>
        </w:sectPr>
      </w:pPr>
    </w:p>
    <w:bookmarkStart w:id="121" w:name="page122"/>
    <w:bookmarkEnd w:id="121"/>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Lead Arrangers</w:t>
      </w:r>
      <w:r>
        <w:rPr>
          <w:rFonts w:ascii="Arial" w:cs="Arial" w:eastAsia="Arial" w:hAnsi="Arial"/>
          <w:sz w:val="22"/>
          <w:szCs w:val="22"/>
          <w:color w:val="auto"/>
        </w:rPr>
        <w:t>” means JPMorgan Chase Bank, N.A., Merrill Lynch, Pierce, Fenner &amp; Smith Incorporated and RBC Capital Markets, as joint lead arrangers.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Addendum</w:t>
      </w:r>
      <w:r>
        <w:rPr>
          <w:rFonts w:ascii="Arial" w:cs="Arial" w:eastAsia="Arial" w:hAnsi="Arial"/>
          <w:sz w:val="22"/>
          <w:szCs w:val="22"/>
          <w:color w:val="auto"/>
        </w:rPr>
        <w:t xml:space="preserve">” means with respect to any initial Lender, a Lender Addendum,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to be executed and delivered by such Lender on the Closing Date as provided in </w:t>
      </w:r>
      <w:r>
        <w:rPr>
          <w:rFonts w:ascii="Arial" w:cs="Arial" w:eastAsia="Arial" w:hAnsi="Arial"/>
          <w:sz w:val="22"/>
          <w:szCs w:val="22"/>
          <w:u w:val="single" w:color="auto"/>
          <w:color w:val="auto"/>
        </w:rPr>
        <w:t>Section 10.17</w:t>
      </w:r>
      <w:r>
        <w:rPr>
          <w:rFonts w:ascii="Arial" w:cs="Arial" w:eastAsia="Arial" w:hAnsi="Arial"/>
          <w:sz w:val="22"/>
          <w:szCs w:val="22"/>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shall have the meaning as defined in the preamble hereto.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Letters of Credit</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Rate</w:t>
      </w:r>
      <w:r>
        <w:rPr>
          <w:rFonts w:ascii="Arial" w:cs="Arial" w:eastAsia="Arial" w:hAnsi="Arial"/>
          <w:sz w:val="22"/>
          <w:szCs w:val="22"/>
          <w:color w:val="auto"/>
        </w:rPr>
        <w:t xml:space="preserve">” means, with respect to any borrowing of Eurodollar Loans for any Interest Period, the LIBO Screen Rate at approximately 11:00 a.m., London time, two Business Days prior to the commencement of such Interest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LIBO Screen Rate shall not be available at such time for such Interest Period (an “</w:t>
      </w:r>
      <w:r>
        <w:rPr>
          <w:rFonts w:ascii="Arial" w:cs="Arial" w:eastAsia="Arial" w:hAnsi="Arial"/>
          <w:sz w:val="22"/>
          <w:szCs w:val="22"/>
          <w:u w:val="single" w:color="auto"/>
          <w:color w:val="auto"/>
        </w:rPr>
        <w:t>Impacted Interest Period</w:t>
      </w:r>
      <w:r>
        <w:rPr>
          <w:rFonts w:ascii="Arial" w:cs="Arial" w:eastAsia="Arial" w:hAnsi="Arial"/>
          <w:sz w:val="22"/>
          <w:szCs w:val="22"/>
          <w:color w:val="auto"/>
        </w:rPr>
        <w:t>”) then the LIBO Rate shall be the Interpolated Rate.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 Screen Rate</w:t>
      </w:r>
      <w:r>
        <w:rPr>
          <w:rFonts w:ascii="Arial" w:cs="Arial" w:eastAsia="Arial" w:hAnsi="Arial"/>
          <w:sz w:val="21"/>
          <w:szCs w:val="21"/>
          <w:color w:val="auto"/>
        </w:rPr>
        <w:t xml:space="preserve">” means, for any day and time, with respect to any borrowing of Eurodollar Loans for any Interest Period,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LIBO Screen Rate as so determined would be less than 1.00%, such rate shall be deemed to 1.00% for the purposes of this Agreement.</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capital lease having substantially the same economic effect as any of the foregoing).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Acquisition</w:t>
      </w:r>
      <w:r>
        <w:rPr>
          <w:rFonts w:ascii="Arial" w:cs="Arial" w:eastAsia="Arial" w:hAnsi="Arial"/>
          <w:sz w:val="22"/>
          <w:szCs w:val="22"/>
          <w:color w:val="auto"/>
        </w:rPr>
        <w:t>” means any acquisition or similar Investment whose consummation is not conditioned on the availability of, or on obtaining, financing.</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Transaction</w:t>
      </w:r>
      <w:r>
        <w:rPr>
          <w:rFonts w:ascii="Arial" w:cs="Arial" w:eastAsia="Arial" w:hAnsi="Arial"/>
          <w:sz w:val="22"/>
          <w:szCs w:val="22"/>
          <w:color w:val="auto"/>
        </w:rPr>
        <w:t>” means (i) any Limited Condition Acquisition and/or (ii) any redemption or repayment of Indebtedness requiring irrevocable advance notice or any irrevocable offer to purchase Indebtedness that is not subject to obtaining financing.</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w:t>
      </w:r>
      <w:r>
        <w:rPr>
          <w:rFonts w:ascii="Arial" w:cs="Arial" w:eastAsia="Arial" w:hAnsi="Arial"/>
          <w:sz w:val="22"/>
          <w:szCs w:val="22"/>
          <w:color w:val="auto"/>
        </w:rPr>
        <w:t>” means any loan made by any Lender pursuant to this Agreement.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this Agreement, any amendment hereto, the Intercreditor Agreement, the Security Documents, the Applications and the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Parties</w:t>
      </w:r>
      <w:r>
        <w:rPr>
          <w:rFonts w:ascii="Arial" w:cs="Arial" w:eastAsia="Arial" w:hAnsi="Arial"/>
          <w:sz w:val="22"/>
          <w:szCs w:val="22"/>
          <w:color w:val="auto"/>
        </w:rPr>
        <w:t>” means the Borrower and each Subsidiary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28" w:right="339" w:bottom="1440" w:gutter="0" w:footer="0" w:header="0"/>
        </w:sectPr>
      </w:pPr>
    </w:p>
    <w:bookmarkStart w:id="122" w:name="page123"/>
    <w:bookmarkEnd w:id="122"/>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Loews Agreement</w:t>
      </w:r>
      <w:r>
        <w:rPr>
          <w:rFonts w:ascii="Arial" w:cs="Arial" w:eastAsia="Arial" w:hAnsi="Arial"/>
          <w:sz w:val="22"/>
          <w:szCs w:val="22"/>
          <w:color w:val="auto"/>
        </w:rPr>
        <w:t>” means the First Amended and Restated Loews Screen Integration Agreement, dated as of February 13, 2007, by and among American Multi-Cinema, Inc., a Missouri corporation, and the Borrower, as the same may be amended, supplemented or otherwise modified from time to time.</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Facility Lenders</w:t>
      </w:r>
      <w:r>
        <w:rPr>
          <w:rFonts w:ascii="Arial" w:cs="Arial" w:eastAsia="Arial" w:hAnsi="Arial"/>
          <w:sz w:val="22"/>
          <w:szCs w:val="22"/>
          <w:color w:val="auto"/>
        </w:rPr>
        <w:t xml:space="preserve">” means with respect to any Facility, the holders of more than 50% of the aggregate unpaid principal amount of the Term Loans or the Total Revolving Extensions of Credit, as the case may be, outstanding under such Facility (or, in the case of the Revolving Credit Facility, prior to any termination of the Revolving Credit Commitments, the holders of more than 50% of the Total Revolving Credit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that the Revolving Credit Commitments of, and the portion of the Term Loans held or deemed held by, any Defaulting Lender shall be excluded for purposes of making a determination of the Majority Facility Lenders.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Revolving Credit Facility Lenders</w:t>
      </w:r>
      <w:r>
        <w:rPr>
          <w:rFonts w:ascii="Arial" w:cs="Arial" w:eastAsia="Arial" w:hAnsi="Arial"/>
          <w:sz w:val="19"/>
          <w:szCs w:val="19"/>
          <w:color w:val="auto"/>
        </w:rPr>
        <w:t>” means the Majority Facility Lenders in respect of the Revolving Credit Facility.</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Term Loan Facility Lenders</w:t>
      </w:r>
      <w:r>
        <w:rPr>
          <w:rFonts w:ascii="Arial" w:cs="Arial" w:eastAsia="Arial" w:hAnsi="Arial"/>
          <w:sz w:val="22"/>
          <w:szCs w:val="22"/>
          <w:color w:val="auto"/>
        </w:rPr>
        <w:t>” means the Majority Facility Lenders in respect of the Term Loan Facility.</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Management Agreement</w:t>
      </w:r>
      <w:r>
        <w:rPr>
          <w:rFonts w:ascii="Arial" w:cs="Arial" w:eastAsia="Arial" w:hAnsi="Arial"/>
          <w:sz w:val="21"/>
          <w:szCs w:val="21"/>
          <w:color w:val="auto"/>
        </w:rPr>
        <w:t>” means the Management Services Agreement between Holdings and the Borrower dated February 13, 2007, as the same may be amended, supplemented or modified from time to time as permitted hereunder.</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assets, property, operations or financial condition of the Borrower and its Subsidiaries taken as a whole or (b) the validity or enforceability of this Agreement or any of the other Loan Documents or the rights or remedies (taken as a whole) of the Administrative Agent or the Lenders hereunder or thereunder.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Permitted Acquisition</w:t>
      </w:r>
      <w:r>
        <w:rPr>
          <w:rFonts w:ascii="Arial" w:cs="Arial" w:eastAsia="Arial" w:hAnsi="Arial"/>
          <w:sz w:val="22"/>
          <w:szCs w:val="22"/>
          <w:color w:val="auto"/>
        </w:rPr>
        <w:t>” means any Permitted Acquisition the consideration for which exceeds, on the closing date of the Permitted Acquisition, 10% of the Holdings Total Capitalization on such date.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Real Estate”</w:t>
      </w:r>
      <w:r>
        <w:rPr>
          <w:rFonts w:ascii="Arial" w:cs="Arial" w:eastAsia="Arial" w:hAnsi="Arial"/>
          <w:sz w:val="22"/>
          <w:szCs w:val="22"/>
          <w:color w:val="auto"/>
        </w:rPr>
        <w:t xml:space="preserve"> means any fee-owned real property having a fair market value (as determined in good faith by the Borrower) of at least $7,500,000.</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0000FF"/>
        </w:rPr>
        <w:t xml:space="preserve">“Material Subsidiary” means, as of the Amendment No. 2 Effective Date or any other date of determination, any Subsidiary of the Borrower (other than an Excluded Subsidiary) that accounts for either (a) two and a half percent (2.5%) or more of the consolidated revenue of the Borrower and its Subsidiaries as determined in accordance with GAAP or (b) two and a half percent (2.5%) or more of the Holdings Total Capitalization, in each case measured for the period of four consecutive fiscal quarters ended on the last day of the then most recently ended fiscal quarter with respect to </w:t>
      </w:r>
      <w:r>
        <w:rPr>
          <w:rFonts w:ascii="Arial" w:cs="Arial" w:eastAsia="Arial" w:hAnsi="Arial"/>
          <w:sz w:val="22"/>
          <w:szCs w:val="22"/>
          <w:u w:val="single" w:color="auto"/>
          <w:color w:val="008000"/>
        </w:rPr>
        <w:t>which financial statements have been</w:t>
      </w:r>
      <w:r>
        <w:rPr>
          <w:rFonts w:ascii="Arial" w:cs="Arial" w:eastAsia="Arial" w:hAnsi="Arial"/>
          <w:sz w:val="22"/>
          <w:szCs w:val="22"/>
          <w:u w:val="single" w:color="auto"/>
          <w:color w:val="0000FF"/>
        </w:rPr>
        <w:t xml:space="preserve"> prepared by the Borrower.</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Wholly Owned Domestic Subsidiary</w:t>
      </w:r>
      <w:r>
        <w:rPr>
          <w:rFonts w:ascii="Arial" w:cs="Arial" w:eastAsia="Arial" w:hAnsi="Arial"/>
          <w:sz w:val="19"/>
          <w:szCs w:val="19"/>
          <w:color w:val="auto"/>
        </w:rPr>
        <w:t>” means, as of the Closing Date or any other date of determination, any Wholly Owned Subsidiary of the Borrower organized under the laws of any jurisdiction within the United States of America that accounts for either (a) five percent (5%) or more of the consolidated revenue of the Borrower and its Subsidiaries as determined in accordance with GAAP or (b) five percent (5%) or more of the Holdings Total Capitalization, in each case measured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123" w:name="page124"/>
    <w:bookmarkEnd w:id="123"/>
    <w:p>
      <w:pPr>
        <w:jc w:val="both"/>
        <w:ind w:right="20"/>
        <w:spacing w:after="0" w:line="263" w:lineRule="auto"/>
        <w:rPr>
          <w:sz w:val="20"/>
          <w:szCs w:val="20"/>
          <w:color w:val="auto"/>
        </w:rPr>
      </w:pPr>
      <w:r>
        <w:rPr>
          <w:rFonts w:ascii="Arial" w:cs="Arial" w:eastAsia="Arial" w:hAnsi="Arial"/>
          <w:sz w:val="22"/>
          <w:szCs w:val="22"/>
          <w:color w:val="auto"/>
        </w:rPr>
        <w:t>period of four consecutive fiscal quarters ended on the last day of the then most recently ended fiscal quarter with respect to which financial statements have been prepared by the Borrower.</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Materials of Environmental Concern</w:t>
      </w:r>
      <w:r>
        <w:rPr>
          <w:rFonts w:ascii="Arial" w:cs="Arial" w:eastAsia="Arial" w:hAnsi="Arial"/>
          <w:sz w:val="22"/>
          <w:szCs w:val="22"/>
          <w:color w:val="auto"/>
        </w:rPr>
        <w:t>” means any gasoline or petroleum (including crude oil or any fraction thereof) or petroleum products, polychlorinated biphenyls, urea-formaldehyde insulation, asbestos, pollutants, contaminants, radioactivity, and any other substances, materials or wastes that are regulated pursuant to or could give rise to liability under any Environmental Law.</w:t>
      </w:r>
    </w:p>
    <w:p>
      <w:pPr>
        <w:spacing w:after="0" w:line="16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(a) in connection with a Revolving Credit Facility, (i) the Revolving Credit Maturity Date, (ii) any maturity date related to any Class of Extended Revolving Credit Commitments, or (iii) any maturity date related to any Class of Replacement Revolving Credit Commitments, as applicable and (b) in connection with the Initial Term Loans (i) the Initial Term Loan Maturity Date, (ii) the Incremental Term Maturity Date with respect to such Incremental Term Loans, (iii) any maturity date related to any Class of Extended Term Loans or (iv) any maturity date related to any Class of Replacement Term Loans, as applicable.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“Minimum Liquidity Requirement” has the meaning assigned to such term in Section 7.17.</w:t>
      </w:r>
    </w:p>
    <w:p>
      <w:pPr>
        <w:spacing w:after="0" w:line="220"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u w:val="single" w:color="auto"/>
          <w:color w:val="0000FF"/>
        </w:rPr>
        <w:t>“Monthly Reporting Package” means a report in form and substance substantially similar to the example thereof delivered to the Administrative Agent prior to the Amendment No. 2 Effective Date.</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Mortgages</w:t>
      </w:r>
      <w:r>
        <w:rPr>
          <w:rFonts w:ascii="Arial" w:cs="Arial" w:eastAsia="Arial" w:hAnsi="Arial"/>
          <w:sz w:val="22"/>
          <w:szCs w:val="22"/>
          <w:color w:val="auto"/>
        </w:rPr>
        <w:t>” means each of the mortgages and deeds of trust, if any, made by any Loan Party in favor of, or for the benefit of, the Administrative Agent for the benefit of the Secured Parties.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Plan that is a multiemployer plan as defined in Section 4001(a)(3) of ERISA.</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means (a) in connection with any Asset Sale or any Recovery Event, the proceeds thereof received by any Loan Party in the form of cash and Cash Equivalents (including any such proceeds received by way of deferred payment of principal pursuant to a note or installment receivable or purchase price adjustment receivable or otherwise, but only as and when such proceeds are received) of such Asset Sale or Recovery Event, net of attorneys’ fees, other consultants’ fees, accountants’ fees, investment banking or brokerage fees, amounts required to be applied to the repayment of Indebtedness secured by a Lien expressly permitted hereunder on any asset which is the subject of such Asset Sale or Recovery Event (other than any Lien pursuant to a Security Document) and other customary fees and expenses actually incurred in connection therewith and net of Taxes paid or reasonably estimated to be payable by the Borrower, any member thereof or otherwise as a result thereof (after taking into account any available tax credits or deductions and any tax sharing arrangements) and net of reserve amounts established by the Borrower or any Subsidiary for liabilities reasonably anticipated in connection with such Asset Sale or Recovery Event so long as such reserve amounts are comprised of segregated cash or Cash Equivalents and will constitute Net Cash Proceeds to the extent such reserve amounts are no longer required to be maintained and are not paid and (b) in connection with any issuance or sale of debt securities or instruments, the cash proceeds received by any Loan Party from such issuance, net of attorneys’ fees, other consultants’ fees, investment banking or brokerage fees, accountants’ fees, underwriting discounts and commissions and other customary fees and expenses actually incurred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40"/>
          </w:cols>
          <w:pgMar w:left="320" w:top="1428" w:right="339" w:bottom="1440" w:gutter="0" w:footer="0" w:header="0"/>
        </w:sectPr>
      </w:pPr>
    </w:p>
    <w:bookmarkStart w:id="124" w:name="page125"/>
    <w:bookmarkEnd w:id="124"/>
    <w:p>
      <w:pPr>
        <w:jc w:val="both"/>
        <w:spacing w:after="0" w:line="302" w:lineRule="auto"/>
        <w:rPr>
          <w:sz w:val="20"/>
          <w:szCs w:val="20"/>
          <w:color w:val="auto"/>
        </w:rPr>
      </w:pPr>
      <w:r>
        <w:rPr>
          <w:rFonts w:ascii="Arial" w:cs="Arial" w:eastAsia="Arial" w:hAnsi="Arial"/>
          <w:sz w:val="19"/>
          <w:szCs w:val="19"/>
          <w:u w:val="single" w:color="auto"/>
          <w:color w:val="0000FF"/>
        </w:rPr>
        <w:t xml:space="preserve">“New Incremental Loan” means, individually, the Incremental Loan made by each New Incremental Loan Lender to Borrower pursuant to Sections 2.1(c) and 2.25, and collectively, the “New Incremental Loans” means all New Incremental Loans of the New Incremental Loan Lenders. The New Incremental Loans </w:t>
      </w:r>
      <w:r>
        <w:rPr>
          <w:rFonts w:ascii="Arial" w:cs="Arial" w:eastAsia="Arial" w:hAnsi="Arial"/>
          <w:sz w:val="19"/>
          <w:szCs w:val="19"/>
          <w:u w:val="single" w:color="auto"/>
          <w:color w:val="008000"/>
        </w:rPr>
        <w:t>may from time to time</w:t>
      </w:r>
      <w:r>
        <w:rPr>
          <w:rFonts w:ascii="Arial" w:cs="Arial" w:eastAsia="Arial" w:hAnsi="Arial"/>
          <w:sz w:val="19"/>
          <w:szCs w:val="19"/>
          <w:u w:val="single" w:color="auto"/>
          <w:color w:val="0000FF"/>
        </w:rPr>
        <w:t xml:space="preserve"> be Eurodollar Loans or Base Rate Loans, as determined by the Borrower and notified </w:t>
      </w:r>
      <w:r>
        <w:rPr>
          <w:rFonts w:ascii="Arial" w:cs="Arial" w:eastAsia="Arial" w:hAnsi="Arial"/>
          <w:sz w:val="19"/>
          <w:szCs w:val="19"/>
          <w:u w:val="single" w:color="auto"/>
          <w:color w:val="008000"/>
        </w:rPr>
        <w:t>to the Administrative Agent</w:t>
      </w:r>
      <w:r>
        <w:rPr>
          <w:rFonts w:ascii="Arial" w:cs="Arial" w:eastAsia="Arial" w:hAnsi="Arial"/>
          <w:sz w:val="19"/>
          <w:szCs w:val="19"/>
          <w:u w:val="single" w:color="auto"/>
          <w:color w:val="0000FF"/>
        </w:rPr>
        <w:t xml:space="preserve"> in accordance with Sections 2.2 and 2.13.</w:t>
      </w:r>
    </w:p>
    <w:p>
      <w:pPr>
        <w:spacing w:after="0" w:line="142" w:lineRule="exact"/>
        <w:rPr>
          <w:sz w:val="20"/>
          <w:szCs w:val="20"/>
          <w:color w:val="auto"/>
        </w:rPr>
      </w:pPr>
    </w:p>
    <w:p>
      <w:pPr>
        <w:jc w:val="both"/>
        <w:spacing w:after="0" w:line="294" w:lineRule="auto"/>
        <w:rPr>
          <w:sz w:val="20"/>
          <w:szCs w:val="20"/>
          <w:color w:val="auto"/>
        </w:rPr>
      </w:pPr>
      <w:r>
        <w:rPr>
          <w:rFonts w:ascii="Arial" w:cs="Arial" w:eastAsia="Arial" w:hAnsi="Arial"/>
          <w:sz w:val="19"/>
          <w:szCs w:val="19"/>
          <w:u w:val="single" w:color="auto"/>
          <w:color w:val="0000FF"/>
        </w:rPr>
        <w:t xml:space="preserve">“New Incremental Loan Commitment” means, with respect to each New Incremental Loan Lender, the commitment, if any, of such New Incremental Loan Lender to make a New Incremental Loan hereunder in the amount set forth on Annex I to Amendment No. 2 or on Schedule 1 to the Assignment and Assumption pursuant to which such New Incremental Loan Lender assumed its New Incremental Loan Commitment, as applicable, as the same may be increased or decreased from time to time in accordance with </w:t>
      </w:r>
      <w:r>
        <w:rPr>
          <w:rFonts w:ascii="Arial" w:cs="Arial" w:eastAsia="Arial" w:hAnsi="Arial"/>
          <w:sz w:val="19"/>
          <w:szCs w:val="19"/>
          <w:u w:val="single" w:color="auto"/>
          <w:color w:val="008000"/>
        </w:rPr>
        <w:t>the terms of this Agreement</w:t>
      </w:r>
      <w:r>
        <w:rPr>
          <w:rFonts w:ascii="Arial" w:cs="Arial" w:eastAsia="Arial" w:hAnsi="Arial"/>
          <w:sz w:val="19"/>
          <w:szCs w:val="19"/>
          <w:u w:val="single" w:color="auto"/>
          <w:color w:val="0000FF"/>
        </w:rPr>
        <w:t>. The aggregate principal amount of the New Incremental Loan Lenders’ New Incremental Loan Commitments on the Amendment No. 2 Effective Date is $50,000,000.</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0000FF"/>
        </w:rPr>
        <w:t>“New Incremental Loan Funding Date” means March 12, 2021 or any preceding Business Day on or after the Amendment No. 2 Effective Date.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u w:val="single" w:color="auto"/>
          <w:color w:val="0000FF"/>
        </w:rPr>
        <w:t>“New Incremental Loan Lender” means (a) the financial institutions and other Persons party to Amendment No. 2 providing New Incremental Loan Commitments on the Amendment No. 2 Effective Date, and (b) each financial institution or other Person that becomes a party hereto as a Lender with regard to any New Incremental Loan pursuant to an Assignment and Assumption, other than, in each case, any such financial institution or Person that has ceased to be a party hereto with regard to any New Incremental Loan pursuant to an Assignment and Assumption.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“New Incremental Loan Maturity Date” means with respect to the New Incremental Loans, December 20, 2024.</w:t>
      </w:r>
    </w:p>
    <w:p>
      <w:pPr>
        <w:spacing w:after="0" w:line="220"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u w:val="single" w:color="auto"/>
          <w:color w:val="0000FF"/>
        </w:rPr>
        <w:t>“Non-Debt Fund Affiliate” means Holdings and any other Affiliate of the Borrower or any of its Subsidiaries, other than any Debt Fund Affiliate.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Non-Excluded Taxes</w:t>
      </w:r>
      <w:r>
        <w:rPr>
          <w:rFonts w:ascii="Arial" w:cs="Arial" w:eastAsia="Arial" w:hAnsi="Arial"/>
          <w:sz w:val="21"/>
          <w:szCs w:val="21"/>
          <w:color w:val="auto"/>
        </w:rPr>
        <w:t>” means any Taxes, other than net income Taxes, franchise Taxes (imposed in lieu of net income Taxes) and branch profits taxes imposed on the Administrative Agent or any Lender as a result of a present or former connection between the Administrative Agent or Lender and the jurisdiction of the Governmental Authority imposing such Tax or any political subdivision or taxing authority thereof or therein (other than any such connections arising solely from the Administrative Agent’s or such Lender’s having executed, delivered, become a party to, performed its obligations or received payment under, received or perfected a security interest under, engaged in any other transaction pursuant to or enforced, this Agreement or any other Loan Document, or sold or assigned an interest in any Loan or Loan Document).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w:t>
      </w:r>
      <w:r>
        <w:rPr>
          <w:rFonts w:ascii="Arial" w:cs="Arial" w:eastAsia="Arial" w:hAnsi="Arial"/>
          <w:sz w:val="22"/>
          <w:szCs w:val="22"/>
          <w:color w:val="auto"/>
        </w:rPr>
        <w:t>” means any promissory note evidencing any Loan.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0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 Rate</w:t>
      </w:r>
      <w:r>
        <w:rPr>
          <w:rFonts w:ascii="Arial" w:cs="Arial" w:eastAsia="Arial" w:hAnsi="Arial"/>
          <w:sz w:val="22"/>
          <w:szCs w:val="22"/>
          <w:color w:val="auto"/>
        </w:rPr>
        <w:t>” means, for any day, the greater of (a) the Federal Funds Effective Rate in effect on such day and (b) the Overnight Bank Funding Rate in effect on such day (or for any day that is not 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40"/>
          </w:cols>
          <w:pgMar w:left="320" w:top="1428" w:right="339" w:bottom="1440" w:gutter="0" w:footer="0" w:header="0"/>
        </w:sectPr>
      </w:pPr>
    </w:p>
    <w:bookmarkStart w:id="125" w:name="page126"/>
    <w:bookmarkEnd w:id="125"/>
    <w:p>
      <w:pPr>
        <w:jc w:val="both"/>
        <w:spacing w:after="0" w:line="302" w:lineRule="auto"/>
        <w:rPr>
          <w:sz w:val="20"/>
          <w:szCs w:val="20"/>
          <w:color w:val="auto"/>
        </w:rPr>
      </w:pPr>
      <w:r>
        <w:rPr>
          <w:rFonts w:ascii="Arial" w:cs="Arial" w:eastAsia="Arial" w:hAnsi="Arial"/>
          <w:sz w:val="19"/>
          <w:szCs w:val="19"/>
          <w:color w:val="auto"/>
        </w:rPr>
        <w:t xml:space="preserve">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any of the aforesaid rates as so determined be less than zero, such rate shall be deemed to be zero for purposes of this Agreement.</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the unpaid principal of and interest on (including, without limitation, interest accruing after the maturity of the Loans and Reimbursement Obligations and interest accruing after the filing of any petition in bankruptcy, or the commencement of any insolvency, reorganization or like proceeding, relating to the Borrower, whether or not a claim for post-filing or post-petition interest is allowed in such proceeding) the Loans, the Reimbursement Obligations, any Specified Cash Management Obligations and all other obligations and liabilities of the Loan Parties to the Administrative Agent or to any Lender (or, with respect to any Specified Cash Management Obligations, any Affiliate of any Lender) or any Qualified Counterparty, whether direct or indirect, absolute or contingent, due or to become due, or now existing or hereafter incurred, in each case which arise under, out of, or in connection with, this Agreement, any other Loan Document, the Letters of Credit, any Specified Hedge Agreement, any Cash Management Agreement (to the extent Specified Cash Management Obligations are owing with respect thereto) or any other document made, delivered or given in connection herewith or therewith, whether on account of principal, interest, reimbursement obligations, fees, indemnities, costs, expenses (including, without limitation, all fees, charges and disbursements of counsel to the Administrative Agent or to any Lender that are required to be paid by the Borrower pursuant hereto)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obligations of the Borrower or any Subsidiary under any Specified Hedge Agreement shall be secured and guaranteed pursuant to the Security Documents only to the extent that, and for so long as, the other Obligations are so secured and guaranteed and (ii) any release of Collateral or Guarantors effected in the manner permitted by this Agreement shall not require the consent of holders of obligations under Specified Hedge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Obligations shall not include any Excluded Swap Obligations.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4.22(b)</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Offered Amount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2.11(c)(iv)</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Offered Discount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2.11(c)(iv)</w:t>
      </w:r>
      <w:r>
        <w:rPr>
          <w:rFonts w:ascii="Arial" w:cs="Arial" w:eastAsia="Arial" w:hAnsi="Arial"/>
          <w:sz w:val="22"/>
          <w:szCs w:val="22"/>
          <w:color w:val="auto"/>
        </w:rPr>
        <w:t>.</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any and all present or future stamp, court or documentary, intangible, recording, filing or similar Taxes or any other excise or property Taxes, charges or similar levies arising from any payment made hereunder or from the execution, delivery or enforcement of, or otherwise with respect to, this Agreement or any other Loan Document, except any such Taxes imposed with respect to an assignment and that are imposed as a result of a present or former connection between the Lender and the jurisdiction of the Governmental Authority imposing such Tax or any political subdivision or taxing authority thereof or therein (other than any such connections arising solely from the Administrative Agent’s having executed, delivered, become a party to, performed its obligations or received payment under, received or perfected a security interest under, engaged in any other transaction pursuant to or enforced, this Agreement or any other Loan Document, or sold or assigned an interest in any Loan or Loan Document) (other than an assignment made pursuant to </w:t>
      </w:r>
      <w:r>
        <w:rPr>
          <w:rFonts w:ascii="Arial" w:cs="Arial" w:eastAsia="Arial" w:hAnsi="Arial"/>
          <w:sz w:val="19"/>
          <w:szCs w:val="19"/>
          <w:u w:val="single" w:color="auto"/>
          <w:color w:val="auto"/>
        </w:rPr>
        <w:t>Section 2.24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8" w:right="339" w:bottom="1440" w:gutter="0" w:footer="0" w:header="0"/>
        </w:sectPr>
      </w:pPr>
    </w:p>
    <w:bookmarkStart w:id="126" w:name="page127"/>
    <w:bookmarkEnd w:id="126"/>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borrowings of Eurodollar Loans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10.6(a)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10.6(a)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Lender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2.11(c)(iii)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the USA PATRIOT Act (Title III of Pub. L. 107-56 (signed into law October 26, 2001)).</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Office</w:t>
      </w:r>
      <w:r>
        <w:rPr>
          <w:rFonts w:ascii="Arial" w:cs="Arial" w:eastAsia="Arial" w:hAnsi="Arial"/>
          <w:sz w:val="22"/>
          <w:szCs w:val="22"/>
          <w:color w:val="auto"/>
        </w:rPr>
        <w:t>” means the office specified from time to time by the Administrative Agent as its payment office by written notice to the Borrower and the Lenders.</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established pursuant to Subtitle A of Title IV of ERISA (or any successor).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7.8(l)</w:t>
      </w:r>
      <w:r>
        <w:rPr>
          <w:rFonts w:ascii="Arial" w:cs="Arial" w:eastAsia="Arial" w:hAnsi="Arial"/>
          <w:sz w:val="22"/>
          <w:szCs w:val="22"/>
          <w:color w:val="auto"/>
        </w:rPr>
        <w:t>.</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Refinancing</w:t>
      </w:r>
      <w:r>
        <w:rPr>
          <w:rFonts w:ascii="Arial" w:cs="Arial" w:eastAsia="Arial" w:hAnsi="Arial"/>
          <w:sz w:val="19"/>
          <w:szCs w:val="19"/>
          <w:color w:val="auto"/>
        </w:rPr>
        <w:t xml:space="preserve">” means with respect to any Person, any modification (other than a release of such Person), refinancing, refunding, renewal or extension of any Indebtedness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principal amount (or accreted value, if applicable) thereof does not exceed the principal amount (or accreted value, if applicable) of the Indebtedness so modified, refinanced, refunded, renewed or extended except by an amount equal to unpaid accrued interest and premium thereon plus other reasonable amounts paid, and fees and expenses reasonably incurred, in connection with such modification, refinancing, refunding, renewal or extension and by an amount equal to any existing commitments unutilized thereunder, </w:t>
      </w:r>
      <w:r>
        <w:rPr>
          <w:rFonts w:ascii="Arial" w:cs="Arial" w:eastAsia="Arial" w:hAnsi="Arial"/>
          <w:sz w:val="19"/>
          <w:szCs w:val="19"/>
          <w:color w:val="FF0000"/>
          <w:strike w:val="1"/>
        </w:rPr>
        <w:t>and</w:t>
      </w:r>
      <w:r>
        <w:rPr>
          <w:rFonts w:ascii="Arial" w:cs="Arial" w:eastAsia="Arial" w:hAnsi="Arial"/>
          <w:sz w:val="19"/>
          <w:szCs w:val="19"/>
          <w:color w:val="auto"/>
        </w:rPr>
        <w:t xml:space="preserve"> (b) </w:t>
      </w:r>
      <w:r>
        <w:rPr>
          <w:rFonts w:ascii="Arial" w:cs="Arial" w:eastAsia="Arial" w:hAnsi="Arial"/>
          <w:sz w:val="19"/>
          <w:szCs w:val="19"/>
          <w:u w:val="single" w:color="auto"/>
          <w:color w:val="0000FF"/>
        </w:rPr>
        <w:t>if such</w:t>
      </w:r>
      <w:r>
        <w:rPr>
          <w:rFonts w:ascii="Arial" w:cs="Arial" w:eastAsia="Arial" w:hAnsi="Arial"/>
          <w:sz w:val="19"/>
          <w:szCs w:val="19"/>
          <w:color w:val="auto"/>
        </w:rPr>
        <w:t xml:space="preserve"> </w:t>
      </w:r>
      <w:r>
        <w:rPr>
          <w:rFonts w:ascii="Arial" w:cs="Arial" w:eastAsia="Arial" w:hAnsi="Arial"/>
          <w:sz w:val="19"/>
          <w:szCs w:val="19"/>
          <w:u w:val="single" w:color="auto"/>
          <w:color w:val="0000FF"/>
        </w:rPr>
        <w:t xml:space="preserve">Permitted Refinancing is permitted to be secured, such Permitted Refinancing </w:t>
      </w:r>
      <w:r>
        <w:rPr>
          <w:rFonts w:ascii="Arial" w:cs="Arial" w:eastAsia="Arial" w:hAnsi="Arial"/>
          <w:sz w:val="19"/>
          <w:szCs w:val="19"/>
          <w:u w:val="single" w:color="auto"/>
          <w:color w:val="008000"/>
        </w:rPr>
        <w:t>shall not be secured by</w:t>
      </w:r>
      <w:r>
        <w:rPr>
          <w:rFonts w:ascii="Arial" w:cs="Arial" w:eastAsia="Arial" w:hAnsi="Arial"/>
          <w:sz w:val="19"/>
          <w:szCs w:val="19"/>
          <w:u w:val="single" w:color="auto"/>
          <w:color w:val="0000FF"/>
        </w:rPr>
        <w:t xml:space="preserve"> Collateral on a basis that is senior to the Liens securing the Obligations (except in the case of purchase money financings or Capital Lease Obligations being refinanced, where the existing related Indebtedness is secured by such a senior Lien on the applicable Collateral) and (c)</w:t>
      </w:r>
      <w:r>
        <w:rPr>
          <w:rFonts w:ascii="Arial" w:cs="Arial" w:eastAsia="Arial" w:hAnsi="Arial"/>
          <w:sz w:val="19"/>
          <w:szCs w:val="19"/>
          <w:color w:val="0000FF"/>
        </w:rPr>
        <w:t xml:space="preserve"> </w:t>
      </w:r>
      <w:r>
        <w:rPr>
          <w:rFonts w:ascii="Arial" w:cs="Arial" w:eastAsia="Arial" w:hAnsi="Arial"/>
          <w:sz w:val="19"/>
          <w:szCs w:val="19"/>
          <w:color w:val="000000"/>
        </w:rPr>
        <w:t>such</w:t>
      </w:r>
      <w:r>
        <w:rPr>
          <w:rFonts w:ascii="Arial" w:cs="Arial" w:eastAsia="Arial" w:hAnsi="Arial"/>
          <w:sz w:val="19"/>
          <w:szCs w:val="19"/>
          <w:color w:val="0000FF"/>
        </w:rPr>
        <w:t xml:space="preserve"> </w:t>
      </w:r>
      <w:r>
        <w:rPr>
          <w:rFonts w:ascii="Arial" w:cs="Arial" w:eastAsia="Arial" w:hAnsi="Arial"/>
          <w:sz w:val="19"/>
          <w:szCs w:val="19"/>
          <w:color w:val="000000"/>
        </w:rPr>
        <w:t>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Unsecured Indebtedness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7.2(o)</w:t>
      </w:r>
      <w:r>
        <w:rPr>
          <w:rFonts w:ascii="Arial" w:cs="Arial" w:eastAsia="Arial" w:hAnsi="Arial"/>
          <w:sz w:val="22"/>
          <w:szCs w:val="22"/>
          <w:color w:val="auto"/>
        </w:rPr>
        <w:t>.</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 individual, partnership, corporation, limited liability company, business trust, joint stock company, trust, unincorporated association, joint venture, Governmental Authority or other entity of whatever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8" w:right="339" w:bottom="1440" w:gutter="0" w:footer="0" w:header="0"/>
        </w:sectPr>
      </w:pPr>
    </w:p>
    <w:bookmarkStart w:id="127" w:name="page128"/>
    <w:bookmarkEnd w:id="127"/>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185" w:lineRule="exact"/>
        <w:rPr>
          <w:sz w:val="20"/>
          <w:szCs w:val="20"/>
          <w:color w:val="auto"/>
        </w:rPr>
      </w:pPr>
    </w:p>
    <w:p>
      <w:pPr>
        <w:ind w:right="1500"/>
        <w:spacing w:after="0" w:line="5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Platform</w:t>
      </w:r>
      <w:r>
        <w:rPr>
          <w:rFonts w:ascii="Arial" w:cs="Arial" w:eastAsia="Arial" w:hAnsi="Arial"/>
          <w:sz w:val="19"/>
          <w:szCs w:val="19"/>
          <w:color w:val="auto"/>
        </w:rPr>
        <w:t>” means Debt Domain, Intralinks, Syndtrak or a substantially similar electronic transmission system. “</w:t>
      </w:r>
      <w:r>
        <w:rPr>
          <w:rFonts w:ascii="Arial" w:cs="Arial" w:eastAsia="Arial" w:hAnsi="Arial"/>
          <w:sz w:val="19"/>
          <w:szCs w:val="19"/>
          <w:u w:val="single" w:color="auto"/>
          <w:color w:val="auto"/>
        </w:rPr>
        <w:t>Preferred Equity</w:t>
      </w:r>
      <w:r>
        <w:rPr>
          <w:rFonts w:ascii="Arial" w:cs="Arial" w:eastAsia="Arial" w:hAnsi="Arial"/>
          <w:sz w:val="19"/>
          <w:szCs w:val="19"/>
          <w:color w:val="auto"/>
        </w:rPr>
        <w:t xml:space="preserve">” shall have the meaning as defined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Borrower LLC Operating Agreement. “</w:t>
      </w:r>
      <w:r>
        <w:rPr>
          <w:rFonts w:ascii="Arial" w:cs="Arial" w:eastAsia="Arial" w:hAnsi="Arial"/>
          <w:sz w:val="19"/>
          <w:szCs w:val="19"/>
          <w:u w:val="single" w:color="auto"/>
          <w:color w:val="auto"/>
        </w:rPr>
        <w:t>Pricing Grid</w:t>
      </w:r>
      <w:r>
        <w:rPr>
          <w:rFonts w:ascii="Arial" w:cs="Arial" w:eastAsia="Arial" w:hAnsi="Arial"/>
          <w:sz w:val="19"/>
          <w:szCs w:val="19"/>
          <w:color w:val="auto"/>
        </w:rPr>
        <w:t>” means with respect to the Revolving Credit Loans, the table set forth below:</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06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180" w:type="dxa"/>
            <w:vAlign w:val="bottom"/>
            <w:gridSpan w:val="4"/>
          </w:tcPr>
          <w:p>
            <w:pPr>
              <w:jc w:val="center"/>
              <w:ind w:right="320"/>
              <w:spacing w:after="0"/>
              <w:rPr>
                <w:sz w:val="20"/>
                <w:szCs w:val="20"/>
                <w:color w:val="auto"/>
              </w:rPr>
            </w:pPr>
            <w:r>
              <w:rPr>
                <w:rFonts w:ascii="Arial" w:cs="Arial" w:eastAsia="Arial" w:hAnsi="Arial"/>
                <w:sz w:val="22"/>
                <w:szCs w:val="22"/>
                <w:color w:val="auto"/>
                <w:w w:val="92"/>
              </w:rPr>
              <w:t>Applicable Margin</w:t>
            </w:r>
          </w:p>
        </w:tc>
        <w:tc>
          <w:tcPr>
            <w:tcW w:w="1880" w:type="dxa"/>
            <w:vAlign w:val="bottom"/>
            <w:gridSpan w:val="3"/>
          </w:tcPr>
          <w:p>
            <w:pPr>
              <w:jc w:val="center"/>
              <w:spacing w:after="0"/>
              <w:rPr>
                <w:sz w:val="20"/>
                <w:szCs w:val="20"/>
                <w:color w:val="auto"/>
              </w:rPr>
            </w:pPr>
            <w:r>
              <w:rPr>
                <w:rFonts w:ascii="Arial" w:cs="Arial" w:eastAsia="Arial" w:hAnsi="Arial"/>
                <w:sz w:val="22"/>
                <w:szCs w:val="22"/>
                <w:color w:val="auto"/>
                <w:w w:val="93"/>
              </w:rPr>
              <w:t>Applicable Margin</w:t>
            </w:r>
          </w:p>
        </w:tc>
        <w:tc>
          <w:tcPr>
            <w:tcW w:w="0" w:type="dxa"/>
            <w:vAlign w:val="bottom"/>
          </w:tcPr>
          <w:p>
            <w:pPr>
              <w:spacing w:after="0"/>
              <w:rPr>
                <w:sz w:val="1"/>
                <w:szCs w:val="1"/>
                <w:color w:val="auto"/>
              </w:rPr>
            </w:pPr>
          </w:p>
        </w:tc>
      </w:tr>
      <w:tr>
        <w:trPr>
          <w:trHeight w:val="257"/>
        </w:trPr>
        <w:tc>
          <w:tcPr>
            <w:tcW w:w="1060" w:type="dxa"/>
            <w:vAlign w:val="bottom"/>
          </w:tcPr>
          <w:p>
            <w:pPr>
              <w:spacing w:after="0"/>
              <w:rPr>
                <w:sz w:val="20"/>
                <w:szCs w:val="20"/>
                <w:color w:val="auto"/>
              </w:rPr>
            </w:pPr>
            <w:r>
              <w:rPr>
                <w:rFonts w:ascii="Arial" w:cs="Arial" w:eastAsia="Arial" w:hAnsi="Arial"/>
                <w:sz w:val="22"/>
                <w:szCs w:val="22"/>
                <w:color w:val="auto"/>
              </w:rPr>
              <w:t>Pricing</w:t>
            </w:r>
          </w:p>
        </w:tc>
        <w:tc>
          <w:tcPr>
            <w:tcW w:w="4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gridSpan w:val="3"/>
          </w:tcPr>
          <w:p>
            <w:pPr>
              <w:jc w:val="center"/>
              <w:ind w:right="700"/>
              <w:spacing w:after="0"/>
              <w:rPr>
                <w:sz w:val="20"/>
                <w:szCs w:val="20"/>
                <w:color w:val="auto"/>
              </w:rPr>
            </w:pPr>
            <w:r>
              <w:rPr>
                <w:rFonts w:ascii="Arial" w:cs="Arial" w:eastAsia="Arial" w:hAnsi="Arial"/>
                <w:sz w:val="22"/>
                <w:szCs w:val="22"/>
                <w:color w:val="auto"/>
                <w:w w:val="90"/>
              </w:rPr>
              <w:t>for Base</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center"/>
              <w:ind w:right="672"/>
              <w:spacing w:after="0"/>
              <w:rPr>
                <w:sz w:val="20"/>
                <w:szCs w:val="20"/>
                <w:color w:val="auto"/>
              </w:rPr>
            </w:pPr>
            <w:r>
              <w:rPr>
                <w:rFonts w:ascii="Arial" w:cs="Arial" w:eastAsia="Arial" w:hAnsi="Arial"/>
                <w:sz w:val="22"/>
                <w:szCs w:val="22"/>
                <w:color w:val="auto"/>
                <w:w w:val="93"/>
              </w:rPr>
              <w:t>for</w:t>
            </w:r>
          </w:p>
        </w:tc>
        <w:tc>
          <w:tcPr>
            <w:tcW w:w="0" w:type="dxa"/>
            <w:vAlign w:val="bottom"/>
          </w:tcPr>
          <w:p>
            <w:pPr>
              <w:spacing w:after="0"/>
              <w:rPr>
                <w:sz w:val="1"/>
                <w:szCs w:val="1"/>
                <w:color w:val="auto"/>
              </w:rPr>
            </w:pPr>
          </w:p>
        </w:tc>
      </w:tr>
      <w:tr>
        <w:trPr>
          <w:trHeight w:val="224"/>
        </w:trPr>
        <w:tc>
          <w:tcPr>
            <w:tcW w:w="1060" w:type="dxa"/>
            <w:vAlign w:val="bottom"/>
          </w:tcPr>
          <w:p>
            <w:pPr>
              <w:spacing w:after="0" w:line="224" w:lineRule="exact"/>
              <w:rPr>
                <w:sz w:val="20"/>
                <w:szCs w:val="20"/>
                <w:color w:val="auto"/>
              </w:rPr>
            </w:pPr>
            <w:r>
              <w:rPr>
                <w:rFonts w:ascii="Arial" w:cs="Arial" w:eastAsia="Arial" w:hAnsi="Arial"/>
                <w:sz w:val="22"/>
                <w:szCs w:val="22"/>
                <w:color w:val="auto"/>
              </w:rPr>
              <w:t>Level</w:t>
            </w:r>
          </w:p>
        </w:tc>
        <w:tc>
          <w:tcPr>
            <w:tcW w:w="426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7"/>
              </w:rPr>
              <w:t>Consolidated Net Senior Secured Leverage Ratio</w:t>
            </w:r>
          </w:p>
        </w:tc>
        <w:tc>
          <w:tcPr>
            <w:tcW w:w="1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0" w:type="dxa"/>
            <w:vAlign w:val="bottom"/>
            <w:gridSpan w:val="3"/>
          </w:tcPr>
          <w:p>
            <w:pPr>
              <w:jc w:val="center"/>
              <w:ind w:right="700"/>
              <w:spacing w:after="0" w:line="224" w:lineRule="exact"/>
              <w:rPr>
                <w:sz w:val="20"/>
                <w:szCs w:val="20"/>
                <w:color w:val="auto"/>
              </w:rPr>
            </w:pPr>
            <w:r>
              <w:rPr>
                <w:rFonts w:ascii="Arial" w:cs="Arial" w:eastAsia="Arial" w:hAnsi="Arial"/>
                <w:sz w:val="22"/>
                <w:szCs w:val="22"/>
                <w:color w:val="auto"/>
                <w:w w:val="87"/>
              </w:rPr>
              <w:t>Rate Loans</w:t>
            </w:r>
          </w:p>
        </w:tc>
        <w:tc>
          <w:tcPr>
            <w:tcW w:w="1880" w:type="dxa"/>
            <w:vAlign w:val="bottom"/>
            <w:gridSpan w:val="3"/>
          </w:tcPr>
          <w:p>
            <w:pPr>
              <w:jc w:val="center"/>
              <w:spacing w:after="0" w:line="224" w:lineRule="exact"/>
              <w:rPr>
                <w:sz w:val="20"/>
                <w:szCs w:val="20"/>
                <w:color w:val="auto"/>
              </w:rPr>
            </w:pPr>
            <w:r>
              <w:rPr>
                <w:rFonts w:ascii="Arial" w:cs="Arial" w:eastAsia="Arial" w:hAnsi="Arial"/>
                <w:sz w:val="22"/>
                <w:szCs w:val="22"/>
                <w:color w:val="auto"/>
                <w:w w:val="91"/>
              </w:rPr>
              <w:t>Eurodollar Loans</w:t>
            </w:r>
          </w:p>
        </w:tc>
        <w:tc>
          <w:tcPr>
            <w:tcW w:w="0" w:type="dxa"/>
            <w:vAlign w:val="bottom"/>
          </w:tcPr>
          <w:p>
            <w:pPr>
              <w:spacing w:after="0"/>
              <w:rPr>
                <w:sz w:val="1"/>
                <w:szCs w:val="1"/>
                <w:color w:val="auto"/>
              </w:rPr>
            </w:pPr>
          </w:p>
        </w:tc>
      </w:tr>
      <w:tr>
        <w:trPr>
          <w:trHeight w:val="48"/>
        </w:trPr>
        <w:tc>
          <w:tcPr>
            <w:tcW w:w="1060" w:type="dxa"/>
            <w:vAlign w:val="bottom"/>
            <w:vMerge w:val="restart"/>
          </w:tcPr>
          <w:p>
            <w:pPr>
              <w:spacing w:after="0"/>
              <w:rPr>
                <w:sz w:val="20"/>
                <w:szCs w:val="20"/>
                <w:color w:val="auto"/>
              </w:rPr>
            </w:pPr>
            <w:r>
              <w:rPr>
                <w:rFonts w:ascii="Arial" w:cs="Arial" w:eastAsia="Arial" w:hAnsi="Arial"/>
                <w:sz w:val="22"/>
                <w:szCs w:val="22"/>
                <w:color w:val="auto"/>
              </w:rPr>
              <w:t>I</w:t>
            </w:r>
          </w:p>
        </w:tc>
        <w:tc>
          <w:tcPr>
            <w:tcW w:w="5900" w:type="dxa"/>
            <w:vAlign w:val="bottom"/>
            <w:gridSpan w:val="2"/>
            <w:vMerge w:val="restart"/>
          </w:tcPr>
          <w:p>
            <w:pPr>
              <w:spacing w:after="0"/>
              <w:rPr>
                <w:sz w:val="20"/>
                <w:szCs w:val="20"/>
                <w:color w:val="auto"/>
              </w:rPr>
            </w:pPr>
            <w:r>
              <w:rPr>
                <w:rFonts w:ascii="Arial" w:cs="Arial" w:eastAsia="Arial" w:hAnsi="Arial"/>
                <w:sz w:val="22"/>
                <w:szCs w:val="22"/>
                <w:color w:val="auto"/>
              </w:rPr>
              <w:t>Greater than 3.50 to 1.00</w:t>
            </w:r>
          </w:p>
        </w:tc>
        <w:tc>
          <w:tcPr>
            <w:tcW w:w="3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060" w:type="dxa"/>
            <w:vAlign w:val="bottom"/>
            <w:vMerge w:val="continue"/>
          </w:tcPr>
          <w:p>
            <w:pPr>
              <w:spacing w:after="0"/>
              <w:rPr>
                <w:sz w:val="20"/>
                <w:szCs w:val="20"/>
                <w:color w:val="auto"/>
              </w:rPr>
            </w:pPr>
          </w:p>
        </w:tc>
        <w:tc>
          <w:tcPr>
            <w:tcW w:w="5900" w:type="dxa"/>
            <w:vAlign w:val="bottom"/>
            <w:gridSpan w:val="2"/>
            <w:vMerge w:val="continue"/>
          </w:tcPr>
          <w:p>
            <w:pPr>
              <w:spacing w:after="0"/>
              <w:rPr>
                <w:sz w:val="20"/>
                <w:szCs w:val="20"/>
                <w:color w:val="auto"/>
              </w:rPr>
            </w:pPr>
          </w:p>
        </w:tc>
        <w:tc>
          <w:tcPr>
            <w:tcW w:w="38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3"/>
              </w:rPr>
              <w:t>1.25</w:t>
            </w:r>
          </w:p>
        </w:tc>
        <w:tc>
          <w:tcPr>
            <w:tcW w:w="1500" w:type="dxa"/>
            <w:vAlign w:val="bottom"/>
            <w:gridSpan w:val="2"/>
          </w:tcPr>
          <w:p>
            <w:pPr>
              <w:jc w:val="right"/>
              <w:ind w:right="940"/>
              <w:spacing w:after="0" w:line="237" w:lineRule="exact"/>
              <w:rPr>
                <w:sz w:val="20"/>
                <w:szCs w:val="20"/>
                <w:color w:val="auto"/>
              </w:rPr>
            </w:pPr>
            <w:r>
              <w:rPr>
                <w:rFonts w:ascii="Arial" w:cs="Arial" w:eastAsia="Arial" w:hAnsi="Arial"/>
                <w:sz w:val="22"/>
                <w:szCs w:val="22"/>
                <w:color w:val="0000FF"/>
                <w:w w:val="86"/>
              </w:rPr>
              <w:t>2.50</w:t>
            </w:r>
            <w:r>
              <w:rPr>
                <w:rFonts w:ascii="Arial" w:cs="Arial" w:eastAsia="Arial" w:hAnsi="Arial"/>
                <w:sz w:val="22"/>
                <w:szCs w:val="22"/>
                <w:color w:val="000000"/>
                <w:w w:val="86"/>
              </w:rPr>
              <w:t>%</w:t>
            </w:r>
          </w:p>
        </w:tc>
        <w:tc>
          <w:tcPr>
            <w:tcW w:w="300" w:type="dxa"/>
            <w:vAlign w:val="bottom"/>
          </w:tcPr>
          <w:p>
            <w:pPr>
              <w:spacing w:after="0"/>
              <w:rPr>
                <w:sz w:val="20"/>
                <w:szCs w:val="20"/>
                <w:color w:val="auto"/>
              </w:rPr>
            </w:pPr>
          </w:p>
        </w:tc>
        <w:tc>
          <w:tcPr>
            <w:tcW w:w="400" w:type="dxa"/>
            <w:vAlign w:val="bottom"/>
          </w:tcPr>
          <w:p>
            <w:pPr>
              <w:jc w:val="right"/>
              <w:spacing w:after="0" w:line="237" w:lineRule="exact"/>
              <w:rPr>
                <w:sz w:val="20"/>
                <w:szCs w:val="20"/>
                <w:color w:val="auto"/>
              </w:rPr>
            </w:pPr>
            <w:r>
              <w:rPr>
                <w:rFonts w:ascii="Arial" w:cs="Arial" w:eastAsia="Arial" w:hAnsi="Arial"/>
                <w:sz w:val="22"/>
                <w:szCs w:val="22"/>
                <w:color w:val="FF0000"/>
                <w:strike w:val="1"/>
                <w:w w:val="88"/>
              </w:rPr>
              <w:t>2.25</w:t>
            </w:r>
          </w:p>
        </w:tc>
        <w:tc>
          <w:tcPr>
            <w:tcW w:w="1480" w:type="dxa"/>
            <w:vAlign w:val="bottom"/>
            <w:gridSpan w:val="2"/>
          </w:tcPr>
          <w:p>
            <w:pPr>
              <w:jc w:val="right"/>
              <w:ind w:right="812"/>
              <w:spacing w:after="0" w:line="237" w:lineRule="exact"/>
              <w:rPr>
                <w:sz w:val="20"/>
                <w:szCs w:val="20"/>
                <w:color w:val="auto"/>
              </w:rPr>
            </w:pPr>
            <w:r>
              <w:rPr>
                <w:rFonts w:ascii="Arial" w:cs="Arial" w:eastAsia="Arial" w:hAnsi="Arial"/>
                <w:sz w:val="22"/>
                <w:szCs w:val="22"/>
                <w:color w:val="0000FF"/>
                <w:w w:val="86"/>
              </w:rPr>
              <w:t>3.50</w:t>
            </w:r>
            <w:r>
              <w:rPr>
                <w:rFonts w:ascii="Arial" w:cs="Arial" w:eastAsia="Arial" w:hAnsi="Arial"/>
                <w:sz w:val="22"/>
                <w:szCs w:val="22"/>
                <w:color w:val="000000"/>
                <w:w w:val="86"/>
              </w:rPr>
              <w:t>%</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Arial" w:cs="Arial" w:eastAsia="Arial" w:hAnsi="Arial"/>
                <w:sz w:val="22"/>
                <w:szCs w:val="22"/>
                <w:color w:val="auto"/>
              </w:rPr>
              <w:t>II</w:t>
            </w:r>
          </w:p>
        </w:tc>
        <w:tc>
          <w:tcPr>
            <w:tcW w:w="5900" w:type="dxa"/>
            <w:vAlign w:val="bottom"/>
            <w:gridSpan w:val="2"/>
            <w:vMerge w:val="restart"/>
          </w:tcPr>
          <w:p>
            <w:pPr>
              <w:spacing w:after="0"/>
              <w:rPr>
                <w:sz w:val="20"/>
                <w:szCs w:val="20"/>
                <w:color w:val="auto"/>
              </w:rPr>
            </w:pPr>
            <w:r>
              <w:rPr>
                <w:rFonts w:ascii="Arial" w:cs="Arial" w:eastAsia="Arial" w:hAnsi="Arial"/>
                <w:sz w:val="22"/>
                <w:szCs w:val="22"/>
                <w:color w:val="auto"/>
              </w:rPr>
              <w:t>Less than or equal to 3.50 to 1.00, but</w:t>
            </w:r>
          </w:p>
        </w:tc>
        <w:tc>
          <w:tcPr>
            <w:tcW w:w="3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060" w:type="dxa"/>
            <w:vAlign w:val="bottom"/>
            <w:vMerge w:val="continue"/>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380" w:type="dxa"/>
            <w:vAlign w:val="bottom"/>
            <w:vMerge w:val="restart"/>
          </w:tcPr>
          <w:p>
            <w:pPr>
              <w:jc w:val="right"/>
              <w:spacing w:after="0"/>
              <w:rPr>
                <w:sz w:val="20"/>
                <w:szCs w:val="20"/>
                <w:color w:val="auto"/>
              </w:rPr>
            </w:pPr>
            <w:r>
              <w:rPr>
                <w:rFonts w:ascii="Arial" w:cs="Arial" w:eastAsia="Arial" w:hAnsi="Arial"/>
                <w:sz w:val="22"/>
                <w:szCs w:val="22"/>
                <w:color w:val="FF0000"/>
                <w:strike w:val="1"/>
                <w:w w:val="83"/>
              </w:rPr>
              <w:t>1.00</w:t>
            </w:r>
          </w:p>
        </w:tc>
        <w:tc>
          <w:tcPr>
            <w:tcW w:w="1500" w:type="dxa"/>
            <w:vAlign w:val="bottom"/>
            <w:gridSpan w:val="2"/>
            <w:vMerge w:val="restart"/>
          </w:tcPr>
          <w:p>
            <w:pPr>
              <w:jc w:val="right"/>
              <w:ind w:right="940"/>
              <w:spacing w:after="0"/>
              <w:rPr>
                <w:sz w:val="20"/>
                <w:szCs w:val="20"/>
                <w:color w:val="auto"/>
              </w:rPr>
            </w:pPr>
            <w:r>
              <w:rPr>
                <w:rFonts w:ascii="Arial" w:cs="Arial" w:eastAsia="Arial" w:hAnsi="Arial"/>
                <w:sz w:val="22"/>
                <w:szCs w:val="22"/>
                <w:color w:val="0000FF"/>
                <w:w w:val="86"/>
              </w:rPr>
              <w:t>2.25</w:t>
            </w:r>
            <w:r>
              <w:rPr>
                <w:rFonts w:ascii="Arial" w:cs="Arial" w:eastAsia="Arial" w:hAnsi="Arial"/>
                <w:sz w:val="22"/>
                <w:szCs w:val="22"/>
                <w:color w:val="000000"/>
                <w:w w:val="86"/>
              </w:rPr>
              <w:t>%</w:t>
            </w:r>
          </w:p>
        </w:tc>
        <w:tc>
          <w:tcPr>
            <w:tcW w:w="30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22"/>
                <w:szCs w:val="22"/>
                <w:color w:val="FF0000"/>
                <w:strike w:val="1"/>
                <w:w w:val="88"/>
              </w:rPr>
              <w:t>2.00</w:t>
            </w:r>
          </w:p>
        </w:tc>
        <w:tc>
          <w:tcPr>
            <w:tcW w:w="1480" w:type="dxa"/>
            <w:vAlign w:val="bottom"/>
            <w:gridSpan w:val="2"/>
            <w:vMerge w:val="restart"/>
          </w:tcPr>
          <w:p>
            <w:pPr>
              <w:jc w:val="right"/>
              <w:ind w:right="812"/>
              <w:spacing w:after="0"/>
              <w:rPr>
                <w:sz w:val="20"/>
                <w:szCs w:val="20"/>
                <w:color w:val="auto"/>
              </w:rPr>
            </w:pPr>
            <w:r>
              <w:rPr>
                <w:rFonts w:ascii="Arial" w:cs="Arial" w:eastAsia="Arial" w:hAnsi="Arial"/>
                <w:sz w:val="22"/>
                <w:szCs w:val="22"/>
                <w:color w:val="0000FF"/>
                <w:w w:val="86"/>
              </w:rPr>
              <w:t>3.25</w:t>
            </w:r>
            <w:r>
              <w:rPr>
                <w:rFonts w:ascii="Arial" w:cs="Arial" w:eastAsia="Arial" w:hAnsi="Arial"/>
                <w:sz w:val="22"/>
                <w:szCs w:val="22"/>
                <w:color w:val="000000"/>
                <w:w w:val="86"/>
              </w:rPr>
              <w:t>%</w:t>
            </w:r>
          </w:p>
        </w:tc>
        <w:tc>
          <w:tcPr>
            <w:tcW w:w="0" w:type="dxa"/>
            <w:vAlign w:val="bottom"/>
          </w:tcPr>
          <w:p>
            <w:pPr>
              <w:spacing w:after="0"/>
              <w:rPr>
                <w:sz w:val="1"/>
                <w:szCs w:val="1"/>
                <w:color w:val="auto"/>
              </w:rPr>
            </w:pPr>
          </w:p>
        </w:tc>
      </w:tr>
      <w:tr>
        <w:trPr>
          <w:trHeight w:val="125"/>
        </w:trPr>
        <w:tc>
          <w:tcPr>
            <w:tcW w:w="1060" w:type="dxa"/>
            <w:vAlign w:val="bottom"/>
          </w:tcPr>
          <w:p>
            <w:pPr>
              <w:spacing w:after="0"/>
              <w:rPr>
                <w:sz w:val="10"/>
                <w:szCs w:val="10"/>
                <w:color w:val="auto"/>
              </w:rPr>
            </w:pPr>
          </w:p>
        </w:tc>
        <w:tc>
          <w:tcPr>
            <w:tcW w:w="5900" w:type="dxa"/>
            <w:vAlign w:val="bottom"/>
            <w:gridSpan w:val="2"/>
            <w:vMerge w:val="restart"/>
          </w:tcPr>
          <w:p>
            <w:pPr>
              <w:spacing w:after="0"/>
              <w:rPr>
                <w:sz w:val="20"/>
                <w:szCs w:val="20"/>
                <w:color w:val="auto"/>
              </w:rPr>
            </w:pPr>
            <w:r>
              <w:rPr>
                <w:rFonts w:ascii="Arial" w:cs="Arial" w:eastAsia="Arial" w:hAnsi="Arial"/>
                <w:sz w:val="22"/>
                <w:szCs w:val="22"/>
                <w:color w:val="auto"/>
              </w:rPr>
              <w:t>greater than 2.75 to 1.00</w:t>
            </w:r>
          </w:p>
        </w:tc>
        <w:tc>
          <w:tcPr>
            <w:tcW w:w="380" w:type="dxa"/>
            <w:vAlign w:val="bottom"/>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060" w:type="dxa"/>
            <w:vAlign w:val="bottom"/>
          </w:tcPr>
          <w:p>
            <w:pPr>
              <w:spacing w:after="0"/>
              <w:rPr>
                <w:sz w:val="19"/>
                <w:szCs w:val="19"/>
                <w:color w:val="auto"/>
              </w:rPr>
            </w:pPr>
          </w:p>
        </w:tc>
        <w:tc>
          <w:tcPr>
            <w:tcW w:w="590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060" w:type="dxa"/>
            <w:vAlign w:val="bottom"/>
          </w:tcPr>
          <w:p>
            <w:pPr>
              <w:spacing w:after="0"/>
              <w:rPr>
                <w:sz w:val="20"/>
                <w:szCs w:val="20"/>
                <w:color w:val="auto"/>
              </w:rPr>
            </w:pPr>
            <w:r>
              <w:rPr>
                <w:rFonts w:ascii="Arial" w:cs="Arial" w:eastAsia="Arial" w:hAnsi="Arial"/>
                <w:sz w:val="22"/>
                <w:szCs w:val="22"/>
                <w:color w:val="auto"/>
              </w:rPr>
              <w:t>III</w:t>
            </w:r>
          </w:p>
        </w:tc>
        <w:tc>
          <w:tcPr>
            <w:tcW w:w="5900" w:type="dxa"/>
            <w:vAlign w:val="bottom"/>
            <w:gridSpan w:val="2"/>
          </w:tcPr>
          <w:p>
            <w:pPr>
              <w:spacing w:after="0"/>
              <w:rPr>
                <w:sz w:val="20"/>
                <w:szCs w:val="20"/>
                <w:color w:val="auto"/>
              </w:rPr>
            </w:pPr>
            <w:r>
              <w:rPr>
                <w:rFonts w:ascii="Arial" w:cs="Arial" w:eastAsia="Arial" w:hAnsi="Arial"/>
                <w:sz w:val="22"/>
                <w:szCs w:val="22"/>
                <w:color w:val="auto"/>
              </w:rPr>
              <w:t>Less than or equal to 2.75 to 1.00</w:t>
            </w:r>
          </w:p>
        </w:tc>
        <w:tc>
          <w:tcPr>
            <w:tcW w:w="380" w:type="dxa"/>
            <w:vAlign w:val="bottom"/>
          </w:tcPr>
          <w:p>
            <w:pPr>
              <w:jc w:val="right"/>
              <w:spacing w:after="0"/>
              <w:rPr>
                <w:sz w:val="20"/>
                <w:szCs w:val="20"/>
                <w:color w:val="auto"/>
              </w:rPr>
            </w:pPr>
            <w:r>
              <w:rPr>
                <w:rFonts w:ascii="Arial" w:cs="Arial" w:eastAsia="Arial" w:hAnsi="Arial"/>
                <w:sz w:val="22"/>
                <w:szCs w:val="22"/>
                <w:color w:val="FF0000"/>
                <w:strike w:val="1"/>
                <w:w w:val="83"/>
              </w:rPr>
              <w:t>0.75</w:t>
            </w:r>
          </w:p>
        </w:tc>
        <w:tc>
          <w:tcPr>
            <w:tcW w:w="1500" w:type="dxa"/>
            <w:vAlign w:val="bottom"/>
            <w:gridSpan w:val="2"/>
          </w:tcPr>
          <w:p>
            <w:pPr>
              <w:jc w:val="right"/>
              <w:ind w:right="940"/>
              <w:spacing w:after="0"/>
              <w:rPr>
                <w:sz w:val="20"/>
                <w:szCs w:val="20"/>
                <w:color w:val="auto"/>
              </w:rPr>
            </w:pPr>
            <w:r>
              <w:rPr>
                <w:rFonts w:ascii="Arial" w:cs="Arial" w:eastAsia="Arial" w:hAnsi="Arial"/>
                <w:sz w:val="22"/>
                <w:szCs w:val="22"/>
                <w:color w:val="0000FF"/>
                <w:w w:val="86"/>
              </w:rPr>
              <w:t>2.00</w:t>
            </w:r>
            <w:r>
              <w:rPr>
                <w:rFonts w:ascii="Arial" w:cs="Arial" w:eastAsia="Arial" w:hAnsi="Arial"/>
                <w:sz w:val="22"/>
                <w:szCs w:val="22"/>
                <w:color w:val="000000"/>
                <w:w w:val="86"/>
              </w:rPr>
              <w:t>%</w:t>
            </w:r>
          </w:p>
        </w:tc>
        <w:tc>
          <w:tcPr>
            <w:tcW w:w="3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FF0000"/>
                <w:strike w:val="1"/>
                <w:w w:val="88"/>
              </w:rPr>
              <w:t>1.75</w:t>
            </w:r>
          </w:p>
        </w:tc>
        <w:tc>
          <w:tcPr>
            <w:tcW w:w="1480" w:type="dxa"/>
            <w:vAlign w:val="bottom"/>
            <w:gridSpan w:val="2"/>
          </w:tcPr>
          <w:p>
            <w:pPr>
              <w:jc w:val="right"/>
              <w:ind w:right="812"/>
              <w:spacing w:after="0"/>
              <w:rPr>
                <w:sz w:val="20"/>
                <w:szCs w:val="20"/>
                <w:color w:val="auto"/>
              </w:rPr>
            </w:pPr>
            <w:r>
              <w:rPr>
                <w:rFonts w:ascii="Arial" w:cs="Arial" w:eastAsia="Arial" w:hAnsi="Arial"/>
                <w:sz w:val="22"/>
                <w:szCs w:val="22"/>
                <w:color w:val="0000FF"/>
                <w:w w:val="86"/>
              </w:rPr>
              <w:t>3.00</w:t>
            </w:r>
            <w:r>
              <w:rPr>
                <w:rFonts w:ascii="Arial" w:cs="Arial" w:eastAsia="Arial" w:hAnsi="Arial"/>
                <w:sz w:val="22"/>
                <w:szCs w:val="22"/>
                <w:color w:val="000000"/>
                <w:w w:val="86"/>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For purposes of the Pricing Grid, changes in the Applicable Margin resulting from changes in the Consolidated Net Senior Secured Leverage Ratio shall become effective on the date (the “</w:t>
      </w:r>
      <w:r>
        <w:rPr>
          <w:rFonts w:ascii="Arial" w:cs="Arial" w:eastAsia="Arial" w:hAnsi="Arial"/>
          <w:sz w:val="19"/>
          <w:szCs w:val="19"/>
          <w:u w:val="single" w:color="auto"/>
          <w:color w:val="auto"/>
        </w:rPr>
        <w:t>Adjustment Date</w:t>
      </w:r>
      <w:r>
        <w:rPr>
          <w:rFonts w:ascii="Arial" w:cs="Arial" w:eastAsia="Arial" w:hAnsi="Arial"/>
          <w:sz w:val="19"/>
          <w:szCs w:val="19"/>
          <w:color w:val="auto"/>
        </w:rPr>
        <w:t xml:space="preserve">”) that is three Business Days after the date on which financial statements are delivered to the Lenders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shall remain in effect until the next change to be effected pursuant to this paragraph. If any financial statements referred to above are not delivered within the time periods specified by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then, until the date that is three Business Days after the date on which such financial statements are delivered, Pricing Level I shall apply to the Revolving Credit Loans. In addition, at all times while an Event of Default shall have occurred and be continuing, Pricing Level I shall apply to the Revolving Credit Loans. </w:t>
      </w:r>
      <w:r>
        <w:rPr>
          <w:rFonts w:ascii="Arial" w:cs="Arial" w:eastAsia="Arial" w:hAnsi="Arial"/>
          <w:sz w:val="19"/>
          <w:szCs w:val="19"/>
          <w:color w:val="FF0000"/>
          <w:strike w:val="1"/>
        </w:rPr>
        <w:t>The Applicable Margin in effect from the</w:t>
      </w:r>
      <w:r>
        <w:rPr>
          <w:rFonts w:ascii="Arial" w:cs="Arial" w:eastAsia="Arial" w:hAnsi="Arial"/>
          <w:sz w:val="19"/>
          <w:szCs w:val="19"/>
          <w:color w:val="auto"/>
        </w:rPr>
        <w:t xml:space="preserve"> </w:t>
      </w:r>
      <w:r>
        <w:rPr>
          <w:rFonts w:ascii="Arial" w:cs="Arial" w:eastAsia="Arial" w:hAnsi="Arial"/>
          <w:sz w:val="19"/>
          <w:szCs w:val="19"/>
          <w:color w:val="FF0000"/>
          <w:strike w:val="1"/>
        </w:rPr>
        <w:t>Closing Date through the first Adjustment Date shall be Pricing Level II.</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means the rate of interest last quoted by The Wall Street Journal as the “Prime Rate” in the U.S. or, if The Wall Street Journal ceases to quote such rate, the highest per annum interest rate published by </w:t>
      </w:r>
      <w:r>
        <w:rPr>
          <w:rFonts w:ascii="Arial" w:cs="Arial" w:eastAsia="Arial" w:hAnsi="Arial"/>
          <w:sz w:val="22"/>
          <w:szCs w:val="22"/>
          <w:color w:val="FF0000"/>
          <w:strike w:val="1"/>
        </w:rPr>
        <w:t>the</w:t>
      </w:r>
      <w:r>
        <w:rPr>
          <w:rFonts w:ascii="Arial" w:cs="Arial" w:eastAsia="Arial" w:hAnsi="Arial"/>
          <w:sz w:val="22"/>
          <w:szCs w:val="22"/>
          <w:color w:val="auto"/>
        </w:rPr>
        <w:t xml:space="preserve">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Forma Cost Savings</w:t>
      </w:r>
      <w:r>
        <w:rPr>
          <w:rFonts w:ascii="Arial" w:cs="Arial" w:eastAsia="Arial" w:hAnsi="Arial"/>
          <w:sz w:val="22"/>
          <w:szCs w:val="22"/>
          <w:color w:val="auto"/>
        </w:rPr>
        <w:t>” means, with respect to any period, the reduction in costs that would have occurred since the beginning of such period that are (1) directly attributable to an acquisition and calculated on a basis that is consistent with Article II of Regulation S-X under the Securities Act as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40"/>
          </w:cols>
          <w:pgMar w:left="320" w:top="1428" w:right="339" w:bottom="1440" w:gutter="0" w:footer="0" w:header="0"/>
        </w:sectPr>
      </w:pPr>
    </w:p>
    <w:bookmarkStart w:id="128" w:name="page129"/>
    <w:bookmarkEnd w:id="128"/>
    <w:p>
      <w:pPr>
        <w:jc w:val="both"/>
        <w:spacing w:after="0" w:line="297" w:lineRule="auto"/>
        <w:rPr>
          <w:sz w:val="20"/>
          <w:szCs w:val="20"/>
          <w:color w:val="auto"/>
        </w:rPr>
      </w:pPr>
      <w:r>
        <w:rPr>
          <w:rFonts w:ascii="Arial" w:cs="Arial" w:eastAsia="Arial" w:hAnsi="Arial"/>
          <w:sz w:val="19"/>
          <w:szCs w:val="19"/>
          <w:color w:val="auto"/>
        </w:rPr>
        <w:t>effect on the date of this Agreement or (2) implemented by the business that was the subject of any such acquisition within one year of the date of the acquisition and that are supportable by the underlying accounting records of such business, as if, in the case of each of clauses (1) and (2), all such reductions in costs had been effected as of the beginning of such period, decreased by any incremental expenses (except to the extent capitalized on the Borrower’s consolidated balance sheet) incurred or to be incurred since the beginning of the period in order to achieve such reduction in costs.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Projections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6.2(b)</w:t>
      </w:r>
      <w:r>
        <w:rPr>
          <w:rFonts w:ascii="Arial" w:cs="Arial" w:eastAsia="Arial" w:hAnsi="Arial"/>
          <w:sz w:val="22"/>
          <w:szCs w:val="22"/>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Property</w:t>
      </w:r>
      <w:r>
        <w:rPr>
          <w:rFonts w:ascii="Arial" w:cs="Arial" w:eastAsia="Arial" w:hAnsi="Arial"/>
          <w:sz w:val="22"/>
          <w:szCs w:val="22"/>
          <w:color w:val="auto"/>
        </w:rPr>
        <w:t>” means as to any Person, any right or interest in or to property of any kind whatsoever, whether real, personal or mixed and whether tangible or intangible, including, without limitation, Capital Stock.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0000FF"/>
        </w:rPr>
        <w:t>“Q3 End Date” means the date of delivery of the Compliance Certificate pursuant to Section 6.2(a)(ii) in connection with the fiscal quarter ending on or about September 29, 2022.</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0000FF"/>
        </w:rPr>
        <w:t>“QFC” has the meaning assigned to the term “qualified financial contract” in, and shall be interpreted in accordance with, 12 U.S.C. 5390(c)(8)(D).</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FF"/>
        </w:rPr>
        <w:t>“Qualified Capital Stock” of any Person means any Capital Stock of such Person that is not Disqualified Capital Stock.</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Counterparty</w:t>
      </w:r>
      <w:r>
        <w:rPr>
          <w:rFonts w:ascii="Arial" w:cs="Arial" w:eastAsia="Arial" w:hAnsi="Arial"/>
          <w:sz w:val="22"/>
          <w:szCs w:val="22"/>
          <w:color w:val="auto"/>
        </w:rPr>
        <w:t>” means with respect to any Specified Hedge Agreement, any counterparty thereto that, at the time such Specified Hedge Agreement was entered into, was a Lender or an affiliate of a Lender.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Qualifying Lenders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2.11(c)(iv)</w:t>
      </w:r>
      <w:r>
        <w:rPr>
          <w:rFonts w:ascii="Arial" w:cs="Arial" w:eastAsia="Arial" w:hAnsi="Arial"/>
          <w:sz w:val="22"/>
          <w:szCs w:val="22"/>
          <w:color w:val="auto"/>
        </w:rPr>
        <w: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Recovery Event</w:t>
      </w:r>
      <w:r>
        <w:rPr>
          <w:rFonts w:ascii="Arial" w:cs="Arial" w:eastAsia="Arial" w:hAnsi="Arial"/>
          <w:sz w:val="22"/>
          <w:szCs w:val="22"/>
          <w:color w:val="auto"/>
        </w:rPr>
        <w:t>” means any settlement of or payment in respect of any property or casualty insurance claim (other than business interruption insurance) or any condemnation proceeding relating to any asset of the Borrower or any of its Subsidiaries that yields Net Cash Proceeds in excess of $10,000,000.</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Period</w:t>
      </w:r>
      <w:r>
        <w:rPr>
          <w:rFonts w:ascii="Arial" w:cs="Arial" w:eastAsia="Arial" w:hAnsi="Arial"/>
          <w:sz w:val="22"/>
          <w:szCs w:val="22"/>
          <w:color w:val="auto"/>
        </w:rPr>
        <w:t>” shall have the meaning as defined in the definition of “Consolidated EBITDA”.</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0000FF"/>
        </w:rPr>
        <w:t>“Prior Senior Secured Note Indenture” means the Indenture, dated as of April 27, 2012, entered into by the Borrower in connection with the issuance of the Prior Senior Secured Notes.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0000FF"/>
        </w:rPr>
        <w:t xml:space="preserve">“Prior Senior Secured Notes” the 6.00% senior secured notes of the Borrower due 2022 and issued pursuant to the Prior Senior Secured Note Indenture. The Prior </w:t>
      </w:r>
      <w:r>
        <w:rPr>
          <w:rFonts w:ascii="Arial" w:cs="Arial" w:eastAsia="Arial" w:hAnsi="Arial"/>
          <w:sz w:val="22"/>
          <w:szCs w:val="22"/>
          <w:u w:val="single" w:color="auto"/>
          <w:color w:val="008000"/>
        </w:rPr>
        <w:t>Senior Secured Notes are</w:t>
      </w:r>
      <w:r>
        <w:rPr>
          <w:rFonts w:ascii="Arial" w:cs="Arial" w:eastAsia="Arial" w:hAnsi="Arial"/>
          <w:sz w:val="22"/>
          <w:szCs w:val="22"/>
          <w:u w:val="single" w:color="auto"/>
          <w:color w:val="0000FF"/>
        </w:rPr>
        <w:t xml:space="preserve"> no longer outstanding.</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Notes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Refunded Swing Line Loans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2.7</w:t>
      </w:r>
      <w:r>
        <w:rPr>
          <w:rFonts w:ascii="Arial" w:cs="Arial" w:eastAsia="Arial" w:hAnsi="Arial"/>
          <w:sz w:val="22"/>
          <w:szCs w:val="22"/>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Refunding Date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2.7</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129" w:name="page130"/>
    <w:bookmarkEnd w:id="129"/>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10.6(d)</w:t>
      </w: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means Regulation U of the Board as in effect from time to time.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Reimbursement Obligation</w:t>
      </w:r>
      <w:r>
        <w:rPr>
          <w:rFonts w:ascii="Arial" w:cs="Arial" w:eastAsia="Arial" w:hAnsi="Arial"/>
          <w:sz w:val="22"/>
          <w:szCs w:val="22"/>
          <w:color w:val="auto"/>
        </w:rPr>
        <w:t xml:space="preserve">” means the obligation of the Borrower to reimburse each Issuing Lender pursuant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for amounts drawn under Letters of Credit issued by such Issuing Lender.</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Removal Effective Date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9.9</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Facility</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2.28(a)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Facility Amendment</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2.28(c)</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Facility Closing Date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2.28(c)</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Revolving Credit Commitments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2.28(d)</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Revolving Facility</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2.28(a)</w:t>
      </w:r>
      <w:r>
        <w:rPr>
          <w:rFonts w:ascii="Arial" w:cs="Arial" w:eastAsia="Arial" w:hAnsi="Arial"/>
          <w:sz w:val="22"/>
          <w:szCs w:val="22"/>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Revolving Credit Loans</w:t>
      </w:r>
      <w:r>
        <w:rPr>
          <w:rFonts w:ascii="Arial" w:cs="Arial" w:eastAsia="Arial" w:hAnsi="Arial"/>
          <w:sz w:val="22"/>
          <w:szCs w:val="22"/>
          <w:color w:val="auto"/>
        </w:rPr>
        <w:t>” means any loan made to the Borrower under a Class of Replacement Revolving Credit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Term Loans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Reportable Event</w:t>
      </w:r>
      <w:r>
        <w:rPr>
          <w:rFonts w:ascii="Arial" w:cs="Arial" w:eastAsia="Arial" w:hAnsi="Arial"/>
          <w:sz w:val="22"/>
          <w:szCs w:val="22"/>
          <w:color w:val="auto"/>
        </w:rPr>
        <w:t>” means any of the events set forth in Section 4043(c) of ERISA, other than those events as to which the thirty day notice period is waived.</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Repricing Event</w:t>
      </w:r>
      <w:r>
        <w:rPr>
          <w:rFonts w:ascii="Arial" w:cs="Arial" w:eastAsia="Arial" w:hAnsi="Arial"/>
          <w:sz w:val="21"/>
          <w:szCs w:val="21"/>
          <w:color w:val="FF0000"/>
          <w:strike w:val="1"/>
        </w:rPr>
        <w:t xml:space="preserve">” means (i) any full or partial prepayment of Term Loans in each case made with the proceeds of, or any conversion of any Term Loans into, any new or replacement tranche of long-term secured term loans the primary purpose of which is to reduce the All-In Yield to an amount that is less than the All-In Yield </w:t>
      </w:r>
      <w:r>
        <w:rPr>
          <w:rFonts w:ascii="Arial" w:cs="Arial" w:eastAsia="Arial" w:hAnsi="Arial"/>
          <w:sz w:val="21"/>
          <w:szCs w:val="21"/>
          <w:color w:val="008000"/>
          <w:strike w:val="1"/>
        </w:rPr>
        <w:t>applicable to the Term Loans</w:t>
      </w:r>
      <w:r>
        <w:rPr>
          <w:rFonts w:ascii="Arial" w:cs="Arial" w:eastAsia="Arial" w:hAnsi="Arial"/>
          <w:sz w:val="21"/>
          <w:szCs w:val="21"/>
          <w:color w:val="FF0000"/>
          <w:strike w:val="1"/>
        </w:rPr>
        <w:t xml:space="preserve"> or (ii) any amendment the primary purpose of which is to reduce the All-In Yield applicable to the Term </w:t>
      </w:r>
      <w:r>
        <w:rPr>
          <w:rFonts w:ascii="Arial" w:cs="Arial" w:eastAsia="Arial" w:hAnsi="Arial"/>
          <w:sz w:val="21"/>
          <w:szCs w:val="21"/>
          <w:color w:val="008000"/>
          <w:strike w:val="1"/>
        </w:rPr>
        <w:t>Loans (it being understood that</w:t>
      </w:r>
      <w:r>
        <w:rPr>
          <w:rFonts w:ascii="Arial" w:cs="Arial" w:eastAsia="Arial" w:hAnsi="Arial"/>
          <w:sz w:val="21"/>
          <w:szCs w:val="21"/>
          <w:color w:val="FF0000"/>
          <w:strike w:val="1"/>
        </w:rPr>
        <w:t xml:space="preserve"> any prepayment premium with respect to a Repricing Event shall apply to any required assignment by a non-consenting Lender in connection with any such amendment pursuant to </w:t>
      </w:r>
      <w:r>
        <w:rPr>
          <w:rFonts w:ascii="Arial" w:cs="Arial" w:eastAsia="Arial" w:hAnsi="Arial"/>
          <w:sz w:val="21"/>
          <w:szCs w:val="21"/>
          <w:u w:val="single" w:color="auto"/>
          <w:color w:val="FF0000"/>
          <w:strike w:val="1"/>
        </w:rPr>
        <w:t>Section 10.6</w:t>
      </w:r>
      <w:r>
        <w:rPr>
          <w:rFonts w:ascii="Arial" w:cs="Arial" w:eastAsia="Arial" w:hAnsi="Arial"/>
          <w:sz w:val="21"/>
          <w:szCs w:val="21"/>
          <w:color w:val="FF0000"/>
          <w:strike w:val="1"/>
        </w:rPr>
        <w:t>), other than, in the cases of each of clauses (i) and (ii), in connection with a Change of Control or Transformative Acquisition.</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xml:space="preserve">” means at any time, the holders of more than 50% of the sum of (i) the aggregate unpaid principal amount of the Term Loans then outstanding and (ii) the Total Revolving Credit Commitments then in effect or, if the Revolving Credit Commitments have been terminated, the Total Revolving Extensions of Credit then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that the Revolving Credit Commitments of, and the portion of the Term Loans held or deemed held by, any Defaulting Lender shall be excluded for purposes of making a determination of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130" w:name="page131"/>
    <w:bookmarkEnd w:id="130"/>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Requirement of Law</w:t>
      </w:r>
      <w:r>
        <w:rPr>
          <w:rFonts w:ascii="Arial" w:cs="Arial" w:eastAsia="Arial" w:hAnsi="Arial"/>
          <w:sz w:val="22"/>
          <w:szCs w:val="22"/>
          <w:color w:val="auto"/>
        </w:rPr>
        <w:t>” means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0000FF"/>
        </w:rPr>
        <w:t>“Resolution Authority” means an EEA Resolution Authority or, with respect to any UK Financial Institution, a UK Resolution Authority.</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the chief executive officer, chief financial officer, treasurer or general counsel of Holdings (in its capacity as manager of the Borrower), but in any event, with respect to financial matters, the chief executive officer or chief financial officer of Holdings (in its capacity as manager of the Borrower).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7.6</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Revolver Extension Date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2.27(d)</w:t>
      </w:r>
      <w:r>
        <w:rPr>
          <w:rFonts w:ascii="Arial" w:cs="Arial" w:eastAsia="Arial" w:hAnsi="Arial"/>
          <w:sz w:val="22"/>
          <w:szCs w:val="22"/>
          <w:color w:val="auto"/>
        </w:rPr>
        <w:t>.</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Commitment</w:t>
      </w:r>
      <w:r>
        <w:rPr>
          <w:rFonts w:ascii="Arial" w:cs="Arial" w:eastAsia="Arial" w:hAnsi="Arial"/>
          <w:sz w:val="21"/>
          <w:szCs w:val="21"/>
          <w:color w:val="auto"/>
        </w:rPr>
        <w:t xml:space="preserve">” means with respect to each Revolving Credit Lender, such Revolving Credit Lender’s commitment to make Revolving Credit Loans hereunder, as such commitment may be reduced or increased from time to time pursuant to the terms hereof </w:t>
      </w:r>
      <w:r>
        <w:rPr>
          <w:rFonts w:ascii="Arial" w:cs="Arial" w:eastAsia="Arial" w:hAnsi="Arial"/>
          <w:sz w:val="21"/>
          <w:szCs w:val="21"/>
          <w:u w:val="single" w:color="auto"/>
          <w:color w:val="0000FF"/>
        </w:rPr>
        <w:t>(including by establishing a separate tranche of revolving loans)</w:t>
      </w:r>
      <w:r>
        <w:rPr>
          <w:rFonts w:ascii="Arial" w:cs="Arial" w:eastAsia="Arial" w:hAnsi="Arial"/>
          <w:sz w:val="21"/>
          <w:szCs w:val="21"/>
          <w:color w:val="auto"/>
        </w:rPr>
        <w:t xml:space="preserve">, or in an Assignment and Acceptance pursuant to which such lender shall have assigned or assumed its Revolving Credit Commitment, or in any Incremental Amendment, as applicable. The amount of each Revolving Credit Lender’s Revolving Credit Commitment is set forth on </w:t>
      </w:r>
      <w:r>
        <w:rPr>
          <w:rFonts w:ascii="Arial" w:cs="Arial" w:eastAsia="Arial" w:hAnsi="Arial"/>
          <w:sz w:val="21"/>
          <w:szCs w:val="21"/>
          <w:u w:val="single" w:color="auto"/>
          <w:color w:val="auto"/>
        </w:rPr>
        <w:t>Schedule 2.3</w:t>
      </w:r>
      <w:r>
        <w:rPr>
          <w:rFonts w:ascii="Arial" w:cs="Arial" w:eastAsia="Arial" w:hAnsi="Arial"/>
          <w:sz w:val="21"/>
          <w:szCs w:val="21"/>
          <w:color w:val="auto"/>
        </w:rPr>
        <w:t xml:space="preserve"> or in the Assignment and Assumption or Incremental Amendment pursuant to which such Revolving Credit Lender shall have assumed its Revolving Credit Commitment, as applicable. The aggregate amount of the Revolving Credit Commitments in effect on the Closing Date is $175,000,000.</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Commitment Increase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2.25</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Commitment Increase Lender</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2.25</w:t>
      </w:r>
      <w:r>
        <w:rPr>
          <w:rFonts w:ascii="Arial" w:cs="Arial" w:eastAsia="Arial" w:hAnsi="Arial"/>
          <w:sz w:val="22"/>
          <w:szCs w:val="22"/>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Commitment Period</w:t>
      </w:r>
      <w:r>
        <w:rPr>
          <w:rFonts w:ascii="Arial" w:cs="Arial" w:eastAsia="Arial" w:hAnsi="Arial"/>
          <w:sz w:val="22"/>
          <w:szCs w:val="22"/>
          <w:color w:val="auto"/>
        </w:rPr>
        <w:t>” means the period from and including the Closing Date to the latest Revolving Credit Termination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Facility</w:t>
      </w:r>
      <w:r>
        <w:rPr>
          <w:rFonts w:ascii="Arial" w:cs="Arial" w:eastAsia="Arial" w:hAnsi="Arial"/>
          <w:sz w:val="22"/>
          <w:szCs w:val="22"/>
          <w:color w:val="auto"/>
        </w:rPr>
        <w:t xml:space="preserve">” shall have the meaning as defined in the definition of “Facility”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Lender</w:t>
      </w:r>
      <w:r>
        <w:rPr>
          <w:rFonts w:ascii="Arial" w:cs="Arial" w:eastAsia="Arial" w:hAnsi="Arial"/>
          <w:sz w:val="22"/>
          <w:szCs w:val="22"/>
          <w:color w:val="auto"/>
        </w:rPr>
        <w:t>” means each Lender that has a Revolving Credit Commitment or that is the holder of Revolving Credit Loans.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Loans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Maturity Date</w:t>
      </w:r>
      <w:r>
        <w:rPr>
          <w:rFonts w:ascii="Arial" w:cs="Arial" w:eastAsia="Arial" w:hAnsi="Arial"/>
          <w:sz w:val="22"/>
          <w:szCs w:val="22"/>
          <w:color w:val="auto"/>
        </w:rPr>
        <w:t xml:space="preserve">” means the means subject to </w:t>
      </w:r>
      <w:r>
        <w:rPr>
          <w:rFonts w:ascii="Arial" w:cs="Arial" w:eastAsia="Arial" w:hAnsi="Arial"/>
          <w:sz w:val="22"/>
          <w:szCs w:val="22"/>
          <w:u w:val="single" w:color="auto"/>
          <w:color w:val="auto"/>
        </w:rPr>
        <w:t>Section 2.27</w:t>
      </w:r>
      <w:r>
        <w:rPr>
          <w:rFonts w:ascii="Arial" w:cs="Arial" w:eastAsia="Arial" w:hAnsi="Arial"/>
          <w:sz w:val="22"/>
          <w:szCs w:val="22"/>
          <w:color w:val="auto"/>
        </w:rPr>
        <w:t>, the fifth anniversary of the Closing Date</w:t>
      </w:r>
      <w:r>
        <w:rPr>
          <w:rFonts w:ascii="Arial" w:cs="Arial" w:eastAsia="Arial" w:hAnsi="Arial"/>
          <w:sz w:val="22"/>
          <w:szCs w:val="22"/>
          <w:color w:val="FF0000"/>
          <w:strike w:val="1"/>
        </w:rPr>
        <w:t>;</w:t>
      </w:r>
      <w:r>
        <w:rPr>
          <w:rFonts w:ascii="Arial" w:cs="Arial" w:eastAsia="Arial" w:hAnsi="Arial"/>
          <w:sz w:val="22"/>
          <w:szCs w:val="22"/>
          <w:color w:val="auto"/>
        </w:rPr>
        <w:t xml:space="preserve"> </w:t>
      </w:r>
      <w:r>
        <w:rPr>
          <w:rFonts w:ascii="Arial" w:cs="Arial" w:eastAsia="Arial" w:hAnsi="Arial"/>
          <w:sz w:val="22"/>
          <w:szCs w:val="22"/>
          <w:u w:val="single" w:color="auto"/>
          <w:color w:val="FF0000"/>
          <w:strike w:val="1"/>
        </w:rPr>
        <w:t>provided</w:t>
      </w:r>
      <w:r>
        <w:rPr>
          <w:rFonts w:ascii="Arial" w:cs="Arial" w:eastAsia="Arial" w:hAnsi="Arial"/>
          <w:sz w:val="22"/>
          <w:szCs w:val="22"/>
          <w:color w:val="auto"/>
        </w:rPr>
        <w:t xml:space="preserve"> </w:t>
      </w:r>
      <w:r>
        <w:rPr>
          <w:rFonts w:ascii="Arial" w:cs="Arial" w:eastAsia="Arial" w:hAnsi="Arial"/>
          <w:sz w:val="22"/>
          <w:szCs w:val="22"/>
          <w:color w:val="FF0000"/>
          <w:strike w:val="1"/>
        </w:rPr>
        <w:t>that if the Senior Secured Notes are not refinanced on or prior to October 30, 2021, then the Revolving Credit Facility will mature on December 30, 2021</w:t>
      </w:r>
      <w:r>
        <w:rPr>
          <w:rFonts w:ascii="Arial" w:cs="Arial" w:eastAsia="Arial" w:hAnsi="Arial"/>
          <w:sz w:val="22"/>
          <w:szCs w:val="22"/>
          <w:color w:val="000000"/>
          <w:strike w:val="1"/>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Note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131" w:name="page132"/>
    <w:bookmarkEnd w:id="131"/>
    <w:p>
      <w:pPr>
        <w:jc w:val="both"/>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Percentage</w:t>
      </w:r>
      <w:r>
        <w:rPr>
          <w:rFonts w:ascii="Arial" w:cs="Arial" w:eastAsia="Arial" w:hAnsi="Arial"/>
          <w:sz w:val="21"/>
          <w:szCs w:val="21"/>
          <w:color w:val="auto"/>
        </w:rPr>
        <w:t xml:space="preserve">” means as to any Revolving Credit Lender at any time, the percentage which such Lender’s Revolving Credit Commitment then constitutes of the Total Revolving Credit Commitments (or, at any time after the Revolving Credit Commitments shall have expired or terminated, the percentage which the aggregate principal amount of such Lender’s Revolving Extensions of Credit then outstanding constitutes of the aggregate principal amount of the Total Revolving Extensions of Credit then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when a Defaulting Lender shall exist, “Revolving Credit Percentage” shall mean the percentage of the Total Revolving Credit Commitments (disregarding any Defaulting Lender’s Revolving Credit Commitment) represented by such Lender’s Revolving Credit Commitment.</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Revolving Credit Termination Date</w:t>
      </w:r>
      <w:r>
        <w:rPr>
          <w:rFonts w:ascii="Arial" w:cs="Arial" w:eastAsia="Arial" w:hAnsi="Arial"/>
          <w:sz w:val="21"/>
          <w:szCs w:val="21"/>
          <w:color w:val="auto"/>
        </w:rPr>
        <w:t>” means the date on which the Revolving Credit Commitments shall have terminated, no Revolving Credit Loans shall be outstanding and the Revolving Credit Lenders shall have no more L/C Obligations.</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Extensions of Credit</w:t>
      </w:r>
      <w:r>
        <w:rPr>
          <w:rFonts w:ascii="Arial" w:cs="Arial" w:eastAsia="Arial" w:hAnsi="Arial"/>
          <w:sz w:val="22"/>
          <w:szCs w:val="22"/>
          <w:color w:val="auto"/>
        </w:rPr>
        <w:t>” means as to any Revolving Credit Lender at any time, an amount equal to the sum of (a) the aggregate principal amount of all Revolving Credit Loans made by such Lender then outstanding, (b) such Lender’s Revolving Credit Percentage of the L/C Obligations then outstanding and (c) such Lender’s Revolving Credit Percentage of the aggregate principal amount of Swing Line Loans then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4.22(c)</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4.22(c)</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(or successors thereto or an analogous Governmental Authority).</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shall have the meaning as defined in the Guarantee and Collateral Agreement.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means the collective reference to the Guarantee and Collateral Agreement, the Mortgages, if any, and all other security documents hereafter delivered to the Administrative Agent granting a Lien on any Property of any Person to secure the obligations and liabilities of any Loan Party under any Loan Document.</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Note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2028</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Indenture</w:t>
      </w:r>
      <w:r>
        <w:rPr>
          <w:rFonts w:ascii="Arial" w:cs="Arial" w:eastAsia="Arial" w:hAnsi="Arial"/>
          <w:sz w:val="22"/>
          <w:szCs w:val="22"/>
          <w:color w:val="auto"/>
        </w:rPr>
        <w:t xml:space="preserve">” means the Indenture, dated as of </w:t>
      </w:r>
      <w:r>
        <w:rPr>
          <w:rFonts w:ascii="Arial" w:cs="Arial" w:eastAsia="Arial" w:hAnsi="Arial"/>
          <w:sz w:val="22"/>
          <w:szCs w:val="22"/>
          <w:color w:val="FF0000"/>
          <w:strike w:val="1"/>
        </w:rPr>
        <w:t>April 27</w:t>
      </w:r>
      <w:r>
        <w:rPr>
          <w:rFonts w:ascii="Arial" w:cs="Arial" w:eastAsia="Arial" w:hAnsi="Arial"/>
          <w:sz w:val="22"/>
          <w:szCs w:val="22"/>
          <w:u w:val="single" w:color="auto"/>
          <w:color w:val="0000FF"/>
        </w:rPr>
        <w:t>October 8</w:t>
      </w:r>
      <w:r>
        <w:rPr>
          <w:rFonts w:ascii="Arial" w:cs="Arial" w:eastAsia="Arial" w:hAnsi="Arial"/>
          <w:sz w:val="22"/>
          <w:szCs w:val="22"/>
          <w:color w:val="auto"/>
        </w:rPr>
        <w:t xml:space="preserve">, </w:t>
      </w:r>
      <w:r>
        <w:rPr>
          <w:rFonts w:ascii="Arial" w:cs="Arial" w:eastAsia="Arial" w:hAnsi="Arial"/>
          <w:sz w:val="22"/>
          <w:szCs w:val="22"/>
          <w:color w:val="FF0000"/>
          <w:strike w:val="1"/>
        </w:rPr>
        <w:t>2012</w:t>
      </w:r>
      <w:r>
        <w:rPr>
          <w:rFonts w:ascii="Arial" w:cs="Arial" w:eastAsia="Arial" w:hAnsi="Arial"/>
          <w:sz w:val="22"/>
          <w:szCs w:val="22"/>
          <w:u w:val="single" w:color="auto"/>
          <w:color w:val="0000FF"/>
        </w:rPr>
        <w:t>2019</w:t>
      </w:r>
      <w:r>
        <w:rPr>
          <w:rFonts w:ascii="Arial" w:cs="Arial" w:eastAsia="Arial" w:hAnsi="Arial"/>
          <w:sz w:val="22"/>
          <w:szCs w:val="22"/>
          <w:color w:val="auto"/>
        </w:rPr>
        <w:t xml:space="preserve">, entered into by the Borrower in connection with the issuance of the Senior Secured </w:t>
      </w:r>
      <w:r>
        <w:rPr>
          <w:rFonts w:ascii="Arial" w:cs="Arial" w:eastAsia="Arial" w:hAnsi="Arial"/>
          <w:sz w:val="22"/>
          <w:szCs w:val="22"/>
          <w:u w:val="single" w:color="auto"/>
          <w:color w:val="0000FF"/>
        </w:rPr>
        <w:t>2028</w:t>
      </w:r>
      <w:r>
        <w:rPr>
          <w:rFonts w:ascii="Arial" w:cs="Arial" w:eastAsia="Arial" w:hAnsi="Arial"/>
          <w:sz w:val="22"/>
          <w:szCs w:val="22"/>
          <w:color w:val="auto"/>
        </w:rPr>
        <w:t xml:space="preserve"> Notes, together with all instruments and other agreements entered into by the Borrower in connection therewith, as the same may be amended, supplemented or modified from time to time in accordance with </w:t>
      </w:r>
      <w:r>
        <w:rPr>
          <w:rFonts w:ascii="Arial" w:cs="Arial" w:eastAsia="Arial" w:hAnsi="Arial"/>
          <w:sz w:val="22"/>
          <w:szCs w:val="22"/>
          <w:u w:val="single" w:color="auto"/>
          <w:color w:val="auto"/>
        </w:rPr>
        <w:t>Section 7.9</w:t>
      </w:r>
      <w:r>
        <w:rPr>
          <w:rFonts w:ascii="Arial" w:cs="Arial" w:eastAsia="Arial" w:hAnsi="Arial"/>
          <w:sz w:val="22"/>
          <w:szCs w:val="22"/>
          <w:color w:val="auto"/>
        </w:rPr>
        <w: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w:t>
      </w:r>
      <w:r>
        <w:rPr>
          <w:rFonts w:ascii="Arial" w:cs="Arial" w:eastAsia="Arial" w:hAnsi="Arial"/>
          <w:sz w:val="22"/>
          <w:szCs w:val="22"/>
          <w:color w:val="auto"/>
        </w:rPr>
        <w:t xml:space="preserve"> </w:t>
      </w:r>
      <w:r>
        <w:rPr>
          <w:rFonts w:ascii="Arial" w:cs="Arial" w:eastAsia="Arial" w:hAnsi="Arial"/>
          <w:sz w:val="22"/>
          <w:szCs w:val="22"/>
          <w:u w:val="single" w:color="auto"/>
          <w:color w:val="0000FF"/>
        </w:rPr>
        <w:t>2028</w:t>
      </w:r>
      <w:r>
        <w:rPr>
          <w:rFonts w:ascii="Arial" w:cs="Arial" w:eastAsia="Arial" w:hAnsi="Arial"/>
          <w:sz w:val="22"/>
          <w:szCs w:val="22"/>
          <w:color w:val="auto"/>
        </w:rPr>
        <w:t xml:space="preserve"> </w:t>
      </w:r>
      <w:r>
        <w:rPr>
          <w:rFonts w:ascii="Arial" w:cs="Arial" w:eastAsia="Arial" w:hAnsi="Arial"/>
          <w:sz w:val="22"/>
          <w:szCs w:val="22"/>
          <w:u w:val="single" w:color="auto"/>
          <w:color w:val="auto"/>
        </w:rPr>
        <w:t>Notes</w:t>
      </w:r>
      <w:r>
        <w:rPr>
          <w:rFonts w:ascii="Arial" w:cs="Arial" w:eastAsia="Arial" w:hAnsi="Arial"/>
          <w:sz w:val="22"/>
          <w:szCs w:val="22"/>
          <w:color w:val="auto"/>
        </w:rPr>
        <w:t xml:space="preserve">” the </w:t>
      </w:r>
      <w:r>
        <w:rPr>
          <w:rFonts w:ascii="Arial" w:cs="Arial" w:eastAsia="Arial" w:hAnsi="Arial"/>
          <w:sz w:val="22"/>
          <w:szCs w:val="22"/>
          <w:color w:val="FF0000"/>
          <w:strike w:val="1"/>
        </w:rPr>
        <w:t>6.00% Senior Secured Notes</w:t>
      </w:r>
      <w:r>
        <w:rPr>
          <w:rFonts w:ascii="Arial" w:cs="Arial" w:eastAsia="Arial" w:hAnsi="Arial"/>
          <w:sz w:val="22"/>
          <w:szCs w:val="22"/>
          <w:u w:val="single" w:color="auto"/>
          <w:color w:val="0000FF"/>
        </w:rPr>
        <w:t>5.875% senior secured notes</w:t>
      </w:r>
      <w:r>
        <w:rPr>
          <w:rFonts w:ascii="Arial" w:cs="Arial" w:eastAsia="Arial" w:hAnsi="Arial"/>
          <w:sz w:val="22"/>
          <w:szCs w:val="22"/>
          <w:color w:val="auto"/>
        </w:rPr>
        <w:t xml:space="preserve"> of the Borrower due </w:t>
      </w:r>
      <w:r>
        <w:rPr>
          <w:rFonts w:ascii="Arial" w:cs="Arial" w:eastAsia="Arial" w:hAnsi="Arial"/>
          <w:sz w:val="22"/>
          <w:szCs w:val="22"/>
          <w:color w:val="FF0000"/>
          <w:strike w:val="1"/>
        </w:rPr>
        <w:t>2022</w:t>
      </w:r>
      <w:r>
        <w:rPr>
          <w:rFonts w:ascii="Arial" w:cs="Arial" w:eastAsia="Arial" w:hAnsi="Arial"/>
          <w:sz w:val="22"/>
          <w:szCs w:val="22"/>
          <w:u w:val="single" w:color="auto"/>
          <w:color w:val="0000FF"/>
        </w:rPr>
        <w:t>2028</w:t>
      </w:r>
      <w:r>
        <w:rPr>
          <w:rFonts w:ascii="Arial" w:cs="Arial" w:eastAsia="Arial" w:hAnsi="Arial"/>
          <w:sz w:val="22"/>
          <w:szCs w:val="22"/>
          <w:color w:val="auto"/>
        </w:rPr>
        <w:t xml:space="preserve"> and issued pursuant to the Senior Secured </w:t>
      </w:r>
      <w:r>
        <w:rPr>
          <w:rFonts w:ascii="Arial" w:cs="Arial" w:eastAsia="Arial" w:hAnsi="Arial"/>
          <w:sz w:val="22"/>
          <w:szCs w:val="22"/>
          <w:color w:val="FF0000"/>
          <w:strike w:val="1"/>
        </w:rPr>
        <w:t>Notes</w:t>
      </w:r>
      <w:r>
        <w:rPr>
          <w:rFonts w:ascii="Arial" w:cs="Arial" w:eastAsia="Arial" w:hAnsi="Arial"/>
          <w:sz w:val="22"/>
          <w:szCs w:val="22"/>
          <w:u w:val="single" w:color="auto"/>
          <w:color w:val="0000FF"/>
        </w:rPr>
        <w:t>Note 2028</w:t>
      </w:r>
      <w:r>
        <w:rPr>
          <w:rFonts w:ascii="Arial" w:cs="Arial" w:eastAsia="Arial" w:hAnsi="Arial"/>
          <w:sz w:val="22"/>
          <w:szCs w:val="22"/>
          <w:color w:val="auto"/>
        </w:rPr>
        <w:t xml:space="preserve"> Indenture.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Unsecured Note Indenture</w:t>
      </w:r>
      <w:r>
        <w:rPr>
          <w:rFonts w:ascii="Arial" w:cs="Arial" w:eastAsia="Arial" w:hAnsi="Arial"/>
          <w:sz w:val="22"/>
          <w:szCs w:val="22"/>
          <w:color w:val="auto"/>
        </w:rPr>
        <w:t xml:space="preserve">” means the Indenture, dated as of August 19, 2016, entered into by the Borrower in connection with the issuance of the Senior Unsecured Notes, together with all instruments and other agreements entered into by the Borrower in connection therewith, as the same may be amended, supplemented or modified from time to time in accordance with </w:t>
      </w:r>
      <w:r>
        <w:rPr>
          <w:rFonts w:ascii="Arial" w:cs="Arial" w:eastAsia="Arial" w:hAnsi="Arial"/>
          <w:sz w:val="22"/>
          <w:szCs w:val="22"/>
          <w:u w:val="single" w:color="auto"/>
          <w:color w:val="auto"/>
        </w:rPr>
        <w:t>Section 7.9</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28" w:right="339" w:bottom="1440" w:gutter="0" w:footer="0" w:header="0"/>
        </w:sectPr>
      </w:pPr>
    </w:p>
    <w:bookmarkStart w:id="132" w:name="page133"/>
    <w:bookmarkEnd w:id="132"/>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Unsecured Notes</w:t>
      </w:r>
      <w:r>
        <w:rPr>
          <w:rFonts w:ascii="Arial" w:cs="Arial" w:eastAsia="Arial" w:hAnsi="Arial"/>
          <w:sz w:val="22"/>
          <w:szCs w:val="22"/>
          <w:color w:val="auto"/>
        </w:rPr>
        <w:t>” the 5.750% Senior Unsecured Notes of the Borrower due 2026 and issued pursuant to the Senior Unsecured Notes Indenture.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Single Employer Plan</w:t>
      </w:r>
      <w:r>
        <w:rPr>
          <w:rFonts w:ascii="Arial" w:cs="Arial" w:eastAsia="Arial" w:hAnsi="Arial"/>
          <w:sz w:val="22"/>
          <w:szCs w:val="22"/>
          <w:color w:val="auto"/>
        </w:rPr>
        <w:t>” means any Plan that is covered by Title IV of ERISA, but which is not a Multiemployer Plan.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Solicited Discount Proration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2.11(c)(iv)</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Solicited Discounted Prepayment Amount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2.11(c)(iv)</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Solicited Discounted Prepayment Response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2.11(c)(iv)</w:t>
      </w:r>
      <w:r>
        <w:rPr>
          <w:rFonts w:ascii="Arial" w:cs="Arial" w:eastAsia="Arial" w:hAnsi="Arial"/>
          <w:sz w:val="22"/>
          <w:szCs w:val="22"/>
          <w:color w:val="auto"/>
        </w:rPr>
        <w:t>.</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Solvent</w:t>
      </w:r>
      <w:r>
        <w:rPr>
          <w:rFonts w:ascii="Arial" w:cs="Arial" w:eastAsia="Arial" w:hAnsi="Arial"/>
          <w:sz w:val="22"/>
          <w:szCs w:val="22"/>
          <w:color w:val="auto"/>
        </w:rPr>
        <w:t>” means with respect to any Person, as of any date of determination, that on such date (a) the amount of the present fair saleable value of the property of such Person will, as of such date, exceed the amount of all debts of such Person at a fair valuation, contingent or otherwise, as of such date, (b) the Loan Parties on a consolidated basis will not have, as of such date, an unreasonably small amount of capital with which to conduct its business as then conducted, and (c) such Person will generally be able to pay their debts as they mature.</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Specified Cash Management Obligations</w:t>
      </w:r>
      <w:r>
        <w:rPr>
          <w:rFonts w:ascii="Arial" w:cs="Arial" w:eastAsia="Arial" w:hAnsi="Arial"/>
          <w:sz w:val="21"/>
          <w:szCs w:val="21"/>
          <w:color w:val="auto"/>
        </w:rPr>
        <w:t>” means Cash Management Obligations that (a) are owed pursuant to a Cash Management Agreement in effect on the Closing Date, entered into with a party that was the Administrative Agent or a Lender as of the Closing Date or an Affiliate thereof, or (b) are owed pursuant to a Cash Management Agreement entered into after the Closing Date with a party that was the Administrative Agent or a Lender or an Affiliate of a Lender or the Administrative Agent, in each case at the time such Cash Management Agreement was entered into, and, in the case of any such Cash Management Agreement referred to in clause (a) or (b) above (other than any such Cash Management Agreement entered into with the Administrative Agent or an Affiliate thereof), has been designated by the Borrower in a written notice given to the Administrative Agent (to be distributed by the Administrative Agent, in the case of a Cash Management Agreement entered into with a Lender, to such Lender) as a Cash Management Agreement the obligations under which are to constitute Specified Cash Management Obligations for purposes of the Loan Documents.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Discount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Discounted Prepayment Amount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2.11(c)(ii)</w:t>
      </w:r>
      <w:r>
        <w:rPr>
          <w:rFonts w:ascii="Arial" w:cs="Arial" w:eastAsia="Arial" w:hAnsi="Arial"/>
          <w:sz w:val="22"/>
          <w:szCs w:val="22"/>
          <w:color w:val="auto"/>
        </w:rPr>
        <w:t>.</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Discount Prepayment Notice</w:t>
      </w:r>
      <w:r>
        <w:rPr>
          <w:rFonts w:ascii="Arial" w:cs="Arial" w:eastAsia="Arial" w:hAnsi="Arial"/>
          <w:sz w:val="22"/>
          <w:szCs w:val="22"/>
          <w:color w:val="auto"/>
        </w:rPr>
        <w:t xml:space="preserve">” means a written notice of the Borrower Offer of Specified Discount Prepayment made pursuant to </w:t>
      </w:r>
      <w:r>
        <w:rPr>
          <w:rFonts w:ascii="Arial" w:cs="Arial" w:eastAsia="Arial" w:hAnsi="Arial"/>
          <w:sz w:val="22"/>
          <w:szCs w:val="22"/>
          <w:u w:val="single" w:color="auto"/>
          <w:color w:val="auto"/>
        </w:rPr>
        <w:t>Section 2.11(c)(ii)(a)</w:t>
      </w:r>
      <w:r>
        <w:rPr>
          <w:rFonts w:ascii="Arial" w:cs="Arial" w:eastAsia="Arial" w:hAnsi="Arial"/>
          <w:sz w:val="22"/>
          <w:szCs w:val="22"/>
          <w:color w:val="auto"/>
        </w:rPr>
        <w:t xml:space="preserve"> substantially in a form mutually agreed to by the Borrower, the Auction Agent and the Administrative Agent.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Discount Prepayment Response</w:t>
      </w:r>
      <w:r>
        <w:rPr>
          <w:rFonts w:ascii="Arial" w:cs="Arial" w:eastAsia="Arial" w:hAnsi="Arial"/>
          <w:sz w:val="22"/>
          <w:szCs w:val="22"/>
          <w:color w:val="auto"/>
        </w:rPr>
        <w:t>” means the irrevocable written response by each Lender, substantially in a form mutually agreed to by the Borrower, the Auction Agent and the Administrative Agent, to a Specified Discount Prepayment Notice.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Discount Proration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Discounted Prepayment Response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2.11(c)(ii)</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7"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Existing Revolving Credit Commitment Class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Existing Term Loan Commitment Class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2.27(a)</w:t>
      </w:r>
      <w:r>
        <w:rPr>
          <w:rFonts w:ascii="Arial" w:cs="Arial" w:eastAsia="Arial" w:hAnsi="Arial"/>
          <w:sz w:val="22"/>
          <w:szCs w:val="22"/>
          <w:color w:val="auto"/>
        </w:rPr>
        <w:t>.</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Hedge Agreement</w:t>
      </w:r>
      <w:r>
        <w:rPr>
          <w:rFonts w:ascii="Arial" w:cs="Arial" w:eastAsia="Arial" w:hAnsi="Arial"/>
          <w:sz w:val="22"/>
          <w:szCs w:val="22"/>
          <w:color w:val="auto"/>
        </w:rPr>
        <w:t>” means any Hedge Agreement entered into by the Borrower or any Subsidiary Guarantor and any Qualified Counterparty.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008000"/>
          <w:strike w:val="1"/>
        </w:rPr>
        <w:t>“</w:t>
      </w:r>
      <w:r>
        <w:rPr>
          <w:rFonts w:ascii="Arial" w:cs="Arial" w:eastAsia="Arial" w:hAnsi="Arial"/>
          <w:sz w:val="22"/>
          <w:szCs w:val="22"/>
          <w:u w:val="single" w:color="auto"/>
          <w:color w:val="008000"/>
          <w:strike w:val="1"/>
        </w:rPr>
        <w:t>Submitted Amount</w:t>
      </w:r>
      <w:r>
        <w:rPr>
          <w:rFonts w:ascii="Arial" w:cs="Arial" w:eastAsia="Arial" w:hAnsi="Arial"/>
          <w:sz w:val="22"/>
          <w:szCs w:val="22"/>
          <w:color w:val="008000"/>
          <w:strike w:val="1"/>
        </w:rPr>
        <w:t xml:space="preserve">”: as defined in </w:t>
      </w:r>
      <w:r>
        <w:rPr>
          <w:rFonts w:ascii="Arial" w:cs="Arial" w:eastAsia="Arial" w:hAnsi="Arial"/>
          <w:sz w:val="22"/>
          <w:szCs w:val="22"/>
          <w:u w:val="single" w:color="auto"/>
          <w:color w:val="008000"/>
          <w:strike w:val="1"/>
        </w:rPr>
        <w:t>Section 2.11(c)(iii)</w:t>
      </w:r>
      <w:r>
        <w:rPr>
          <w:rFonts w:ascii="Arial" w:cs="Arial" w:eastAsia="Arial" w:hAnsi="Arial"/>
          <w:sz w:val="22"/>
          <w:szCs w:val="22"/>
          <w:color w:val="008000"/>
          <w:strike w:val="1"/>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008000"/>
          <w:strike w:val="1"/>
        </w:rPr>
        <w:t>“</w:t>
      </w:r>
      <w:r>
        <w:rPr>
          <w:rFonts w:ascii="Arial" w:cs="Arial" w:eastAsia="Arial" w:hAnsi="Arial"/>
          <w:sz w:val="22"/>
          <w:szCs w:val="22"/>
          <w:u w:val="single" w:color="auto"/>
          <w:color w:val="008000"/>
          <w:strike w:val="1"/>
        </w:rPr>
        <w:t>Submitted Discount</w:t>
      </w:r>
      <w:r>
        <w:rPr>
          <w:rFonts w:ascii="Arial" w:cs="Arial" w:eastAsia="Arial" w:hAnsi="Arial"/>
          <w:sz w:val="22"/>
          <w:szCs w:val="22"/>
          <w:color w:val="008000"/>
          <w:strike w:val="1"/>
        </w:rPr>
        <w:t xml:space="preserve">”: as defined in </w:t>
      </w:r>
      <w:r>
        <w:rPr>
          <w:rFonts w:ascii="Arial" w:cs="Arial" w:eastAsia="Arial" w:hAnsi="Arial"/>
          <w:sz w:val="22"/>
          <w:szCs w:val="22"/>
          <w:u w:val="single" w:color="auto"/>
          <w:color w:val="008000"/>
          <w:strike w:val="1"/>
        </w:rPr>
        <w:t>Section 2.11(c)(iii)</w:t>
      </w:r>
      <w:r>
        <w:rPr>
          <w:rFonts w:ascii="Arial" w:cs="Arial" w:eastAsia="Arial" w:hAnsi="Arial"/>
          <w:sz w:val="22"/>
          <w:szCs w:val="22"/>
          <w:color w:val="008000"/>
          <w:strike w:val="1"/>
        </w:rPr>
        <w:t>.</w:t>
      </w:r>
    </w:p>
    <w:p>
      <w:pPr>
        <w:spacing w:after="0" w:line="22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Statutory Reserve Rate</w:t>
      </w:r>
      <w:r>
        <w:rPr>
          <w:rFonts w:ascii="Arial" w:cs="Arial" w:eastAsia="Arial" w:hAnsi="Arial"/>
          <w:sz w:val="22"/>
          <w:szCs w:val="22"/>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Eurodollar Rate, for eurocurrency funding (currently referred to as “Eurocurrency liabilities” in Regulation D). Such reserve percentage shall include those imposed pursuant to Regulation D. Eurodollar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8000"/>
        </w:rPr>
        <w:t>“Submitted Amount”: as defined in Section 2.11(c)(iii).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8000"/>
        </w:rPr>
        <w:t>“Submitted Discount”: as defined in Section 2.11(c)(iii).</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0000FF"/>
        </w:rPr>
        <w:t>“Subordinated Indebtedness” means any Indebtedness that is contractually subordinated in right of payment to the Obligations or is secured by Liens that are junior to the Liens securing the Obligations.</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means as to any Person, a corporation, partnership, limited liability company or other entity (a)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(b) the management of which is otherwise controlled, directly or indirectly through one or more intermediaries, or both, by such Person but only if, in the case of this </w:t>
      </w:r>
      <w:r>
        <w:rPr>
          <w:rFonts w:ascii="Arial" w:cs="Arial" w:eastAsia="Arial" w:hAnsi="Arial"/>
          <w:sz w:val="19"/>
          <w:szCs w:val="19"/>
          <w:u w:val="single" w:color="auto"/>
          <w:color w:val="auto"/>
        </w:rPr>
        <w:t>clause (b)</w:t>
      </w:r>
      <w:r>
        <w:rPr>
          <w:rFonts w:ascii="Arial" w:cs="Arial" w:eastAsia="Arial" w:hAnsi="Arial"/>
          <w:sz w:val="19"/>
          <w:szCs w:val="19"/>
          <w:color w:val="auto"/>
        </w:rPr>
        <w:t>, such entity is treated as a consolidated subsidiary under GAAP. Unless otherwise qualified, all references to a “Subsidiary” or to “Subsidiaries” in this Agreement shall refer to a Subsidiary or Subsidiaries of the Borrower.</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xml:space="preserve">” means each Material </w:t>
      </w:r>
      <w:r>
        <w:rPr>
          <w:rFonts w:ascii="Arial" w:cs="Arial" w:eastAsia="Arial" w:hAnsi="Arial"/>
          <w:sz w:val="22"/>
          <w:szCs w:val="22"/>
          <w:color w:val="FF0000"/>
          <w:strike w:val="1"/>
        </w:rPr>
        <w:t>Wholly Owned Domestic Subsidiary</w:t>
      </w:r>
      <w:r>
        <w:rPr>
          <w:rFonts w:ascii="Arial" w:cs="Arial" w:eastAsia="Arial" w:hAnsi="Arial"/>
          <w:sz w:val="22"/>
          <w:szCs w:val="22"/>
          <w:color w:val="auto"/>
        </w:rPr>
        <w:t xml:space="preserve"> </w:t>
      </w:r>
      <w:r>
        <w:rPr>
          <w:rFonts w:ascii="Arial" w:cs="Arial" w:eastAsia="Arial" w:hAnsi="Arial"/>
          <w:sz w:val="22"/>
          <w:szCs w:val="22"/>
          <w:color w:val="008000"/>
          <w:strike w:val="1"/>
        </w:rPr>
        <w:t>as of the date</w:t>
      </w:r>
      <w:r>
        <w:rPr>
          <w:rFonts w:ascii="Arial" w:cs="Arial" w:eastAsia="Arial" w:hAnsi="Arial"/>
          <w:sz w:val="22"/>
          <w:szCs w:val="22"/>
          <w:color w:val="auto"/>
        </w:rPr>
        <w:t xml:space="preserve"> </w:t>
      </w:r>
      <w:r>
        <w:rPr>
          <w:rFonts w:ascii="Arial" w:cs="Arial" w:eastAsia="Arial" w:hAnsi="Arial"/>
          <w:sz w:val="22"/>
          <w:szCs w:val="22"/>
          <w:color w:val="FF0000"/>
          <w:strike w:val="1"/>
        </w:rPr>
        <w:t>hereof and each Material</w:t>
      </w:r>
      <w:r>
        <w:rPr>
          <w:rFonts w:ascii="Arial" w:cs="Arial" w:eastAsia="Arial" w:hAnsi="Arial"/>
          <w:sz w:val="22"/>
          <w:szCs w:val="22"/>
          <w:color w:val="auto"/>
        </w:rPr>
        <w:t xml:space="preserve"> </w:t>
      </w:r>
      <w:r>
        <w:rPr>
          <w:rFonts w:ascii="Arial" w:cs="Arial" w:eastAsia="Arial" w:hAnsi="Arial"/>
          <w:sz w:val="22"/>
          <w:szCs w:val="22"/>
          <w:color w:val="FF0000"/>
          <w:strike w:val="1"/>
        </w:rPr>
        <w:t>Wholly Owned Domestic</w:t>
      </w:r>
      <w:r>
        <w:rPr>
          <w:rFonts w:ascii="Arial" w:cs="Arial" w:eastAsia="Arial" w:hAnsi="Arial"/>
          <w:sz w:val="22"/>
          <w:szCs w:val="22"/>
          <w:color w:val="FF0000"/>
        </w:rPr>
        <w:t xml:space="preserve"> </w:t>
      </w:r>
      <w:r>
        <w:rPr>
          <w:rFonts w:ascii="Arial" w:cs="Arial" w:eastAsia="Arial" w:hAnsi="Arial"/>
          <w:sz w:val="22"/>
          <w:szCs w:val="22"/>
          <w:color w:val="000000"/>
        </w:rPr>
        <w:t>Subsidiary that becomes a party to the Guarantee and Collateral Agreement pursuant to</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Section 6.10(b)</w:t>
      </w:r>
      <w:r>
        <w:rPr>
          <w:rFonts w:ascii="Arial" w:cs="Arial" w:eastAsia="Arial" w:hAnsi="Arial"/>
          <w:sz w:val="22"/>
          <w:szCs w:val="22"/>
          <w:color w:val="000000"/>
        </w:rPr>
        <w:t xml:space="preserve">. </w:t>
      </w:r>
      <w:r>
        <w:rPr>
          <w:rFonts w:ascii="Arial" w:cs="Arial" w:eastAsia="Arial" w:hAnsi="Arial"/>
          <w:sz w:val="22"/>
          <w:szCs w:val="22"/>
          <w:color w:val="0000FF"/>
        </w:rPr>
        <w:t>As of the Amendment No. 2 Effective Date, the Borrower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-39370</wp:posOffset>
            </wp:positionV>
            <wp:extent cx="43395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7" w:right="339" w:bottom="1440" w:gutter="0" w:footer="0" w:header="0"/>
        </w:sectPr>
      </w:pPr>
    </w:p>
    <w:bookmarkStart w:id="134" w:name="page135"/>
    <w:bookmarkEnd w:id="134"/>
    <w:p>
      <w:pPr>
        <w:ind w:right="42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Loan Party, any obligation to pay or perform under any agreement, contract or transaction that constitutes a “swap” within the meaning of section 1a(47) of the Commodity Exchange Act.</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Commitment</w:t>
      </w:r>
      <w:r>
        <w:rPr>
          <w:rFonts w:ascii="Arial" w:cs="Arial" w:eastAsia="Arial" w:hAnsi="Arial"/>
          <w:sz w:val="22"/>
          <w:szCs w:val="22"/>
          <w:color w:val="auto"/>
        </w:rPr>
        <w:t xml:space="preserve">” means the obligation of the Swing Line Lender to make Swing Line Loans pursuant to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in an aggregate principal amount at any one time outstanding not to exceed $20,000,000.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Lender</w:t>
      </w:r>
      <w:r>
        <w:rPr>
          <w:rFonts w:ascii="Arial" w:cs="Arial" w:eastAsia="Arial" w:hAnsi="Arial"/>
          <w:sz w:val="22"/>
          <w:szCs w:val="22"/>
          <w:color w:val="auto"/>
        </w:rPr>
        <w:t>” means JPMorgan Chase Bank, N.A., in its capacity as the lender of Swing Line Loans.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Loans</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2.6</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Note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Participation Amount</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2.7</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“Syndication” shall have the meaning as defined in Section 10.22.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“Syndication Procedures” shall have the meaning as defined in Section 10.22.</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Receivable Agreement</w:t>
      </w:r>
      <w:r>
        <w:rPr>
          <w:rFonts w:ascii="Arial" w:cs="Arial" w:eastAsia="Arial" w:hAnsi="Arial"/>
          <w:sz w:val="22"/>
          <w:szCs w:val="22"/>
          <w:color w:val="auto"/>
        </w:rPr>
        <w:t>” means the Tax Receivable Agreement by and among Holdings, the Borrower, the Founding Members and the ESA Parties dated as of the Closing Date, as the same may be amended, supplemented or modified from time to time as permitted hereunder.</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w:t>
      </w:r>
      <w:r>
        <w:rPr>
          <w:rFonts w:ascii="Arial" w:cs="Arial" w:eastAsia="Arial" w:hAnsi="Arial"/>
          <w:sz w:val="22"/>
          <w:szCs w:val="22"/>
          <w:color w:val="auto"/>
        </w:rPr>
        <w:t xml:space="preserve">” means an Initial Term Loan or an Incremental Term Loan </w:t>
      </w:r>
      <w:r>
        <w:rPr>
          <w:rFonts w:ascii="Arial" w:cs="Arial" w:eastAsia="Arial" w:hAnsi="Arial"/>
          <w:sz w:val="22"/>
          <w:szCs w:val="22"/>
          <w:u w:val="single" w:color="auto"/>
          <w:color w:val="0000FF"/>
        </w:rPr>
        <w:t>(including the New Incremental Loans, as Incremental</w:t>
      </w:r>
      <w:r>
        <w:rPr>
          <w:rFonts w:ascii="Arial" w:cs="Arial" w:eastAsia="Arial" w:hAnsi="Arial"/>
          <w:sz w:val="22"/>
          <w:szCs w:val="22"/>
          <w:color w:val="auto"/>
        </w:rPr>
        <w:t xml:space="preserve"> </w:t>
      </w:r>
      <w:r>
        <w:rPr>
          <w:rFonts w:ascii="Arial" w:cs="Arial" w:eastAsia="Arial" w:hAnsi="Arial"/>
          <w:sz w:val="22"/>
          <w:szCs w:val="22"/>
          <w:u w:val="single" w:color="auto"/>
          <w:color w:val="0000FF"/>
        </w:rPr>
        <w:t>Term Loans)</w:t>
      </w:r>
      <w:r>
        <w:rPr>
          <w:rFonts w:ascii="Arial" w:cs="Arial" w:eastAsia="Arial" w:hAnsi="Arial"/>
          <w:sz w:val="22"/>
          <w:szCs w:val="22"/>
          <w:color w:val="000000"/>
        </w:rPr>
        <w:t>.</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Commitment</w:t>
      </w:r>
      <w:r>
        <w:rPr>
          <w:rFonts w:ascii="Arial" w:cs="Arial" w:eastAsia="Arial" w:hAnsi="Arial"/>
          <w:sz w:val="19"/>
          <w:szCs w:val="19"/>
          <w:color w:val="auto"/>
        </w:rPr>
        <w:t>” means as to any Lender, the obligation of such Lender, if any, to make a Term Loan to the Borrower as set forth in (a) the Assignment and Acceptance pursuant to which such Lender became a party hereto or (b) in the case of an Incremental Term Loan, the applicable Incremental Amendment, in each case as the same may be changed from time to time pursuant to the terms hereof. The aggregate amount of the Term Loan Commitments as of the Closing Date is $270,000,000.</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Extension Date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2.27(e)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Facility</w:t>
      </w:r>
      <w:r>
        <w:rPr>
          <w:rFonts w:ascii="Arial" w:cs="Arial" w:eastAsia="Arial" w:hAnsi="Arial"/>
          <w:sz w:val="22"/>
          <w:szCs w:val="22"/>
          <w:color w:val="auto"/>
        </w:rPr>
        <w:t xml:space="preserve">” shall have the meaning as defined in the definition of “Facility”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Lender</w:t>
      </w:r>
      <w:r>
        <w:rPr>
          <w:rFonts w:ascii="Arial" w:cs="Arial" w:eastAsia="Arial" w:hAnsi="Arial"/>
          <w:sz w:val="22"/>
          <w:szCs w:val="22"/>
          <w:color w:val="auto"/>
        </w:rPr>
        <w:t>” means each Lender that has a Term Loan Commitment or is the holder of a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7" w:right="339" w:bottom="1440" w:gutter="0" w:footer="0" w:header="0"/>
        </w:sectPr>
      </w:pPr>
    </w:p>
    <w:bookmarkStart w:id="135" w:name="page136"/>
    <w:bookmarkEnd w:id="135"/>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Percentage</w:t>
      </w:r>
      <w:r>
        <w:rPr>
          <w:rFonts w:ascii="Arial" w:cs="Arial" w:eastAsia="Arial" w:hAnsi="Arial"/>
          <w:sz w:val="22"/>
          <w:szCs w:val="22"/>
          <w:color w:val="auto"/>
        </w:rPr>
        <w:t>” means as to any Term Loan Lender at any time, the percentage which such Lender’s Term Loan Commitment then constitutes of the aggregate Term Loan Commitments (or, at any time after the Closing Date, the percentage which the aggregate principal amount of such Lender’s Term Loans then outstanding constitutes of the aggregate principal amount of the Term Loans then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Note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2.8(e)</w:t>
      </w:r>
      <w:r>
        <w:rPr>
          <w:rFonts w:ascii="Arial" w:cs="Arial" w:eastAsia="Arial" w:hAnsi="Arial"/>
          <w:sz w:val="22"/>
          <w:szCs w:val="22"/>
          <w:color w:val="auto"/>
        </w:rPr>
        <w:t>.</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Credit Commitment</w:t>
      </w:r>
      <w:r>
        <w:rPr>
          <w:rFonts w:ascii="Arial" w:cs="Arial" w:eastAsia="Arial" w:hAnsi="Arial"/>
          <w:sz w:val="19"/>
          <w:szCs w:val="19"/>
          <w:color w:val="auto"/>
        </w:rPr>
        <w:t xml:space="preserve">” means the sum of the Revolving Credit Commitments of all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the purposes of calculating the Total Revolving Credit Commitments at any time of determination (other than as such term is used in the definition of Revolving Credit Percentage), the Revolving Credit Commitment of any Revolving Credit Lender shall be deemed to be equal to the Revolving Extensions of Credit of such Revolving Credit Lender at such time.</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Revolving Extensions of Credit</w:t>
      </w:r>
      <w:r>
        <w:rPr>
          <w:rFonts w:ascii="Arial" w:cs="Arial" w:eastAsia="Arial" w:hAnsi="Arial"/>
          <w:sz w:val="22"/>
          <w:szCs w:val="22"/>
          <w:color w:val="auto"/>
        </w:rPr>
        <w:t>” means at any time, the aggregate amount of the Revolving Extensions of Credit of the Revolving Credit Lenders outstanding at such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Date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10.6(i)(i)</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w:t>
      </w:r>
      <w:r>
        <w:rPr>
          <w:rFonts w:ascii="Arial" w:cs="Arial" w:eastAsia="Arial" w:hAnsi="Arial"/>
          <w:sz w:val="22"/>
          <w:szCs w:val="22"/>
          <w:color w:val="auto"/>
        </w:rPr>
        <w:t>” shall have the meaning as defined in the second recital hereto.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Transferee</w:t>
      </w:r>
      <w:r>
        <w:rPr>
          <w:rFonts w:ascii="Arial" w:cs="Arial" w:eastAsia="Arial" w:hAnsi="Arial"/>
          <w:sz w:val="22"/>
          <w:szCs w:val="22"/>
          <w:color w:val="auto"/>
        </w:rPr>
        <w:t xml:space="preserve">” shall have the meaning as defined in </w:t>
      </w:r>
      <w:r>
        <w:rPr>
          <w:rFonts w:ascii="Arial" w:cs="Arial" w:eastAsia="Arial" w:hAnsi="Arial"/>
          <w:sz w:val="22"/>
          <w:szCs w:val="22"/>
          <w:u w:val="single" w:color="auto"/>
          <w:color w:val="auto"/>
        </w:rPr>
        <w:t>Section 10.14</w:t>
      </w:r>
      <w:r>
        <w:rPr>
          <w:rFonts w:ascii="Arial" w:cs="Arial" w:eastAsia="Arial" w:hAnsi="Arial"/>
          <w:sz w:val="22"/>
          <w:szCs w:val="22"/>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FF0000"/>
          <w:strike w:val="1"/>
        </w:rPr>
        <w:t>“</w:t>
      </w:r>
      <w:r>
        <w:rPr>
          <w:rFonts w:ascii="Arial" w:cs="Arial" w:eastAsia="Arial" w:hAnsi="Arial"/>
          <w:sz w:val="21"/>
          <w:szCs w:val="21"/>
          <w:u w:val="single" w:color="auto"/>
          <w:color w:val="FF0000"/>
          <w:strike w:val="1"/>
        </w:rPr>
        <w:t>Transformative Acquisition</w:t>
      </w:r>
      <w:r>
        <w:rPr>
          <w:rFonts w:ascii="Arial" w:cs="Arial" w:eastAsia="Arial" w:hAnsi="Arial"/>
          <w:sz w:val="21"/>
          <w:szCs w:val="21"/>
          <w:color w:val="FF0000"/>
          <w:strike w:val="1"/>
        </w:rPr>
        <w:t xml:space="preserve">” shall mean any acquisition or investment by </w:t>
      </w:r>
      <w:r>
        <w:rPr>
          <w:rFonts w:ascii="Arial" w:cs="Arial" w:eastAsia="Arial" w:hAnsi="Arial"/>
          <w:sz w:val="21"/>
          <w:szCs w:val="21"/>
          <w:color w:val="008000"/>
          <w:strike w:val="1"/>
        </w:rPr>
        <w:t>the Borrower or any Subsidiary</w:t>
      </w:r>
      <w:r>
        <w:rPr>
          <w:rFonts w:ascii="Arial" w:cs="Arial" w:eastAsia="Arial" w:hAnsi="Arial"/>
          <w:sz w:val="21"/>
          <w:szCs w:val="21"/>
          <w:color w:val="FF0000"/>
          <w:strike w:val="1"/>
        </w:rPr>
        <w:t xml:space="preserve"> that is (a) not permitted by </w:t>
      </w:r>
      <w:r>
        <w:rPr>
          <w:rFonts w:ascii="Arial" w:cs="Arial" w:eastAsia="Arial" w:hAnsi="Arial"/>
          <w:sz w:val="21"/>
          <w:szCs w:val="21"/>
          <w:color w:val="008000"/>
          <w:strike w:val="1"/>
        </w:rPr>
        <w:t>the terms of this Agreement</w:t>
      </w:r>
      <w:r>
        <w:rPr>
          <w:rFonts w:ascii="Arial" w:cs="Arial" w:eastAsia="Arial" w:hAnsi="Arial"/>
          <w:sz w:val="21"/>
          <w:szCs w:val="21"/>
          <w:color w:val="FF0000"/>
          <w:strike w:val="1"/>
        </w:rPr>
        <w:t xml:space="preserve"> immediately prior to the consummation of such acquisition or (b) if permitted by this Agreement immediately prior to the consummation of such acquisition or investment, would not provide the Borrower and its Subsidiaries with adequate flexibility under the Loan Documents for continuation and/or expansion of their combined operations following such consummation, as determined by Borrower acting in good faith.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means as to any Loan, its nature as a Base Rate Loan or a Eurodollar Loan.</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0000FF"/>
        </w:rPr>
        <w:t xml:space="preserve">“UCC” means the Uniform Commercial Code as from time to time in effect in the State of New York; provided, however, that, in the event that, by reason of any provisions of law, any of the attachment, perfection or priority of the Administrative Agent’s and the Secured Parties’ </w:t>
      </w:r>
      <w:r>
        <w:rPr>
          <w:rFonts w:ascii="Arial" w:cs="Arial" w:eastAsia="Arial" w:hAnsi="Arial"/>
          <w:sz w:val="22"/>
          <w:szCs w:val="22"/>
          <w:u w:val="single" w:color="auto"/>
          <w:color w:val="008000"/>
        </w:rPr>
        <w:t>security interest in any</w:t>
      </w:r>
      <w:r>
        <w:rPr>
          <w:rFonts w:ascii="Arial" w:cs="Arial" w:eastAsia="Arial" w:hAnsi="Arial"/>
          <w:sz w:val="22"/>
          <w:szCs w:val="22"/>
          <w:u w:val="single" w:color="auto"/>
          <w:color w:val="0000FF"/>
        </w:rPr>
        <w:t xml:space="preserve"> Collateral is governed by the Uniform Commercial Code as in effect in a jurisdiction other than the State of New York, the term “UCC” shall mean the Uniform Commercial Code as in effect in such other jurisdiction for purposes of the provisions hereof relating to such attachment, perfection or priority and for purposes of definitions related to such provisions.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0000FF"/>
        </w:rPr>
        <w:t>“UK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institutions and investment firsts, and certain affiliates of such credit institutions or investment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7" w:right="339" w:bottom="1440" w:gutter="0" w:footer="0" w:header="0"/>
        </w:sectPr>
      </w:pPr>
    </w:p>
    <w:bookmarkStart w:id="136" w:name="page137"/>
    <w:bookmarkEnd w:id="136"/>
    <w:p>
      <w:pPr>
        <w:jc w:val="both"/>
        <w:ind w:right="20"/>
        <w:spacing w:after="0" w:line="263" w:lineRule="auto"/>
        <w:rPr>
          <w:sz w:val="20"/>
          <w:szCs w:val="20"/>
          <w:color w:val="auto"/>
        </w:rPr>
      </w:pPr>
      <w:r>
        <w:rPr>
          <w:rFonts w:ascii="Arial" w:cs="Arial" w:eastAsia="Arial" w:hAnsi="Arial"/>
          <w:sz w:val="22"/>
          <w:szCs w:val="22"/>
          <w:u w:val="single" w:color="auto"/>
          <w:color w:val="0000FF"/>
        </w:rPr>
        <w:t>“UK Resolution Authority” means the Bank of England or any other public administrative authority having responsibility for the resolution of any UK Financial Institution.</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0000FF"/>
        </w:rPr>
        <w:t>“Unrestricted Cash” means cash or Cash Equivalents of the Borrower or any of its Subsidiaries that would not appear as “restricted” on a consolidated balance sheet of the Borrower or such Subsidiary in accordance with GAAP; provided that, cash or Cash Equivalents that would appear as “restricted” on a consolidated balance sheet of the Borrower and its Subsidiaries solely because such cash or Cash Equivalents are subject to a Control Agreement in favor of the Administrative Agent (and/or the collateral agent or trustee for the Senior Secured 2028 Notes (or any Permitted Refinancing thereof)) shall constitute Unrestricted Cash hereunder.</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Person</w:t>
      </w:r>
      <w:r>
        <w:rPr>
          <w:rFonts w:ascii="Arial" w:cs="Arial" w:eastAsia="Arial" w:hAnsi="Arial"/>
          <w:sz w:val="22"/>
          <w:szCs w:val="22"/>
          <w:color w:val="auto"/>
        </w:rPr>
        <w:t>” means any Person that is a “United States Person” as defined in Section 7701(a)(30) of the Code.</w:t>
      </w:r>
    </w:p>
    <w:p>
      <w:pPr>
        <w:spacing w:after="0" w:line="220"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means as to any Person, any other Person all of the Capital Stock of which (other than directors’ qualifying shares required by law) is owned by such Person directly and/or through other Wholly Owned Subsidiaries.</w:t>
      </w:r>
    </w:p>
    <w:p>
      <w:pPr>
        <w:spacing w:after="0" w:line="10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xml:space="preserve">” means </w:t>
      </w:r>
      <w:r>
        <w:rPr>
          <w:rFonts w:ascii="Arial" w:cs="Arial" w:eastAsia="Arial" w:hAnsi="Arial"/>
          <w:sz w:val="19"/>
          <w:szCs w:val="19"/>
          <w:u w:val="single" w:color="auto"/>
          <w:color w:val="0000FF"/>
        </w:rPr>
        <w:t>(a)</w:t>
      </w:r>
      <w:r>
        <w:rPr>
          <w:rFonts w:ascii="Arial" w:cs="Arial" w:eastAsia="Arial" w:hAnsi="Arial"/>
          <w:sz w:val="19"/>
          <w:szCs w:val="19"/>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and (b) with respect to</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the United Kingdom, any power of the applicable Resolution Authority under the Bail-In Legislation to cancel, reduce, modify or change the form of a liability of any UK Financial Institution or any contract or instrument under which that liability arises, to convert all or a part of that liability into shares, securities or obligations of that person or any person, to provide that such contract or instrument is to have effect as if a right had been exercised under it or to suspend any obligation in respect of that liability or any of the powers under the Bail-In Legislation that are related to or ancillary to any of those powers.</w:t>
      </w:r>
    </w:p>
    <w:p>
      <w:pPr>
        <w:spacing w:after="0" w:line="156"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Other Definitional Provisions.</w:t>
      </w:r>
      <w:r>
        <w:rPr>
          <w:rFonts w:ascii="Arial" w:cs="Arial" w:eastAsia="Arial" w:hAnsi="Arial"/>
          <w:sz w:val="22"/>
          <w:szCs w:val="22"/>
          <w:color w:val="auto"/>
        </w:rPr>
        <w:t xml:space="preserve"> (a) Unless otherwise specified therein, all terms defined in this Agreement shall have the defined meanings when used in the other Loan Documents or any certificate or other document made or delivered pursuant hereto or thereto.</w:t>
      </w:r>
    </w:p>
    <w:p>
      <w:pPr>
        <w:spacing w:after="0" w:line="185" w:lineRule="exact"/>
        <w:rPr>
          <w:sz w:val="20"/>
          <w:szCs w:val="20"/>
          <w:color w:val="auto"/>
        </w:rPr>
      </w:pPr>
    </w:p>
    <w:p>
      <w:pPr>
        <w:jc w:val="both"/>
        <w:ind w:firstLine="1304"/>
        <w:spacing w:after="0" w:line="287" w:lineRule="auto"/>
        <w:tabs>
          <w:tab w:leader="none" w:pos="1941"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As used herein and in the other Loan Documents, and any certificate or other document made or delivered pursuant hereto or thereto, accounting terms relating to the Borrower and its Subsidiaries not defined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and accounting terms partly defined in </w:t>
      </w:r>
      <w:r>
        <w:rPr>
          <w:rFonts w:ascii="Arial" w:cs="Arial" w:eastAsia="Arial" w:hAnsi="Arial"/>
          <w:sz w:val="19"/>
          <w:szCs w:val="19"/>
          <w:u w:val="single" w:color="auto"/>
          <w:color w:val="auto"/>
        </w:rPr>
        <w:t>Section 1.1</w:t>
      </w:r>
      <w:r>
        <w:rPr>
          <w:rFonts w:ascii="Arial" w:cs="Arial" w:eastAsia="Arial" w:hAnsi="Arial"/>
          <w:sz w:val="19"/>
          <w:szCs w:val="19"/>
          <w:color w:val="auto"/>
        </w:rPr>
        <w:t>, to the extent not defined, shall have the respective meanings given to them under GAAP. If at any time any change in GAAP would affect the computation of any financial ratio or requirement, and either the Borrower or the Administrative Agent (at the request of the Required Lenders) shall so request, the Administrative Agent and the Borrower shall negotiate in good faith to amend such ratio or requirement so as to equitably reflect such change in GAAP with the desired result that the criteria for evaluating the Borrower’s financial condition shall be the same after such change in GAAP as if such change in GAAP had not been made (subject to the approval of the Required Lenders); provided, however, that, (i) until so amended, (A) such ratio or requirement shall continue to be computed in accordance with GAAP, as applicable, prior to such change therein and (B) the Borrower shall provide to the Administrative Agent and the Lenders a written reconciliation, in form and substance reasonably satisfactory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7" w:right="339" w:bottom="1440" w:gutter="0" w:footer="0" w:header="0"/>
        </w:sectPr>
      </w:pPr>
    </w:p>
    <w:bookmarkStart w:id="137" w:name="page138"/>
    <w:bookmarkEnd w:id="137"/>
    <w:p>
      <w:pPr>
        <w:jc w:val="both"/>
        <w:spacing w:after="0" w:line="287" w:lineRule="auto"/>
        <w:rPr>
          <w:sz w:val="20"/>
          <w:szCs w:val="20"/>
          <w:color w:val="auto"/>
        </w:rPr>
      </w:pPr>
      <w:r>
        <w:rPr>
          <w:rFonts w:ascii="Arial" w:cs="Arial" w:eastAsia="Arial" w:hAnsi="Arial"/>
          <w:sz w:val="19"/>
          <w:szCs w:val="19"/>
          <w:color w:val="auto"/>
        </w:rPr>
        <w:t>Administrative Agent, between calculations of such ratio or requirement made before and after giving effect to such change in GAAP and (ii) notwithstanding any other provision contained herein, (A) the amount of any Capital Lease Obligation shall at all times be calculated in accordance with the definition of that term, and (B) any lease that is treated as an operating lease for purposes of GAAP as of the Closing Date shall continue to be treated as an operating lease (and any future lease, if it were in effect on the Closing Date, that would be treated as an operating lease for purposes of GAAP as of the Closing Date shall be treated as an operating lease), in each case for purposes of this Agreement, notwithstanding any change in GAAP after the Closing Date. For purposes of making all financial calculations to determine compliance with Section 7.1 (Financial Condition Covenant) and any other financial ratio hereunder, all components of such calculations shall be adjusted to include or exclude, as the case may be, without duplication, such components of such calculations attributable to any business or assets that have been acquired by the Borrower or any of its Subsidiaries (including through Permitted Acquisitions) after the first day of the applicable period of determination and prior to the end of such period, as determined in good faith by the Borrower on a pro forma basis after giving effect to such acquisition.</w:t>
      </w:r>
    </w:p>
    <w:p>
      <w:pPr>
        <w:spacing w:after="0" w:line="200" w:lineRule="exact"/>
        <w:rPr>
          <w:sz w:val="20"/>
          <w:szCs w:val="20"/>
          <w:color w:val="auto"/>
        </w:rPr>
      </w:pPr>
    </w:p>
    <w:p>
      <w:pPr>
        <w:spacing w:after="0" w:line="220" w:lineRule="exact"/>
        <w:rPr>
          <w:sz w:val="20"/>
          <w:szCs w:val="20"/>
          <w:color w:val="auto"/>
        </w:rPr>
      </w:pPr>
    </w:p>
    <w:p>
      <w:pPr>
        <w:jc w:val="both"/>
        <w:ind w:firstLine="1304"/>
        <w:spacing w:after="0" w:line="285" w:lineRule="auto"/>
        <w:tabs>
          <w:tab w:leader="none" w:pos="1939"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The word “law” shall be construed as referring to all statutes, rules, regulations, codes and other laws (including official rulings and interpretations thereunder having the force of law or with which affected Persons customarily comply), and all judgments, orders, writs and decrees, of all Governmental Authorities.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restated, amended and restated, extended, supplemented or otherwise modified (subject to any restrictions on such amendments, restatements, amendment and restatements, extensions, supplements or modifications set forth herein), (b) any definition of or reference to any statute, rule or regulation shall be construed as referring thereto as from time to time amended, consolidated, replaced, interpreted,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304"/>
        <w:spacing w:after="0" w:line="253" w:lineRule="auto"/>
        <w:tabs>
          <w:tab w:leader="none" w:pos="1941"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All calculations of financial ratios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shall be calculated to the same number of decimal places as the relevant ratios are expressed in and shall be rounded upward if the number in the decimal place immediately following the last calculated decimal place is five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7" w:right="339" w:bottom="1440" w:gutter="0" w:footer="0" w:header="0"/>
        </w:sectPr>
      </w:pPr>
    </w:p>
    <w:bookmarkStart w:id="138" w:name="page139"/>
    <w:bookmarkEnd w:id="138"/>
    <w:p>
      <w:pPr>
        <w:ind w:right="20"/>
        <w:spacing w:after="0" w:line="263" w:lineRule="auto"/>
        <w:rPr>
          <w:sz w:val="20"/>
          <w:szCs w:val="20"/>
          <w:color w:val="auto"/>
        </w:rPr>
      </w:pPr>
      <w:r>
        <w:rPr>
          <w:rFonts w:ascii="Arial" w:cs="Arial" w:eastAsia="Arial" w:hAnsi="Arial"/>
          <w:sz w:val="22"/>
          <w:szCs w:val="22"/>
          <w:color w:val="auto"/>
        </w:rPr>
        <w:t>greater. For example, if the relevant ratio is to be calculated to the hundredth decimal place and the calculation of the ratio is 5.126, the ratio will be rounded up to 5.13.</w:t>
      </w:r>
    </w:p>
    <w:p>
      <w:pPr>
        <w:spacing w:after="0" w:line="175" w:lineRule="exact"/>
        <w:rPr>
          <w:sz w:val="20"/>
          <w:szCs w:val="20"/>
          <w:color w:val="auto"/>
        </w:rPr>
      </w:pPr>
    </w:p>
    <w:p>
      <w:pPr>
        <w:ind w:firstLine="1304"/>
        <w:spacing w:after="0" w:line="343" w:lineRule="auto"/>
        <w:tabs>
          <w:tab w:leader="none" w:pos="1939"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References herein to fiscal periods ending on March 31, June 30, September </w:t>
      </w:r>
      <w:r>
        <w:rPr>
          <w:rFonts w:ascii="Arial" w:cs="Arial" w:eastAsia="Arial" w:hAnsi="Arial"/>
          <w:sz w:val="19"/>
          <w:szCs w:val="19"/>
          <w:color w:val="FF0000"/>
          <w:strike w:val="1"/>
        </w:rPr>
        <w:t>30</w:t>
      </w:r>
      <w:r>
        <w:rPr>
          <w:rFonts w:ascii="Arial" w:cs="Arial" w:eastAsia="Arial" w:hAnsi="Arial"/>
          <w:sz w:val="19"/>
          <w:szCs w:val="19"/>
          <w:u w:val="single" w:color="auto"/>
          <w:color w:val="0000FF"/>
        </w:rPr>
        <w:t>29</w:t>
      </w:r>
      <w:r>
        <w:rPr>
          <w:rFonts w:ascii="Arial" w:cs="Arial" w:eastAsia="Arial" w:hAnsi="Arial"/>
          <w:sz w:val="19"/>
          <w:szCs w:val="19"/>
          <w:color w:val="auto"/>
        </w:rPr>
        <w:t xml:space="preserve"> or December 31 during any fiscal year of the Borrower shall mean the applicable fiscal period of the Borrower ending on or about such date.</w:t>
      </w:r>
    </w:p>
    <w:p>
      <w:pPr>
        <w:spacing w:after="0" w:line="104" w:lineRule="exact"/>
        <w:rPr>
          <w:rFonts w:ascii="Arial" w:cs="Arial" w:eastAsia="Arial" w:hAnsi="Arial"/>
          <w:sz w:val="19"/>
          <w:szCs w:val="19"/>
          <w:color w:val="auto"/>
        </w:rPr>
      </w:pPr>
    </w:p>
    <w:p>
      <w:pPr>
        <w:jc w:val="both"/>
        <w:ind w:firstLine="1304"/>
        <w:spacing w:after="0" w:line="289" w:lineRule="auto"/>
        <w:tabs>
          <w:tab w:leader="none" w:pos="1941" w:val="left"/>
        </w:tabs>
        <w:numPr>
          <w:ilvl w:val="0"/>
          <w:numId w:val="57"/>
        </w:numPr>
        <w:rPr>
          <w:rFonts w:ascii="Arial" w:cs="Arial" w:eastAsia="Arial" w:hAnsi="Arial"/>
          <w:sz w:val="19"/>
          <w:szCs w:val="19"/>
          <w:color w:val="auto"/>
        </w:rPr>
      </w:pPr>
      <w:r>
        <w:rPr>
          <w:rFonts w:ascii="Arial" w:cs="Arial" w:eastAsia="Arial" w:hAnsi="Arial"/>
          <w:sz w:val="19"/>
          <w:szCs w:val="19"/>
          <w:color w:val="auto"/>
        </w:rPr>
        <w:t>Notwithstanding any provision of this Agreement or any other Loan Document, no Guarantee by any Subsidiary Guarantor under any Loan Document shall include a Guarantee of any Obligation that, as to such Subsidiary Guarantor, is an Excluded Swap Obligation and no Collateral provided by any Subsidiary Guarantor shall secure any Obligation that, as to such Subsidiary Loan Party, is an Excluded Swap Obligation. In the event that any payment is made by, or any collection is realized from, any Subsidiary Guarantor as to which any Obligations are Excluded Swap Obligations, or from any Collateral provided by such Subsidiary Guarantor, the proceeds thereof shall be applied to pay the Obligations of such Subsidiary Guarantor as otherwise provided herein without giving effect to such Excluded Swap Obligations and each reference in this Agreement or any other Loan Document to the ratable application of such amounts as among the Obligations or any specified portion of the Obligations that would otherwise include such Excluded Swap Obligations shall be deemed so to provide.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0000FF"/>
        </w:rPr>
        <w:t>1.3 Interest Rates; LIBOR Rates.</w:t>
      </w:r>
    </w:p>
    <w:p>
      <w:pPr>
        <w:spacing w:after="0" w:line="22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u w:val="single" w:color="auto"/>
          <w:color w:val="0000FF"/>
        </w:rPr>
        <w:t>The interest rate on a Loan denominated in dollars or an alternative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w:t>
      </w:r>
    </w:p>
    <w:p>
      <w:pPr>
        <w:spacing w:after="0" w:line="15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u w:val="single" w:color="auto"/>
          <w:color w:val="0000FF"/>
        </w:rPr>
        <w:t>Upon the occurrence of the events described in Sections 2.17(a) and (b), the Administrative Agent will promptly notify the Borrower, pursuant to Section 2.17,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(i) any such alternative, successor or replacement rate implemented pursuant to Section 2.17(c), including without limitation, whether the composition or characteristics of any such alternative, successor or replacement reference rate will be similar 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7" w:right="339" w:bottom="1440" w:gutter="0" w:footer="0" w:header="0"/>
        </w:sectPr>
      </w:pPr>
    </w:p>
    <w:bookmarkStart w:id="139" w:name="page140"/>
    <w:bookmarkEnd w:id="139"/>
    <w:p>
      <w:pPr>
        <w:jc w:val="both"/>
        <w:spacing w:after="0" w:line="263" w:lineRule="auto"/>
        <w:rPr>
          <w:sz w:val="20"/>
          <w:szCs w:val="20"/>
          <w:color w:val="auto"/>
        </w:rPr>
      </w:pPr>
      <w:r>
        <w:rPr>
          <w:rFonts w:ascii="Arial" w:cs="Arial" w:eastAsia="Arial" w:hAnsi="Arial"/>
          <w:sz w:val="22"/>
          <w:szCs w:val="22"/>
          <w:u w:val="single" w:color="auto"/>
          <w:color w:val="0000FF"/>
        </w:rPr>
        <w:t>produce the same value or economic equivalence of, the LIBO Rate or have the same volume or liquidity as did the London interbank offered rate prior to its discontinuance or unavailability.</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u w:val="single" w:color="auto"/>
          <w:color w:val="0000FF"/>
        </w:rPr>
        <w:t>1.4 Divisions. For all purposes under the Loan Documents, if pursuant to any division or plan of division under the Delaware Limited Liability Company Act (or any comparable event under comparable laws of a different jurisdiction): (a) if any asset, right, obligation or liability of any Person becomes the asset, right, obligation or liability of a different Person created as part of such division, then it shall be deemed to have been transferred from the original Person to the subsequent Person, and (b) if any new Person comes into existence as part of such division, such new Person shall be deemed to have been organized on the first date of its existence by the holders of its Capital Stock at such time.</w:t>
      </w:r>
    </w:p>
    <w:p>
      <w:pPr>
        <w:spacing w:after="0" w:line="200" w:lineRule="exact"/>
        <w:rPr>
          <w:sz w:val="20"/>
          <w:szCs w:val="20"/>
          <w:color w:val="auto"/>
        </w:rPr>
      </w:pPr>
    </w:p>
    <w:p>
      <w:pPr>
        <w:spacing w:after="0" w:line="222"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SECTION 2. AMOUNT AND TERMS OF COMMITMENTS</w:t>
      </w:r>
    </w:p>
    <w:p>
      <w:pPr>
        <w:spacing w:after="0" w:line="220" w:lineRule="exact"/>
        <w:rPr>
          <w:sz w:val="20"/>
          <w:szCs w:val="20"/>
          <w:color w:val="auto"/>
        </w:rPr>
      </w:pPr>
    </w:p>
    <w:p>
      <w:pPr>
        <w:ind w:right="60" w:firstLine="1296"/>
        <w:spacing w:after="0" w:line="24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Term Loan Commitments</w:t>
      </w:r>
      <w:r>
        <w:rPr>
          <w:rFonts w:ascii="Arial" w:cs="Arial" w:eastAsia="Arial" w:hAnsi="Arial"/>
          <w:sz w:val="22"/>
          <w:szCs w:val="22"/>
          <w:color w:val="auto"/>
        </w:rPr>
        <w:t xml:space="preserve">. Subject to the terms and conditions hereof, the Initial Term Loan Lenders severally agree to make term loans to the Borrower on the Closing Date in an amount for each Term Loan Lender not to exceed the amount of the Term Loan Commitment of such Lender. </w:t>
      </w:r>
      <w:r>
        <w:rPr>
          <w:rFonts w:ascii="Arial" w:cs="Arial" w:eastAsia="Arial" w:hAnsi="Arial"/>
          <w:sz w:val="22"/>
          <w:szCs w:val="22"/>
          <w:u w:val="single" w:color="auto"/>
          <w:color w:val="0000FF"/>
        </w:rPr>
        <w:t>Subject to the terms hereof, and solely the conditions set forth in</w:t>
      </w:r>
      <w:r>
        <w:rPr>
          <w:rFonts w:ascii="Arial" w:cs="Arial" w:eastAsia="Arial" w:hAnsi="Arial"/>
          <w:sz w:val="22"/>
          <w:szCs w:val="22"/>
          <w:color w:val="auto"/>
        </w:rPr>
        <w:t xml:space="preserve"> </w:t>
      </w:r>
      <w:r>
        <w:rPr>
          <w:rFonts w:ascii="Arial" w:cs="Arial" w:eastAsia="Arial" w:hAnsi="Arial"/>
          <w:sz w:val="22"/>
          <w:szCs w:val="22"/>
          <w:u w:val="single" w:color="auto"/>
          <w:color w:val="0000FF"/>
        </w:rPr>
        <w:t>Section 5.3 of this Agreement, each New Incremental Loan Lender agrees to make New Incremental Loans to the Borrower on the New Incremental Loan Funding Date denominated in dollars in a principal amount of (but not exceeding) such New Incremental Loan Lender’s New Incremental Loan Commitment.</w:t>
      </w:r>
      <w:r>
        <w:rPr>
          <w:rFonts w:ascii="Arial" w:cs="Arial" w:eastAsia="Arial" w:hAnsi="Arial"/>
          <w:sz w:val="22"/>
          <w:szCs w:val="22"/>
          <w:color w:val="0000FF"/>
        </w:rPr>
        <w:t xml:space="preserve"> </w:t>
      </w:r>
      <w:r>
        <w:rPr>
          <w:rFonts w:ascii="Arial" w:cs="Arial" w:eastAsia="Arial" w:hAnsi="Arial"/>
          <w:sz w:val="22"/>
          <w:szCs w:val="22"/>
          <w:color w:val="000000"/>
        </w:rPr>
        <w:t>The Term Loans may from time to time be Eurodollar Loans or</w:t>
      </w:r>
      <w:r>
        <w:rPr>
          <w:rFonts w:ascii="Arial" w:cs="Arial" w:eastAsia="Arial" w:hAnsi="Arial"/>
          <w:sz w:val="22"/>
          <w:szCs w:val="22"/>
          <w:color w:val="0000FF"/>
        </w:rPr>
        <w:t xml:space="preserve"> </w:t>
      </w:r>
      <w:r>
        <w:rPr>
          <w:rFonts w:ascii="Arial" w:cs="Arial" w:eastAsia="Arial" w:hAnsi="Arial"/>
          <w:sz w:val="22"/>
          <w:szCs w:val="22"/>
          <w:color w:val="000000"/>
        </w:rPr>
        <w:t xml:space="preserve">Base Rate Loans, as determined by the Borrower and notified to the Administrative Agent in accordance with </w:t>
      </w:r>
      <w:r>
        <w:rPr>
          <w:rFonts w:ascii="Arial" w:cs="Arial" w:eastAsia="Arial" w:hAnsi="Arial"/>
          <w:sz w:val="22"/>
          <w:szCs w:val="22"/>
          <w:u w:val="single" w:color="auto"/>
          <w:color w:val="000000"/>
        </w:rPr>
        <w:t>Sections 2.2</w:t>
      </w:r>
      <w:r>
        <w:rPr>
          <w:rFonts w:ascii="Arial" w:cs="Arial" w:eastAsia="Arial" w:hAnsi="Arial"/>
          <w:sz w:val="22"/>
          <w:szCs w:val="22"/>
          <w:color w:val="000000"/>
        </w:rPr>
        <w:t xml:space="preserve"> and </w:t>
      </w:r>
      <w:r>
        <w:rPr>
          <w:rFonts w:ascii="Arial" w:cs="Arial" w:eastAsia="Arial" w:hAnsi="Arial"/>
          <w:sz w:val="22"/>
          <w:szCs w:val="22"/>
          <w:u w:val="single" w:color="auto"/>
          <w:color w:val="000000"/>
        </w:rPr>
        <w:t>2.13</w:t>
      </w:r>
      <w:r>
        <w:rPr>
          <w:rFonts w:ascii="Arial" w:cs="Arial" w:eastAsia="Arial" w:hAnsi="Arial"/>
          <w:sz w:val="22"/>
          <w:szCs w:val="22"/>
          <w:color w:val="000000"/>
        </w:rPr>
        <w:t>.</w:t>
      </w:r>
    </w:p>
    <w:p>
      <w:pPr>
        <w:spacing w:after="0" w:line="194" w:lineRule="exact"/>
        <w:rPr>
          <w:sz w:val="20"/>
          <w:szCs w:val="20"/>
          <w:color w:val="auto"/>
        </w:rPr>
      </w:pPr>
    </w:p>
    <w:p>
      <w:pPr>
        <w:ind w:right="20" w:firstLine="1296"/>
        <w:spacing w:after="0" w:line="287"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Procedure for Term Loan Borrowing</w:t>
      </w:r>
      <w:r>
        <w:rPr>
          <w:rFonts w:ascii="Arial" w:cs="Arial" w:eastAsia="Arial" w:hAnsi="Arial"/>
          <w:sz w:val="19"/>
          <w:szCs w:val="19"/>
          <w:color w:val="auto"/>
        </w:rPr>
        <w:t>. The Borrower shall deliver (by hand delivery, fax or other electronic transmission (including “.pdf’ or “.tif’)) to the Administrative Agent a Borrowing Notice (which Borrowing Notice must be received by the Administrative Agent prior to (a) 12:00 Noon, New York City time, three Business Days prior to the requested Borrowing Date (or, in the case of a Eurodollar Loan to be made on the Closing Date, such later time as the Administrative Agent may permit in its sole discretion), in the case of Eurodollar Loans, or (b) 11:00 A.M., New York City time, on the requested Borrowing Date, in the case of Base Rate Loans) requesting that the Term Loan Lenders make the Term Loans on the Closing Date</w:t>
      </w:r>
      <w:r>
        <w:rPr>
          <w:rFonts w:ascii="Arial" w:cs="Arial" w:eastAsia="Arial" w:hAnsi="Arial"/>
          <w:sz w:val="19"/>
          <w:szCs w:val="19"/>
          <w:u w:val="single" w:color="auto"/>
          <w:color w:val="0000FF"/>
        </w:rPr>
        <w:t>, or (c) in respect of the New Incremental Loan, on the New Incremental Loan Funding Date</w:t>
      </w:r>
      <w:r>
        <w:rPr>
          <w:rFonts w:ascii="Arial" w:cs="Arial" w:eastAsia="Arial" w:hAnsi="Arial"/>
          <w:sz w:val="19"/>
          <w:szCs w:val="19"/>
          <w:color w:val="auto"/>
        </w:rPr>
        <w:t xml:space="preserve">. Upon receipt of such Borrowing Notice the Administrative Agent shall promptly notify each </w:t>
      </w:r>
      <w:r>
        <w:rPr>
          <w:rFonts w:ascii="Arial" w:cs="Arial" w:eastAsia="Arial" w:hAnsi="Arial"/>
          <w:sz w:val="19"/>
          <w:szCs w:val="19"/>
          <w:u w:val="single" w:color="auto"/>
          <w:color w:val="0000FF"/>
        </w:rPr>
        <w:t>applicable</w:t>
      </w:r>
      <w:r>
        <w:rPr>
          <w:rFonts w:ascii="Arial" w:cs="Arial" w:eastAsia="Arial" w:hAnsi="Arial"/>
          <w:sz w:val="19"/>
          <w:szCs w:val="19"/>
          <w:color w:val="auto"/>
        </w:rPr>
        <w:t xml:space="preserve"> Term Loan Lender thereof. Not later than 12:00 Noon, New York City time, on the Closing Date</w:t>
      </w:r>
      <w:r>
        <w:rPr>
          <w:rFonts w:ascii="Arial" w:cs="Arial" w:eastAsia="Arial" w:hAnsi="Arial"/>
          <w:sz w:val="19"/>
          <w:szCs w:val="19"/>
          <w:u w:val="single" w:color="auto"/>
          <w:color w:val="0000FF"/>
        </w:rPr>
        <w:t>, or the New Incremental Loan Funding Date, as the case may be,</w:t>
      </w:r>
      <w:r>
        <w:rPr>
          <w:rFonts w:ascii="Arial" w:cs="Arial" w:eastAsia="Arial" w:hAnsi="Arial"/>
          <w:sz w:val="19"/>
          <w:szCs w:val="19"/>
          <w:color w:val="auto"/>
        </w:rPr>
        <w:t xml:space="preserve"> each </w:t>
      </w:r>
      <w:r>
        <w:rPr>
          <w:rFonts w:ascii="Arial" w:cs="Arial" w:eastAsia="Arial" w:hAnsi="Arial"/>
          <w:sz w:val="19"/>
          <w:szCs w:val="19"/>
          <w:u w:val="single" w:color="auto"/>
          <w:color w:val="0000FF"/>
        </w:rPr>
        <w:t>applicable</w:t>
      </w:r>
      <w:r>
        <w:rPr>
          <w:rFonts w:ascii="Arial" w:cs="Arial" w:eastAsia="Arial" w:hAnsi="Arial"/>
          <w:sz w:val="19"/>
          <w:szCs w:val="19"/>
          <w:color w:val="0000FF"/>
        </w:rPr>
        <w:t xml:space="preserve"> </w:t>
      </w:r>
      <w:r>
        <w:rPr>
          <w:rFonts w:ascii="Arial" w:cs="Arial" w:eastAsia="Arial" w:hAnsi="Arial"/>
          <w:sz w:val="19"/>
          <w:szCs w:val="19"/>
          <w:color w:val="000000"/>
        </w:rPr>
        <w:t>Term Loan Lender shall make available to the Administrative Agent at the Funding Office an amount in immediately</w:t>
      </w:r>
      <w:r>
        <w:rPr>
          <w:rFonts w:ascii="Arial" w:cs="Arial" w:eastAsia="Arial" w:hAnsi="Arial"/>
          <w:sz w:val="19"/>
          <w:szCs w:val="19"/>
          <w:color w:val="0000FF"/>
        </w:rPr>
        <w:t xml:space="preserve"> </w:t>
      </w:r>
      <w:r>
        <w:rPr>
          <w:rFonts w:ascii="Arial" w:cs="Arial" w:eastAsia="Arial" w:hAnsi="Arial"/>
          <w:sz w:val="19"/>
          <w:szCs w:val="19"/>
          <w:color w:val="000000"/>
        </w:rPr>
        <w:t>available funds equal to the Term Loan or Term Loans to be made by such Lender. The Administrative Agent shall make available to the Borrower the aggregate of the amounts made available to the Administrative Agent by the Term Loan Lenders, in like funds as received by the Administrative Agent.</w:t>
      </w:r>
    </w:p>
    <w:p>
      <w:pPr>
        <w:spacing w:after="0" w:line="200" w:lineRule="exact"/>
        <w:rPr>
          <w:sz w:val="20"/>
          <w:szCs w:val="20"/>
          <w:color w:val="auto"/>
        </w:rPr>
      </w:pPr>
    </w:p>
    <w:p>
      <w:pPr>
        <w:spacing w:after="0" w:line="215" w:lineRule="exact"/>
        <w:rPr>
          <w:sz w:val="20"/>
          <w:szCs w:val="20"/>
          <w:color w:val="auto"/>
        </w:rPr>
      </w:pPr>
    </w:p>
    <w:p>
      <w:pPr>
        <w:ind w:right="200" w:firstLine="1296"/>
        <w:spacing w:after="0" w:line="248"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Repayment of Term Loans</w:t>
      </w:r>
      <w:r>
        <w:rPr>
          <w:rFonts w:ascii="Arial" w:cs="Arial" w:eastAsia="Arial" w:hAnsi="Arial"/>
          <w:sz w:val="22"/>
          <w:szCs w:val="22"/>
          <w:color w:val="auto"/>
        </w:rPr>
        <w:t xml:space="preserve">. The Borrower shall repay to the Administrative Agent for the ratable account of the applicable Initial Term Loan Lenders on the last Business Day of each March, June, September and December, commencing with the last Business Day of September </w:t>
      </w:r>
      <w:r>
        <w:rPr>
          <w:rFonts w:ascii="Arial" w:cs="Arial" w:eastAsia="Arial" w:hAnsi="Arial"/>
          <w:sz w:val="22"/>
          <w:szCs w:val="22"/>
          <w:color w:val="FF0000"/>
        </w:rPr>
        <w:t>30</w:t>
      </w:r>
      <w:r>
        <w:rPr>
          <w:rFonts w:ascii="Arial" w:cs="Arial" w:eastAsia="Arial" w:hAnsi="Arial"/>
          <w:sz w:val="22"/>
          <w:szCs w:val="22"/>
          <w:color w:val="auto"/>
        </w:rPr>
        <w:t>, 2018, an aggregate principal amount equal to 0.25% of the aggregate principal amount of the Initial Term Loans outstanding on the Closing Date. To the extent not previously paid, all outstanding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7" w:right="339" w:bottom="1440" w:gutter="0" w:footer="0" w:header="0"/>
        </w:sectPr>
      </w:pPr>
    </w:p>
    <w:bookmarkStart w:id="140" w:name="page141"/>
    <w:bookmarkEnd w:id="140"/>
    <w:p>
      <w:pPr>
        <w:ind w:right="60"/>
        <w:spacing w:after="0" w:line="247" w:lineRule="auto"/>
        <w:rPr>
          <w:sz w:val="20"/>
          <w:szCs w:val="20"/>
          <w:color w:val="auto"/>
        </w:rPr>
      </w:pPr>
      <w:r>
        <w:rPr>
          <w:rFonts w:ascii="Arial" w:cs="Arial" w:eastAsia="Arial" w:hAnsi="Arial"/>
          <w:sz w:val="22"/>
          <w:szCs w:val="22"/>
          <w:color w:val="auto"/>
        </w:rPr>
        <w:t xml:space="preserve">Term Loans shall be due and payable on the Initial Term Loan Maturity Date. </w:t>
      </w:r>
      <w:r>
        <w:rPr>
          <w:rFonts w:ascii="Arial" w:cs="Arial" w:eastAsia="Arial" w:hAnsi="Arial"/>
          <w:sz w:val="22"/>
          <w:szCs w:val="22"/>
          <w:color w:val="0000FF"/>
        </w:rPr>
        <w:t>The Borrower shall repay to the Administrative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Agent for the ratable account of the applicable New Incremental Loan Lenders on the last Business Day of each March, June, September and December, commencing with the last Business Day of June, 2021, an aggregate principal amount equal to 0.25</w:t>
      </w:r>
      <w:r>
        <w:rPr>
          <w:rFonts w:ascii="Arial" w:cs="Arial" w:eastAsia="Arial" w:hAnsi="Arial"/>
          <w:sz w:val="22"/>
          <w:szCs w:val="22"/>
          <w:u w:val="single" w:color="auto"/>
          <w:color w:val="008000"/>
        </w:rPr>
        <w:t>%</w:t>
      </w:r>
      <w:r>
        <w:rPr>
          <w:rFonts w:ascii="Arial" w:cs="Arial" w:eastAsia="Arial" w:hAnsi="Arial"/>
          <w:sz w:val="22"/>
          <w:szCs w:val="22"/>
          <w:u w:val="single" w:color="auto"/>
          <w:color w:val="0000FF"/>
        </w:rPr>
        <w:t xml:space="preserve"> </w:t>
      </w:r>
      <w:r>
        <w:rPr>
          <w:rFonts w:ascii="Arial" w:cs="Arial" w:eastAsia="Arial" w:hAnsi="Arial"/>
          <w:sz w:val="22"/>
          <w:szCs w:val="22"/>
          <w:u w:val="single" w:color="auto"/>
          <w:color w:val="008000"/>
        </w:rPr>
        <w:t xml:space="preserve">of the aggregate principal amount of the </w:t>
      </w:r>
      <w:r>
        <w:rPr>
          <w:rFonts w:ascii="Arial" w:cs="Arial" w:eastAsia="Arial" w:hAnsi="Arial"/>
          <w:sz w:val="22"/>
          <w:szCs w:val="22"/>
          <w:u w:val="single" w:color="auto"/>
          <w:color w:val="0000FF"/>
        </w:rPr>
        <w:t>New Incremental Loans outstanding on the New Incremental Loan Funding Date. To the</w:t>
      </w:r>
      <w:r>
        <w:rPr>
          <w:rFonts w:ascii="Arial" w:cs="Arial" w:eastAsia="Arial" w:hAnsi="Arial"/>
          <w:sz w:val="22"/>
          <w:szCs w:val="22"/>
          <w:u w:val="single" w:color="auto"/>
          <w:color w:val="008000"/>
        </w:rPr>
        <w:t xml:space="preserve"> </w:t>
      </w:r>
      <w:r>
        <w:rPr>
          <w:rFonts w:ascii="Arial" w:cs="Arial" w:eastAsia="Arial" w:hAnsi="Arial"/>
          <w:sz w:val="22"/>
          <w:szCs w:val="22"/>
          <w:u w:val="single" w:color="auto"/>
          <w:color w:val="0000FF"/>
        </w:rPr>
        <w:t>extent not previously paid, all outstanding New Incremental Loans shall be due and payable on the New Incremental Loan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4259580</wp:posOffset>
            </wp:positionH>
            <wp:positionV relativeFrom="paragraph">
              <wp:posOffset>-848995</wp:posOffset>
            </wp:positionV>
            <wp:extent cx="26396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17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Revolving Credit Commitments</w:t>
      </w:r>
      <w:r>
        <w:rPr>
          <w:rFonts w:ascii="Arial" w:cs="Arial" w:eastAsia="Arial" w:hAnsi="Arial"/>
          <w:sz w:val="21"/>
          <w:szCs w:val="21"/>
          <w:color w:val="auto"/>
        </w:rPr>
        <w:t>. (a) Subject to the terms and conditions hereof, the Revolving Credit Lenders severally agree to make revolving credit loans (“</w:t>
      </w:r>
      <w:r>
        <w:rPr>
          <w:rFonts w:ascii="Arial" w:cs="Arial" w:eastAsia="Arial" w:hAnsi="Arial"/>
          <w:sz w:val="21"/>
          <w:szCs w:val="21"/>
          <w:u w:val="single" w:color="auto"/>
          <w:color w:val="auto"/>
        </w:rPr>
        <w:t>Revolving Credit Loans</w:t>
      </w:r>
      <w:r>
        <w:rPr>
          <w:rFonts w:ascii="Arial" w:cs="Arial" w:eastAsia="Arial" w:hAnsi="Arial"/>
          <w:sz w:val="21"/>
          <w:szCs w:val="21"/>
          <w:color w:val="auto"/>
        </w:rPr>
        <w:t xml:space="preserve">”) to the Borrower from time to time during the Revolving Credit Commitment Period in an aggregate principal amount at any one time outstanding for each Revolving Credit Lender which, when added to such Lender’s Revolving Credit Percentage of the sum of (i) the L/C Obligations then outstanding and (ii) the aggregate principal amount of the Swing Line Loans then outstanding (other than Swing Line Loans to be repaid with the proceeds of such Revolving Credit Loans to be borrowed), does not exceed the amount of such Lender’s Revolving Credit Commitment. During the Revolving Credit Commitment Period the Borrower may use the Revolving Credit Commitments by borrowing, prepaying the Revolving Credit Loans in whole or in part, and reborrowing, all in accordance with the terms and conditions hereof. The Revolving Credit Loans may from time to time be Eurodollar Loans or Base Rate Loans, as determined by the Borrower and notified to the Administrative Agent in accordance with </w:t>
      </w:r>
      <w:r>
        <w:rPr>
          <w:rFonts w:ascii="Arial" w:cs="Arial" w:eastAsia="Arial" w:hAnsi="Arial"/>
          <w:sz w:val="21"/>
          <w:szCs w:val="21"/>
          <w:u w:val="single" w:color="auto"/>
          <w:color w:val="auto"/>
        </w:rPr>
        <w:t>Sections 2.5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2.13</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Revolving Credit Loan shall be made as a Eurodollar Loan after the day that is one month prior to the latest Revolving Credit Termination Date.</w:t>
      </w:r>
    </w:p>
    <w:p>
      <w:pPr>
        <w:spacing w:after="0" w:line="191" w:lineRule="exact"/>
        <w:rPr>
          <w:sz w:val="20"/>
          <w:szCs w:val="20"/>
          <w:color w:val="auto"/>
        </w:rPr>
      </w:pPr>
    </w:p>
    <w:p>
      <w:pPr>
        <w:ind w:left="1940" w:hanging="636"/>
        <w:spacing w:after="0"/>
        <w:tabs>
          <w:tab w:leader="none" w:pos="1940" w:val="left"/>
        </w:tabs>
        <w:numPr>
          <w:ilvl w:val="0"/>
          <w:numId w:val="58"/>
        </w:numPr>
        <w:rPr>
          <w:rFonts w:ascii="Arial" w:cs="Arial" w:eastAsia="Arial" w:hAnsi="Arial"/>
          <w:sz w:val="19"/>
          <w:szCs w:val="19"/>
          <w:u w:val="single" w:color="auto"/>
          <w:color w:val="0000FF"/>
        </w:rPr>
      </w:pPr>
      <w:r>
        <w:rPr>
          <w:rFonts w:ascii="Arial" w:cs="Arial" w:eastAsia="Arial" w:hAnsi="Arial"/>
          <w:sz w:val="19"/>
          <w:szCs w:val="19"/>
          <w:color w:val="FF0000"/>
          <w:strike w:val="1"/>
        </w:rPr>
        <w:t>(a)</w:t>
      </w:r>
      <w:r>
        <w:rPr>
          <w:rFonts w:ascii="Arial" w:cs="Arial" w:eastAsia="Arial" w:hAnsi="Arial"/>
          <w:sz w:val="19"/>
          <w:szCs w:val="19"/>
          <w:color w:val="FF0000"/>
        </w:rPr>
        <w:t xml:space="preserve"> </w:t>
      </w:r>
      <w:r>
        <w:rPr>
          <w:rFonts w:ascii="Arial" w:cs="Arial" w:eastAsia="Arial" w:hAnsi="Arial"/>
          <w:sz w:val="19"/>
          <w:szCs w:val="19"/>
          <w:color w:val="000000"/>
        </w:rPr>
        <w:t>The Borrower shall repay all outstanding Revolving Credit Loans on the applicable Revolving Credit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Maturity Date.</w:t>
      </w:r>
    </w:p>
    <w:p>
      <w:pPr>
        <w:spacing w:after="0" w:line="20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Procedure for Revolving Credit Borrowing</w:t>
      </w:r>
      <w:r>
        <w:rPr>
          <w:rFonts w:ascii="Arial" w:cs="Arial" w:eastAsia="Arial" w:hAnsi="Arial"/>
          <w:sz w:val="19"/>
          <w:szCs w:val="19"/>
          <w:color w:val="auto"/>
        </w:rPr>
        <w:t xml:space="preserve">. The Borrower may borrow under the Revolving Credit Commitments on any Business Day during the Revolving Credit Commitment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deliver to the Administrative Agent a Borrowing Notice (which Borrowing Notice must be received by the Administrative Agent prior to</w:t>
      </w:r>
    </w:p>
    <w:p>
      <w:pPr>
        <w:spacing w:after="0" w:line="1" w:lineRule="exact"/>
        <w:rPr>
          <w:sz w:val="20"/>
          <w:szCs w:val="20"/>
          <w:color w:val="auto"/>
        </w:rPr>
      </w:pPr>
    </w:p>
    <w:p>
      <w:pPr>
        <w:jc w:val="both"/>
        <w:ind w:firstLine="8"/>
        <w:spacing w:after="0" w:line="285" w:lineRule="auto"/>
        <w:tabs>
          <w:tab w:leader="none" w:pos="324"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12:00 Noon, New York City time, three Business Days prior to the requested Borrowing Date, in the case of Eurodollar Loans, or (b) 11:00 A.M., New York City time, on the requested Borrowing Date, in the case of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notice of a borrowing of Base Rate Loans to finance the reimbursement of a Letter of Credit as contemplated by Section 3.5 may be given not later than 10 A.M., New York City time, on the date of the proposed borrowing. Each borrowing of Revolving Credit Loans under the Revolving Credit Commitments shall be in an amount equal to $1,000,000 or a whole multiple of $500,000 in excess thereof (or, if the then aggregate Available Revolving Credit Commitments are less than $1,000,000 or such incremental amount, such lesser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Swing Line Lender may request, on behalf of the Borrower, borrowings of Base Rate Loans under the Revolving Credit Commitments in other amounts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Upon receipt of any such Borrowing Notice from the Borrower, the Administrative Agent shall promptly notify each Revolving Credit Lender of the relevant Class thereof. Each Revolving Credit Lender will make its Revolving Credit Percentage of the amount of each borrowing of Revolving Credit Loans available to the Administrative Agent for the account of the Borrower at the Funding Office prior to 12:00 Noon, New York City time, on the Borrowing Date requested by the Borrower in funds immediately available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7" w:right="339" w:bottom="1440" w:gutter="0" w:footer="0" w:header="0"/>
        </w:sectPr>
      </w:pPr>
    </w:p>
    <w:bookmarkStart w:id="141" w:name="page142"/>
    <w:bookmarkEnd w:id="141"/>
    <w:p>
      <w:pPr>
        <w:jc w:val="both"/>
        <w:spacing w:after="0" w:line="263" w:lineRule="auto"/>
        <w:rPr>
          <w:sz w:val="20"/>
          <w:szCs w:val="20"/>
          <w:color w:val="auto"/>
        </w:rPr>
      </w:pPr>
      <w:r>
        <w:rPr>
          <w:rFonts w:ascii="Arial" w:cs="Arial" w:eastAsia="Arial" w:hAnsi="Arial"/>
          <w:sz w:val="22"/>
          <w:szCs w:val="22"/>
          <w:color w:val="auto"/>
        </w:rPr>
        <w:t>Such borrowing will then be made available to the Borrower by the Administrative Agent in like funds as received by the Administrative Agent.</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Swing Line Commitment</w:t>
      </w:r>
      <w:r>
        <w:rPr>
          <w:rFonts w:ascii="Arial" w:cs="Arial" w:eastAsia="Arial" w:hAnsi="Arial"/>
          <w:sz w:val="19"/>
          <w:szCs w:val="19"/>
          <w:color w:val="auto"/>
        </w:rPr>
        <w:t>. (a) Subject to the terms and conditions hereof, the Swing Line Lender agrees that, during the Revolving Credit Commitment Period, it will make available to the Borrower in the form of swing line loans (“</w:t>
      </w:r>
      <w:r>
        <w:rPr>
          <w:rFonts w:ascii="Arial" w:cs="Arial" w:eastAsia="Arial" w:hAnsi="Arial"/>
          <w:sz w:val="19"/>
          <w:szCs w:val="19"/>
          <w:u w:val="single" w:color="auto"/>
          <w:color w:val="auto"/>
        </w:rPr>
        <w:t>Swing Line Loans</w:t>
      </w:r>
      <w:r>
        <w:rPr>
          <w:rFonts w:ascii="Arial" w:cs="Arial" w:eastAsia="Arial" w:hAnsi="Arial"/>
          <w:sz w:val="19"/>
          <w:szCs w:val="19"/>
          <w:color w:val="auto"/>
        </w:rPr>
        <w:t xml:space="preserve">”) a portion of the credit otherwise available to the Borrower under the Revolving Credit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aggregate principal amount of Swing Line Loans outstanding at any time shall not exceed the Swing Line Commitment then in effect (notwithstanding that the Swing Line Loans outstanding at any time, when aggregated with the Swing Line Lender’s other outstanding Revolving Credit Loans hereunder, may exceed the Swing Line Commitment then in effect or such Swing Line Lender’s Revolving Credit Commitment then in effect) and (ii) the Borrower shall not request, and the Swing Line Lender shall not make, any Swing Line Loan if, after giving effect to the making of such Swing Line Loan, the aggregate amount of the Available Revolving Credit Commitments would be less than zero. During the Revolving Credit Commitment Period, the Borrower may use the Swing Line Commitment by borrowing, repaying and reborrowing, all in accordance with the terms and conditions hereof. Swing Line Loans shall be Base Rate Loans only. The Borrower shall repay all outstanding Swing Line Loans on the Revolving Credit Maturity Date.</w:t>
      </w:r>
    </w:p>
    <w:p>
      <w:pPr>
        <w:spacing w:after="0" w:line="200" w:lineRule="exact"/>
        <w:rPr>
          <w:sz w:val="20"/>
          <w:szCs w:val="20"/>
          <w:color w:val="auto"/>
        </w:rPr>
      </w:pP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Procedure for Swing Line Borrowing; Refunding of Swing Line Loans</w:t>
      </w:r>
      <w:r>
        <w:rPr>
          <w:rFonts w:ascii="Arial" w:cs="Arial" w:eastAsia="Arial" w:hAnsi="Arial"/>
          <w:sz w:val="19"/>
          <w:szCs w:val="19"/>
          <w:color w:val="auto"/>
        </w:rPr>
        <w:t xml:space="preserve">. (a) The Borrower may borrow under the Swing Line Commitment on any Business Day during the Revolving Credit Commitment Period, </w:t>
      </w:r>
      <w:r>
        <w:rPr>
          <w:rFonts w:ascii="Arial" w:cs="Arial" w:eastAsia="Arial" w:hAnsi="Arial"/>
          <w:sz w:val="19"/>
          <w:szCs w:val="19"/>
          <w:u w:val="single" w:color="auto"/>
          <w:color w:val="auto"/>
        </w:rPr>
        <w:t>provided</w:t>
      </w:r>
      <w:r>
        <w:rPr>
          <w:rFonts w:ascii="Arial" w:cs="Arial" w:eastAsia="Arial" w:hAnsi="Arial"/>
          <w:sz w:val="19"/>
          <w:szCs w:val="19"/>
          <w:color w:val="auto"/>
        </w:rPr>
        <w:t>, the Borrower shall give the Swing Line Lender irrevocable telephonic notice confirmed promptly in writing (which telephonic notice must be received by the Swing Line Lender not later than 1:00 P.M., New York City time, on the proposed Borrowing Date), specifying (i) the amount to be borrowed and (ii) the requested Borrowing Date. Each borrowing under the Swing Line Commitment shall be in an amount equal to $250,000 or a whole multiple of $100,000 in excess thereof. Not later than 3:00 P.M., New York City time, on the Borrowing Date specified in the borrowing notice in respect of any Swing Line Loan, the Swing Line Lender shall make available to the Administrative Agent at the Funding Office an amount in immediately available funds equal to the amount of such Swing Line Loan. The Administrative Agent shall make the proceeds of such Swing Line Loan available to the Borrower on such Borrowing Date in like funds as received by the Administrative Agent.</w:t>
      </w:r>
    </w:p>
    <w:p>
      <w:pPr>
        <w:spacing w:after="0" w:line="159" w:lineRule="exact"/>
        <w:rPr>
          <w:sz w:val="20"/>
          <w:szCs w:val="20"/>
          <w:color w:val="auto"/>
        </w:rPr>
      </w:pPr>
    </w:p>
    <w:p>
      <w:pPr>
        <w:ind w:right="60" w:firstLine="1304"/>
        <w:spacing w:after="0" w:line="289" w:lineRule="auto"/>
        <w:tabs>
          <w:tab w:leader="none" w:pos="1939" w:val="left"/>
        </w:tabs>
        <w:numPr>
          <w:ilvl w:val="0"/>
          <w:numId w:val="60"/>
        </w:numPr>
        <w:rPr>
          <w:rFonts w:ascii="Arial" w:cs="Arial" w:eastAsia="Arial" w:hAnsi="Arial"/>
          <w:sz w:val="19"/>
          <w:szCs w:val="19"/>
          <w:u w:val="single" w:color="auto"/>
          <w:color w:val="0000FF"/>
        </w:rPr>
      </w:pPr>
      <w:r>
        <w:rPr>
          <w:rFonts w:ascii="Arial" w:cs="Arial" w:eastAsia="Arial" w:hAnsi="Arial"/>
          <w:sz w:val="19"/>
          <w:szCs w:val="19"/>
          <w:color w:val="FF0000"/>
          <w:strike w:val="1"/>
        </w:rPr>
        <w:t>(a)</w:t>
      </w:r>
      <w:r>
        <w:rPr>
          <w:rFonts w:ascii="Arial" w:cs="Arial" w:eastAsia="Arial" w:hAnsi="Arial"/>
          <w:sz w:val="19"/>
          <w:szCs w:val="19"/>
          <w:color w:val="FF0000"/>
        </w:rPr>
        <w:t xml:space="preserve"> </w:t>
      </w:r>
      <w:r>
        <w:rPr>
          <w:rFonts w:ascii="Arial" w:cs="Arial" w:eastAsia="Arial" w:hAnsi="Arial"/>
          <w:sz w:val="19"/>
          <w:szCs w:val="19"/>
          <w:color w:val="000000"/>
        </w:rPr>
        <w:t>The Swing Line Lender, at any time and from time to time in its sole and absolute discretion may, on</w:t>
      </w:r>
      <w:r>
        <w:rPr>
          <w:rFonts w:ascii="Arial" w:cs="Arial" w:eastAsia="Arial" w:hAnsi="Arial"/>
          <w:sz w:val="19"/>
          <w:szCs w:val="19"/>
          <w:color w:val="FF0000"/>
        </w:rPr>
        <w:t xml:space="preserve"> </w:t>
      </w:r>
      <w:r>
        <w:rPr>
          <w:rFonts w:ascii="Arial" w:cs="Arial" w:eastAsia="Arial" w:hAnsi="Arial"/>
          <w:sz w:val="19"/>
          <w:szCs w:val="19"/>
          <w:color w:val="000000"/>
        </w:rPr>
        <w:t>behalf of the Borrower (which hereby irrevocably directs the Swing Line Lender to act on its behalf), on one Business Day’s notice given by the Swing Line Lender no later than 12:00 Noon, New York City time, request each Revolving Credit Lender to make, and each Revolving Credit Lender hereby agrees to make, a Revolving Credit Loan (which shall initially be a Base Rate Loan), in an amount equal to such Revolving Credit Lender’s Revolving Credit Percentage of the aggregate amount of the Swing Line Loans (the “</w:t>
      </w:r>
      <w:r>
        <w:rPr>
          <w:rFonts w:ascii="Arial" w:cs="Arial" w:eastAsia="Arial" w:hAnsi="Arial"/>
          <w:sz w:val="19"/>
          <w:szCs w:val="19"/>
          <w:u w:val="single" w:color="auto"/>
          <w:color w:val="000000"/>
        </w:rPr>
        <w:t>Refunded Swing Line Loans</w:t>
      </w:r>
      <w:r>
        <w:rPr>
          <w:rFonts w:ascii="Arial" w:cs="Arial" w:eastAsia="Arial" w:hAnsi="Arial"/>
          <w:sz w:val="19"/>
          <w:szCs w:val="19"/>
          <w:color w:val="000000"/>
        </w:rPr>
        <w:t>”) outstanding on the date of such notice, to repay the Swing Line Lender. Each Revolving Credit Lender shall make the amount of such Revolving Credit Loan available to the Administrative Agent at the Funding Office in immediately available funds, not later than 10:00 A.M., New York City time, one Business Day after the date of such notice. The proceeds of such Revolving Credit Loans shall be made immediately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7" w:right="339" w:bottom="1440" w:gutter="0" w:footer="0" w:header="0"/>
        </w:sectPr>
      </w:pPr>
    </w:p>
    <w:bookmarkStart w:id="142" w:name="page143"/>
    <w:bookmarkEnd w:id="142"/>
    <w:p>
      <w:pPr>
        <w:ind w:right="820"/>
        <w:spacing w:after="0" w:line="263" w:lineRule="auto"/>
        <w:rPr>
          <w:sz w:val="20"/>
          <w:szCs w:val="20"/>
          <w:color w:val="auto"/>
        </w:rPr>
      </w:pPr>
      <w:r>
        <w:rPr>
          <w:rFonts w:ascii="Arial" w:cs="Arial" w:eastAsia="Arial" w:hAnsi="Arial"/>
          <w:sz w:val="22"/>
          <w:szCs w:val="22"/>
          <w:color w:val="auto"/>
        </w:rPr>
        <w:t>by the Administrative Agent to the Swing Line Lender for application by the Swing Line Lender to the repayment of the Refunded Swing Line Loans.</w:t>
      </w:r>
    </w:p>
    <w:p>
      <w:pPr>
        <w:spacing w:after="0" w:line="175" w:lineRule="exact"/>
        <w:rPr>
          <w:sz w:val="20"/>
          <w:szCs w:val="20"/>
          <w:color w:val="auto"/>
        </w:rPr>
      </w:pPr>
    </w:p>
    <w:p>
      <w:pPr>
        <w:jc w:val="both"/>
        <w:ind w:firstLine="1304"/>
        <w:spacing w:after="0" w:line="290" w:lineRule="auto"/>
        <w:tabs>
          <w:tab w:leader="none" w:pos="1941" w:val="left"/>
        </w:tabs>
        <w:numPr>
          <w:ilvl w:val="0"/>
          <w:numId w:val="61"/>
        </w:numPr>
        <w:rPr>
          <w:rFonts w:ascii="Arial" w:cs="Arial" w:eastAsia="Arial" w:hAnsi="Arial"/>
          <w:sz w:val="19"/>
          <w:szCs w:val="19"/>
          <w:u w:val="single" w:color="auto"/>
          <w:color w:val="0000FF"/>
        </w:rPr>
      </w:pPr>
      <w:r>
        <w:rPr>
          <w:rFonts w:ascii="Arial" w:cs="Arial" w:eastAsia="Arial" w:hAnsi="Arial"/>
          <w:sz w:val="19"/>
          <w:szCs w:val="19"/>
          <w:color w:val="FF0000"/>
          <w:strike w:val="1"/>
        </w:rPr>
        <w:t>(b)</w:t>
      </w:r>
      <w:r>
        <w:rPr>
          <w:rFonts w:ascii="Arial" w:cs="Arial" w:eastAsia="Arial" w:hAnsi="Arial"/>
          <w:sz w:val="19"/>
          <w:szCs w:val="19"/>
          <w:color w:val="FF0000"/>
        </w:rPr>
        <w:t xml:space="preserve"> </w:t>
      </w:r>
      <w:r>
        <w:rPr>
          <w:rFonts w:ascii="Arial" w:cs="Arial" w:eastAsia="Arial" w:hAnsi="Arial"/>
          <w:sz w:val="19"/>
          <w:szCs w:val="19"/>
          <w:color w:val="000000"/>
        </w:rPr>
        <w:t>If prior to the time a Revolving Credit Loan would have otherwise been made pursuant to</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Section 2.7(a)</w:t>
      </w:r>
      <w:r>
        <w:rPr>
          <w:rFonts w:ascii="Arial" w:cs="Arial" w:eastAsia="Arial" w:hAnsi="Arial"/>
          <w:sz w:val="19"/>
          <w:szCs w:val="19"/>
          <w:color w:val="000000"/>
        </w:rPr>
        <w:t xml:space="preserve">, one of the events described in </w:t>
      </w:r>
      <w:r>
        <w:rPr>
          <w:rFonts w:ascii="Arial" w:cs="Arial" w:eastAsia="Arial" w:hAnsi="Arial"/>
          <w:sz w:val="19"/>
          <w:szCs w:val="19"/>
          <w:u w:val="single" w:color="auto"/>
          <w:color w:val="000000"/>
        </w:rPr>
        <w:t>Section 8(f)</w:t>
      </w:r>
      <w:r>
        <w:rPr>
          <w:rFonts w:ascii="Arial" w:cs="Arial" w:eastAsia="Arial" w:hAnsi="Arial"/>
          <w:sz w:val="19"/>
          <w:szCs w:val="19"/>
          <w:color w:val="000000"/>
        </w:rPr>
        <w:t xml:space="preserve"> shall have occurred and be continuing with respect to the Borrower, or if for any other reason, as determined by the Swing Line Lender in its sole discretion, Revolving Credit Loans may not be made as contemplated by </w:t>
      </w:r>
      <w:r>
        <w:rPr>
          <w:rFonts w:ascii="Arial" w:cs="Arial" w:eastAsia="Arial" w:hAnsi="Arial"/>
          <w:sz w:val="19"/>
          <w:szCs w:val="19"/>
          <w:u w:val="single" w:color="auto"/>
          <w:color w:val="000000"/>
        </w:rPr>
        <w:t>Section 2.7(a)</w:t>
      </w:r>
      <w:r>
        <w:rPr>
          <w:rFonts w:ascii="Arial" w:cs="Arial" w:eastAsia="Arial" w:hAnsi="Arial"/>
          <w:sz w:val="19"/>
          <w:szCs w:val="19"/>
          <w:color w:val="000000"/>
        </w:rPr>
        <w:t xml:space="preserve">, each Revolving Credit Lender shall, on the date such Revolving Credit Loan was to have been made pursuant to the notice referred to in </w:t>
      </w:r>
      <w:r>
        <w:rPr>
          <w:rFonts w:ascii="Arial" w:cs="Arial" w:eastAsia="Arial" w:hAnsi="Arial"/>
          <w:sz w:val="19"/>
          <w:szCs w:val="19"/>
          <w:u w:val="single" w:color="auto"/>
          <w:color w:val="000000"/>
        </w:rPr>
        <w:t>Section 2.7(a)</w:t>
      </w:r>
      <w:r>
        <w:rPr>
          <w:rFonts w:ascii="Arial" w:cs="Arial" w:eastAsia="Arial" w:hAnsi="Arial"/>
          <w:sz w:val="19"/>
          <w:szCs w:val="19"/>
          <w:color w:val="000000"/>
        </w:rPr>
        <w:t xml:space="preserve"> (the “</w:t>
      </w:r>
      <w:r>
        <w:rPr>
          <w:rFonts w:ascii="Arial" w:cs="Arial" w:eastAsia="Arial" w:hAnsi="Arial"/>
          <w:sz w:val="19"/>
          <w:szCs w:val="19"/>
          <w:u w:val="single" w:color="auto"/>
          <w:color w:val="000000"/>
        </w:rPr>
        <w:t>Refunding Date</w:t>
      </w:r>
      <w:r>
        <w:rPr>
          <w:rFonts w:ascii="Arial" w:cs="Arial" w:eastAsia="Arial" w:hAnsi="Arial"/>
          <w:sz w:val="19"/>
          <w:szCs w:val="19"/>
          <w:color w:val="000000"/>
        </w:rPr>
        <w:t>”), purchase for cash an undivided participating interest in the then outstanding Swing Line Loans by paying to the Swing Line Lender an amount (the “</w:t>
      </w:r>
      <w:r>
        <w:rPr>
          <w:rFonts w:ascii="Arial" w:cs="Arial" w:eastAsia="Arial" w:hAnsi="Arial"/>
          <w:sz w:val="19"/>
          <w:szCs w:val="19"/>
          <w:u w:val="single" w:color="auto"/>
          <w:color w:val="000000"/>
        </w:rPr>
        <w:t>Swing Line Participation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Amount</w:t>
      </w:r>
      <w:r>
        <w:rPr>
          <w:rFonts w:ascii="Arial" w:cs="Arial" w:eastAsia="Arial" w:hAnsi="Arial"/>
          <w:sz w:val="19"/>
          <w:szCs w:val="19"/>
          <w:color w:val="000000"/>
        </w:rPr>
        <w:t>”) equal to (i) such Revolving Credit Lender’s Revolving Credit Percentage times (ii) the sum of the aggregate principal amount of Swing Line Loans then outstanding which were to have been repaid with such Revolving Credit Loans.</w:t>
      </w:r>
    </w:p>
    <w:p>
      <w:pPr>
        <w:spacing w:after="0" w:line="155" w:lineRule="exact"/>
        <w:rPr>
          <w:rFonts w:ascii="Arial" w:cs="Arial" w:eastAsia="Arial" w:hAnsi="Arial"/>
          <w:sz w:val="19"/>
          <w:szCs w:val="19"/>
          <w:u w:val="single" w:color="auto"/>
          <w:color w:val="0000FF"/>
        </w:rPr>
      </w:pPr>
    </w:p>
    <w:p>
      <w:pPr>
        <w:jc w:val="both"/>
        <w:ind w:firstLine="1304"/>
        <w:spacing w:after="0" w:line="290" w:lineRule="auto"/>
        <w:tabs>
          <w:tab w:leader="none" w:pos="1939" w:val="left"/>
        </w:tabs>
        <w:numPr>
          <w:ilvl w:val="0"/>
          <w:numId w:val="61"/>
        </w:numPr>
        <w:rPr>
          <w:rFonts w:ascii="Arial" w:cs="Arial" w:eastAsia="Arial" w:hAnsi="Arial"/>
          <w:sz w:val="19"/>
          <w:szCs w:val="19"/>
          <w:u w:val="single" w:color="auto"/>
          <w:color w:val="0000FF"/>
        </w:rPr>
      </w:pPr>
      <w:r>
        <w:rPr>
          <w:rFonts w:ascii="Arial" w:cs="Arial" w:eastAsia="Arial" w:hAnsi="Arial"/>
          <w:sz w:val="19"/>
          <w:szCs w:val="19"/>
          <w:color w:val="FF0000"/>
          <w:strike w:val="1"/>
        </w:rPr>
        <w:t>(c)</w:t>
      </w:r>
      <w:r>
        <w:rPr>
          <w:rFonts w:ascii="Arial" w:cs="Arial" w:eastAsia="Arial" w:hAnsi="Arial"/>
          <w:sz w:val="19"/>
          <w:szCs w:val="19"/>
          <w:color w:val="FF0000"/>
        </w:rPr>
        <w:t xml:space="preserve"> </w:t>
      </w:r>
      <w:r>
        <w:rPr>
          <w:rFonts w:ascii="Arial" w:cs="Arial" w:eastAsia="Arial" w:hAnsi="Arial"/>
          <w:sz w:val="19"/>
          <w:szCs w:val="19"/>
          <w:color w:val="000000"/>
        </w:rPr>
        <w:t>Whenever, at any time after the Swing Line Lender has received from any Revolving Credit Lender</w:t>
      </w:r>
      <w:r>
        <w:rPr>
          <w:rFonts w:ascii="Arial" w:cs="Arial" w:eastAsia="Arial" w:hAnsi="Arial"/>
          <w:sz w:val="19"/>
          <w:szCs w:val="19"/>
          <w:color w:val="FF0000"/>
        </w:rPr>
        <w:t xml:space="preserve"> </w:t>
      </w:r>
      <w:r>
        <w:rPr>
          <w:rFonts w:ascii="Arial" w:cs="Arial" w:eastAsia="Arial" w:hAnsi="Arial"/>
          <w:sz w:val="19"/>
          <w:szCs w:val="19"/>
          <w:color w:val="000000"/>
        </w:rPr>
        <w:t xml:space="preserve">such Lender’s Swing Line Participation Amount, the Swing Line Lender receives any payment on account of the Swing Line Loans, the Swing Line Lender will distribute to such Lender its Swing Line Participation Amount (appropriately adjusted, in the case of interest payments, to reflect the period of time during which such Lender’s participating interest was outstanding and funded and, in the case of principal and interest payments, to reflect such Lender’s </w:t>
      </w:r>
      <w:r>
        <w:rPr>
          <w:rFonts w:ascii="Arial" w:cs="Arial" w:eastAsia="Arial" w:hAnsi="Arial"/>
          <w:sz w:val="19"/>
          <w:szCs w:val="19"/>
          <w:u w:val="single" w:color="auto"/>
          <w:color w:val="000000"/>
        </w:rPr>
        <w:t>pro rata</w:t>
      </w:r>
      <w:r>
        <w:rPr>
          <w:rFonts w:ascii="Arial" w:cs="Arial" w:eastAsia="Arial" w:hAnsi="Arial"/>
          <w:sz w:val="19"/>
          <w:szCs w:val="19"/>
          <w:color w:val="000000"/>
        </w:rPr>
        <w:t xml:space="preserve"> portion of such payment if such payment is not sufficient to pay the principal of and interest on all Swing Line Loans then due);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in the event that such payment received by the Swing Line Lender is required to be returned, such Revolving Credit Lender will return to the Swing Line Lender any portion thereof previously distributed to it by the Swing Line Lender.</w:t>
      </w:r>
    </w:p>
    <w:p>
      <w:pPr>
        <w:spacing w:after="0" w:line="155" w:lineRule="exact"/>
        <w:rPr>
          <w:rFonts w:ascii="Arial" w:cs="Arial" w:eastAsia="Arial" w:hAnsi="Arial"/>
          <w:sz w:val="19"/>
          <w:szCs w:val="19"/>
          <w:u w:val="single" w:color="auto"/>
          <w:color w:val="0000FF"/>
        </w:rPr>
      </w:pPr>
    </w:p>
    <w:p>
      <w:pPr>
        <w:jc w:val="both"/>
        <w:ind w:firstLine="1304"/>
        <w:spacing w:after="0" w:line="290" w:lineRule="auto"/>
        <w:tabs>
          <w:tab w:leader="none" w:pos="1941" w:val="left"/>
        </w:tabs>
        <w:numPr>
          <w:ilvl w:val="0"/>
          <w:numId w:val="61"/>
        </w:numPr>
        <w:rPr>
          <w:rFonts w:ascii="Arial" w:cs="Arial" w:eastAsia="Arial" w:hAnsi="Arial"/>
          <w:sz w:val="19"/>
          <w:szCs w:val="19"/>
          <w:u w:val="single" w:color="auto"/>
          <w:color w:val="0000FF"/>
        </w:rPr>
      </w:pPr>
      <w:r>
        <w:rPr>
          <w:rFonts w:ascii="Arial" w:cs="Arial" w:eastAsia="Arial" w:hAnsi="Arial"/>
          <w:sz w:val="19"/>
          <w:szCs w:val="19"/>
          <w:color w:val="FF0000"/>
          <w:strike w:val="1"/>
        </w:rPr>
        <w:t>(d)</w:t>
      </w:r>
      <w:r>
        <w:rPr>
          <w:rFonts w:ascii="Arial" w:cs="Arial" w:eastAsia="Arial" w:hAnsi="Arial"/>
          <w:sz w:val="19"/>
          <w:szCs w:val="19"/>
          <w:color w:val="FF0000"/>
        </w:rPr>
        <w:t xml:space="preserve"> </w:t>
      </w:r>
      <w:r>
        <w:rPr>
          <w:rFonts w:ascii="Arial" w:cs="Arial" w:eastAsia="Arial" w:hAnsi="Arial"/>
          <w:sz w:val="19"/>
          <w:szCs w:val="19"/>
          <w:color w:val="000000"/>
        </w:rPr>
        <w:t>Each Revolving Credit Lender’s obligation to make the Loans referred to in</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Section 2.7(a)</w:t>
      </w:r>
      <w:r>
        <w:rPr>
          <w:rFonts w:ascii="Arial" w:cs="Arial" w:eastAsia="Arial" w:hAnsi="Arial"/>
          <w:sz w:val="19"/>
          <w:szCs w:val="19"/>
          <w:color w:val="FF0000"/>
        </w:rPr>
        <w:t xml:space="preserve"> </w:t>
      </w:r>
      <w:r>
        <w:rPr>
          <w:rFonts w:ascii="Arial" w:cs="Arial" w:eastAsia="Arial" w:hAnsi="Arial"/>
          <w:sz w:val="19"/>
          <w:szCs w:val="19"/>
          <w:color w:val="000000"/>
        </w:rPr>
        <w:t>and to</w:t>
      </w:r>
      <w:r>
        <w:rPr>
          <w:rFonts w:ascii="Arial" w:cs="Arial" w:eastAsia="Arial" w:hAnsi="Arial"/>
          <w:sz w:val="19"/>
          <w:szCs w:val="19"/>
          <w:color w:val="FF0000"/>
        </w:rPr>
        <w:t xml:space="preserve"> </w:t>
      </w:r>
      <w:r>
        <w:rPr>
          <w:rFonts w:ascii="Arial" w:cs="Arial" w:eastAsia="Arial" w:hAnsi="Arial"/>
          <w:sz w:val="19"/>
          <w:szCs w:val="19"/>
          <w:color w:val="000000"/>
        </w:rPr>
        <w:t xml:space="preserve">purchase participating interests pursuant to </w:t>
      </w:r>
      <w:r>
        <w:rPr>
          <w:rFonts w:ascii="Arial" w:cs="Arial" w:eastAsia="Arial" w:hAnsi="Arial"/>
          <w:sz w:val="19"/>
          <w:szCs w:val="19"/>
          <w:u w:val="single" w:color="auto"/>
          <w:color w:val="000000"/>
        </w:rPr>
        <w:t>Section 2.7(b)</w:t>
      </w:r>
      <w:r>
        <w:rPr>
          <w:rFonts w:ascii="Arial" w:cs="Arial" w:eastAsia="Arial" w:hAnsi="Arial"/>
          <w:sz w:val="19"/>
          <w:szCs w:val="19"/>
          <w:color w:val="000000"/>
        </w:rPr>
        <w:t xml:space="preserve"> shall be absolute and unconditional and shall not be affected by any circumstance, including, without limitation, (i) any setoff, counterclaim, recoupment, defense or other right which such Revolving Credit Lender or the Borrower may have against the Swing Line Lender, the Borrower or any other Person for any reason whatsoever; (ii) the occurrence or continuance of a Default or an Event of Default or the failure to satisfy any of the other conditions specified in </w:t>
      </w:r>
      <w:r>
        <w:rPr>
          <w:rFonts w:ascii="Arial" w:cs="Arial" w:eastAsia="Arial" w:hAnsi="Arial"/>
          <w:sz w:val="19"/>
          <w:szCs w:val="19"/>
          <w:u w:val="single" w:color="auto"/>
          <w:color w:val="000000"/>
        </w:rPr>
        <w:t>Section 5</w:t>
      </w:r>
      <w:r>
        <w:rPr>
          <w:rFonts w:ascii="Arial" w:cs="Arial" w:eastAsia="Arial" w:hAnsi="Arial"/>
          <w:sz w:val="19"/>
          <w:szCs w:val="19"/>
          <w:color w:val="000000"/>
        </w:rPr>
        <w:t>; (iii) any adverse change in the condition (financial or otherwise) of the Borrower; (iv) any breach of this Agreement or any other Loan Document by the Borrower, any other Loan Party or any other Revolving Credit Lender; or (v) any other circumstance, happening or event whatsoever, whether or not similar to any of the foregoing.</w:t>
      </w:r>
    </w:p>
    <w:p>
      <w:pPr>
        <w:spacing w:after="0" w:line="15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Repayment of Loans; Evidence of Debt</w:t>
      </w:r>
      <w:r>
        <w:rPr>
          <w:rFonts w:ascii="Arial" w:cs="Arial" w:eastAsia="Arial" w:hAnsi="Arial"/>
          <w:sz w:val="19"/>
          <w:szCs w:val="19"/>
          <w:color w:val="auto"/>
        </w:rPr>
        <w:t>. (a) The Borrower hereby unconditionally promises to pay to the Administrative Agent for the account of the appropriate Revolving Credit Lender or Term Loan Lender, as the case may be,</w:t>
      </w:r>
    </w:p>
    <w:p>
      <w:pPr>
        <w:spacing w:after="0" w:line="1" w:lineRule="exact"/>
        <w:rPr>
          <w:sz w:val="20"/>
          <w:szCs w:val="20"/>
          <w:color w:val="auto"/>
        </w:rPr>
      </w:pPr>
    </w:p>
    <w:p>
      <w:pPr>
        <w:jc w:val="both"/>
        <w:ind w:firstLine="8"/>
        <w:spacing w:after="0" w:line="244" w:lineRule="auto"/>
        <w:tabs>
          <w:tab w:leader="none" w:pos="265"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the then unpaid principal amount of each Revolving Credit Loan of the Revolving Credit Lender on the applicable Revolving Credit Maturity Date (or on such earlier date on which the Loans become due and payable pursuant to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(ii) the then unpaid principal amount of each Swing Line Loan of such Swing Line Lender on the Revolving Credit Maturity Date (or on such earlier date on which the Loans become due and payable pursuant to </w:t>
      </w:r>
      <w:r>
        <w:rPr>
          <w:rFonts w:ascii="Arial" w:cs="Arial" w:eastAsia="Arial" w:hAnsi="Arial"/>
          <w:sz w:val="22"/>
          <w:szCs w:val="22"/>
          <w:u w:val="single" w:color="auto"/>
          <w:color w:val="auto"/>
        </w:rPr>
        <w:t>Section 8</w:t>
      </w:r>
      <w:r>
        <w:rPr>
          <w:rFonts w:ascii="Arial" w:cs="Arial" w:eastAsia="Arial" w:hAnsi="Arial"/>
          <w:sz w:val="22"/>
          <w:szCs w:val="22"/>
          <w:color w:val="auto"/>
        </w:rPr>
        <w:t>), (iii) the then unpaid principal amount of each Initial Term Loan of such Initial Term Loan Lender on the Initial Term Loan Maturity Date (or on such earlier date on which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7" w:right="339" w:bottom="1440" w:gutter="0" w:footer="0" w:header="0"/>
        </w:sectPr>
      </w:pPr>
    </w:p>
    <w:bookmarkStart w:id="143" w:name="page144"/>
    <w:bookmarkEnd w:id="143"/>
    <w:p>
      <w:pPr>
        <w:jc w:val="both"/>
        <w:spacing w:after="0" w:line="260" w:lineRule="auto"/>
        <w:rPr>
          <w:sz w:val="20"/>
          <w:szCs w:val="20"/>
          <w:color w:val="auto"/>
        </w:rPr>
      </w:pPr>
      <w:r>
        <w:rPr>
          <w:rFonts w:ascii="Arial" w:cs="Arial" w:eastAsia="Arial" w:hAnsi="Arial"/>
          <w:sz w:val="21"/>
          <w:szCs w:val="21"/>
          <w:color w:val="auto"/>
        </w:rPr>
        <w:t xml:space="preserve">become due and payable pursuant to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w:t>
      </w:r>
      <w:r>
        <w:rPr>
          <w:rFonts w:ascii="Arial" w:cs="Arial" w:eastAsia="Arial" w:hAnsi="Arial"/>
          <w:sz w:val="21"/>
          <w:szCs w:val="21"/>
          <w:color w:val="FF0000"/>
        </w:rPr>
        <w:t>and</w:t>
      </w:r>
      <w:r>
        <w:rPr>
          <w:rFonts w:ascii="Arial" w:cs="Arial" w:eastAsia="Arial" w:hAnsi="Arial"/>
          <w:sz w:val="21"/>
          <w:szCs w:val="21"/>
          <w:u w:val="single" w:color="auto"/>
          <w:color w:val="0000FF"/>
        </w:rPr>
        <w:t>;</w:t>
      </w:r>
      <w:r>
        <w:rPr>
          <w:rFonts w:ascii="Arial" w:cs="Arial" w:eastAsia="Arial" w:hAnsi="Arial"/>
          <w:sz w:val="21"/>
          <w:szCs w:val="21"/>
          <w:color w:val="auto"/>
        </w:rPr>
        <w:t xml:space="preserve"> (iv</w:t>
      </w:r>
      <w:r>
        <w:rPr>
          <w:rFonts w:ascii="Arial" w:cs="Arial" w:eastAsia="Arial" w:hAnsi="Arial"/>
          <w:sz w:val="21"/>
          <w:szCs w:val="21"/>
          <w:u w:val="single" w:color="auto"/>
          <w:color w:val="0000FF"/>
        </w:rPr>
        <w:t>) the then unpaid principal amount of each New Incremental Loan of such</w:t>
      </w:r>
      <w:r>
        <w:rPr>
          <w:rFonts w:ascii="Arial" w:cs="Arial" w:eastAsia="Arial" w:hAnsi="Arial"/>
          <w:sz w:val="21"/>
          <w:szCs w:val="21"/>
          <w:color w:val="auto"/>
        </w:rPr>
        <w:t xml:space="preserve"> </w:t>
      </w:r>
      <w:r>
        <w:rPr>
          <w:rFonts w:ascii="Arial" w:cs="Arial" w:eastAsia="Arial" w:hAnsi="Arial"/>
          <w:sz w:val="21"/>
          <w:szCs w:val="21"/>
          <w:u w:val="single" w:color="auto"/>
          <w:color w:val="0000FF"/>
        </w:rPr>
        <w:t>New Incremental Loan Lender on the New Incremental Loan Maturity Date (or on such earlier date on which the Loans become due and payable pursuant to Section 8) and (v</w:t>
      </w:r>
      <w:r>
        <w:rPr>
          <w:rFonts w:ascii="Arial" w:cs="Arial" w:eastAsia="Arial" w:hAnsi="Arial"/>
          <w:sz w:val="21"/>
          <w:szCs w:val="21"/>
          <w:color w:val="000000"/>
        </w:rPr>
        <w:t>) the then unpaid principal amount of each Incremental Term Loan of such</w:t>
      </w:r>
      <w:r>
        <w:rPr>
          <w:rFonts w:ascii="Arial" w:cs="Arial" w:eastAsia="Arial" w:hAnsi="Arial"/>
          <w:sz w:val="21"/>
          <w:szCs w:val="21"/>
          <w:color w:val="0000FF"/>
        </w:rPr>
        <w:t xml:space="preserve"> </w:t>
      </w:r>
      <w:r>
        <w:rPr>
          <w:rFonts w:ascii="Arial" w:cs="Arial" w:eastAsia="Arial" w:hAnsi="Arial"/>
          <w:sz w:val="21"/>
          <w:szCs w:val="21"/>
          <w:color w:val="000000"/>
        </w:rPr>
        <w:t xml:space="preserve">Incremental Term Loan Lender on the Incremental Term Loan Maturity Date (or on such earlier date on which the Loans become due and payable pursuant to </w:t>
      </w:r>
      <w:r>
        <w:rPr>
          <w:rFonts w:ascii="Arial" w:cs="Arial" w:eastAsia="Arial" w:hAnsi="Arial"/>
          <w:sz w:val="21"/>
          <w:szCs w:val="21"/>
          <w:u w:val="single" w:color="auto"/>
          <w:color w:val="000000"/>
        </w:rPr>
        <w:t>Section 8</w:t>
      </w:r>
      <w:r>
        <w:rPr>
          <w:rFonts w:ascii="Arial" w:cs="Arial" w:eastAsia="Arial" w:hAnsi="Arial"/>
          <w:sz w:val="21"/>
          <w:szCs w:val="21"/>
          <w:color w:val="000000"/>
        </w:rPr>
        <w:t xml:space="preserve">). The Borrower hereby further agrees to pay interest on the unpaid principal amount of the Loans from time to time outstanding from the Closing Date until payment in full thereof at the rates per annum, and on the dates, set forth in </w:t>
      </w:r>
      <w:r>
        <w:rPr>
          <w:rFonts w:ascii="Arial" w:cs="Arial" w:eastAsia="Arial" w:hAnsi="Arial"/>
          <w:sz w:val="21"/>
          <w:szCs w:val="21"/>
          <w:u w:val="single" w:color="auto"/>
          <w:color w:val="000000"/>
        </w:rPr>
        <w:t>Section 2.15</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2599055</wp:posOffset>
            </wp:positionH>
            <wp:positionV relativeFrom="paragraph">
              <wp:posOffset>-1071245</wp:posOffset>
            </wp:positionV>
            <wp:extent cx="2324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160" w:lineRule="exact"/>
        <w:rPr>
          <w:sz w:val="20"/>
          <w:szCs w:val="20"/>
          <w:color w:val="auto"/>
        </w:rPr>
      </w:pPr>
    </w:p>
    <w:p>
      <w:pPr>
        <w:ind w:right="160" w:firstLine="1304"/>
        <w:spacing w:after="0" w:line="312" w:lineRule="auto"/>
        <w:tabs>
          <w:tab w:leader="none" w:pos="1939" w:val="left"/>
        </w:tabs>
        <w:numPr>
          <w:ilvl w:val="1"/>
          <w:numId w:val="63"/>
        </w:numPr>
        <w:rPr>
          <w:rFonts w:ascii="Arial" w:cs="Arial" w:eastAsia="Arial" w:hAnsi="Arial"/>
          <w:sz w:val="19"/>
          <w:szCs w:val="19"/>
          <w:u w:val="single" w:color="auto"/>
          <w:color w:val="0000FF"/>
        </w:rPr>
      </w:pPr>
      <w:r>
        <w:rPr>
          <w:rFonts w:ascii="Arial" w:cs="Arial" w:eastAsia="Arial" w:hAnsi="Arial"/>
          <w:sz w:val="19"/>
          <w:szCs w:val="19"/>
          <w:color w:val="FF0000"/>
          <w:strike w:val="1"/>
        </w:rPr>
        <w:t>(a)</w:t>
      </w:r>
      <w:r>
        <w:rPr>
          <w:rFonts w:ascii="Arial" w:cs="Arial" w:eastAsia="Arial" w:hAnsi="Arial"/>
          <w:sz w:val="19"/>
          <w:szCs w:val="19"/>
          <w:color w:val="FF0000"/>
        </w:rPr>
        <w:t xml:space="preserve"> </w:t>
      </w:r>
      <w:r>
        <w:rPr>
          <w:rFonts w:ascii="Arial" w:cs="Arial" w:eastAsia="Arial" w:hAnsi="Arial"/>
          <w:sz w:val="19"/>
          <w:szCs w:val="19"/>
          <w:color w:val="000000"/>
        </w:rPr>
        <w:t>Each Lender shall maintain in accordance with its usual practice an account or accounts evidencing</w:t>
      </w:r>
      <w:r>
        <w:rPr>
          <w:rFonts w:ascii="Arial" w:cs="Arial" w:eastAsia="Arial" w:hAnsi="Arial"/>
          <w:sz w:val="19"/>
          <w:szCs w:val="19"/>
          <w:color w:val="FF0000"/>
        </w:rPr>
        <w:t xml:space="preserve"> </w:t>
      </w:r>
      <w:r>
        <w:rPr>
          <w:rFonts w:ascii="Arial" w:cs="Arial" w:eastAsia="Arial" w:hAnsi="Arial"/>
          <w:sz w:val="19"/>
          <w:szCs w:val="19"/>
          <w:color w:val="000000"/>
        </w:rPr>
        <w:t>indebtedness of the Borrower to such Lender resulting from each Loan of such Lender from time to time, including the amounts of principal and interest payable and paid to such Lender from time to time under this Agreement.</w:t>
      </w:r>
    </w:p>
    <w:p>
      <w:pPr>
        <w:spacing w:after="0" w:line="133" w:lineRule="exact"/>
        <w:rPr>
          <w:rFonts w:ascii="Arial" w:cs="Arial" w:eastAsia="Arial" w:hAnsi="Arial"/>
          <w:sz w:val="19"/>
          <w:szCs w:val="19"/>
          <w:u w:val="single" w:color="auto"/>
          <w:color w:val="0000FF"/>
        </w:rPr>
      </w:pPr>
    </w:p>
    <w:p>
      <w:pPr>
        <w:jc w:val="both"/>
        <w:ind w:firstLine="1304"/>
        <w:spacing w:after="0" w:line="286" w:lineRule="auto"/>
        <w:tabs>
          <w:tab w:leader="none" w:pos="1941" w:val="left"/>
        </w:tabs>
        <w:numPr>
          <w:ilvl w:val="1"/>
          <w:numId w:val="63"/>
        </w:numPr>
        <w:rPr>
          <w:rFonts w:ascii="Arial" w:cs="Arial" w:eastAsia="Arial" w:hAnsi="Arial"/>
          <w:sz w:val="19"/>
          <w:szCs w:val="19"/>
          <w:u w:val="single" w:color="auto"/>
          <w:color w:val="0000FF"/>
        </w:rPr>
      </w:pPr>
      <w:r>
        <w:rPr>
          <w:rFonts w:ascii="Arial" w:cs="Arial" w:eastAsia="Arial" w:hAnsi="Arial"/>
          <w:sz w:val="19"/>
          <w:szCs w:val="19"/>
          <w:color w:val="FF0000"/>
          <w:strike w:val="1"/>
        </w:rPr>
        <w:t>(b)</w:t>
      </w:r>
      <w:r>
        <w:rPr>
          <w:rFonts w:ascii="Arial" w:cs="Arial" w:eastAsia="Arial" w:hAnsi="Arial"/>
          <w:sz w:val="19"/>
          <w:szCs w:val="19"/>
          <w:color w:val="FF0000"/>
        </w:rPr>
        <w:t xml:space="preserve"> </w:t>
      </w:r>
      <w:r>
        <w:rPr>
          <w:rFonts w:ascii="Arial" w:cs="Arial" w:eastAsia="Arial" w:hAnsi="Arial"/>
          <w:sz w:val="19"/>
          <w:szCs w:val="19"/>
          <w:color w:val="000000"/>
        </w:rPr>
        <w:t>The Administrative Agent, on behalf of the Borrower, shall maintain the Register pursuant to</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Section 10.6(d)</w:t>
      </w:r>
      <w:r>
        <w:rPr>
          <w:rFonts w:ascii="Arial" w:cs="Arial" w:eastAsia="Arial" w:hAnsi="Arial"/>
          <w:sz w:val="19"/>
          <w:szCs w:val="19"/>
          <w:color w:val="000000"/>
        </w:rPr>
        <w:t>, and a subaccount therein for each Lender, in which shall be recorded (i) the amount of each Loan made hereunder and any Note evidencing such Loan, the Type of such Loan and each Interest Period applicable thereto, (ii) the amount of any principal or interest due and payable or to become due and payable from the Borrower to each Lender hereunder and</w:t>
      </w:r>
    </w:p>
    <w:p>
      <w:pPr>
        <w:spacing w:after="0" w:line="2" w:lineRule="exact"/>
        <w:rPr>
          <w:rFonts w:ascii="Arial" w:cs="Arial" w:eastAsia="Arial" w:hAnsi="Arial"/>
          <w:sz w:val="19"/>
          <w:szCs w:val="19"/>
          <w:u w:val="single" w:color="auto"/>
          <w:color w:val="0000FF"/>
        </w:rPr>
      </w:pPr>
    </w:p>
    <w:p>
      <w:pPr>
        <w:ind w:firstLine="8"/>
        <w:spacing w:after="0" w:line="246" w:lineRule="auto"/>
        <w:tabs>
          <w:tab w:leader="none" w:pos="398" w:val="left"/>
        </w:tabs>
        <w:numPr>
          <w:ilvl w:val="0"/>
          <w:numId w:val="64"/>
        </w:numPr>
        <w:rPr>
          <w:rFonts w:ascii="Arial" w:cs="Arial" w:eastAsia="Arial" w:hAnsi="Arial"/>
          <w:sz w:val="22"/>
          <w:szCs w:val="22"/>
          <w:color w:val="auto"/>
        </w:rPr>
      </w:pPr>
      <w:r>
        <w:rPr>
          <w:rFonts w:ascii="Arial" w:cs="Arial" w:eastAsia="Arial" w:hAnsi="Arial"/>
          <w:sz w:val="22"/>
          <w:szCs w:val="22"/>
          <w:color w:val="auto"/>
        </w:rPr>
        <w:t>both the amount of any sum received by the Administrative Agent hereunder from the Borrower and each Lender’s share thereof.</w:t>
      </w:r>
    </w:p>
    <w:p>
      <w:pPr>
        <w:spacing w:after="0" w:line="192" w:lineRule="exact"/>
        <w:rPr>
          <w:rFonts w:ascii="Arial" w:cs="Arial" w:eastAsia="Arial" w:hAnsi="Arial"/>
          <w:sz w:val="22"/>
          <w:szCs w:val="22"/>
          <w:color w:val="auto"/>
        </w:rPr>
      </w:pPr>
    </w:p>
    <w:p>
      <w:pPr>
        <w:jc w:val="both"/>
        <w:ind w:firstLine="1304"/>
        <w:spacing w:after="0" w:line="247" w:lineRule="auto"/>
        <w:tabs>
          <w:tab w:leader="none" w:pos="1939" w:val="left"/>
        </w:tabs>
        <w:numPr>
          <w:ilvl w:val="1"/>
          <w:numId w:val="64"/>
        </w:numPr>
        <w:rPr>
          <w:rFonts w:ascii="Arial" w:cs="Arial" w:eastAsia="Arial" w:hAnsi="Arial"/>
          <w:sz w:val="22"/>
          <w:szCs w:val="22"/>
          <w:u w:val="single" w:color="auto"/>
          <w:color w:val="0000FF"/>
        </w:rPr>
      </w:pPr>
      <w:r>
        <w:rPr>
          <w:rFonts w:ascii="Arial" w:cs="Arial" w:eastAsia="Arial" w:hAnsi="Arial"/>
          <w:sz w:val="22"/>
          <w:szCs w:val="22"/>
          <w:color w:val="FF0000"/>
          <w:strike w:val="1"/>
        </w:rPr>
        <w:t>(c)</w:t>
      </w:r>
      <w:r>
        <w:rPr>
          <w:rFonts w:ascii="Arial" w:cs="Arial" w:eastAsia="Arial" w:hAnsi="Arial"/>
          <w:sz w:val="22"/>
          <w:szCs w:val="22"/>
          <w:color w:val="FF0000"/>
        </w:rPr>
        <w:t xml:space="preserve"> </w:t>
      </w:r>
      <w:r>
        <w:rPr>
          <w:rFonts w:ascii="Arial" w:cs="Arial" w:eastAsia="Arial" w:hAnsi="Arial"/>
          <w:sz w:val="22"/>
          <w:szCs w:val="22"/>
          <w:color w:val="000000"/>
        </w:rPr>
        <w:t>The accounts of each Lender maintained pursuant to</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Section 2.8(b)</w:t>
      </w:r>
      <w:r>
        <w:rPr>
          <w:rFonts w:ascii="Arial" w:cs="Arial" w:eastAsia="Arial" w:hAnsi="Arial"/>
          <w:sz w:val="22"/>
          <w:szCs w:val="22"/>
          <w:color w:val="FF0000"/>
        </w:rPr>
        <w:t xml:space="preserve"> </w:t>
      </w:r>
      <w:r>
        <w:rPr>
          <w:rFonts w:ascii="Arial" w:cs="Arial" w:eastAsia="Arial" w:hAnsi="Arial"/>
          <w:sz w:val="22"/>
          <w:szCs w:val="22"/>
          <w:color w:val="000000"/>
        </w:rPr>
        <w:t>shall, to the extent permitted by</w:t>
      </w:r>
      <w:r>
        <w:rPr>
          <w:rFonts w:ascii="Arial" w:cs="Arial" w:eastAsia="Arial" w:hAnsi="Arial"/>
          <w:sz w:val="22"/>
          <w:szCs w:val="22"/>
          <w:color w:val="FF0000"/>
        </w:rPr>
        <w:t xml:space="preserve"> </w:t>
      </w:r>
      <w:r>
        <w:rPr>
          <w:rFonts w:ascii="Arial" w:cs="Arial" w:eastAsia="Arial" w:hAnsi="Arial"/>
          <w:sz w:val="22"/>
          <w:szCs w:val="22"/>
          <w:color w:val="000000"/>
        </w:rPr>
        <w:t xml:space="preserve">applicable law, be </w:t>
      </w:r>
      <w:r>
        <w:rPr>
          <w:rFonts w:ascii="Arial" w:cs="Arial" w:eastAsia="Arial" w:hAnsi="Arial"/>
          <w:sz w:val="22"/>
          <w:szCs w:val="22"/>
          <w:u w:val="single" w:color="auto"/>
          <w:color w:val="000000"/>
        </w:rPr>
        <w:t>prima facie</w:t>
      </w:r>
      <w:r>
        <w:rPr>
          <w:rFonts w:ascii="Arial" w:cs="Arial" w:eastAsia="Arial" w:hAnsi="Arial"/>
          <w:sz w:val="22"/>
          <w:szCs w:val="22"/>
          <w:color w:val="000000"/>
        </w:rPr>
        <w:t xml:space="preserve"> evidence of the existence and amounts of the obligations of the Borrower therein recorded;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however</w:t>
      </w:r>
      <w:r>
        <w:rPr>
          <w:rFonts w:ascii="Arial" w:cs="Arial" w:eastAsia="Arial" w:hAnsi="Arial"/>
          <w:sz w:val="22"/>
          <w:szCs w:val="22"/>
          <w:color w:val="000000"/>
        </w:rPr>
        <w:t>, that the failure of any Lender or the Administrative Agent to maintain the Register or any such account, or any error therein, shall not in any manner affect the obligation of the Borrower to repay (with applicable interest) the Loans made to the Borrower by such Lender in accordance with the terms of this Agreement; provided, further, that if such accounts are inconsistent with the Register, the Register shall prevail.</w:t>
      </w:r>
    </w:p>
    <w:p>
      <w:pPr>
        <w:spacing w:after="0" w:line="192" w:lineRule="exact"/>
        <w:rPr>
          <w:rFonts w:ascii="Arial" w:cs="Arial" w:eastAsia="Arial" w:hAnsi="Arial"/>
          <w:sz w:val="22"/>
          <w:szCs w:val="22"/>
          <w:u w:val="single" w:color="auto"/>
          <w:color w:val="0000FF"/>
        </w:rPr>
      </w:pPr>
    </w:p>
    <w:p>
      <w:pPr>
        <w:jc w:val="both"/>
        <w:ind w:firstLine="1304"/>
        <w:spacing w:after="0" w:line="246" w:lineRule="auto"/>
        <w:tabs>
          <w:tab w:leader="none" w:pos="1941" w:val="left"/>
        </w:tabs>
        <w:numPr>
          <w:ilvl w:val="1"/>
          <w:numId w:val="64"/>
        </w:numPr>
        <w:rPr>
          <w:rFonts w:ascii="Arial" w:cs="Arial" w:eastAsia="Arial" w:hAnsi="Arial"/>
          <w:sz w:val="22"/>
          <w:szCs w:val="22"/>
          <w:u w:val="single" w:color="auto"/>
          <w:color w:val="0000FF"/>
        </w:rPr>
      </w:pPr>
      <w:r>
        <w:rPr>
          <w:rFonts w:ascii="Arial" w:cs="Arial" w:eastAsia="Arial" w:hAnsi="Arial"/>
          <w:sz w:val="22"/>
          <w:szCs w:val="22"/>
          <w:color w:val="FF0000"/>
          <w:strike w:val="1"/>
        </w:rPr>
        <w:t>(d)</w:t>
      </w:r>
      <w:r>
        <w:rPr>
          <w:rFonts w:ascii="Arial" w:cs="Arial" w:eastAsia="Arial" w:hAnsi="Arial"/>
          <w:sz w:val="22"/>
          <w:szCs w:val="22"/>
          <w:color w:val="FF0000"/>
        </w:rPr>
        <w:t xml:space="preserve"> </w:t>
      </w:r>
      <w:r>
        <w:rPr>
          <w:rFonts w:ascii="Arial" w:cs="Arial" w:eastAsia="Arial" w:hAnsi="Arial"/>
          <w:sz w:val="22"/>
          <w:szCs w:val="22"/>
          <w:color w:val="000000"/>
        </w:rPr>
        <w:t>The Borrower agrees that, upon the request by the Administrative Agent as a result of a request to the</w:t>
      </w:r>
      <w:r>
        <w:rPr>
          <w:rFonts w:ascii="Arial" w:cs="Arial" w:eastAsia="Arial" w:hAnsi="Arial"/>
          <w:sz w:val="22"/>
          <w:szCs w:val="22"/>
          <w:color w:val="FF0000"/>
        </w:rPr>
        <w:t xml:space="preserve"> </w:t>
      </w:r>
      <w:r>
        <w:rPr>
          <w:rFonts w:ascii="Arial" w:cs="Arial" w:eastAsia="Arial" w:hAnsi="Arial"/>
          <w:sz w:val="22"/>
          <w:szCs w:val="22"/>
          <w:color w:val="000000"/>
        </w:rPr>
        <w:t xml:space="preserve">Administrative Agent by any Lender, the Borrower will promptly execute and deliver to such Lender a promissory note of the Borrower evidencing any Term Loans, substantially in the form of </w:t>
      </w:r>
      <w:r>
        <w:rPr>
          <w:rFonts w:ascii="Arial" w:cs="Arial" w:eastAsia="Arial" w:hAnsi="Arial"/>
          <w:sz w:val="22"/>
          <w:szCs w:val="22"/>
          <w:u w:val="single" w:color="auto"/>
          <w:color w:val="000000"/>
        </w:rPr>
        <w:t>Exhibit D-1</w:t>
      </w:r>
      <w:r>
        <w:rPr>
          <w:rFonts w:ascii="Arial" w:cs="Arial" w:eastAsia="Arial" w:hAnsi="Arial"/>
          <w:sz w:val="22"/>
          <w:szCs w:val="22"/>
          <w:color w:val="000000"/>
        </w:rPr>
        <w:t xml:space="preserve">, Revolving Credit Loans substantially in the form of </w:t>
      </w:r>
      <w:r>
        <w:rPr>
          <w:rFonts w:ascii="Arial" w:cs="Arial" w:eastAsia="Arial" w:hAnsi="Arial"/>
          <w:sz w:val="22"/>
          <w:szCs w:val="22"/>
          <w:u w:val="single" w:color="auto"/>
          <w:color w:val="000000"/>
        </w:rPr>
        <w:t>Exhibit D-2</w:t>
      </w:r>
      <w:r>
        <w:rPr>
          <w:rFonts w:ascii="Arial" w:cs="Arial" w:eastAsia="Arial" w:hAnsi="Arial"/>
          <w:sz w:val="22"/>
          <w:szCs w:val="22"/>
          <w:color w:val="000000"/>
        </w:rPr>
        <w:t xml:space="preserve">, or Swing Line Loans substantially in the form of </w:t>
      </w:r>
      <w:r>
        <w:rPr>
          <w:rFonts w:ascii="Arial" w:cs="Arial" w:eastAsia="Arial" w:hAnsi="Arial"/>
          <w:sz w:val="22"/>
          <w:szCs w:val="22"/>
          <w:u w:val="single" w:color="auto"/>
          <w:color w:val="000000"/>
        </w:rPr>
        <w:t>Exhibit D3</w:t>
      </w:r>
      <w:r>
        <w:rPr>
          <w:rFonts w:ascii="Arial" w:cs="Arial" w:eastAsia="Arial" w:hAnsi="Arial"/>
          <w:sz w:val="22"/>
          <w:szCs w:val="22"/>
          <w:color w:val="000000"/>
        </w:rPr>
        <w:t>, as the case may be (a “</w:t>
      </w:r>
      <w:r>
        <w:rPr>
          <w:rFonts w:ascii="Arial" w:cs="Arial" w:eastAsia="Arial" w:hAnsi="Arial"/>
          <w:sz w:val="22"/>
          <w:szCs w:val="22"/>
          <w:u w:val="single" w:color="auto"/>
          <w:color w:val="000000"/>
        </w:rPr>
        <w:t>Term Note</w:t>
      </w:r>
      <w:r>
        <w:rPr>
          <w:rFonts w:ascii="Arial" w:cs="Arial" w:eastAsia="Arial" w:hAnsi="Arial"/>
          <w:sz w:val="22"/>
          <w:szCs w:val="22"/>
          <w:color w:val="000000"/>
        </w:rPr>
        <w:t>”, “</w:t>
      </w:r>
      <w:r>
        <w:rPr>
          <w:rFonts w:ascii="Arial" w:cs="Arial" w:eastAsia="Arial" w:hAnsi="Arial"/>
          <w:sz w:val="22"/>
          <w:szCs w:val="22"/>
          <w:u w:val="single" w:color="auto"/>
          <w:color w:val="000000"/>
        </w:rPr>
        <w:t>Revolving</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Credit Note</w:t>
      </w:r>
      <w:r>
        <w:rPr>
          <w:rFonts w:ascii="Arial" w:cs="Arial" w:eastAsia="Arial" w:hAnsi="Arial"/>
          <w:sz w:val="22"/>
          <w:szCs w:val="22"/>
          <w:color w:val="000000"/>
        </w:rPr>
        <w:t>” or “</w:t>
      </w:r>
      <w:r>
        <w:rPr>
          <w:rFonts w:ascii="Arial" w:cs="Arial" w:eastAsia="Arial" w:hAnsi="Arial"/>
          <w:sz w:val="22"/>
          <w:szCs w:val="22"/>
          <w:u w:val="single" w:color="auto"/>
          <w:color w:val="000000"/>
        </w:rPr>
        <w:t>Swing Line Note</w:t>
      </w:r>
      <w:r>
        <w:rPr>
          <w:rFonts w:ascii="Arial" w:cs="Arial" w:eastAsia="Arial" w:hAnsi="Arial"/>
          <w:sz w:val="22"/>
          <w:szCs w:val="22"/>
          <w:color w:val="000000"/>
        </w:rPr>
        <w:t xml:space="preserve">”, respectively), with appropriate insertions as to date and principal amount; </w:t>
      </w:r>
      <w:r>
        <w:rPr>
          <w:rFonts w:ascii="Arial" w:cs="Arial" w:eastAsia="Arial" w:hAnsi="Arial"/>
          <w:sz w:val="22"/>
          <w:szCs w:val="22"/>
          <w:u w:val="single" w:color="auto"/>
          <w:color w:val="000000"/>
        </w:rPr>
        <w:t>provided</w:t>
      </w:r>
      <w:r>
        <w:rPr>
          <w:rFonts w:ascii="Arial" w:cs="Arial" w:eastAsia="Arial" w:hAnsi="Arial"/>
          <w:sz w:val="22"/>
          <w:szCs w:val="22"/>
          <w:color w:val="000000"/>
        </w:rPr>
        <w:t>, that delivery of Notes shall not be a condition precedent to the occurrence of the Closing Date or the making of the Loans or issuance of Letters of Credit on the Closing Date.</w:t>
      </w:r>
    </w:p>
    <w:p>
      <w:pPr>
        <w:spacing w:after="0" w:line="19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u w:val="single" w:color="auto"/>
          <w:color w:val="auto"/>
        </w:rPr>
        <w:t>Commitment Fees, etc</w:t>
      </w:r>
      <w:r>
        <w:rPr>
          <w:rFonts w:ascii="Arial" w:cs="Arial" w:eastAsia="Arial" w:hAnsi="Arial"/>
          <w:sz w:val="21"/>
          <w:szCs w:val="21"/>
          <w:color w:val="auto"/>
        </w:rPr>
        <w:t>. (a) The Borrower agrees to pay to the Administrative Agent for the account of each Revolving Credit Lender a commitment fee for the period from and including the Closing Date to the Revolving Credit Termination Date, in each case, computed at the Commitment Fee Rate on the average daily amount of the Available Revolving Credit Commitment of such Revolving Credit Lender during the period for which payment is made, payable quarterly in arrears on the last Business Day of each March, June, September and December and on the latest Revolving Credit Termination Date, commencing on the first of such dates to occur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27" w:right="339" w:bottom="1440" w:gutter="0" w:footer="0" w:header="0"/>
        </w:sectPr>
      </w:pPr>
    </w:p>
    <w:bookmarkStart w:id="144" w:name="page145"/>
    <w:bookmarkEnd w:id="144"/>
    <w:p>
      <w:pPr>
        <w:ind w:right="140" w:firstLine="1304"/>
        <w:spacing w:after="0" w:line="263" w:lineRule="auto"/>
        <w:tabs>
          <w:tab w:leader="none" w:pos="1939" w:val="left"/>
        </w:tabs>
        <w:numPr>
          <w:ilvl w:val="0"/>
          <w:numId w:val="65"/>
        </w:numPr>
        <w:rPr>
          <w:rFonts w:ascii="Arial" w:cs="Arial" w:eastAsia="Arial" w:hAnsi="Arial"/>
          <w:sz w:val="22"/>
          <w:szCs w:val="22"/>
          <w:u w:val="single" w:color="auto"/>
          <w:color w:val="0000FF"/>
        </w:rPr>
      </w:pPr>
      <w:r>
        <w:rPr>
          <w:rFonts w:ascii="Arial" w:cs="Arial" w:eastAsia="Arial" w:hAnsi="Arial"/>
          <w:sz w:val="22"/>
          <w:szCs w:val="22"/>
          <w:color w:val="FF0000"/>
          <w:strike w:val="1"/>
        </w:rPr>
        <w:t>(a)</w:t>
      </w:r>
      <w:r>
        <w:rPr>
          <w:rFonts w:ascii="Arial" w:cs="Arial" w:eastAsia="Arial" w:hAnsi="Arial"/>
          <w:sz w:val="22"/>
          <w:szCs w:val="22"/>
          <w:color w:val="FF0000"/>
        </w:rPr>
        <w:t xml:space="preserve"> </w:t>
      </w:r>
      <w:r>
        <w:rPr>
          <w:rFonts w:ascii="Arial" w:cs="Arial" w:eastAsia="Arial" w:hAnsi="Arial"/>
          <w:sz w:val="22"/>
          <w:szCs w:val="22"/>
          <w:color w:val="000000"/>
        </w:rPr>
        <w:t>The Borrower agrees to pay to the Administrative Agent the fees in the amounts and on the dates from</w:t>
      </w:r>
      <w:r>
        <w:rPr>
          <w:rFonts w:ascii="Arial" w:cs="Arial" w:eastAsia="Arial" w:hAnsi="Arial"/>
          <w:sz w:val="22"/>
          <w:szCs w:val="22"/>
          <w:color w:val="FF0000"/>
        </w:rPr>
        <w:t xml:space="preserve"> </w:t>
      </w:r>
      <w:r>
        <w:rPr>
          <w:rFonts w:ascii="Arial" w:cs="Arial" w:eastAsia="Arial" w:hAnsi="Arial"/>
          <w:sz w:val="22"/>
          <w:szCs w:val="22"/>
          <w:color w:val="000000"/>
        </w:rPr>
        <w:t>time to time agreed to in writing by the Borrower and the Administrative Agent.</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Termination or Reduction of Revolving Credit Commitments</w:t>
      </w:r>
      <w:r>
        <w:rPr>
          <w:rFonts w:ascii="Arial" w:cs="Arial" w:eastAsia="Arial" w:hAnsi="Arial"/>
          <w:sz w:val="19"/>
          <w:szCs w:val="19"/>
          <w:color w:val="auto"/>
        </w:rPr>
        <w:t xml:space="preserve">. The Borrower shall have the right, upon not less than three Business Days’ notice to the Administrative Agent (or such shorter period as the Administrative Agent may permit in its sole </w:t>
      </w:r>
      <w:r>
        <w:rPr>
          <w:rFonts w:ascii="Arial" w:cs="Arial" w:eastAsia="Arial" w:hAnsi="Arial"/>
          <w:sz w:val="19"/>
          <w:szCs w:val="19"/>
          <w:color w:val="FF0000"/>
          <w:strike w:val="1"/>
        </w:rPr>
        <w:t>descretion</w:t>
      </w:r>
      <w:r>
        <w:rPr>
          <w:rFonts w:ascii="Arial" w:cs="Arial" w:eastAsia="Arial" w:hAnsi="Arial"/>
          <w:sz w:val="19"/>
          <w:szCs w:val="19"/>
          <w:u w:val="single" w:color="auto"/>
          <w:color w:val="0000FF"/>
        </w:rPr>
        <w:t>discretion</w:t>
      </w:r>
      <w:r>
        <w:rPr>
          <w:rFonts w:ascii="Arial" w:cs="Arial" w:eastAsia="Arial" w:hAnsi="Arial"/>
          <w:sz w:val="19"/>
          <w:szCs w:val="19"/>
          <w:color w:val="auto"/>
        </w:rPr>
        <w:t xml:space="preserve">), to terminate the Revolving Credit Commitments or, from time to time, to reduce the aggregate amount of the Revolving Credit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termination or reduction of Revolving Credit Commitments shall be permitted if, after giving effect thereto and to any prepayments of the Revolving Credit Loans and Swing Line Loans made on the effective date thereof, the Total Revolving Extensions of Credit would exceed the Total Revolving Credit Commitments. Any such reduction shall be in an amount equal to $1,000,000, or a whole multiple thereof, and shall reduce permanently the Revolving Credit Commitments then in effect. Each notice delivered by the Borrower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a notice of termination of the Revolving Credit Commitments delivered by the Borrower expressly states that such notice is conditioned upon the effectiveness of other credit facilities or the closing of a specified transaction, such notice may be revoked by the Borrower (by notice to the Administrative Agent on or prior to the specified effective date) if such condition is not satisfied.</w:t>
      </w:r>
    </w:p>
    <w:p>
      <w:pPr>
        <w:spacing w:after="0" w:line="200" w:lineRule="exact"/>
        <w:rPr>
          <w:sz w:val="20"/>
          <w:szCs w:val="20"/>
          <w:color w:val="auto"/>
        </w:rPr>
      </w:pPr>
    </w:p>
    <w:p>
      <w:pPr>
        <w:spacing w:after="0" w:line="22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Optional Prepayments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5" w:lineRule="auto"/>
        <w:tabs>
          <w:tab w:leader="none" w:pos="1941"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The Borrower may at any time and from time to time prepay the Loans, in whole or in part, without premium or penalty (except as otherwise provided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below), upon irrevocable notice (except as otherwise provided in clause (a)(iii) below) delivered to the Administrative Agent no later than 11:00 A.M., New York City time, three Business Days prior thereto (or such later time as the Administrative Agent may permit in its sole discretion) in the case of Eurodollar Loans and no later than 11:00 A.M., New York City time, one Business Day prior thereto (or such later time as the Administrative Agent may permit in its sole discretion) in the case of Base Rate Loans, which notice shall specify the date and amount of such prepayment, whether such prepayment is of Term Loans or Revolving Credit Loans, and whether such prepayment is of Eurodollar Loans or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 Eurodollar Loan is prepaid on any day other than the last day of the Interest Period applicable thereto, the Borrower shall also pay any amounts owing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 (ii) no prior notice is required for the prepayment of Swing Line Loans and (iii) if such a notice of prepayment expressly states that such notice is conditioned upon the effectiveness of other credit facilities or the closing of a specified transaction, such notice may be revoked by the Borrower (by notice to the Administrative Agent on or prior to the specified effective date) if such condition is not satisfied. Upon receipt of any such notice the Administrative Agent shall promptly notify each relevant Lender thereof. If any such notice is given, the amount specified in such notice shall be due and payable on the date specified therein, together with (except in the case of Revolving Credit Loans that are Base Rate Loans and Swing Line Loans) accrued interest to such date on the amount prepaid. Partial prepayments of Term Loans shall be in an aggregate principal amount of $1,000,000 or a whole multiple of $500,000 in excess thereof (or such lesser amount or integral to repay such Loan in full). Partial prepayments of Swing Line Loans and Revolving Credit Loans shall be in an aggregate principal amount of $100,000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27" w:right="3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a whole multiple of $50,000 in excess thereof (or such lesser amount or integral to repay such Loan in full).</w:t>
      </w:r>
    </w:p>
    <w:p>
      <w:pPr>
        <w:spacing w:after="0" w:line="220" w:lineRule="exact"/>
        <w:rPr>
          <w:sz w:val="20"/>
          <w:szCs w:val="20"/>
          <w:color w:val="auto"/>
        </w:rPr>
      </w:pPr>
    </w:p>
    <w:p>
      <w:pPr>
        <w:jc w:val="both"/>
        <w:ind w:firstLine="1304"/>
        <w:spacing w:after="0" w:line="297" w:lineRule="auto"/>
        <w:tabs>
          <w:tab w:leader="none" w:pos="1615" w:val="left"/>
        </w:tabs>
        <w:numPr>
          <w:ilvl w:val="0"/>
          <w:numId w:val="67"/>
        </w:numPr>
        <w:rPr>
          <w:rFonts w:ascii="Arial" w:cs="Arial" w:eastAsia="Arial" w:hAnsi="Arial"/>
          <w:sz w:val="19"/>
          <w:szCs w:val="19"/>
          <w:color w:val="FF0000"/>
          <w:strike w:val="1"/>
        </w:rPr>
      </w:pPr>
      <w:r>
        <w:rPr>
          <w:rFonts w:ascii="Arial" w:cs="Arial" w:eastAsia="Arial" w:hAnsi="Arial"/>
          <w:sz w:val="19"/>
          <w:szCs w:val="19"/>
          <w:color w:val="FF0000"/>
          <w:strike w:val="1"/>
        </w:rPr>
        <w:t xml:space="preserve">In the event that a Repricing Event is consummated in connection with all or any portion of the Term Loans prior to the 6 month anniversary of the Closing </w:t>
      </w:r>
      <w:r>
        <w:rPr>
          <w:rFonts w:ascii="Arial" w:cs="Arial" w:eastAsia="Arial" w:hAnsi="Arial"/>
          <w:sz w:val="19"/>
          <w:szCs w:val="19"/>
          <w:color w:val="008000"/>
          <w:strike w:val="1"/>
        </w:rPr>
        <w:t>Date, the Borrower shall</w:t>
      </w:r>
      <w:r>
        <w:rPr>
          <w:rFonts w:ascii="Arial" w:cs="Arial" w:eastAsia="Arial" w:hAnsi="Arial"/>
          <w:sz w:val="19"/>
          <w:szCs w:val="19"/>
          <w:color w:val="FF0000"/>
          <w:strike w:val="1"/>
        </w:rPr>
        <w:t xml:space="preserve"> pay to the Term Loan Lenders a fee equal to 1.00</w:t>
      </w:r>
      <w:r>
        <w:rPr>
          <w:rFonts w:ascii="Arial" w:cs="Arial" w:eastAsia="Arial" w:hAnsi="Arial"/>
          <w:sz w:val="19"/>
          <w:szCs w:val="19"/>
          <w:color w:val="008000"/>
          <w:strike w:val="1"/>
        </w:rPr>
        <w:t>% of</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 xml:space="preserve">the aggregate principal amount of the </w:t>
      </w:r>
      <w:r>
        <w:rPr>
          <w:rFonts w:ascii="Arial" w:cs="Arial" w:eastAsia="Arial" w:hAnsi="Arial"/>
          <w:sz w:val="19"/>
          <w:szCs w:val="19"/>
          <w:color w:val="FF0000"/>
          <w:strike w:val="1"/>
        </w:rPr>
        <w:t>Term Loans that are repaid (or, if less, the amount of Indebtedness that was incurred in</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 xml:space="preserve">connection with such Repricing Event), assigned, converted or amended in connection with such Repricing Event (notwithstanding the provisions regarding non-consenting Lenders set forth in the second to last paragraph of </w:t>
      </w:r>
      <w:r>
        <w:rPr>
          <w:rFonts w:ascii="Arial" w:cs="Arial" w:eastAsia="Arial" w:hAnsi="Arial"/>
          <w:sz w:val="19"/>
          <w:szCs w:val="19"/>
          <w:u w:val="single" w:color="auto"/>
          <w:color w:val="FF0000"/>
          <w:strike w:val="1"/>
        </w:rPr>
        <w:t>Section 10.1</w:t>
      </w:r>
      <w:r>
        <w:rPr>
          <w:rFonts w:ascii="Arial" w:cs="Arial" w:eastAsia="Arial" w:hAnsi="Arial"/>
          <w:sz w:val="19"/>
          <w:szCs w:val="19"/>
          <w:color w:val="FF0000"/>
          <w:strike w:val="1"/>
        </w:rPr>
        <w:t>).</w:t>
      </w:r>
    </w:p>
    <w:p>
      <w:pPr>
        <w:spacing w:after="0" w:line="147" w:lineRule="exact"/>
        <w:rPr>
          <w:sz w:val="20"/>
          <w:szCs w:val="20"/>
          <w:color w:val="auto"/>
        </w:rPr>
      </w:pPr>
    </w:p>
    <w:p>
      <w:pPr>
        <w:jc w:val="both"/>
        <w:ind w:firstLine="1304"/>
        <w:spacing w:after="0" w:line="284" w:lineRule="auto"/>
        <w:tabs>
          <w:tab w:leader="none" w:pos="1939" w:val="left"/>
        </w:tabs>
        <w:numPr>
          <w:ilvl w:val="0"/>
          <w:numId w:val="68"/>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 xml:space="preserve">The Borrower shall owe and pay to the Administrative Agent, for the ratable account of each applicable New Incremental Loan Lender, any then-applicable Applicable New Incremental Loan Premium, which shall be due and payable in connection with (i) any voluntary prepayment </w:t>
      </w:r>
      <w:r>
        <w:rPr>
          <w:rFonts w:ascii="Arial" w:cs="Arial" w:eastAsia="Arial" w:hAnsi="Arial"/>
          <w:sz w:val="19"/>
          <w:szCs w:val="19"/>
          <w:u w:val="single" w:color="auto"/>
          <w:color w:val="008000"/>
        </w:rPr>
        <w:t>pursuant to this Section</w:t>
      </w:r>
      <w:r>
        <w:rPr>
          <w:rFonts w:ascii="Arial" w:cs="Arial" w:eastAsia="Arial" w:hAnsi="Arial"/>
          <w:sz w:val="19"/>
          <w:szCs w:val="19"/>
          <w:u w:val="single" w:color="auto"/>
          <w:color w:val="0000FF"/>
        </w:rPr>
        <w:t xml:space="preserve"> 2.11, (ii) any mandatory prepayment pursuant to Section 2.12 (other than pursuant to Section 2.12(c) (</w:t>
      </w:r>
      <w:r>
        <w:rPr>
          <w:rFonts w:ascii="Arial" w:cs="Arial" w:eastAsia="Arial" w:hAnsi="Arial"/>
          <w:sz w:val="19"/>
          <w:szCs w:val="19"/>
          <w:i w:val="1"/>
          <w:iCs w:val="1"/>
          <w:u w:val="single" w:color="auto"/>
          <w:color w:val="0000FF"/>
        </w:rPr>
        <w:t>Excess Cash Flow</w:t>
      </w:r>
      <w:r>
        <w:rPr>
          <w:rFonts w:ascii="Arial" w:cs="Arial" w:eastAsia="Arial" w:hAnsi="Arial"/>
          <w:sz w:val="19"/>
          <w:szCs w:val="19"/>
          <w:u w:val="single" w:color="auto"/>
          <w:color w:val="0000FF"/>
        </w:rPr>
        <w:t>)) and (iii) any acceleration, including, without limitation, pursuant to Section 8, in each case in respect of any New Incremental Loans being paid, repaid, prepaid or accelerated, and including, without limitation, as a result of the restructuring, reorganization, or compromise of the Obligations by the confirmation of a plan of reorganization or any other plan of compromise, restructure, or arrangement in any insolvency proceeding. In the event that (i) the Borrower makes any voluntary prepayment pursuant to this Section 2.11, or makes any mandatory prepayment pursuant to Section 2.12 (other than pursuant to Section 2.12(c) (</w:t>
      </w:r>
      <w:r>
        <w:rPr>
          <w:rFonts w:ascii="Arial" w:cs="Arial" w:eastAsia="Arial" w:hAnsi="Arial"/>
          <w:sz w:val="19"/>
          <w:szCs w:val="19"/>
          <w:i w:val="1"/>
          <w:iCs w:val="1"/>
          <w:u w:val="single" w:color="auto"/>
          <w:color w:val="0000FF"/>
        </w:rPr>
        <w:t>Excess Cash Flow</w:t>
      </w:r>
      <w:r>
        <w:rPr>
          <w:rFonts w:ascii="Arial" w:cs="Arial" w:eastAsia="Arial" w:hAnsi="Arial"/>
          <w:sz w:val="19"/>
          <w:szCs w:val="19"/>
          <w:u w:val="single" w:color="auto"/>
          <w:color w:val="0000FF"/>
        </w:rPr>
        <w:t>)), of Initial Term Loans on or prior to the one-year anniversary of the Amendment No. 2 Effective Date or (ii) the Initial Term Loans are accelerated prior to the one-year anniversary of the Amendment No. 2 Effective Date, including, without limitation, pursuant to Section 8, and including, without limitation, as a result of the restructuring, reorganization, or compromise of the Obligations by the confirmation of a plan of reorganization or any other plan of compromise, restructure, or arrangement in any insolvency proceeding, then the Applicable Premium shall be due and payable and the Borrower shall owe and pay the Applicable Premium to the Administrative Agent, for the ratable account of each applicable Lender, in respect of the Initial Term Loans so paid, repaid, prepaid or accelerated. IT IS UNDERSTOOD AND AGREED THAT IF THE INITIAL TERM LOANS OR THE NEW INCREMENTAL LOANS ARE ACCELERATED OR OTHERWISE BECOME DUE (EXCLUDING ANY PREPAYMENT DUE PURSUANT TO SECTION 2.12(C)) PRIOR TO THEIR MATURITY DATE, INCLUDING WITHOUT LIMITATION AS A RESULT OF ANY EVENT OF DEFAULT DESCRIBED UNDER SECTION 8(F), THE APPLICABLE PREMIUM AND/OR THE APPLICABLE NEW INCREMENTAL LOAN PREMIUM, IF ANY, AS THE CASE MAY BE, WILL ALSO AUTOMATICALLY BE DUE AND PAYABLE (TO THE EXTENT OTHERWISE APPLICABLE TO A PAYMENT OR PREPAYMENT ON SUCH DATE) AS THOUGH THE INITIAL TERM LOANS AND/OR THE NEW INCREMENTAL LOANS WERE BEING VOLUNTARILY PAID, PREPAID OR REPAID AND SHALL CONSTITUTE PART OF THE OBLIGATIONS WITH RESPECT TO THE LOANS. THE APPLICABLE PREMIUM AND/OR APPLICABLE NEW INCREMENTAL LOAN PREMIUM PAYABLE IN ACCORDANCE WITH THE IMMEDIATELY PRECEDING SENTENCE SHALL BE PRESUMED TO BE THE LIQUIDATED DAMAGES SUSTAINED BY EACH LENDER AS THE RESULT OF THE EARLY TERMINATION, AND THE LOAN PARTIES AGREE THAT IT IS REASONABLE UNDER THE CIRCUMSTANCES AND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427" w:right="339" w:bottom="1440" w:gutter="0" w:footer="0" w:header="0"/>
        </w:sectPr>
      </w:pPr>
    </w:p>
    <w:bookmarkStart w:id="146" w:name="page147"/>
    <w:bookmarkEnd w:id="146"/>
    <w:p>
      <w:pPr>
        <w:jc w:val="both"/>
        <w:spacing w:after="0" w:line="261" w:lineRule="auto"/>
        <w:rPr>
          <w:sz w:val="20"/>
          <w:szCs w:val="20"/>
          <w:color w:val="auto"/>
        </w:rPr>
      </w:pPr>
      <w:r>
        <w:rPr>
          <w:rFonts w:ascii="Arial" w:cs="Arial" w:eastAsia="Arial" w:hAnsi="Arial"/>
          <w:sz w:val="21"/>
          <w:szCs w:val="21"/>
          <w:u w:val="single" w:color="auto"/>
          <w:color w:val="0000FF"/>
        </w:rPr>
        <w:t>DEEMED TO CONSTITUTE A PENALTY. TO THE FULLEST EXTENT PERMITTED BY LAW, THE LOAN PARTIES EXPRESSLY WAIVE THE PROVISIONS OF ANY PRESENT OR FUTURE STATUTE OR LAW THAT PROHIBITS OR MAY PROHIBIT THE COLLECTION OF THE FOREGOING APPLICABLE PREMIUM AND/OR APPLICABLE NEW INCREMENTAL LOAN PREMIUM. The Loan Parties expressly acknowledge that their agreement to pay the Applicable Premium and/or the Applicable New Incremental Loan Premium as herein described is a material inducement to the Lenders to fund or continue, as applicable, the New Incremental Loans or the Initial Term Loans.</w:t>
      </w:r>
    </w:p>
    <w:p>
      <w:pPr>
        <w:spacing w:after="0" w:line="179" w:lineRule="exact"/>
        <w:rPr>
          <w:sz w:val="20"/>
          <w:szCs w:val="20"/>
          <w:color w:val="auto"/>
        </w:rPr>
      </w:pPr>
    </w:p>
    <w:p>
      <w:pPr>
        <w:jc w:val="both"/>
        <w:ind w:firstLine="1304"/>
        <w:spacing w:after="0" w:line="247" w:lineRule="auto"/>
        <w:tabs>
          <w:tab w:leader="none" w:pos="1941"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Notwithstanding anything in this Agreement (including but not limited to </w:t>
      </w:r>
      <w:r>
        <w:rPr>
          <w:rFonts w:ascii="Arial" w:cs="Arial" w:eastAsia="Arial" w:hAnsi="Arial"/>
          <w:sz w:val="22"/>
          <w:szCs w:val="22"/>
          <w:u w:val="single" w:color="auto"/>
          <w:color w:val="auto"/>
        </w:rPr>
        <w:t>Sections 2.8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2.18</w:t>
      </w:r>
      <w:r>
        <w:rPr>
          <w:rFonts w:ascii="Arial" w:cs="Arial" w:eastAsia="Arial" w:hAnsi="Arial"/>
          <w:sz w:val="22"/>
          <w:szCs w:val="22"/>
          <w:color w:val="auto"/>
        </w:rPr>
        <w:t xml:space="preserve"> (which provisions shall not be applicable to </w:t>
      </w:r>
      <w:r>
        <w:rPr>
          <w:rFonts w:ascii="Arial" w:cs="Arial" w:eastAsia="Arial" w:hAnsi="Arial"/>
          <w:sz w:val="22"/>
          <w:szCs w:val="22"/>
          <w:u w:val="single" w:color="auto"/>
          <w:color w:val="0000FF"/>
        </w:rPr>
        <w:t>any redemptions, repurchases or repayments or prepayments of any Term Loan for cash</w:t>
      </w:r>
      <w:r>
        <w:rPr>
          <w:rFonts w:ascii="Arial" w:cs="Arial" w:eastAsia="Arial" w:hAnsi="Arial"/>
          <w:sz w:val="22"/>
          <w:szCs w:val="22"/>
          <w:color w:val="auto"/>
        </w:rPr>
        <w:t xml:space="preserve"> </w:t>
      </w:r>
      <w:r>
        <w:rPr>
          <w:rFonts w:ascii="Arial" w:cs="Arial" w:eastAsia="Arial" w:hAnsi="Arial"/>
          <w:sz w:val="22"/>
          <w:szCs w:val="22"/>
          <w:u w:val="single" w:color="auto"/>
          <w:color w:val="0000FF"/>
        </w:rPr>
        <w:t>pursuant to</w:t>
      </w:r>
      <w:r>
        <w:rPr>
          <w:rFonts w:ascii="Arial" w:cs="Arial" w:eastAsia="Arial" w:hAnsi="Arial"/>
          <w:sz w:val="22"/>
          <w:szCs w:val="22"/>
          <w:color w:val="0000FF"/>
        </w:rPr>
        <w:t xml:space="preserve"> </w:t>
      </w:r>
      <w:r>
        <w:rPr>
          <w:rFonts w:ascii="Arial" w:cs="Arial" w:eastAsia="Arial" w:hAnsi="Arial"/>
          <w:sz w:val="22"/>
          <w:szCs w:val="22"/>
          <w:color w:val="000000"/>
        </w:rPr>
        <w:t>this</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Section 2.11(c)</w:t>
      </w:r>
      <w:r>
        <w:rPr>
          <w:rFonts w:ascii="Arial" w:cs="Arial" w:eastAsia="Arial" w:hAnsi="Arial"/>
          <w:sz w:val="22"/>
          <w:szCs w:val="22"/>
          <w:color w:val="000000"/>
        </w:rPr>
        <w:t>)) or in any other Loan Document to the contrary</w:t>
      </w:r>
      <w:r>
        <w:rPr>
          <w:rFonts w:ascii="Arial" w:cs="Arial" w:eastAsia="Arial" w:hAnsi="Arial"/>
          <w:sz w:val="22"/>
          <w:szCs w:val="22"/>
          <w:u w:val="single" w:color="auto"/>
          <w:color w:val="0000FF"/>
        </w:rPr>
        <w:t>, but subject to Section 2.11(e)</w:t>
      </w:r>
      <w:r>
        <w:rPr>
          <w:rFonts w:ascii="Arial" w:cs="Arial" w:eastAsia="Arial" w:hAnsi="Arial"/>
          <w:sz w:val="22"/>
          <w:szCs w:val="22"/>
          <w:color w:val="000000"/>
        </w:rPr>
        <w:t>, so long as no</w:t>
      </w:r>
      <w:r>
        <w:rPr>
          <w:rFonts w:ascii="Arial" w:cs="Arial" w:eastAsia="Arial" w:hAnsi="Arial"/>
          <w:sz w:val="22"/>
          <w:szCs w:val="22"/>
          <w:color w:val="0000FF"/>
        </w:rPr>
        <w:t xml:space="preserve"> </w:t>
      </w:r>
      <w:r>
        <w:rPr>
          <w:rFonts w:ascii="Arial" w:cs="Arial" w:eastAsia="Arial" w:hAnsi="Arial"/>
          <w:sz w:val="22"/>
          <w:szCs w:val="22"/>
          <w:color w:val="000000"/>
        </w:rPr>
        <w:t>Event of Default has occurred and is continuing, the Borrower may prepay the outstanding Term Loans or Extended Term Loans (which shall, for the avoidance of doubt, be automatically and permanently canceled immediately upon acquisition by the Borrower) on the following basis:</w:t>
      </w:r>
    </w:p>
    <w:p>
      <w:pPr>
        <w:spacing w:after="0" w:line="193" w:lineRule="exact"/>
        <w:rPr>
          <w:sz w:val="20"/>
          <w:szCs w:val="20"/>
          <w:color w:val="auto"/>
        </w:rPr>
      </w:pPr>
    </w:p>
    <w:p>
      <w:pPr>
        <w:jc w:val="both"/>
        <w:ind w:left="660" w:firstLine="644"/>
        <w:spacing w:after="0" w:line="302" w:lineRule="auto"/>
        <w:tabs>
          <w:tab w:leader="none" w:pos="203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Borrower shall have the right to make a voluntary prepayment of Term Loans or Extended Term Loans at a discount to par pursuant to a Borrower Offer of Specified Discount Prepayment, Borrower Solicitation of Discount Range Prepayment Offers or Borrower Solicitation of Discounted Prepayment Offers (any such prepayment, the “</w:t>
      </w:r>
      <w:r>
        <w:rPr>
          <w:rFonts w:ascii="Arial" w:cs="Arial" w:eastAsia="Arial" w:hAnsi="Arial"/>
          <w:sz w:val="19"/>
          <w:szCs w:val="19"/>
          <w:u w:val="single" w:color="auto"/>
          <w:color w:val="auto"/>
        </w:rPr>
        <w:t>Discounted Loan Prepayment</w:t>
      </w:r>
      <w:r>
        <w:rPr>
          <w:rFonts w:ascii="Arial" w:cs="Arial" w:eastAsia="Arial" w:hAnsi="Arial"/>
          <w:sz w:val="19"/>
          <w:szCs w:val="19"/>
          <w:color w:val="auto"/>
        </w:rPr>
        <w:t xml:space="preserve">”), in each case made in accordance with this </w:t>
      </w:r>
      <w:r>
        <w:rPr>
          <w:rFonts w:ascii="Arial" w:cs="Arial" w:eastAsia="Arial" w:hAnsi="Arial"/>
          <w:sz w:val="19"/>
          <w:szCs w:val="19"/>
          <w:u w:val="single" w:color="auto"/>
          <w:color w:val="auto"/>
        </w:rPr>
        <w:t>Section 2.11(c)</w:t>
      </w:r>
      <w:r>
        <w:rPr>
          <w:rFonts w:ascii="Arial" w:cs="Arial" w:eastAsia="Arial" w:hAnsi="Arial"/>
          <w:sz w:val="19"/>
          <w:szCs w:val="19"/>
          <w:color w:val="auto"/>
        </w:rPr>
        <w:t>.</w:t>
      </w:r>
    </w:p>
    <w:p>
      <w:pPr>
        <w:spacing w:after="0" w:line="115" w:lineRule="exact"/>
        <w:rPr>
          <w:rFonts w:ascii="Arial" w:cs="Arial" w:eastAsia="Arial" w:hAnsi="Arial"/>
          <w:sz w:val="19"/>
          <w:szCs w:val="19"/>
          <w:color w:val="auto"/>
        </w:rPr>
      </w:pPr>
    </w:p>
    <w:p>
      <w:pPr>
        <w:ind w:left="1940" w:hanging="636"/>
        <w:spacing w:after="0"/>
        <w:tabs>
          <w:tab w:leader="none" w:pos="194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Borrower Offer of Specified Discount Prepayment</w:t>
      </w:r>
      <w:r>
        <w:rPr>
          <w:rFonts w:ascii="Arial" w:cs="Arial" w:eastAsia="Arial" w:hAnsi="Arial"/>
          <w:sz w:val="22"/>
          <w:szCs w:val="22"/>
          <w:color w:val="auto"/>
        </w:rPr>
        <w:t>:</w:t>
      </w:r>
    </w:p>
    <w:p>
      <w:pPr>
        <w:spacing w:after="0" w:line="8" w:lineRule="exact"/>
        <w:rPr>
          <w:rFonts w:ascii="Arial" w:cs="Arial" w:eastAsia="Arial" w:hAnsi="Arial"/>
          <w:sz w:val="22"/>
          <w:szCs w:val="22"/>
          <w:color w:val="auto"/>
        </w:rPr>
      </w:pPr>
    </w:p>
    <w:p>
      <w:pPr>
        <w:ind w:left="2580" w:hanging="385"/>
        <w:spacing w:after="0"/>
        <w:tabs>
          <w:tab w:leader="none" w:pos="25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Borrower may from time to time offer to make a Discounted Loan Prepayment by providing</w:t>
      </w:r>
    </w:p>
    <w:p>
      <w:pPr>
        <w:spacing w:after="0" w:line="38" w:lineRule="exact"/>
        <w:rPr>
          <w:sz w:val="20"/>
          <w:szCs w:val="20"/>
          <w:color w:val="auto"/>
        </w:rPr>
      </w:pPr>
    </w:p>
    <w:p>
      <w:pPr>
        <w:jc w:val="both"/>
        <w:ind w:left="1540"/>
        <w:spacing w:after="0" w:line="256" w:lineRule="auto"/>
        <w:rPr>
          <w:sz w:val="20"/>
          <w:szCs w:val="20"/>
          <w:color w:val="auto"/>
        </w:rPr>
      </w:pPr>
      <w:r>
        <w:rPr>
          <w:rFonts w:ascii="Arial" w:cs="Arial" w:eastAsia="Arial" w:hAnsi="Arial"/>
          <w:sz w:val="21"/>
          <w:szCs w:val="21"/>
          <w:color w:val="auto"/>
        </w:rPr>
        <w:t xml:space="preserve">the Auction Agent five (5) Business Days’ notice in the form of a Specified Discount Prepayment Notice;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any such offer shall be made available, at the sole discretion of the Borrower, to (x) each Term Loan Lender and/or (y) each Extending Term Loan Lender with respect to any Class of Loans on an individual tranche basis, (II) any such offer shall specify the aggregate principal amount offered to be prepaid (the “</w:t>
      </w:r>
      <w:r>
        <w:rPr>
          <w:rFonts w:ascii="Arial" w:cs="Arial" w:eastAsia="Arial" w:hAnsi="Arial"/>
          <w:sz w:val="21"/>
          <w:szCs w:val="21"/>
          <w:u w:val="single" w:color="auto"/>
          <w:color w:val="auto"/>
        </w:rPr>
        <w:t>Specified Discount Prepayment Amount</w:t>
      </w:r>
      <w:r>
        <w:rPr>
          <w:rFonts w:ascii="Arial" w:cs="Arial" w:eastAsia="Arial" w:hAnsi="Arial"/>
          <w:sz w:val="21"/>
          <w:szCs w:val="21"/>
          <w:color w:val="auto"/>
        </w:rPr>
        <w:t>”) with respect to each applicable tranche, the tranche or tranches of Loans subject to such offer and the specific percentage discount to par (the “</w:t>
      </w:r>
      <w:r>
        <w:rPr>
          <w:rFonts w:ascii="Arial" w:cs="Arial" w:eastAsia="Arial" w:hAnsi="Arial"/>
          <w:sz w:val="21"/>
          <w:szCs w:val="21"/>
          <w:u w:val="single" w:color="auto"/>
          <w:color w:val="auto"/>
        </w:rPr>
        <w:t>Specified Discount</w:t>
      </w:r>
      <w:r>
        <w:rPr>
          <w:rFonts w:ascii="Arial" w:cs="Arial" w:eastAsia="Arial" w:hAnsi="Arial"/>
          <w:sz w:val="21"/>
          <w:szCs w:val="21"/>
          <w:color w:val="auto"/>
        </w:rPr>
        <w:t>”) of such Loans to be prepaid (it being understood that different Specified Discounts and/or Specified Discount Prepayment Amounts may be offered with respect to different tranches of Loans and, in such event, each such offer will be treated as a separate offer pursuant to the terms of this Section), (III) the Specified Discount Prepayment Amount shall be in an aggregate amount not less than $5,000,000 and whole increments of $1,000,000 in excess thereof and (IV) each such offer shall remain outstanding through the Specified Discount Prepayment Response Date. The Auction Agent will promptly provide each Term Loan Lender or each Extending Term Loan Lender, as applicable, with a copy of such Specified Discount Prepayment Notice and a form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7" w:right="339" w:bottom="1440" w:gutter="0" w:footer="0" w:header="0"/>
        </w:sectPr>
      </w:pPr>
    </w:p>
    <w:bookmarkStart w:id="147" w:name="page148"/>
    <w:bookmarkEnd w:id="147"/>
    <w:p>
      <w:pPr>
        <w:jc w:val="both"/>
        <w:ind w:left="560"/>
        <w:spacing w:after="0" w:line="248" w:lineRule="auto"/>
        <w:rPr>
          <w:sz w:val="20"/>
          <w:szCs w:val="20"/>
          <w:color w:val="auto"/>
        </w:rPr>
      </w:pPr>
      <w:r>
        <w:rPr>
          <w:rFonts w:ascii="Arial" w:cs="Arial" w:eastAsia="Arial" w:hAnsi="Arial"/>
          <w:sz w:val="22"/>
          <w:szCs w:val="22"/>
          <w:color w:val="auto"/>
        </w:rPr>
        <w:t>Specified Discount Prepayment Response to be completed and returned by each such Lender to the Auction Agent (or its delegate) by no later than 5:00 p.m., New York City time, on the third Business Day after the date of delivery of such notice to such Lenders (which date may be extended for a period not exceeding three Business Days upon notice by the Borrower to the Auction Agent) (the “</w:t>
      </w:r>
      <w:r>
        <w:rPr>
          <w:rFonts w:ascii="Arial" w:cs="Arial" w:eastAsia="Arial" w:hAnsi="Arial"/>
          <w:sz w:val="22"/>
          <w:szCs w:val="22"/>
          <w:u w:val="single" w:color="auto"/>
          <w:color w:val="auto"/>
        </w:rPr>
        <w:t>Specified Discount Prepayment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Response Date</w:t>
      </w:r>
      <w:r>
        <w:rPr>
          <w:rFonts w:ascii="Arial" w:cs="Arial" w:eastAsia="Arial" w:hAnsi="Arial"/>
          <w:sz w:val="22"/>
          <w:szCs w:val="22"/>
          <w:color w:val="auto"/>
        </w:rPr>
        <w:t>”).</w:t>
      </w:r>
    </w:p>
    <w:p>
      <w:pPr>
        <w:spacing w:after="0" w:line="165" w:lineRule="exact"/>
        <w:rPr>
          <w:sz w:val="20"/>
          <w:szCs w:val="20"/>
          <w:color w:val="auto"/>
        </w:rPr>
      </w:pPr>
    </w:p>
    <w:p>
      <w:pPr>
        <w:jc w:val="both"/>
        <w:ind w:left="560" w:firstLine="655"/>
        <w:spacing w:after="0" w:line="246" w:lineRule="auto"/>
        <w:tabs>
          <w:tab w:leader="none" w:pos="1604" w:val="left"/>
        </w:tabs>
        <w:numPr>
          <w:ilvl w:val="0"/>
          <w:numId w:val="71"/>
        </w:numPr>
        <w:rPr>
          <w:rFonts w:ascii="Arial" w:cs="Arial" w:eastAsia="Arial" w:hAnsi="Arial"/>
          <w:sz w:val="19"/>
          <w:szCs w:val="19"/>
          <w:color w:val="auto"/>
        </w:rPr>
      </w:pPr>
      <w:r>
        <w:rPr>
          <w:rFonts w:ascii="Arial" w:cs="Arial" w:eastAsia="Arial" w:hAnsi="Arial"/>
          <w:sz w:val="19"/>
          <w:szCs w:val="19"/>
          <w:color w:val="auto"/>
        </w:rPr>
        <w:t>Each Lender receiving such offer shall notify the Auction Agent (or its delegate) by the Specified Discount Prepayment Response Date whether or not it agrees to accept a prepayment of any of its applicable then outstanding Loans at the Specified Discount and, if so (such accepting Lender, a “</w:t>
      </w:r>
      <w:r>
        <w:rPr>
          <w:rFonts w:ascii="Arial" w:cs="Arial" w:eastAsia="Arial" w:hAnsi="Arial"/>
          <w:sz w:val="19"/>
          <w:szCs w:val="19"/>
          <w:u w:val="single" w:color="auto"/>
          <w:color w:val="auto"/>
        </w:rPr>
        <w:t>Discount Prepayment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Accepting Lender</w:t>
      </w:r>
      <w:r>
        <w:rPr>
          <w:rFonts w:ascii="Arial" w:cs="Arial" w:eastAsia="Arial" w:hAnsi="Arial"/>
          <w:sz w:val="19"/>
          <w:szCs w:val="19"/>
          <w:color w:val="auto"/>
        </w:rPr>
        <w:t>”), the amount and the tranches of such Lender’s Loans to be prepaid at such offered discount. Each acceptance of a Discounted Loan Prepayment by a Discount Prepayment Accepting Lender shall be irrevocable. Any Lender whose Specified Discount Prepayment Response is not received by the Auction Agent by the Specified Discount Prepayment Response Date shall be deemed to have declined to accept the applicable Borrower Offer of Specified Discount Prepayment.</w:t>
      </w:r>
    </w:p>
    <w:p>
      <w:pPr>
        <w:spacing w:after="0" w:line="152" w:lineRule="exact"/>
        <w:rPr>
          <w:rFonts w:ascii="Arial" w:cs="Arial" w:eastAsia="Arial" w:hAnsi="Arial"/>
          <w:sz w:val="19"/>
          <w:szCs w:val="19"/>
          <w:color w:val="auto"/>
        </w:rPr>
      </w:pPr>
    </w:p>
    <w:p>
      <w:pPr>
        <w:jc w:val="both"/>
        <w:ind w:left="560" w:firstLine="655"/>
        <w:spacing w:after="0"/>
        <w:tabs>
          <w:tab w:leader="none" w:pos="1604"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If there is at least one Discount Prepayment Accepting Lender, the Borrower will make a prepayment of outstanding Loans pursuant to this </w:t>
      </w:r>
      <w:r>
        <w:rPr>
          <w:rFonts w:ascii="Arial" w:cs="Arial" w:eastAsia="Arial" w:hAnsi="Arial"/>
          <w:sz w:val="19"/>
          <w:szCs w:val="19"/>
          <w:u w:val="single" w:color="auto"/>
          <w:color w:val="auto"/>
        </w:rPr>
        <w:t>paragraph (ii)</w:t>
      </w:r>
      <w:r>
        <w:rPr>
          <w:rFonts w:ascii="Arial" w:cs="Arial" w:eastAsia="Arial" w:hAnsi="Arial"/>
          <w:sz w:val="19"/>
          <w:szCs w:val="19"/>
          <w:color w:val="auto"/>
        </w:rPr>
        <w:t xml:space="preserve"> to each Discount Prepayment Accepting Lender on the Discounted Prepayment Effective Date in accordance with the respective outstanding amount and tranches of Loans specified in such Lender’s Specified Discount Prepayment Response given pursuant to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aggregate principal amount of Loans accepted for prepayment by all Discount Prepayment Accepting Lenders exceeds the Specified Discount Prepayment Amount, such prepayment shall be made pro rata among the Discount Prepayment Accepting Lenders in accordance with the respective principal amounts accepted to be prepaid by each such Discount Prepayment Accepting Lender and the Auction Agent (in consultation with the Borrower and subject to rounding requirements of the Auction Agent made in its reasonable discretion) will calculate such proration (the “</w:t>
      </w:r>
      <w:r>
        <w:rPr>
          <w:rFonts w:ascii="Arial" w:cs="Arial" w:eastAsia="Arial" w:hAnsi="Arial"/>
          <w:sz w:val="19"/>
          <w:szCs w:val="19"/>
          <w:u w:val="single" w:color="auto"/>
          <w:color w:val="auto"/>
        </w:rPr>
        <w:t>Specified Discount Proration</w:t>
      </w:r>
      <w:r>
        <w:rPr>
          <w:rFonts w:ascii="Arial" w:cs="Arial" w:eastAsia="Arial" w:hAnsi="Arial"/>
          <w:sz w:val="19"/>
          <w:szCs w:val="19"/>
          <w:color w:val="auto"/>
        </w:rPr>
        <w:t xml:space="preserve">”). The Auction Agent shall promptly, and in any case within three (3) Business Days following the Specified Discount Prepayment Response Date, notify (I) the Borrower of the respective Lenders’ responses to such offer, the Discounted Prepayment Effective Date and the aggregate principal amount of the Discounted Loan Prepayment and the tranches to be prepaid, (II) each Term Loan Lender or Extending Term Loan Lender, as applicable. of the Discounted Prepayment Effective Date, and the aggregate principal amount and the tranches of Loans to be prepaid at the Specified Discount on such date and (III) each Discount Prepayment Accepting Lender of the Specified Discount Proration, if any, and confirmation of the principal amount, tranche and Type of Loans of such Lender to be prepaid at the Specified Discount on such date. Each determination by the Auction Agent of the amounts stated in the foregoing notices to the Borrower and such Lenders shall be conclusive and binding for all purposes absent manifest error. The payment amount specified in such notice to the Borrower shall be due and payable by Borrower on the Discounted Prepayment Effective Date in accordance with </w:t>
      </w:r>
      <w:r>
        <w:rPr>
          <w:rFonts w:ascii="Arial" w:cs="Arial" w:eastAsia="Arial" w:hAnsi="Arial"/>
          <w:sz w:val="19"/>
          <w:szCs w:val="19"/>
          <w:u w:val="single" w:color="auto"/>
          <w:color w:val="auto"/>
        </w:rPr>
        <w:t>subsection (vi)</w:t>
      </w:r>
      <w:r>
        <w:rPr>
          <w:rFonts w:ascii="Arial" w:cs="Arial" w:eastAsia="Arial" w:hAnsi="Arial"/>
          <w:sz w:val="19"/>
          <w:szCs w:val="19"/>
          <w:color w:val="auto"/>
        </w:rPr>
        <w:t xml:space="preserve"> below (subject to </w:t>
      </w:r>
      <w:r>
        <w:rPr>
          <w:rFonts w:ascii="Arial" w:cs="Arial" w:eastAsia="Arial" w:hAnsi="Arial"/>
          <w:sz w:val="19"/>
          <w:szCs w:val="19"/>
          <w:u w:val="single" w:color="auto"/>
          <w:color w:val="auto"/>
        </w:rPr>
        <w:t>subsection (x)</w:t>
      </w:r>
      <w:r>
        <w:rPr>
          <w:rFonts w:ascii="Arial" w:cs="Arial" w:eastAsia="Arial" w:hAnsi="Arial"/>
          <w:sz w:val="19"/>
          <w:szCs w:val="19"/>
          <w:color w:val="auto"/>
        </w:rPr>
        <w:t xml:space="preserve"> below).</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Borrower Solicitation of Discount Range Prepayment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0260"/>
          </w:cols>
          <w:pgMar w:left="1300" w:top="1427" w:right="339" w:bottom="1440" w:gutter="0" w:footer="0" w:header="0"/>
        </w:sectPr>
      </w:pPr>
    </w:p>
    <w:bookmarkStart w:id="148" w:name="page149"/>
    <w:bookmarkEnd w:id="148"/>
    <w:p>
      <w:pPr>
        <w:jc w:val="both"/>
        <w:ind w:left="420" w:firstLine="655"/>
        <w:spacing w:after="0" w:line="291" w:lineRule="auto"/>
        <w:tabs>
          <w:tab w:leader="none" w:pos="1462"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The Borrower may from time to time solicit Discount Range Prepayment Offers by providing the Auction Agent with 5 Business Days’ notice in the form of a Discount Range Prepayment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 w:lineRule="exact"/>
        <w:rPr>
          <w:rFonts w:ascii="Arial" w:cs="Arial" w:eastAsia="Arial" w:hAnsi="Arial"/>
          <w:sz w:val="19"/>
          <w:szCs w:val="19"/>
          <w:color w:val="auto"/>
        </w:rPr>
      </w:pPr>
    </w:p>
    <w:p>
      <w:pPr>
        <w:jc w:val="both"/>
        <w:ind w:left="420" w:firstLine="7"/>
        <w:spacing w:after="0" w:line="281" w:lineRule="auto"/>
        <w:tabs>
          <w:tab w:leader="none" w:pos="693" w:val="left"/>
        </w:tabs>
        <w:numPr>
          <w:ilvl w:val="0"/>
          <w:numId w:val="73"/>
        </w:numPr>
        <w:rPr>
          <w:rFonts w:ascii="Arial" w:cs="Arial" w:eastAsia="Arial" w:hAnsi="Arial"/>
          <w:sz w:val="19"/>
          <w:szCs w:val="19"/>
          <w:color w:val="auto"/>
        </w:rPr>
      </w:pPr>
      <w:r>
        <w:rPr>
          <w:rFonts w:ascii="Arial" w:cs="Arial" w:eastAsia="Arial" w:hAnsi="Arial"/>
          <w:sz w:val="19"/>
          <w:szCs w:val="19"/>
          <w:color w:val="auto"/>
        </w:rPr>
        <w:t>any such solicitation shall be extended, at the sole discretion of the Borrower, to (x) each Term Loan Lender and/or (y) each Extending Term Loan Lender with respect to any Class of Loans on an individual tranche basis,</w:t>
      </w:r>
    </w:p>
    <w:p>
      <w:pPr>
        <w:spacing w:after="0" w:line="1" w:lineRule="exact"/>
        <w:rPr>
          <w:rFonts w:ascii="Arial" w:cs="Arial" w:eastAsia="Arial" w:hAnsi="Arial"/>
          <w:sz w:val="19"/>
          <w:szCs w:val="19"/>
          <w:color w:val="auto"/>
        </w:rPr>
      </w:pPr>
    </w:p>
    <w:p>
      <w:pPr>
        <w:jc w:val="both"/>
        <w:ind w:left="420" w:firstLine="7"/>
        <w:spacing w:after="0" w:line="283" w:lineRule="auto"/>
        <w:tabs>
          <w:tab w:leader="none" w:pos="762" w:val="left"/>
        </w:tabs>
        <w:numPr>
          <w:ilvl w:val="0"/>
          <w:numId w:val="74"/>
        </w:numPr>
        <w:rPr>
          <w:rFonts w:ascii="Arial" w:cs="Arial" w:eastAsia="Arial" w:hAnsi="Arial"/>
          <w:sz w:val="19"/>
          <w:szCs w:val="19"/>
          <w:color w:val="auto"/>
        </w:rPr>
      </w:pPr>
      <w:r>
        <w:rPr>
          <w:rFonts w:ascii="Arial" w:cs="Arial" w:eastAsia="Arial" w:hAnsi="Arial"/>
          <w:sz w:val="19"/>
          <w:szCs w:val="19"/>
          <w:color w:val="auto"/>
        </w:rPr>
        <w:t>any such notice shall specify the maximum aggregate principal amount of the relevant Loans (the “</w:t>
      </w:r>
      <w:r>
        <w:rPr>
          <w:rFonts w:ascii="Arial" w:cs="Arial" w:eastAsia="Arial" w:hAnsi="Arial"/>
          <w:sz w:val="19"/>
          <w:szCs w:val="19"/>
          <w:u w:val="single" w:color="auto"/>
          <w:color w:val="auto"/>
        </w:rPr>
        <w:t>Discount</w:t>
      </w:r>
      <w:r>
        <w:rPr>
          <w:rFonts w:ascii="Arial" w:cs="Arial" w:eastAsia="Arial" w:hAnsi="Arial"/>
          <w:sz w:val="19"/>
          <w:szCs w:val="19"/>
          <w:color w:val="auto"/>
        </w:rPr>
        <w:t xml:space="preserve"> </w:t>
      </w:r>
      <w:r>
        <w:rPr>
          <w:rFonts w:ascii="Arial" w:cs="Arial" w:eastAsia="Arial" w:hAnsi="Arial"/>
          <w:sz w:val="19"/>
          <w:szCs w:val="19"/>
          <w:u w:val="single" w:color="auto"/>
          <w:color w:val="auto"/>
        </w:rPr>
        <w:t>Range Prepayment Amount</w:t>
      </w:r>
      <w:r>
        <w:rPr>
          <w:rFonts w:ascii="Arial" w:cs="Arial" w:eastAsia="Arial" w:hAnsi="Arial"/>
          <w:sz w:val="19"/>
          <w:szCs w:val="19"/>
          <w:color w:val="auto"/>
        </w:rPr>
        <w:t>”), the tranche or tranches of Loans subject to such offer and the maximum and minimum percentage discounts to par (the “</w:t>
      </w:r>
      <w:r>
        <w:rPr>
          <w:rFonts w:ascii="Arial" w:cs="Arial" w:eastAsia="Arial" w:hAnsi="Arial"/>
          <w:sz w:val="19"/>
          <w:szCs w:val="19"/>
          <w:u w:val="single" w:color="auto"/>
          <w:color w:val="auto"/>
        </w:rPr>
        <w:t>Discount Range</w:t>
      </w:r>
      <w:r>
        <w:rPr>
          <w:rFonts w:ascii="Arial" w:cs="Arial" w:eastAsia="Arial" w:hAnsi="Arial"/>
          <w:sz w:val="19"/>
          <w:szCs w:val="19"/>
          <w:color w:val="auto"/>
        </w:rPr>
        <w:t>”) of the principal amount of such Loans with respect to each relevant tranche of Loans willing to be prepaid by the Borrower (it being understood that different Discount Ranges and/or Discount Range Prepayment Amounts may be offered with respect to different tranches of Loans and, in such event, each such offer will be treated as separate offer pursuant to the terms of this Section), (III) the Discount Range Prepayment Amount shall be in an aggregate amount not less than $5,000,000 and whole increments of $1,000,000 in excess thereof and (IV) each such solicitation by the Borrower shall remain outstanding through the Discount Range Prepayment Response Date. The Auction Agent will promptly provide each Appropriate Lender with a copy of such Discount Range Prepayment Notice and a form of the Discount Range Prepayment Offer to be submitted by a responding Lender to the Auction Agent (or its delegate) by no later than 5:00 p.m., New York time, on the third Business Day after the date of delivery of such notice to such Lenders (which date may be extended for a period not exceeding three Business Days upon notice by the Borrower to the Auction Agent) (the “</w:t>
      </w:r>
      <w:r>
        <w:rPr>
          <w:rFonts w:ascii="Arial" w:cs="Arial" w:eastAsia="Arial" w:hAnsi="Arial"/>
          <w:sz w:val="19"/>
          <w:szCs w:val="19"/>
          <w:u w:val="single" w:color="auto"/>
          <w:color w:val="auto"/>
        </w:rPr>
        <w:t>Discount Range Prepayment Response Date</w:t>
      </w:r>
      <w:r>
        <w:rPr>
          <w:rFonts w:ascii="Arial" w:cs="Arial" w:eastAsia="Arial" w:hAnsi="Arial"/>
          <w:sz w:val="19"/>
          <w:szCs w:val="19"/>
          <w:color w:val="auto"/>
        </w:rPr>
        <w:t>”). Each Lender’s Discount Range Prepayment Offer shall be irrevocable and shall specify one or more (but no more than three for any Lender) discounts to par within the Discount Range (the “</w:t>
      </w:r>
      <w:r>
        <w:rPr>
          <w:rFonts w:ascii="Arial" w:cs="Arial" w:eastAsia="Arial" w:hAnsi="Arial"/>
          <w:sz w:val="19"/>
          <w:szCs w:val="19"/>
          <w:u w:val="single" w:color="auto"/>
          <w:color w:val="auto"/>
        </w:rPr>
        <w:t>Submitted Discount</w:t>
      </w:r>
      <w:r>
        <w:rPr>
          <w:rFonts w:ascii="Arial" w:cs="Arial" w:eastAsia="Arial" w:hAnsi="Arial"/>
          <w:sz w:val="19"/>
          <w:szCs w:val="19"/>
          <w:color w:val="auto"/>
        </w:rPr>
        <w:t>”) at which such Lender is willing to allow prepayment of any or all of its then outstanding Loans of the applicable tranche or tranches and the maximum aggregate principal amount and tranches of such Lender’s Loans (the “</w:t>
      </w:r>
      <w:r>
        <w:rPr>
          <w:rFonts w:ascii="Arial" w:cs="Arial" w:eastAsia="Arial" w:hAnsi="Arial"/>
          <w:sz w:val="19"/>
          <w:szCs w:val="19"/>
          <w:u w:val="single" w:color="auto"/>
          <w:color w:val="auto"/>
        </w:rPr>
        <w:t>Submitted Amount</w:t>
      </w:r>
      <w:r>
        <w:rPr>
          <w:rFonts w:ascii="Arial" w:cs="Arial" w:eastAsia="Arial" w:hAnsi="Arial"/>
          <w:sz w:val="19"/>
          <w:szCs w:val="19"/>
          <w:color w:val="auto"/>
        </w:rPr>
        <w:t>”) such Lender is willing to have prepaid at the Submitted Discount. Any Lender whose Discount Range Prepayment Offer is not received by the Auction Agent by the Discount Range Prepayment Response Date shall be deemed to have declined to accept a Discounted Loan Prepayment of any of its Loans at any discount to their par value within the Discount Range.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420" w:firstLine="655"/>
        <w:spacing w:after="0" w:line="224" w:lineRule="auto"/>
        <w:tabs>
          <w:tab w:leader="none" w:pos="1464" w:val="left"/>
        </w:tabs>
        <w:numPr>
          <w:ilvl w:val="1"/>
          <w:numId w:val="74"/>
        </w:numPr>
        <w:rPr>
          <w:rFonts w:ascii="Arial" w:cs="Arial" w:eastAsia="Arial" w:hAnsi="Arial"/>
          <w:sz w:val="21"/>
          <w:szCs w:val="21"/>
          <w:color w:val="auto"/>
        </w:rPr>
      </w:pPr>
      <w:r>
        <w:rPr>
          <w:rFonts w:ascii="Arial" w:cs="Arial" w:eastAsia="Arial" w:hAnsi="Arial"/>
          <w:sz w:val="21"/>
          <w:szCs w:val="21"/>
          <w:color w:val="auto"/>
        </w:rPr>
        <w:t xml:space="preserve">The Auction Agent shall review all Discount Range Prepayment Offers received on or before the applicable Discount Range Prepayment Response Date and shall determine (in consultation with the Borrower and subject to rounding requirements of the Auction Agent made in its sole reasonable discretion) the Applicable Discount and Loans to be prepaid at such Applicable Discount in accordance with this </w:t>
      </w:r>
      <w:r>
        <w:rPr>
          <w:rFonts w:ascii="Arial" w:cs="Arial" w:eastAsia="Arial" w:hAnsi="Arial"/>
          <w:sz w:val="21"/>
          <w:szCs w:val="21"/>
          <w:u w:val="single" w:color="auto"/>
          <w:color w:val="auto"/>
        </w:rPr>
        <w:t>subsection (ii)</w:t>
      </w:r>
      <w:r>
        <w:rPr>
          <w:rFonts w:ascii="Arial" w:cs="Arial" w:eastAsia="Arial" w:hAnsi="Arial"/>
          <w:sz w:val="21"/>
          <w:szCs w:val="21"/>
          <w:color w:val="auto"/>
        </w:rPr>
        <w:t>. The Borrower agrees to accept on the Discount Range Prepayment Response Date all Discount Range Prepayment Offers received by Auction Agent within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0120"/>
          </w:cols>
          <w:pgMar w:left="1440" w:top="1427" w:right="339" w:bottom="1440" w:gutter="0" w:footer="0" w:header="0"/>
        </w:sectPr>
      </w:pPr>
    </w:p>
    <w:bookmarkStart w:id="149" w:name="page150"/>
    <w:bookmarkEnd w:id="149"/>
    <w:p>
      <w:pPr>
        <w:jc w:val="both"/>
        <w:ind w:left="540"/>
        <w:spacing w:after="0" w:line="244" w:lineRule="auto"/>
        <w:rPr>
          <w:sz w:val="20"/>
          <w:szCs w:val="20"/>
          <w:color w:val="auto"/>
        </w:rPr>
      </w:pPr>
      <w:r>
        <w:rPr>
          <w:rFonts w:ascii="Arial" w:cs="Arial" w:eastAsia="Arial" w:hAnsi="Arial"/>
          <w:sz w:val="19"/>
          <w:szCs w:val="19"/>
          <w:color w:val="auto"/>
        </w:rPr>
        <w:t>Discount Range by the Discount Range Prepayment Response Date, in the order from the Submitted Discount that is the largest discount to par to the Submitted Discount that is the smallest discount to par, up to and including the Submitted Discount that is the smallest discount to par within the Discount Range (such Submitted Discount that is the smallest discount to par within the Discount Range being referred to as the “</w:t>
      </w:r>
      <w:r>
        <w:rPr>
          <w:rFonts w:ascii="Arial" w:cs="Arial" w:eastAsia="Arial" w:hAnsi="Arial"/>
          <w:sz w:val="19"/>
          <w:szCs w:val="19"/>
          <w:u w:val="single" w:color="auto"/>
          <w:color w:val="auto"/>
        </w:rPr>
        <w:t>Applicable Discount</w:t>
      </w:r>
      <w:r>
        <w:rPr>
          <w:rFonts w:ascii="Arial" w:cs="Arial" w:eastAsia="Arial" w:hAnsi="Arial"/>
          <w:sz w:val="19"/>
          <w:szCs w:val="19"/>
          <w:color w:val="auto"/>
        </w:rPr>
        <w:t xml:space="preserve">”) which yields a Discounted Loan Prepayment in an aggregate principal amount equal to the lower of (I) the Discount Range Prepayment Amount and (II) the sum of all Submitted Amounts. Each Lender that has submitted a Discount Range Prepayment Offer to accept prepayment at a discount to par that is larger than or equal to the Applicable Discount shall be deemed to have irrevocably consented to prepayment of Loans equal to its Submitted Amount (subject to any required proration pursuant to the following </w:t>
      </w:r>
      <w:r>
        <w:rPr>
          <w:rFonts w:ascii="Arial" w:cs="Arial" w:eastAsia="Arial" w:hAnsi="Arial"/>
          <w:sz w:val="19"/>
          <w:szCs w:val="19"/>
          <w:u w:val="single" w:color="auto"/>
          <w:color w:val="auto"/>
        </w:rPr>
        <w:t>subsection (c)</w:t>
      </w:r>
      <w:r>
        <w:rPr>
          <w:rFonts w:ascii="Arial" w:cs="Arial" w:eastAsia="Arial" w:hAnsi="Arial"/>
          <w:sz w:val="19"/>
          <w:szCs w:val="19"/>
          <w:color w:val="auto"/>
        </w:rPr>
        <w:t>) at the Applicable Discount (each such Lender, a “</w:t>
      </w:r>
      <w:r>
        <w:rPr>
          <w:rFonts w:ascii="Arial" w:cs="Arial" w:eastAsia="Arial" w:hAnsi="Arial"/>
          <w:sz w:val="19"/>
          <w:szCs w:val="19"/>
          <w:u w:val="single" w:color="auto"/>
          <w:color w:val="auto"/>
        </w:rPr>
        <w:t>Participating Lender</w:t>
      </w:r>
      <w:r>
        <w:rPr>
          <w:rFonts w:ascii="Arial" w:cs="Arial" w:eastAsia="Arial" w:hAnsi="Arial"/>
          <w:sz w:val="19"/>
          <w:szCs w:val="19"/>
          <w:color w:val="auto"/>
        </w:rPr>
        <w:t>”).</w:t>
      </w:r>
    </w:p>
    <w:p>
      <w:pPr>
        <w:spacing w:after="0" w:line="155" w:lineRule="exact"/>
        <w:rPr>
          <w:sz w:val="20"/>
          <w:szCs w:val="20"/>
          <w:color w:val="auto"/>
        </w:rPr>
      </w:pPr>
    </w:p>
    <w:p>
      <w:pPr>
        <w:jc w:val="both"/>
        <w:ind w:left="540" w:firstLine="655"/>
        <w:spacing w:after="0"/>
        <w:tabs>
          <w:tab w:leader="none" w:pos="1584"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If there is at least one Participating Lender, the Borrower will prepay the respective outstanding Loans of each Participating Lender on the Discounted Prepayment Effective Date in the aggregate principal amount and of the tranches specified in such Lender’s Discount Range Prepayment Offer at the Applicable Discount;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Submitted Amount by all Participating Lenders offered at a discount to par greater than the Applicable Discount exceeds the Discount Range Prepayment Amount, prepayment of the principal amount of the relevant Loans for those Participating Lenders whose Submitted Discount is a discount to par greater than or equal to the Applicable Discount (the “</w:t>
      </w:r>
      <w:r>
        <w:rPr>
          <w:rFonts w:ascii="Arial" w:cs="Arial" w:eastAsia="Arial" w:hAnsi="Arial"/>
          <w:sz w:val="19"/>
          <w:szCs w:val="19"/>
          <w:u w:val="single" w:color="auto"/>
          <w:color w:val="auto"/>
        </w:rPr>
        <w:t>Identified Participating Lenders</w:t>
      </w:r>
      <w:r>
        <w:rPr>
          <w:rFonts w:ascii="Arial" w:cs="Arial" w:eastAsia="Arial" w:hAnsi="Arial"/>
          <w:sz w:val="19"/>
          <w:szCs w:val="19"/>
          <w:color w:val="auto"/>
        </w:rPr>
        <w:t>”) shall be made pro rata among the Identified Participating Lenders in accordance with the Submitted Amount of each such Identified Participating Lender and the Auction Agent (in consultation with the Borrower and subject to rounding requirements of the Auction Agent made in its sole reasonable discretion) will calculate such proration (the “</w:t>
      </w:r>
      <w:r>
        <w:rPr>
          <w:rFonts w:ascii="Arial" w:cs="Arial" w:eastAsia="Arial" w:hAnsi="Arial"/>
          <w:sz w:val="19"/>
          <w:szCs w:val="19"/>
          <w:u w:val="single" w:color="auto"/>
          <w:color w:val="auto"/>
        </w:rPr>
        <w:t>Discount Range Proration</w:t>
      </w:r>
      <w:r>
        <w:rPr>
          <w:rFonts w:ascii="Arial" w:cs="Arial" w:eastAsia="Arial" w:hAnsi="Arial"/>
          <w:sz w:val="19"/>
          <w:szCs w:val="19"/>
          <w:color w:val="auto"/>
        </w:rPr>
        <w:t xml:space="preserve">”). The Auction Agent shall promptly, and in any case within five (5) Business Days following the Discount Range Prepayment Response Date, notify (I) the Borrower of the respective Lenders’ responses to such solicitation, the Discounted Prepayment Effective Date, the Applicable Discount, and the aggregate principal amount of the Discounted Loan Prepayment and the tranches to be prepaid, (II) each Term Loan Lender or Extending Term Loan Lender, as applicable, of the Discounted Prepayment Effective Date, the Applicable Discount, and the aggregate principal amount and tranches of Loans to be prepaid at the Applicable Discount on such date, (III) each Participating Lender of the aggregate principal amount and tranches of such Lender to be prepaid at the Applicable Discount on such date, and (IV) if applicable, each Identified Participating Lender of the Discount Range Proration. Each determination by the Auction Agent of the amounts stated in the foregoing notices to the Borrower, Term Loan Lenders and/or Extending Term Loan Lenders, as applicable, shall be conclusive and binding for all purposes absent manifest error. The payment amount specified in such notice to the Borrower shall be due and payable by the Borrower on the Discounted Prepayment Effective Date in accordance with </w:t>
      </w:r>
      <w:r>
        <w:rPr>
          <w:rFonts w:ascii="Arial" w:cs="Arial" w:eastAsia="Arial" w:hAnsi="Arial"/>
          <w:sz w:val="19"/>
          <w:szCs w:val="19"/>
          <w:u w:val="single" w:color="auto"/>
          <w:color w:val="auto"/>
        </w:rPr>
        <w:t>subsection (vi)</w:t>
      </w:r>
      <w:r>
        <w:rPr>
          <w:rFonts w:ascii="Arial" w:cs="Arial" w:eastAsia="Arial" w:hAnsi="Arial"/>
          <w:sz w:val="19"/>
          <w:szCs w:val="19"/>
          <w:color w:val="auto"/>
        </w:rPr>
        <w:t xml:space="preserve"> below (subject to </w:t>
      </w:r>
      <w:r>
        <w:rPr>
          <w:rFonts w:ascii="Arial" w:cs="Arial" w:eastAsia="Arial" w:hAnsi="Arial"/>
          <w:sz w:val="19"/>
          <w:szCs w:val="19"/>
          <w:u w:val="single" w:color="auto"/>
          <w:color w:val="auto"/>
        </w:rPr>
        <w:t>subsection (x)</w:t>
      </w:r>
      <w:r>
        <w:rPr>
          <w:rFonts w:ascii="Arial" w:cs="Arial" w:eastAsia="Arial" w:hAnsi="Arial"/>
          <w:sz w:val="19"/>
          <w:szCs w:val="19"/>
          <w:color w:val="auto"/>
        </w:rPr>
        <w:t xml:space="preserve"> below).</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(iv)</w:t>
      </w:r>
      <w:r>
        <w:rPr>
          <w:rFonts w:ascii="Arial" w:cs="Arial" w:eastAsia="Arial" w:hAnsi="Arial"/>
          <w:sz w:val="22"/>
          <w:szCs w:val="22"/>
          <w:u w:val="single" w:color="auto"/>
          <w:color w:val="auto"/>
        </w:rPr>
        <w:t>Borrower Solicitation of Discounted Prepayment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240"/>
          </w:cols>
          <w:pgMar w:left="1320" w:top="1400" w:right="339" w:bottom="1440" w:gutter="0" w:footer="0" w:header="0"/>
        </w:sectPr>
      </w:pPr>
    </w:p>
    <w:bookmarkStart w:id="150" w:name="page151"/>
    <w:bookmarkEnd w:id="150"/>
    <w:p>
      <w:pPr>
        <w:jc w:val="both"/>
        <w:ind w:left="420" w:firstLine="655"/>
        <w:spacing w:after="0" w:line="284" w:lineRule="auto"/>
        <w:tabs>
          <w:tab w:leader="none" w:pos="1462"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Borrower may from time to time solicit Solicited Discounted Prepayment Offers by providing the Auction Agent with 5 Business Days’ notice in the form of a Solicited Discounted Prepayment Notice in a customary form as may be mutually agreed;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solicitation shall be extended, at the sole discretion of the Borrower, to (x) each Term Loan Lender and/or (y) each Extending Term Loan Lender with respect to any Class of Loans on an individual tranche basis, (II) any such notice shall specify the maximum aggregate amount of the Loans (the “</w:t>
      </w:r>
      <w:r>
        <w:rPr>
          <w:rFonts w:ascii="Arial" w:cs="Arial" w:eastAsia="Arial" w:hAnsi="Arial"/>
          <w:sz w:val="19"/>
          <w:szCs w:val="19"/>
          <w:u w:val="single" w:color="auto"/>
          <w:color w:val="auto"/>
        </w:rPr>
        <w:t>Solicited Discounted Prepayment Amount</w:t>
      </w:r>
      <w:r>
        <w:rPr>
          <w:rFonts w:ascii="Arial" w:cs="Arial" w:eastAsia="Arial" w:hAnsi="Arial"/>
          <w:sz w:val="19"/>
          <w:szCs w:val="19"/>
          <w:color w:val="auto"/>
        </w:rPr>
        <w:t>”) and the tranche or tranches of Loans the Borrower is willing to prepay at a discount (it being understood that different Solicited Discounted Prepayment Amounts may be offered with respect to different tranches of Loans and, in such event, each such offer will be treated as separate offer pursuant to the terms of this Section), (III) the Solicited Discounted Prepayment Amount shall be in an aggregate amount not less than $5,000,000 and whole increments of $1,000,000 in excess thereof and (IV) each such solicitation by the Borrower shall remain outstanding through the Solicited Discounted Prepayment Response Date. The Auction Agent will promptly provide each Appropriate Lender with a copy of such Solicited Discounted Prepayment Notice and a form of the Solicited Discounted Prepayment Offer in a customary form as may be mutually agreed to be submitted by a responding Lender to the Auction Agent (or its delegate) by no later than 5:00 p.m., New York City time on the third Business Day after the date of delivery of such notice to such Lenders (which date may be extended for a period not exceeding three Business Days upon notice by the Borrower to the Auction Agent) (the “</w:t>
      </w:r>
      <w:r>
        <w:rPr>
          <w:rFonts w:ascii="Arial" w:cs="Arial" w:eastAsia="Arial" w:hAnsi="Arial"/>
          <w:sz w:val="19"/>
          <w:szCs w:val="19"/>
          <w:u w:val="single" w:color="auto"/>
          <w:color w:val="auto"/>
        </w:rPr>
        <w:t>Solicited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Discounted Prepayment Response Date</w:t>
      </w:r>
      <w:r>
        <w:rPr>
          <w:rFonts w:ascii="Arial" w:cs="Arial" w:eastAsia="Arial" w:hAnsi="Arial"/>
          <w:sz w:val="19"/>
          <w:szCs w:val="19"/>
          <w:color w:val="auto"/>
        </w:rPr>
        <w:t>”). Each Lender’s Solicited Discounted Prepayment Offer shall (x) be irrevocable, (y) remain outstanding until the Acceptance Date, and (z) specify both one or more (but no more than three) discounts to par (the “</w:t>
      </w:r>
      <w:r>
        <w:rPr>
          <w:rFonts w:ascii="Arial" w:cs="Arial" w:eastAsia="Arial" w:hAnsi="Arial"/>
          <w:sz w:val="19"/>
          <w:szCs w:val="19"/>
          <w:u w:val="single" w:color="auto"/>
          <w:color w:val="auto"/>
        </w:rPr>
        <w:t>Offered Discount</w:t>
      </w:r>
      <w:r>
        <w:rPr>
          <w:rFonts w:ascii="Arial" w:cs="Arial" w:eastAsia="Arial" w:hAnsi="Arial"/>
          <w:sz w:val="19"/>
          <w:szCs w:val="19"/>
          <w:color w:val="auto"/>
        </w:rPr>
        <w:t>”) at which such Lender is willing to allow prepayment of its then outstanding Loan and the maximum aggregate principal amount and tranches of such Loans (the “</w:t>
      </w:r>
      <w:r>
        <w:rPr>
          <w:rFonts w:ascii="Arial" w:cs="Arial" w:eastAsia="Arial" w:hAnsi="Arial"/>
          <w:sz w:val="19"/>
          <w:szCs w:val="19"/>
          <w:u w:val="single" w:color="auto"/>
          <w:color w:val="auto"/>
        </w:rPr>
        <w:t>Offered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such Lender is willing to have prepaid at the Offered Discount. Any Lender whose Solicited Discounted Prepayment Offer is not received by the Auction Agent by the Solicited Discounted Prepayment Response Date shall be deemed to have declined prepayment of any of its Loans at any discount.</w:t>
      </w:r>
    </w:p>
    <w:p>
      <w:pPr>
        <w:spacing w:after="0" w:line="398" w:lineRule="exact"/>
        <w:rPr>
          <w:rFonts w:ascii="Arial" w:cs="Arial" w:eastAsia="Arial" w:hAnsi="Arial"/>
          <w:sz w:val="19"/>
          <w:szCs w:val="19"/>
          <w:color w:val="auto"/>
        </w:rPr>
      </w:pPr>
    </w:p>
    <w:p>
      <w:pPr>
        <w:jc w:val="both"/>
        <w:ind w:left="420" w:firstLine="655"/>
        <w:spacing w:after="0" w:line="246" w:lineRule="auto"/>
        <w:tabs>
          <w:tab w:leader="none" w:pos="1464"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Auction Agent shall promptly provide the Borrower with a copy of all Solicited Discounted Prepayment Offers received on or before the Solicited Discounted Prepayment Response Date. The Borrower shall review all such Solicited Discounted Prepayment Offers and select the largest of the Offered Discounts specified by the relevant responding Lenders in the Solicited Discounted Prepayment Offers that is acceptable to the Borrower in its sole discretion (the “</w:t>
      </w:r>
      <w:r>
        <w:rPr>
          <w:rFonts w:ascii="Arial" w:cs="Arial" w:eastAsia="Arial" w:hAnsi="Arial"/>
          <w:sz w:val="19"/>
          <w:szCs w:val="19"/>
          <w:u w:val="single" w:color="auto"/>
          <w:color w:val="auto"/>
        </w:rPr>
        <w:t>Acceptable Discount</w:t>
      </w:r>
      <w:r>
        <w:rPr>
          <w:rFonts w:ascii="Arial" w:cs="Arial" w:eastAsia="Arial" w:hAnsi="Arial"/>
          <w:sz w:val="19"/>
          <w:szCs w:val="19"/>
          <w:color w:val="auto"/>
        </w:rPr>
        <w:t xml:space="preserve">”), if any. If the Borrower elects, in its sole discretion, to accept any Offered Discount as the Acceptable Discount, in no event later than by the third Business Day after the date of receipt by the Borrower from the Auction Agent of a copy of all Solicited Discounted Prepayment Offers pursuant to the first sentence of this </w:t>
      </w:r>
      <w:r>
        <w:rPr>
          <w:rFonts w:ascii="Arial" w:cs="Arial" w:eastAsia="Arial" w:hAnsi="Arial"/>
          <w:sz w:val="19"/>
          <w:szCs w:val="19"/>
          <w:u w:val="single" w:color="auto"/>
          <w:color w:val="auto"/>
        </w:rPr>
        <w:t>subsection (ii)</w:t>
      </w:r>
      <w:r>
        <w:rPr>
          <w:rFonts w:ascii="Arial" w:cs="Arial" w:eastAsia="Arial" w:hAnsi="Arial"/>
          <w:sz w:val="19"/>
          <w:szCs w:val="19"/>
          <w:color w:val="auto"/>
        </w:rPr>
        <w:t xml:space="preser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0120"/>
          </w:cols>
          <w:pgMar w:left="1440" w:top="1427" w:right="339" w:bottom="1440" w:gutter="0" w:footer="0" w:header="0"/>
        </w:sectPr>
      </w:pPr>
    </w:p>
    <w:bookmarkStart w:id="151" w:name="page152"/>
    <w:bookmarkEnd w:id="151"/>
    <w:p>
      <w:pPr>
        <w:jc w:val="both"/>
        <w:ind w:left="42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Acceptance Date</w:t>
      </w:r>
      <w:r>
        <w:rPr>
          <w:rFonts w:ascii="Arial" w:cs="Arial" w:eastAsia="Arial" w:hAnsi="Arial"/>
          <w:sz w:val="19"/>
          <w:szCs w:val="19"/>
          <w:color w:val="auto"/>
        </w:rPr>
        <w:t>”), the Borrower may submit an Acceptance and Prepayment Notice to the Auction Agent setting forth the Acceptable Discount. If the Auction Agent shall fail to receive an Acceptance and Prepayment Notice in a customary form as may be mutually agreed from the Borrower by the Acceptance Date, the Borrower shall be deemed to have rejected all Solicited Discounted Prepayment Offers.</w:t>
      </w:r>
    </w:p>
    <w:p>
      <w:pPr>
        <w:spacing w:after="0" w:line="144" w:lineRule="exact"/>
        <w:rPr>
          <w:sz w:val="20"/>
          <w:szCs w:val="20"/>
          <w:color w:val="auto"/>
        </w:rPr>
      </w:pPr>
    </w:p>
    <w:p>
      <w:pPr>
        <w:jc w:val="both"/>
        <w:ind w:left="420" w:firstLine="655"/>
        <w:spacing w:after="0"/>
        <w:tabs>
          <w:tab w:leader="none" w:pos="1464" w:val="left"/>
        </w:tabs>
        <w:numPr>
          <w:ilvl w:val="0"/>
          <w:numId w:val="77"/>
        </w:numPr>
        <w:rPr>
          <w:rFonts w:ascii="Arial" w:cs="Arial" w:eastAsia="Arial" w:hAnsi="Arial"/>
          <w:sz w:val="19"/>
          <w:szCs w:val="19"/>
          <w:color w:val="auto"/>
        </w:rPr>
      </w:pPr>
      <w:r>
        <w:rPr>
          <w:rFonts w:ascii="Arial" w:cs="Arial" w:eastAsia="Arial" w:hAnsi="Arial"/>
          <w:sz w:val="19"/>
          <w:szCs w:val="19"/>
          <w:color w:val="auto"/>
        </w:rPr>
        <w:t>Based upon the Acceptable Discount and the Solicited Discounted Prepayment Offers received by Auction Agent by the Solicited Discounted Prepayment Response Date, within three (3) Business Days after receipt of an Acceptance and Prepayment Notice (the “</w:t>
      </w:r>
      <w:r>
        <w:rPr>
          <w:rFonts w:ascii="Arial" w:cs="Arial" w:eastAsia="Arial" w:hAnsi="Arial"/>
          <w:sz w:val="19"/>
          <w:szCs w:val="19"/>
          <w:u w:val="single" w:color="auto"/>
          <w:color w:val="auto"/>
        </w:rPr>
        <w:t>Discounted Prepayment Determination Date</w:t>
      </w:r>
      <w:r>
        <w:rPr>
          <w:rFonts w:ascii="Arial" w:cs="Arial" w:eastAsia="Arial" w:hAnsi="Arial"/>
          <w:sz w:val="19"/>
          <w:szCs w:val="19"/>
          <w:color w:val="auto"/>
        </w:rPr>
        <w:t>”), the Auction Agent will determine (in consultation with the Borrower and subject to rounding requirements of the Auction Agent made in its sole reasonable discretion) the aggregate principal amount and the tranches of Loans (the “</w:t>
      </w:r>
      <w:r>
        <w:rPr>
          <w:rFonts w:ascii="Arial" w:cs="Arial" w:eastAsia="Arial" w:hAnsi="Arial"/>
          <w:sz w:val="19"/>
          <w:szCs w:val="19"/>
          <w:u w:val="single" w:color="auto"/>
          <w:color w:val="auto"/>
        </w:rPr>
        <w:t>Acceptable Prepayment Amount</w:t>
      </w:r>
      <w:r>
        <w:rPr>
          <w:rFonts w:ascii="Arial" w:cs="Arial" w:eastAsia="Arial" w:hAnsi="Arial"/>
          <w:sz w:val="19"/>
          <w:szCs w:val="19"/>
          <w:color w:val="auto"/>
        </w:rPr>
        <w:t xml:space="preserve">”) to be prepaid by the Borrower at the Acceptable Discount in accordance with this </w:t>
      </w:r>
      <w:r>
        <w:rPr>
          <w:rFonts w:ascii="Arial" w:cs="Arial" w:eastAsia="Arial" w:hAnsi="Arial"/>
          <w:sz w:val="19"/>
          <w:szCs w:val="19"/>
          <w:u w:val="single" w:color="auto"/>
          <w:color w:val="auto"/>
        </w:rPr>
        <w:t>subsection (iv))</w:t>
      </w:r>
      <w:r>
        <w:rPr>
          <w:rFonts w:ascii="Arial" w:cs="Arial" w:eastAsia="Arial" w:hAnsi="Arial"/>
          <w:sz w:val="19"/>
          <w:szCs w:val="19"/>
          <w:color w:val="auto"/>
        </w:rPr>
        <w:t>. If the Borrower elects to accept any Acceptable Discount, then the Borrower agrees to accept all Solicited Discounted Prepayment Offers received by Auction Agent by the Solicited Discounted Prepayment Response Date, in the order from largest Offered Discount to smallest Offered Discount, up to and including the Acceptable Discount. Each Lender that has submitted a Solicited Discounted Prepayment Offer with an Offered Discount that is greater than or equal to the Acceptable Discount shall be deemed to have irrevocably consented to prepayment of Loans equal to its Offered Amount (subject to any required pro-rata reduction pursuant to the following sentence) at the Acceptable Discount (each such Lender, a “</w:t>
      </w:r>
      <w:r>
        <w:rPr>
          <w:rFonts w:ascii="Arial" w:cs="Arial" w:eastAsia="Arial" w:hAnsi="Arial"/>
          <w:sz w:val="19"/>
          <w:szCs w:val="19"/>
          <w:u w:val="single" w:color="auto"/>
          <w:color w:val="auto"/>
        </w:rPr>
        <w:t>Qualifying Lender</w:t>
      </w:r>
      <w:r>
        <w:rPr>
          <w:rFonts w:ascii="Arial" w:cs="Arial" w:eastAsia="Arial" w:hAnsi="Arial"/>
          <w:sz w:val="19"/>
          <w:szCs w:val="19"/>
          <w:color w:val="auto"/>
        </w:rPr>
        <w:t xml:space="preserve">”). The Borrower may prepay outstanding Loans pursuant to this </w:t>
      </w:r>
      <w:r>
        <w:rPr>
          <w:rFonts w:ascii="Arial" w:cs="Arial" w:eastAsia="Arial" w:hAnsi="Arial"/>
          <w:sz w:val="19"/>
          <w:szCs w:val="19"/>
          <w:u w:val="single" w:color="auto"/>
          <w:color w:val="auto"/>
        </w:rPr>
        <w:t>subsection (iv)</w:t>
      </w:r>
      <w:r>
        <w:rPr>
          <w:rFonts w:ascii="Arial" w:cs="Arial" w:eastAsia="Arial" w:hAnsi="Arial"/>
          <w:sz w:val="19"/>
          <w:szCs w:val="19"/>
          <w:color w:val="auto"/>
        </w:rPr>
        <w:t xml:space="preserve"> to each Qualifying Lender in the aggregate principal amount and of the tranches specified in such Lender’s Solicited Discounted Prepayment Offer at the Acceptable Discount;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aggregate Offered Amount by all Qualifying Lenders whose Offered Discount is greater than or equal to the Acceptable Discount exceeds the Solicited Discounted Prepayment Amount, prepayment of the principal amount of the Loans for those Qualifying Lenders whose Offered Discount is greater than or equal to the Acceptable Discount (the “</w:t>
      </w:r>
      <w:r>
        <w:rPr>
          <w:rFonts w:ascii="Arial" w:cs="Arial" w:eastAsia="Arial" w:hAnsi="Arial"/>
          <w:sz w:val="19"/>
          <w:szCs w:val="19"/>
          <w:u w:val="single" w:color="auto"/>
          <w:color w:val="auto"/>
        </w:rPr>
        <w:t>Identified Qualifying Lenders</w:t>
      </w:r>
      <w:r>
        <w:rPr>
          <w:rFonts w:ascii="Arial" w:cs="Arial" w:eastAsia="Arial" w:hAnsi="Arial"/>
          <w:sz w:val="19"/>
          <w:szCs w:val="19"/>
          <w:color w:val="auto"/>
        </w:rPr>
        <w:t>”) shall be made pro rata among the Identified Qualifying Lenders in accordance with the Offered Amount of each such Identified Qualifying Lender and the Auction Agent (in consultation with the Borrower and subject to rounding requirements of the Auction Agent made in its sole reasonable discretion) will calculate such proration (the “</w:t>
      </w:r>
      <w:r>
        <w:rPr>
          <w:rFonts w:ascii="Arial" w:cs="Arial" w:eastAsia="Arial" w:hAnsi="Arial"/>
          <w:sz w:val="19"/>
          <w:szCs w:val="19"/>
          <w:u w:val="single" w:color="auto"/>
          <w:color w:val="auto"/>
        </w:rPr>
        <w:t>Solicited Discount Proration</w:t>
      </w:r>
      <w:r>
        <w:rPr>
          <w:rFonts w:ascii="Arial" w:cs="Arial" w:eastAsia="Arial" w:hAnsi="Arial"/>
          <w:sz w:val="19"/>
          <w:szCs w:val="19"/>
          <w:color w:val="auto"/>
        </w:rPr>
        <w:t>”). On or prior to the Discounted Prepayment Determination Date, the Auction Agent shall promptly notify (I) the Borrower of the Discounted Prepayment Effective Date and Acceptable Prepayment Amount comprising the Discounted Loan Prepayment and the tranches to be prepaid, (II) each Term Loan Lender or Extending Term Loan Lender, as applicable, of the Discounted Prepayment Effective Date, the Acceptable Discount, and the Acceptable Prepayment Amount of all Loans and the tranches to be prepaid at the Applicable Discount on such date, (III) each Qualifying Lender of the aggregate principal amount and the tranches of such Lender to be prepaid at the Acceptable Discount on such date, and (IV) if applicable, each Identified Qualifying Lender of the Solicited Discount Proration. Each determination by the Auction Agent of the amounts stated in the foregoing notices to the Borrower, the Term Loan Lenders and the Extending Term Loan Lenders, as applicable, shall be conclusive and binding for all purposes absent manifest error. The payment amount specified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0120"/>
          </w:cols>
          <w:pgMar w:left="1440" w:top="1400" w:right="339" w:bottom="1440" w:gutter="0" w:footer="0" w:header="0"/>
        </w:sectPr>
      </w:pPr>
    </w:p>
    <w:bookmarkStart w:id="152" w:name="page153"/>
    <w:bookmarkEnd w:id="152"/>
    <w:p>
      <w:pPr>
        <w:ind w:left="880"/>
        <w:spacing w:after="0" w:line="232" w:lineRule="auto"/>
        <w:rPr>
          <w:sz w:val="20"/>
          <w:szCs w:val="20"/>
          <w:color w:val="auto"/>
        </w:rPr>
      </w:pPr>
      <w:r>
        <w:rPr>
          <w:rFonts w:ascii="Arial" w:cs="Arial" w:eastAsia="Arial" w:hAnsi="Arial"/>
          <w:sz w:val="22"/>
          <w:szCs w:val="22"/>
          <w:color w:val="auto"/>
        </w:rPr>
        <w:t xml:space="preserve">notice to the Borrower shall be due and payable by she Borrower on the Discounted Prepayment Effective Date in accordance with </w:t>
      </w:r>
      <w:r>
        <w:rPr>
          <w:rFonts w:ascii="Arial" w:cs="Arial" w:eastAsia="Arial" w:hAnsi="Arial"/>
          <w:sz w:val="22"/>
          <w:szCs w:val="22"/>
          <w:u w:val="single" w:color="auto"/>
          <w:color w:val="auto"/>
        </w:rPr>
        <w:t>subsection (vi)</w:t>
      </w:r>
      <w:r>
        <w:rPr>
          <w:rFonts w:ascii="Arial" w:cs="Arial" w:eastAsia="Arial" w:hAnsi="Arial"/>
          <w:sz w:val="22"/>
          <w:szCs w:val="22"/>
          <w:color w:val="auto"/>
        </w:rPr>
        <w:t xml:space="preserve"> below (subject to </w:t>
      </w:r>
      <w:r>
        <w:rPr>
          <w:rFonts w:ascii="Arial" w:cs="Arial" w:eastAsia="Arial" w:hAnsi="Arial"/>
          <w:sz w:val="22"/>
          <w:szCs w:val="22"/>
          <w:u w:val="single" w:color="auto"/>
          <w:color w:val="auto"/>
        </w:rPr>
        <w:t>subsection (x)</w:t>
      </w:r>
      <w:r>
        <w:rPr>
          <w:rFonts w:ascii="Arial" w:cs="Arial" w:eastAsia="Arial" w:hAnsi="Arial"/>
          <w:sz w:val="22"/>
          <w:szCs w:val="22"/>
          <w:color w:val="auto"/>
        </w:rPr>
        <w:t xml:space="preserve"> below).</w:t>
      </w:r>
    </w:p>
    <w:p>
      <w:pPr>
        <w:spacing w:after="0" w:line="186"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22"/>
          <w:szCs w:val="22"/>
          <w:color w:val="auto"/>
        </w:rPr>
        <w:t>(v)In connection with any Discounted Loan Prepayment, the Borrower and the Term Loan Lenders or Extending Term Loan Lenders, as applicable, acknowledge and agree that the Auction Agent may require as a condition to any Discounted Loan Prepayment, the payment of customary and documented fees and out-of-pocket expenses from the Borrower in connection therewith.</w:t>
      </w:r>
    </w:p>
    <w:p>
      <w:pPr>
        <w:spacing w:after="0" w:line="188" w:lineRule="exact"/>
        <w:rPr>
          <w:sz w:val="20"/>
          <w:szCs w:val="20"/>
          <w:color w:val="auto"/>
        </w:rPr>
      </w:pPr>
    </w:p>
    <w:p>
      <w:pPr>
        <w:jc w:val="both"/>
        <w:ind w:firstLine="336"/>
        <w:spacing w:after="0" w:line="286" w:lineRule="auto"/>
        <w:rPr>
          <w:sz w:val="20"/>
          <w:szCs w:val="20"/>
          <w:color w:val="auto"/>
        </w:rPr>
      </w:pPr>
      <w:r>
        <w:rPr>
          <w:rFonts w:ascii="Arial" w:cs="Arial" w:eastAsia="Arial" w:hAnsi="Arial"/>
          <w:sz w:val="19"/>
          <w:szCs w:val="19"/>
          <w:color w:val="auto"/>
        </w:rPr>
        <w:t xml:space="preserve">(vi)If any Loan is prepaid in accordance with </w:t>
      </w:r>
      <w:r>
        <w:rPr>
          <w:rFonts w:ascii="Arial" w:cs="Arial" w:eastAsia="Arial" w:hAnsi="Arial"/>
          <w:sz w:val="19"/>
          <w:szCs w:val="19"/>
          <w:u w:val="single" w:color="auto"/>
          <w:color w:val="auto"/>
        </w:rPr>
        <w:t>paragraphs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the Borrower shall prepay such Loans on the Discounted Prepayment Effective Date without premium or penalty. The Borrower shall make such prepayment to the Administrative Agent, for the account of the Discount Prepayment Accepting Lenders, Participating Lenders, or Qualifying Lenders, as applicable, at the Administrative Agent’s Office in immediately available funds not later than 1:00 p.m. (New York time) on the Discounted Prepayment Effective Date and all such prepayments shall be applied to the remaining principal installments of the relevant tranche of Loans on a pro-rata basis across such installments. The Loans so prepaid shall be accompanied by all accrued and unpaid interest on the par principal amount so prepaid up to, but not including, the Discounted Prepayment Effective Date. Each prepayment of the outstanding Loans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2.11(c)</w:t>
      </w:r>
      <w:r>
        <w:rPr>
          <w:rFonts w:ascii="Arial" w:cs="Arial" w:eastAsia="Arial" w:hAnsi="Arial"/>
          <w:sz w:val="19"/>
          <w:szCs w:val="19"/>
          <w:color w:val="auto"/>
        </w:rPr>
        <w:t xml:space="preserve"> shall be paid to the Discount Prepayment Accepting Lenders, Participating Lenders, or Qualifying Lenders, as applicable, and shall be applied to the relevant Loans of such Lenders in accordance with their respective Pro Rata Share. The aggregate principal amount of the tranches and installments of the relevant Loans outstanding shall be deemed reduced by the full par value of the aggregate principal amount of the tranches of Loans prepaid on the Discounted Prepayment Effective Date in any Discounted Loan Prepayment. In connection with each prepayment pursuant to this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the Borrower shall provide a disclaimer to any participating Lenders that provides that as of the date of any such prepayment pursuant to this </w:t>
      </w:r>
      <w:r>
        <w:rPr>
          <w:rFonts w:ascii="Arial" w:cs="Arial" w:eastAsia="Arial" w:hAnsi="Arial"/>
          <w:sz w:val="19"/>
          <w:szCs w:val="19"/>
          <w:u w:val="single" w:color="auto"/>
          <w:color w:val="auto"/>
        </w:rPr>
        <w:t>Section 2.11(c)</w:t>
      </w:r>
      <w:r>
        <w:rPr>
          <w:rFonts w:ascii="Arial" w:cs="Arial" w:eastAsia="Arial" w:hAnsi="Arial"/>
          <w:sz w:val="19"/>
          <w:szCs w:val="19"/>
          <w:color w:val="auto"/>
        </w:rPr>
        <w:t>, the Borrower may have material non-public information with respect to the Borrower.</w:t>
      </w:r>
    </w:p>
    <w:p>
      <w:pPr>
        <w:spacing w:after="0" w:line="200" w:lineRule="exact"/>
        <w:rPr>
          <w:sz w:val="20"/>
          <w:szCs w:val="20"/>
          <w:color w:val="auto"/>
        </w:rPr>
      </w:pPr>
    </w:p>
    <w:p>
      <w:pPr>
        <w:spacing w:after="0" w:line="215" w:lineRule="exact"/>
        <w:rPr>
          <w:sz w:val="20"/>
          <w:szCs w:val="20"/>
          <w:color w:val="auto"/>
        </w:rPr>
      </w:pPr>
    </w:p>
    <w:p>
      <w:pPr>
        <w:jc w:val="both"/>
        <w:ind w:firstLine="276"/>
        <w:spacing w:after="0" w:line="248" w:lineRule="auto"/>
        <w:rPr>
          <w:sz w:val="20"/>
          <w:szCs w:val="20"/>
          <w:color w:val="auto"/>
        </w:rPr>
      </w:pPr>
      <w:r>
        <w:rPr>
          <w:rFonts w:ascii="Arial" w:cs="Arial" w:eastAsia="Arial" w:hAnsi="Arial"/>
          <w:sz w:val="22"/>
          <w:szCs w:val="22"/>
          <w:color w:val="auto"/>
        </w:rPr>
        <w:t xml:space="preserve">(vii)To the extent not expressly provided for herein, each Discounted Loan Prepayment (which for the avoidance of doubt, shall not include any open market purchases of Term Loans or Extended Term Loans, as applicable, otherwise permitted by the terms hereof) shall be consummated pursuant to procedures consistent with the provisions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2.11(c)</w:t>
      </w:r>
      <w:r>
        <w:rPr>
          <w:rFonts w:ascii="Arial" w:cs="Arial" w:eastAsia="Arial" w:hAnsi="Arial"/>
          <w:sz w:val="22"/>
          <w:szCs w:val="22"/>
          <w:color w:val="auto"/>
        </w:rPr>
        <w:t xml:space="preserve"> or as otherwise established by the Auction Agent acting in its reasonable discretion and as reasonably agreed by the Borrower.</w:t>
      </w:r>
    </w:p>
    <w:p>
      <w:pPr>
        <w:spacing w:after="0" w:line="192" w:lineRule="exact"/>
        <w:rPr>
          <w:sz w:val="20"/>
          <w:szCs w:val="20"/>
          <w:color w:val="auto"/>
        </w:rPr>
      </w:pPr>
    </w:p>
    <w:p>
      <w:pPr>
        <w:jc w:val="both"/>
        <w:ind w:firstLine="216"/>
        <w:spacing w:after="0" w:line="248" w:lineRule="auto"/>
        <w:rPr>
          <w:sz w:val="20"/>
          <w:szCs w:val="20"/>
          <w:color w:val="auto"/>
        </w:rPr>
      </w:pPr>
      <w:r>
        <w:rPr>
          <w:rFonts w:ascii="Arial" w:cs="Arial" w:eastAsia="Arial" w:hAnsi="Arial"/>
          <w:sz w:val="22"/>
          <w:szCs w:val="22"/>
          <w:color w:val="auto"/>
        </w:rPr>
        <w:t xml:space="preserve">(viii)Notwithstanding anything in any Loan Document to the contrary, for purposes of this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to the extent the Administrative Agent is the Auction Agent, each notice or other communication required to be delivered or otherwise provided to the Auction Agent (or its delegate) shall be deemed to have been given upon Auction Agent’s (or its delegate’s) actual receipt during normal business hours of such notice or communication;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notice or communication actually received outside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0580"/>
          </w:cols>
          <w:pgMar w:left="980" w:top="1401" w:right="339" w:bottom="1440" w:gutter="0" w:footer="0" w:header="0"/>
        </w:sectPr>
      </w:pPr>
    </w:p>
    <w:bookmarkStart w:id="153" w:name="page154"/>
    <w:bookmarkEnd w:id="153"/>
    <w:p>
      <w:pPr>
        <w:jc w:val="center"/>
        <w:ind w:right="40"/>
        <w:spacing w:after="0"/>
        <w:rPr>
          <w:sz w:val="20"/>
          <w:szCs w:val="20"/>
          <w:color w:val="auto"/>
        </w:rPr>
      </w:pPr>
      <w:r>
        <w:rPr>
          <w:rFonts w:ascii="Arial" w:cs="Arial" w:eastAsia="Arial" w:hAnsi="Arial"/>
          <w:sz w:val="21"/>
          <w:szCs w:val="21"/>
          <w:color w:val="auto"/>
        </w:rPr>
        <w:t>normal business hours shall be deemed to have been given as of the opening of business on the next Business Day.</w:t>
      </w:r>
    </w:p>
    <w:p>
      <w:pPr>
        <w:spacing w:after="0" w:line="231" w:lineRule="exact"/>
        <w:rPr>
          <w:sz w:val="20"/>
          <w:szCs w:val="20"/>
          <w:color w:val="auto"/>
        </w:rPr>
      </w:pPr>
    </w:p>
    <w:p>
      <w:pPr>
        <w:jc w:val="both"/>
        <w:ind w:left="660" w:firstLine="336"/>
        <w:spacing w:after="0" w:line="247" w:lineRule="auto"/>
        <w:rPr>
          <w:sz w:val="20"/>
          <w:szCs w:val="20"/>
          <w:color w:val="auto"/>
        </w:rPr>
      </w:pPr>
      <w:r>
        <w:rPr>
          <w:rFonts w:ascii="Arial" w:cs="Arial" w:eastAsia="Arial" w:hAnsi="Arial"/>
          <w:sz w:val="22"/>
          <w:szCs w:val="22"/>
          <w:color w:val="auto"/>
        </w:rPr>
        <w:t xml:space="preserve">(ix)The Borrower acknowledges and agrees that the Auction Agent may perform any and all of its duties under this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by itself or through any Affiliate of the Auction Agent and expressly consents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Discounted Loan Prepayment provided for in this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as well as activities of the Auction Agent.</w:t>
      </w:r>
    </w:p>
    <w:p>
      <w:pPr>
        <w:spacing w:after="0" w:line="193" w:lineRule="exact"/>
        <w:rPr>
          <w:sz w:val="20"/>
          <w:szCs w:val="20"/>
          <w:color w:val="auto"/>
        </w:rPr>
      </w:pPr>
    </w:p>
    <w:p>
      <w:pPr>
        <w:jc w:val="both"/>
        <w:ind w:left="660" w:firstLine="396"/>
        <w:spacing w:after="0" w:line="250" w:lineRule="auto"/>
        <w:rPr>
          <w:sz w:val="20"/>
          <w:szCs w:val="20"/>
          <w:color w:val="auto"/>
        </w:rPr>
      </w:pPr>
      <w:r>
        <w:rPr>
          <w:rFonts w:ascii="Arial" w:cs="Arial" w:eastAsia="Arial" w:hAnsi="Arial"/>
          <w:sz w:val="22"/>
          <w:szCs w:val="22"/>
          <w:color w:val="auto"/>
        </w:rPr>
        <w:t>(x)The Borrower shall have the right, by written notice to the Auction Agent, to revoke or modify its offer to make a Discounted Loan Prepayment and rescind the applicable Specified Discount Prepayment Notice, Discount Range Prepayment Notice or Solicited Discounted Prepayment Notice therefor at its discretion at any time on or prior to the applicable Specified Discount Prepayment Response Date.</w:t>
      </w:r>
    </w:p>
    <w:p>
      <w:pPr>
        <w:spacing w:after="0" w:line="188" w:lineRule="exact"/>
        <w:rPr>
          <w:sz w:val="20"/>
          <w:szCs w:val="20"/>
          <w:color w:val="auto"/>
        </w:rPr>
      </w:pPr>
    </w:p>
    <w:p>
      <w:pPr>
        <w:jc w:val="both"/>
        <w:ind w:left="660" w:firstLine="336"/>
        <w:spacing w:after="0" w:line="263" w:lineRule="auto"/>
        <w:rPr>
          <w:sz w:val="20"/>
          <w:szCs w:val="20"/>
          <w:color w:val="auto"/>
        </w:rPr>
      </w:pPr>
      <w:r>
        <w:rPr>
          <w:rFonts w:ascii="Arial" w:cs="Arial" w:eastAsia="Arial" w:hAnsi="Arial"/>
          <w:sz w:val="22"/>
          <w:szCs w:val="22"/>
          <w:color w:val="auto"/>
        </w:rPr>
        <w:t xml:space="preserve">(xi)Any failure by the Borrower to make any prepayment to a Lender, pursuant to this </w:t>
      </w:r>
      <w:r>
        <w:rPr>
          <w:rFonts w:ascii="Arial" w:cs="Arial" w:eastAsia="Arial" w:hAnsi="Arial"/>
          <w:sz w:val="22"/>
          <w:szCs w:val="22"/>
          <w:u w:val="single" w:color="auto"/>
          <w:color w:val="auto"/>
        </w:rPr>
        <w:t>Section 2.11(c)</w:t>
      </w:r>
      <w:r>
        <w:rPr>
          <w:rFonts w:ascii="Arial" w:cs="Arial" w:eastAsia="Arial" w:hAnsi="Arial"/>
          <w:sz w:val="22"/>
          <w:szCs w:val="22"/>
          <w:color w:val="auto"/>
        </w:rPr>
        <w:t xml:space="preserve"> shall not constitute a Default or Event of Default under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or otherwise.</w:t>
      </w:r>
    </w:p>
    <w:p>
      <w:pPr>
        <w:spacing w:after="0" w:line="175" w:lineRule="exact"/>
        <w:rPr>
          <w:sz w:val="20"/>
          <w:szCs w:val="20"/>
          <w:color w:val="auto"/>
        </w:rPr>
      </w:pPr>
    </w:p>
    <w:p>
      <w:pPr>
        <w:jc w:val="both"/>
        <w:ind w:left="660" w:firstLine="276"/>
        <w:spacing w:after="0" w:line="250" w:lineRule="auto"/>
        <w:rPr>
          <w:sz w:val="20"/>
          <w:szCs w:val="20"/>
          <w:color w:val="auto"/>
        </w:rPr>
      </w:pPr>
      <w:r>
        <w:rPr>
          <w:rFonts w:ascii="Arial" w:cs="Arial" w:eastAsia="Arial" w:hAnsi="Arial"/>
          <w:sz w:val="22"/>
          <w:szCs w:val="22"/>
          <w:color w:val="auto"/>
        </w:rPr>
        <w:t xml:space="preserve">(xii)To the extent the Auction Agent is required to deliver notices or communicate such other information to the Lenders pursuant to this </w:t>
      </w:r>
      <w:r>
        <w:rPr>
          <w:rFonts w:ascii="Arial" w:cs="Arial" w:eastAsia="Arial" w:hAnsi="Arial"/>
          <w:sz w:val="22"/>
          <w:szCs w:val="22"/>
          <w:u w:val="single" w:color="auto"/>
          <w:color w:val="auto"/>
        </w:rPr>
        <w:t>Section 2.11(c)</w:t>
      </w:r>
      <w:r>
        <w:rPr>
          <w:rFonts w:ascii="Arial" w:cs="Arial" w:eastAsia="Arial" w:hAnsi="Arial"/>
          <w:sz w:val="22"/>
          <w:szCs w:val="22"/>
          <w:color w:val="auto"/>
        </w:rPr>
        <w:t>, the Auction Agent will work with the Administrative Agent (and the Administrative Agent will cooperate with the Auction Agent) in order to procure the delivery of such notices and/or the communication of such information to the applicable Lenders.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 xml:space="preserve">(xiii)Nothing in this </w:t>
      </w:r>
      <w:r>
        <w:rPr>
          <w:rFonts w:ascii="Arial" w:cs="Arial" w:eastAsia="Arial" w:hAnsi="Arial"/>
          <w:sz w:val="21"/>
          <w:szCs w:val="21"/>
          <w:u w:val="single" w:color="auto"/>
          <w:color w:val="auto"/>
        </w:rPr>
        <w:t>Section 2.11(c)</w:t>
      </w:r>
      <w:r>
        <w:rPr>
          <w:rFonts w:ascii="Arial" w:cs="Arial" w:eastAsia="Arial" w:hAnsi="Arial"/>
          <w:sz w:val="21"/>
          <w:szCs w:val="21"/>
          <w:color w:val="auto"/>
        </w:rPr>
        <w:t xml:space="preserve"> shall require the Borrower to undertake any Discounted Loan Prepayment.</w:t>
      </w:r>
    </w:p>
    <w:p>
      <w:pPr>
        <w:spacing w:after="0" w:line="231" w:lineRule="exact"/>
        <w:rPr>
          <w:sz w:val="20"/>
          <w:szCs w:val="20"/>
          <w:color w:val="auto"/>
        </w:rPr>
      </w:pPr>
    </w:p>
    <w:p>
      <w:pPr>
        <w:jc w:val="both"/>
        <w:ind w:left="660" w:firstLine="228"/>
        <w:spacing w:after="0" w:line="263" w:lineRule="auto"/>
        <w:rPr>
          <w:sz w:val="20"/>
          <w:szCs w:val="20"/>
          <w:color w:val="auto"/>
        </w:rPr>
      </w:pPr>
      <w:r>
        <w:rPr>
          <w:rFonts w:ascii="Arial" w:cs="Arial" w:eastAsia="Arial" w:hAnsi="Arial"/>
          <w:sz w:val="22"/>
          <w:szCs w:val="22"/>
          <w:color w:val="auto"/>
        </w:rPr>
        <w:t xml:space="preserve">(xiv)No proceeds of the Revolving Credit Loans may be used to purchase Term Loans and/or Extended Term Loans pursuant to this </w:t>
      </w:r>
      <w:r>
        <w:rPr>
          <w:rFonts w:ascii="Arial" w:cs="Arial" w:eastAsia="Arial" w:hAnsi="Arial"/>
          <w:sz w:val="22"/>
          <w:szCs w:val="22"/>
          <w:u w:val="single" w:color="auto"/>
          <w:color w:val="auto"/>
        </w:rPr>
        <w:t>Section 2.11(c)</w:t>
      </w:r>
      <w:r>
        <w:rPr>
          <w:rFonts w:ascii="Arial" w:cs="Arial" w:eastAsia="Arial" w:hAnsi="Arial"/>
          <w:sz w:val="22"/>
          <w:szCs w:val="22"/>
          <w:color w:val="auto"/>
        </w:rPr>
        <w:t>.</w:t>
      </w:r>
    </w:p>
    <w:p>
      <w:pPr>
        <w:spacing w:after="0" w:line="175" w:lineRule="exact"/>
        <w:rPr>
          <w:sz w:val="20"/>
          <w:szCs w:val="20"/>
          <w:color w:val="auto"/>
        </w:rPr>
      </w:pPr>
    </w:p>
    <w:p>
      <w:pPr>
        <w:jc w:val="both"/>
        <w:ind w:left="660" w:firstLine="288"/>
        <w:spacing w:after="0" w:line="312" w:lineRule="auto"/>
        <w:rPr>
          <w:sz w:val="20"/>
          <w:szCs w:val="20"/>
          <w:color w:val="auto"/>
        </w:rPr>
      </w:pPr>
      <w:r>
        <w:rPr>
          <w:rFonts w:ascii="Arial" w:cs="Arial" w:eastAsia="Arial" w:hAnsi="Arial"/>
          <w:sz w:val="19"/>
          <w:szCs w:val="19"/>
          <w:color w:val="auto"/>
        </w:rPr>
        <w:t xml:space="preserve">(xv)After giving effect to such repurchase of Term Loans and/or Extended Term Loans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2.11(c)</w:t>
      </w:r>
      <w:r>
        <w:rPr>
          <w:rFonts w:ascii="Arial" w:cs="Arial" w:eastAsia="Arial" w:hAnsi="Arial"/>
          <w:sz w:val="19"/>
          <w:szCs w:val="19"/>
          <w:color w:val="auto"/>
        </w:rPr>
        <w:t>, the sum of Available Revolving Credit Commitments, cash and Cash Equivalents on hand (which cash and Cash Equivalents are not subject to a lien other than Liens in favor of the Collateral Agent) shall equal at least $50,000,000.</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(xvi)No Default or Event of Default shall have occurred and be continuing.</w:t>
      </w:r>
    </w:p>
    <w:p>
      <w:pPr>
        <w:spacing w:after="0" w:line="220" w:lineRule="exact"/>
        <w:rPr>
          <w:sz w:val="20"/>
          <w:szCs w:val="20"/>
          <w:color w:val="auto"/>
        </w:rPr>
      </w:pPr>
    </w:p>
    <w:p>
      <w:pPr>
        <w:jc w:val="both"/>
        <w:ind w:right="20" w:firstLine="1304"/>
        <w:spacing w:after="0" w:line="253" w:lineRule="auto"/>
        <w:tabs>
          <w:tab w:leader="none" w:pos="1939"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Prepayments pursuant to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shall be applied to the Loans as directed by the Borrower. At the Borrower’s election in connection with any prepayment pursuant to this </w:t>
      </w:r>
      <w:r>
        <w:rPr>
          <w:rFonts w:ascii="Arial" w:cs="Arial" w:eastAsia="Arial" w:hAnsi="Arial"/>
          <w:sz w:val="22"/>
          <w:szCs w:val="22"/>
          <w:u w:val="single" w:color="auto"/>
          <w:color w:val="auto"/>
        </w:rPr>
        <w:t>Section 2.11</w:t>
      </w:r>
      <w:r>
        <w:rPr>
          <w:rFonts w:ascii="Arial" w:cs="Arial" w:eastAsia="Arial" w:hAnsi="Arial"/>
          <w:sz w:val="22"/>
          <w:szCs w:val="22"/>
          <w:color w:val="auto"/>
        </w:rPr>
        <w:t>, such prepayment shall not be applied to any Loan of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154" w:name="page155"/>
    <w:bookmarkEnd w:id="154"/>
    <w:p>
      <w:pPr>
        <w:ind w:right="20" w:firstLine="1304"/>
        <w:spacing w:after="0" w:line="287" w:lineRule="auto"/>
        <w:tabs>
          <w:tab w:leader="none" w:pos="1941" w:val="left"/>
        </w:tabs>
        <w:numPr>
          <w:ilvl w:val="0"/>
          <w:numId w:val="79"/>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Notwithstanding anything to the contrary contained in this Agreement or the other Loan Documents, any payments, repayments, prepayments, repurchases or redemptions of any Loans shall be made in cash.</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Mandatory Prepayments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2" w:lineRule="auto"/>
        <w:tabs>
          <w:tab w:leader="none" w:pos="1941" w:val="left"/>
        </w:tabs>
        <w:numPr>
          <w:ilvl w:val="0"/>
          <w:numId w:val="80"/>
        </w:numPr>
        <w:rPr>
          <w:rFonts w:ascii="Arial" w:cs="Arial" w:eastAsia="Arial" w:hAnsi="Arial"/>
          <w:sz w:val="19"/>
          <w:szCs w:val="19"/>
          <w:u w:val="single" w:color="auto"/>
          <w:color w:val="0000FF"/>
        </w:rPr>
      </w:pPr>
      <w:r>
        <w:rPr>
          <w:rFonts w:ascii="Arial" w:cs="Arial" w:eastAsia="Arial" w:hAnsi="Arial"/>
          <w:sz w:val="19"/>
          <w:szCs w:val="19"/>
          <w:color w:val="FF0000"/>
          <w:strike w:val="1"/>
        </w:rPr>
        <w:t>(a)</w:t>
      </w:r>
      <w:r>
        <w:rPr>
          <w:rFonts w:ascii="Arial" w:cs="Arial" w:eastAsia="Arial" w:hAnsi="Arial"/>
          <w:sz w:val="19"/>
          <w:szCs w:val="19"/>
          <w:color w:val="FF0000"/>
        </w:rPr>
        <w:t xml:space="preserve"> </w:t>
      </w:r>
      <w:r>
        <w:rPr>
          <w:rFonts w:ascii="Arial" w:cs="Arial" w:eastAsia="Arial" w:hAnsi="Arial"/>
          <w:sz w:val="19"/>
          <w:szCs w:val="19"/>
          <w:color w:val="000000"/>
        </w:rPr>
        <w:t>If the Borrower or any of its Subsidiaries shall issue debt securities or instruments pursuant to a public</w:t>
      </w:r>
      <w:r>
        <w:rPr>
          <w:rFonts w:ascii="Arial" w:cs="Arial" w:eastAsia="Arial" w:hAnsi="Arial"/>
          <w:sz w:val="19"/>
          <w:szCs w:val="19"/>
          <w:color w:val="FF0000"/>
        </w:rPr>
        <w:t xml:space="preserve"> </w:t>
      </w:r>
      <w:r>
        <w:rPr>
          <w:rFonts w:ascii="Arial" w:cs="Arial" w:eastAsia="Arial" w:hAnsi="Arial"/>
          <w:sz w:val="19"/>
          <w:szCs w:val="19"/>
          <w:color w:val="000000"/>
        </w:rPr>
        <w:t xml:space="preserve">offering or private placement (excluding any Indebtedness incurred in accordance with Section 7.2), then on the next Business Day following such issuance, the Term Loans shall be prepaid by an amount equal to the amount of the Net Cash Proceeds of such issuance (or such lesser amount to repay the Term Loans in full). The provisions of this Section do not constitute a consent to the incurrence of any Indebtedness by the Borrower or any of its Subsidiaries not permitted under Section 7.2. </w:t>
      </w:r>
      <w:r>
        <w:rPr>
          <w:rFonts w:ascii="Arial" w:cs="Arial" w:eastAsia="Arial" w:hAnsi="Arial"/>
          <w:sz w:val="19"/>
          <w:szCs w:val="19"/>
          <w:color w:val="0000FF"/>
        </w:rPr>
        <w:t>For the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avoidance of doubt, the Applicable New Incremental Loan Premium and/or Applicable Premium shall apply (to the extent otherwise then-applicable) with respect to any prepayment pursuant to this clause (a).</w:t>
      </w:r>
    </w:p>
    <w:p>
      <w:pPr>
        <w:spacing w:after="0" w:line="150" w:lineRule="exact"/>
        <w:rPr>
          <w:rFonts w:ascii="Arial" w:cs="Arial" w:eastAsia="Arial" w:hAnsi="Arial"/>
          <w:sz w:val="19"/>
          <w:szCs w:val="19"/>
          <w:u w:val="single" w:color="auto"/>
          <w:color w:val="0000FF"/>
        </w:rPr>
      </w:pPr>
    </w:p>
    <w:p>
      <w:pPr>
        <w:jc w:val="both"/>
        <w:ind w:firstLine="1304"/>
        <w:spacing w:after="0" w:line="285" w:lineRule="auto"/>
        <w:tabs>
          <w:tab w:leader="none" w:pos="1939" w:val="left"/>
        </w:tabs>
        <w:numPr>
          <w:ilvl w:val="0"/>
          <w:numId w:val="80"/>
        </w:numPr>
        <w:rPr>
          <w:rFonts w:ascii="Arial" w:cs="Arial" w:eastAsia="Arial" w:hAnsi="Arial"/>
          <w:sz w:val="19"/>
          <w:szCs w:val="19"/>
          <w:u w:val="single" w:color="auto"/>
          <w:color w:val="0000FF"/>
        </w:rPr>
      </w:pPr>
      <w:r>
        <w:rPr>
          <w:rFonts w:ascii="Arial" w:cs="Arial" w:eastAsia="Arial" w:hAnsi="Arial"/>
          <w:sz w:val="19"/>
          <w:szCs w:val="19"/>
          <w:color w:val="FF0000"/>
          <w:strike w:val="1"/>
        </w:rPr>
        <w:t>(a)</w:t>
      </w:r>
      <w:r>
        <w:rPr>
          <w:rFonts w:ascii="Arial" w:cs="Arial" w:eastAsia="Arial" w:hAnsi="Arial"/>
          <w:sz w:val="19"/>
          <w:szCs w:val="19"/>
          <w:color w:val="FF0000"/>
        </w:rPr>
        <w:t xml:space="preserve"> </w:t>
      </w:r>
      <w:r>
        <w:rPr>
          <w:rFonts w:ascii="Arial" w:cs="Arial" w:eastAsia="Arial" w:hAnsi="Arial"/>
          <w:sz w:val="19"/>
          <w:szCs w:val="19"/>
          <w:color w:val="000000"/>
        </w:rPr>
        <w:t>If on any date the Borrower or any of its Subsidiaries shall receive Net Cash Proceeds from any Asset</w:t>
      </w:r>
      <w:r>
        <w:rPr>
          <w:rFonts w:ascii="Arial" w:cs="Arial" w:eastAsia="Arial" w:hAnsi="Arial"/>
          <w:sz w:val="19"/>
          <w:szCs w:val="19"/>
          <w:color w:val="FF0000"/>
        </w:rPr>
        <w:t xml:space="preserve"> </w:t>
      </w:r>
      <w:r>
        <w:rPr>
          <w:rFonts w:ascii="Arial" w:cs="Arial" w:eastAsia="Arial" w:hAnsi="Arial"/>
          <w:sz w:val="19"/>
          <w:szCs w:val="19"/>
          <w:color w:val="000000"/>
        </w:rPr>
        <w:t>Sale or Recovery Event, then on the next Business Day following the receipt of such Net Cash Proceeds, the Term Loans shall be prepaid by an amount equal to 100% of such Net Cash Proceeds (or such lesser amount to repay the Term Loans in full)</w:t>
      </w:r>
      <w:r>
        <w:rPr>
          <w:rFonts w:ascii="Arial" w:cs="Arial" w:eastAsia="Arial" w:hAnsi="Arial"/>
          <w:sz w:val="19"/>
          <w:szCs w:val="19"/>
          <w:color w:val="FF0000"/>
          <w:strike w:val="1"/>
        </w:rPr>
        <w:t>;</w:t>
      </w:r>
      <w:r>
        <w:rPr>
          <w:rFonts w:ascii="Arial" w:cs="Arial" w:eastAsia="Arial" w:hAnsi="Arial"/>
          <w:sz w:val="19"/>
          <w:szCs w:val="19"/>
          <w:color w:val="000000"/>
        </w:rPr>
        <w:t xml:space="preserve"> </w:t>
      </w:r>
      <w:r>
        <w:rPr>
          <w:rFonts w:ascii="Arial" w:cs="Arial" w:eastAsia="Arial" w:hAnsi="Arial"/>
          <w:sz w:val="19"/>
          <w:szCs w:val="19"/>
          <w:u w:val="single" w:color="auto"/>
          <w:color w:val="FF0000"/>
        </w:rPr>
        <w:t>provided</w:t>
      </w:r>
      <w:r>
        <w:rPr>
          <w:rFonts w:ascii="Arial" w:cs="Arial" w:eastAsia="Arial" w:hAnsi="Arial"/>
          <w:sz w:val="19"/>
          <w:szCs w:val="19"/>
          <w:color w:val="FF0000"/>
        </w:rPr>
        <w:t xml:space="preserve">, </w:t>
      </w:r>
      <w:r>
        <w:rPr>
          <w:rFonts w:ascii="Arial" w:cs="Arial" w:eastAsia="Arial" w:hAnsi="Arial"/>
          <w:sz w:val="19"/>
          <w:szCs w:val="19"/>
          <w:color w:val="008000"/>
          <w:strike w:val="1"/>
        </w:rPr>
        <w:t>that, with respect to</w:t>
      </w:r>
      <w:r>
        <w:rPr>
          <w:rFonts w:ascii="Arial" w:cs="Arial" w:eastAsia="Arial" w:hAnsi="Arial"/>
          <w:sz w:val="19"/>
          <w:szCs w:val="19"/>
          <w:color w:val="FF0000"/>
        </w:rPr>
        <w:t xml:space="preserve"> </w:t>
      </w:r>
      <w:r>
        <w:rPr>
          <w:rFonts w:ascii="Arial" w:cs="Arial" w:eastAsia="Arial" w:hAnsi="Arial"/>
          <w:sz w:val="19"/>
          <w:szCs w:val="19"/>
          <w:color w:val="FF0000"/>
          <w:strike w:val="1"/>
        </w:rPr>
        <w:t>an Asset Sale or Recovery Event, the percentage in this Section 2.12(b) shall be reduced to 50% if</w:t>
      </w:r>
      <w:r>
        <w:rPr>
          <w:rFonts w:ascii="Arial" w:cs="Arial" w:eastAsia="Arial" w:hAnsi="Arial"/>
          <w:sz w:val="19"/>
          <w:szCs w:val="19"/>
          <w:color w:val="FF0000"/>
        </w:rPr>
        <w:t xml:space="preserve"> </w:t>
      </w:r>
      <w:r>
        <w:rPr>
          <w:rFonts w:ascii="Arial" w:cs="Arial" w:eastAsia="Arial" w:hAnsi="Arial"/>
          <w:sz w:val="19"/>
          <w:szCs w:val="19"/>
          <w:color w:val="FF0000"/>
          <w:strike w:val="1"/>
        </w:rPr>
        <w:t>the Consolidated Total Leverage Ratio on the date of prepayment (determined on a pro forma basis but prior to giving effect thereto and as certified by an Authorized Officer of the Borrower) is less than or equal to 3.20 to 1.00</w:t>
      </w:r>
      <w:r>
        <w:rPr>
          <w:rFonts w:ascii="Arial" w:cs="Arial" w:eastAsia="Arial" w:hAnsi="Arial"/>
          <w:sz w:val="19"/>
          <w:szCs w:val="19"/>
          <w:color w:val="000000"/>
          <w:strike w:val="1"/>
        </w:rPr>
        <w:t>; provided, that, so long as</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no Event of Default shall then exist or would arise therefrom, such proceeds shall not be required to be so applied on such date to the extent that such Net Cash Proceeds are expected to be used, or committed to be used to acquire assets useful (in the good faith judgment of the Borrower) in the business of the Borrower and its Subsidiaries within 12 months following the date of such Asset Sale or Recovery Event; provided, that if all or any portion of such Net Cash Proceeds is not so reinvested within such 12-month period (or if the Borrower or any of its Subsidiary Guarantors have entered into a binding contractual commitment for reinvestment within such 12-month period, not so reinvested within 18 months following the date of such Asset Sale or Recovery Event), such unused portion shall be applied on the last day of such period as a mandatory prepayment as provided in this Section 2.12(b). The provisions of this Section do not constitute a consent to the consummation of any Disposition not permitted by Section 7.5. </w:t>
      </w:r>
      <w:r>
        <w:rPr>
          <w:rFonts w:ascii="Arial" w:cs="Arial" w:eastAsia="Arial" w:hAnsi="Arial"/>
          <w:sz w:val="19"/>
          <w:szCs w:val="19"/>
          <w:color w:val="0000FF"/>
          <w:strike w:val="1"/>
        </w:rPr>
        <w:t>For the avoidance of doubt, the Applicable New Incremental Loan Premium and/or Applicable Premium shall apply</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(to the extent otherwise then-applicable) with respect to any prepayment pursuant to this clause (b).</w:t>
      </w:r>
    </w:p>
    <w:p>
      <w:pPr>
        <w:spacing w:after="0" w:line="168" w:lineRule="exact"/>
        <w:rPr>
          <w:rFonts w:ascii="Arial" w:cs="Arial" w:eastAsia="Arial" w:hAnsi="Arial"/>
          <w:sz w:val="19"/>
          <w:szCs w:val="19"/>
          <w:u w:val="single" w:color="auto"/>
          <w:color w:val="0000FF"/>
        </w:rPr>
      </w:pPr>
    </w:p>
    <w:p>
      <w:pPr>
        <w:jc w:val="both"/>
        <w:ind w:firstLine="1304"/>
        <w:spacing w:after="0" w:line="248" w:lineRule="auto"/>
        <w:tabs>
          <w:tab w:leader="none" w:pos="1941" w:val="left"/>
        </w:tabs>
        <w:numPr>
          <w:ilvl w:val="0"/>
          <w:numId w:val="80"/>
        </w:numPr>
        <w:rPr>
          <w:rFonts w:ascii="Arial" w:cs="Arial" w:eastAsia="Arial" w:hAnsi="Arial"/>
          <w:sz w:val="22"/>
          <w:szCs w:val="22"/>
          <w:u w:val="single" w:color="auto"/>
          <w:color w:val="0000FF"/>
        </w:rPr>
      </w:pPr>
      <w:r>
        <w:rPr>
          <w:rFonts w:ascii="Arial" w:cs="Arial" w:eastAsia="Arial" w:hAnsi="Arial"/>
          <w:sz w:val="22"/>
          <w:szCs w:val="22"/>
          <w:color w:val="FF0000"/>
          <w:strike w:val="1"/>
        </w:rPr>
        <w:t>(b)</w:t>
      </w:r>
      <w:r>
        <w:rPr>
          <w:rFonts w:ascii="Arial" w:cs="Arial" w:eastAsia="Arial" w:hAnsi="Arial"/>
          <w:sz w:val="22"/>
          <w:szCs w:val="22"/>
          <w:color w:val="FF0000"/>
        </w:rPr>
        <w:t xml:space="preserve"> </w:t>
      </w:r>
      <w:r>
        <w:rPr>
          <w:rFonts w:ascii="Arial" w:cs="Arial" w:eastAsia="Arial" w:hAnsi="Arial"/>
          <w:sz w:val="22"/>
          <w:szCs w:val="22"/>
          <w:color w:val="000000"/>
        </w:rPr>
        <w:t>If, for any fiscal year of the Borrower commencing with the fiscal year ending December 31, 2018,</w:t>
      </w:r>
      <w:r>
        <w:rPr>
          <w:rFonts w:ascii="Arial" w:cs="Arial" w:eastAsia="Arial" w:hAnsi="Arial"/>
          <w:sz w:val="22"/>
          <w:szCs w:val="22"/>
          <w:color w:val="FF0000"/>
        </w:rPr>
        <w:t xml:space="preserve"> </w:t>
      </w:r>
      <w:r>
        <w:rPr>
          <w:rFonts w:ascii="Arial" w:cs="Arial" w:eastAsia="Arial" w:hAnsi="Arial"/>
          <w:sz w:val="22"/>
          <w:szCs w:val="22"/>
          <w:color w:val="000000"/>
        </w:rPr>
        <w:t>there shall be Excess Cash Flow, then, on the relevant Excess Cash Flow Application Date, the Term Loans shall be prepaid by an amount equal to the ECF Percentage of such Excess Cash Flow (or such lesser amount to repay the Term Loans in full). Each such prepayment and commitment reduction shall be made on a date (an “</w:t>
      </w:r>
      <w:r>
        <w:rPr>
          <w:rFonts w:ascii="Arial" w:cs="Arial" w:eastAsia="Arial" w:hAnsi="Arial"/>
          <w:sz w:val="22"/>
          <w:szCs w:val="22"/>
          <w:u w:val="single" w:color="auto"/>
          <w:color w:val="000000"/>
        </w:rPr>
        <w:t>Excess Cash Flow Application Date</w:t>
      </w:r>
      <w:r>
        <w:rPr>
          <w:rFonts w:ascii="Arial" w:cs="Arial" w:eastAsia="Arial" w:hAnsi="Arial"/>
          <w:sz w:val="22"/>
          <w:szCs w:val="22"/>
          <w:color w:val="000000"/>
        </w:rPr>
        <w:t>”) no later than five Business Days after the earlier of (i) the date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6654165</wp:posOffset>
            </wp:positionH>
            <wp:positionV relativeFrom="paragraph">
              <wp:posOffset>-4056380</wp:posOffset>
            </wp:positionV>
            <wp:extent cx="478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478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-2993390</wp:posOffset>
            </wp:positionV>
            <wp:extent cx="5562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55626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-1149985</wp:posOffset>
            </wp:positionV>
            <wp:extent cx="6478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478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240"/>
          </w:cols>
          <w:pgMar w:left="320" w:top="1428" w:right="339" w:bottom="1440" w:gutter="0" w:footer="0" w:header="0"/>
        </w:sectPr>
      </w:pPr>
    </w:p>
    <w:bookmarkStart w:id="155" w:name="page156"/>
    <w:bookmarkEnd w:id="155"/>
    <w:p>
      <w:pPr>
        <w:jc w:val="both"/>
        <w:spacing w:after="0" w:line="289" w:lineRule="auto"/>
        <w:rPr>
          <w:sz w:val="20"/>
          <w:szCs w:val="20"/>
          <w:color w:val="auto"/>
        </w:rPr>
      </w:pPr>
      <w:r>
        <w:rPr>
          <w:rFonts w:ascii="Arial" w:cs="Arial" w:eastAsia="Arial" w:hAnsi="Arial"/>
          <w:sz w:val="19"/>
          <w:szCs w:val="19"/>
          <w:color w:val="auto"/>
        </w:rPr>
        <w:t>which the financial statements of the Borrower referred to in Section 6.1(a), for the fiscal year with respect to which such prepayment is made, are required to be delivered to the Lenders and (ii) the date such financial statements are actually delivered</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provided that, there shall be no Excess Cash Flow prepayment required with respect to “Excess Cash Flow” applicable to those excluded periods referred to in the definition thereof. For the avoidance of doubt, no Applicable New Incremental Loan Premium and/or Applicable Premium shall apply with respect to any prepayment pursuant to this clause (c). Notwithstanding the foregoing, there shall be no such Excess Cash Flow prepayment required hereunder for the fiscal years ended on or around December 31, 2020 and December 31, 2021, and any such prepayment with reference to the fiscal year ending on or around December 31, 2022 shall exclude Excess Cash Flow attributable to the fiscal quarters ending on or around March 31, 2022, June 30, 2022 and September 29, 2022 (an “Excess Cash Flow Application Date”).</w:t>
      </w:r>
    </w:p>
    <w:p>
      <w:pPr>
        <w:spacing w:after="0" w:line="157" w:lineRule="exact"/>
        <w:rPr>
          <w:sz w:val="20"/>
          <w:szCs w:val="20"/>
          <w:color w:val="auto"/>
        </w:rPr>
      </w:pPr>
    </w:p>
    <w:p>
      <w:pPr>
        <w:jc w:val="both"/>
        <w:ind w:firstLine="1304"/>
        <w:spacing w:after="0" w:line="248" w:lineRule="auto"/>
        <w:tabs>
          <w:tab w:leader="none" w:pos="1939" w:val="left"/>
        </w:tabs>
        <w:numPr>
          <w:ilvl w:val="0"/>
          <w:numId w:val="81"/>
        </w:numPr>
        <w:rPr>
          <w:rFonts w:ascii="Arial" w:cs="Arial" w:eastAsia="Arial" w:hAnsi="Arial"/>
          <w:sz w:val="22"/>
          <w:szCs w:val="22"/>
          <w:u w:val="single" w:color="auto"/>
          <w:color w:val="0000FF"/>
        </w:rPr>
      </w:pPr>
      <w:r>
        <w:rPr>
          <w:rFonts w:ascii="Arial" w:cs="Arial" w:eastAsia="Arial" w:hAnsi="Arial"/>
          <w:sz w:val="22"/>
          <w:szCs w:val="22"/>
          <w:color w:val="auto"/>
        </w:rPr>
        <w:t>Notwithstanding anything to the contrary herein, mandatory prepayments of the Term Loans shall not be required to the extent such prepayment would result in a taxable gain for US Federal income tax purposes at such time to any member of the Borrower as a direct result thereof, with any limitations in the prepayment being supported by reasonably detailed calculations presented to the Administrative Agent within five Business Days of the date on which such prepayment would otherwise be due.</w:t>
      </w:r>
    </w:p>
    <w:p>
      <w:pPr>
        <w:spacing w:after="0" w:line="191" w:lineRule="exact"/>
        <w:rPr>
          <w:rFonts w:ascii="Arial" w:cs="Arial" w:eastAsia="Arial" w:hAnsi="Arial"/>
          <w:sz w:val="22"/>
          <w:szCs w:val="22"/>
          <w:u w:val="single" w:color="auto"/>
          <w:color w:val="0000FF"/>
        </w:rPr>
      </w:pPr>
    </w:p>
    <w:p>
      <w:pPr>
        <w:ind w:right="680" w:firstLine="1304"/>
        <w:spacing w:after="0" w:line="263" w:lineRule="auto"/>
        <w:tabs>
          <w:tab w:leader="none" w:pos="159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Mandatory prepayments of Term Loans shall be applied to the amortization payments of the Term Loan Facility in direct order of maturity.</w:t>
      </w:r>
    </w:p>
    <w:p>
      <w:pPr>
        <w:spacing w:after="0" w:line="17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auto"/>
        </w:rPr>
        <w:t xml:space="preserve">2.13 </w:t>
      </w:r>
      <w:r>
        <w:rPr>
          <w:rFonts w:ascii="Arial" w:cs="Arial" w:eastAsia="Arial" w:hAnsi="Arial"/>
          <w:sz w:val="19"/>
          <w:szCs w:val="19"/>
          <w:u w:val="single" w:color="auto"/>
          <w:color w:val="auto"/>
        </w:rPr>
        <w:t>Conversion and Continuation Options</w:t>
      </w:r>
      <w:r>
        <w:rPr>
          <w:rFonts w:ascii="Arial" w:cs="Arial" w:eastAsia="Arial" w:hAnsi="Arial"/>
          <w:sz w:val="19"/>
          <w:szCs w:val="19"/>
          <w:color w:val="auto"/>
        </w:rPr>
        <w:t xml:space="preserve">. (a) The Borrower may elect from time to time to convert Eurodollar Loans to Base Rate Loans by giving the Administrative Agent at least two Business Days’ prior irrevocable notice of such 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conversion of Eurodollar Loans may be made only on the last day of an Interest Period with respect thereto. The Borrower may elect from time to time to convert Base Rate Loans to Eurodollar Loans by giving the Administrative Agent at least three Business Days’ prior irrevocable notice of such election (which notice shall specify the length of the initial Interest Period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Base Rate Loan under a particular Facility may be converted into a Eurodollar Loan (i) when any Event of Default has occurred and is continuing and the Administrative Agent has, or the Majority Facility Lenders in respect of such Facility have, determined in its or their sole discretion not to permit such conversions or</w:t>
      </w:r>
    </w:p>
    <w:p>
      <w:pPr>
        <w:spacing w:after="0" w:line="2" w:lineRule="exact"/>
        <w:rPr>
          <w:sz w:val="20"/>
          <w:szCs w:val="20"/>
          <w:color w:val="auto"/>
        </w:rPr>
      </w:pPr>
    </w:p>
    <w:p>
      <w:pPr>
        <w:ind w:right="20" w:firstLine="8"/>
        <w:spacing w:after="0" w:line="246" w:lineRule="auto"/>
        <w:tabs>
          <w:tab w:leader="none" w:pos="325" w:val="left"/>
        </w:tabs>
        <w:numPr>
          <w:ilvl w:val="0"/>
          <w:numId w:val="82"/>
        </w:numPr>
        <w:rPr>
          <w:rFonts w:ascii="Arial" w:cs="Arial" w:eastAsia="Arial" w:hAnsi="Arial"/>
          <w:sz w:val="22"/>
          <w:szCs w:val="22"/>
          <w:color w:val="auto"/>
        </w:rPr>
      </w:pPr>
      <w:r>
        <w:rPr>
          <w:rFonts w:ascii="Arial" w:cs="Arial" w:eastAsia="Arial" w:hAnsi="Arial"/>
          <w:sz w:val="22"/>
          <w:szCs w:val="22"/>
          <w:color w:val="auto"/>
        </w:rPr>
        <w:t>after the date that is one month prior to the final scheduled termination or maturity date of such Facility. Upon receipt of any such notice the Administrative Agent shall promptly notify each relevant Lender thereof.</w:t>
      </w:r>
    </w:p>
    <w:p>
      <w:pPr>
        <w:spacing w:after="0" w:line="192" w:lineRule="exact"/>
        <w:rPr>
          <w:rFonts w:ascii="Arial" w:cs="Arial" w:eastAsia="Arial" w:hAnsi="Arial"/>
          <w:sz w:val="22"/>
          <w:szCs w:val="22"/>
          <w:color w:val="auto"/>
        </w:rPr>
      </w:pPr>
    </w:p>
    <w:p>
      <w:pPr>
        <w:jc w:val="both"/>
        <w:ind w:firstLine="1304"/>
        <w:spacing w:after="0" w:line="247" w:lineRule="auto"/>
        <w:tabs>
          <w:tab w:leader="none" w:pos="1939" w:val="left"/>
        </w:tabs>
        <w:numPr>
          <w:ilvl w:val="1"/>
          <w:numId w:val="82"/>
        </w:numPr>
        <w:rPr>
          <w:rFonts w:ascii="Arial" w:cs="Arial" w:eastAsia="Arial" w:hAnsi="Arial"/>
          <w:sz w:val="22"/>
          <w:szCs w:val="22"/>
          <w:u w:val="single" w:color="auto"/>
          <w:color w:val="0000FF"/>
        </w:rPr>
      </w:pPr>
      <w:r>
        <w:rPr>
          <w:rFonts w:ascii="Arial" w:cs="Arial" w:eastAsia="Arial" w:hAnsi="Arial"/>
          <w:sz w:val="22"/>
          <w:szCs w:val="22"/>
          <w:color w:val="FF0000"/>
          <w:strike w:val="1"/>
        </w:rPr>
        <w:t>(a)</w:t>
      </w:r>
      <w:r>
        <w:rPr>
          <w:rFonts w:ascii="Arial" w:cs="Arial" w:eastAsia="Arial" w:hAnsi="Arial"/>
          <w:sz w:val="22"/>
          <w:szCs w:val="22"/>
          <w:color w:val="FF0000"/>
        </w:rPr>
        <w:t xml:space="preserve"> </w:t>
      </w:r>
      <w:r>
        <w:rPr>
          <w:rFonts w:ascii="Arial" w:cs="Arial" w:eastAsia="Arial" w:hAnsi="Arial"/>
          <w:sz w:val="22"/>
          <w:szCs w:val="22"/>
          <w:color w:val="000000"/>
        </w:rPr>
        <w:t>The Borrower may elect to continue any Eurodollar Loan as such upon the expiration of the then</w:t>
      </w:r>
      <w:r>
        <w:rPr>
          <w:rFonts w:ascii="Arial" w:cs="Arial" w:eastAsia="Arial" w:hAnsi="Arial"/>
          <w:sz w:val="22"/>
          <w:szCs w:val="22"/>
          <w:color w:val="FF0000"/>
        </w:rPr>
        <w:t xml:space="preserve"> </w:t>
      </w:r>
      <w:r>
        <w:rPr>
          <w:rFonts w:ascii="Arial" w:cs="Arial" w:eastAsia="Arial" w:hAnsi="Arial"/>
          <w:sz w:val="22"/>
          <w:szCs w:val="22"/>
          <w:color w:val="000000"/>
        </w:rPr>
        <w:t xml:space="preserve">current Interest Period with respect thereto by giving irrevocable notice to the Administrative Agent, in accordance with the applicable provisions of the term “Interest Period” set forth in </w:t>
      </w:r>
      <w:r>
        <w:rPr>
          <w:rFonts w:ascii="Arial" w:cs="Arial" w:eastAsia="Arial" w:hAnsi="Arial"/>
          <w:sz w:val="22"/>
          <w:szCs w:val="22"/>
          <w:u w:val="single" w:color="auto"/>
          <w:color w:val="000000"/>
        </w:rPr>
        <w:t>Section 1.1</w:t>
      </w:r>
      <w:r>
        <w:rPr>
          <w:rFonts w:ascii="Arial" w:cs="Arial" w:eastAsia="Arial" w:hAnsi="Arial"/>
          <w:sz w:val="22"/>
          <w:szCs w:val="22"/>
          <w:color w:val="000000"/>
        </w:rPr>
        <w:t>, of the length of the next Interest Period to be applicable to such Loan, provided that no Eurodollar Loan under a particular Facility may be continued as such (i) when any Event of Default has occurred and is continuing and the Administrative Agent has, or the Majority Facility Lenders in respect of such Facility have, determined in its or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8" w:right="339" w:bottom="1440" w:gutter="0" w:footer="0" w:header="0"/>
        </w:sectPr>
      </w:pPr>
    </w:p>
    <w:bookmarkStart w:id="156" w:name="page157"/>
    <w:bookmarkEnd w:id="156"/>
    <w:p>
      <w:pPr>
        <w:jc w:val="both"/>
        <w:spacing w:after="0" w:line="294" w:lineRule="auto"/>
        <w:rPr>
          <w:sz w:val="20"/>
          <w:szCs w:val="20"/>
          <w:color w:val="auto"/>
        </w:rPr>
      </w:pPr>
      <w:r>
        <w:rPr>
          <w:rFonts w:ascii="Arial" w:cs="Arial" w:eastAsia="Arial" w:hAnsi="Arial"/>
          <w:sz w:val="19"/>
          <w:szCs w:val="19"/>
          <w:color w:val="auto"/>
        </w:rPr>
        <w:t>sole discretion not to permit such continuations or (ii) after the date that is one month prior to the final scheduled termination or maturity date of such Facility, and provided, further, that if the Borrower shall fail to give any required notice as described above in this paragraph, such Loans shall be converted automatically to Eurodollar Loans with a one-month Interest Period on the last day of such then expiring Interest Period, or, if such continuation is not permitted pursuant to the preceding proviso, such Loans shall be converted automatically to Base Rate Loans on the last day of such then expiring Interest Period. Upon receipt of any such notice the Administrative Agent shall promptly notify each relevant Lender thereof.</w:t>
      </w:r>
    </w:p>
    <w:p>
      <w:pPr>
        <w:spacing w:after="0" w:line="14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u w:val="single" w:color="auto"/>
          <w:color w:val="auto"/>
        </w:rPr>
        <w:t>Minimum Amounts and Maximum Number of Eurodollar Tranches</w:t>
      </w:r>
      <w:r>
        <w:rPr>
          <w:rFonts w:ascii="Arial" w:cs="Arial" w:eastAsia="Arial" w:hAnsi="Arial"/>
          <w:sz w:val="22"/>
          <w:szCs w:val="22"/>
          <w:color w:val="auto"/>
        </w:rPr>
        <w:t>. Notwithstanding anything to the contrary in this Agreement, all borrowings, conversions, continuations and optional prepayments of Eurodollar Loans and all selections of Interest Periods shall be in such amounts and be made pursuant to such elections so that, (a) after giving effect thereto, the aggregate principal amount of the Eurodollar Loans comprising each Eurodollar Tranche shall be equal to $1,000,000 or a whole multiple of $500,000 in excess thereof and (b) no more than twelve Eurodollar Tranches shall be outstanding at any one time.</w:t>
      </w:r>
    </w:p>
    <w:p>
      <w:pPr>
        <w:spacing w:after="0" w:line="19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2.15 </w:t>
      </w:r>
      <w:r>
        <w:rPr>
          <w:rFonts w:ascii="Arial" w:cs="Arial" w:eastAsia="Arial" w:hAnsi="Arial"/>
          <w:sz w:val="22"/>
          <w:szCs w:val="22"/>
          <w:u w:val="single" w:color="auto"/>
          <w:color w:val="auto"/>
        </w:rPr>
        <w:t>Interest Rates and Payment Dates</w:t>
      </w:r>
      <w:r>
        <w:rPr>
          <w:rFonts w:ascii="Arial" w:cs="Arial" w:eastAsia="Arial" w:hAnsi="Arial"/>
          <w:sz w:val="22"/>
          <w:szCs w:val="22"/>
          <w:color w:val="auto"/>
        </w:rPr>
        <w:t xml:space="preserve">. (a) Each Eurodollar Loan shall bear interest for each day during each Interest Period with respect thereto at a rate per annum equal to the Eurodollar Rate determined for such day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in effect for such day.</w:t>
      </w:r>
    </w:p>
    <w:p>
      <w:pPr>
        <w:spacing w:after="0" w:line="185" w:lineRule="exact"/>
        <w:rPr>
          <w:sz w:val="20"/>
          <w:szCs w:val="20"/>
          <w:color w:val="auto"/>
        </w:rPr>
      </w:pPr>
    </w:p>
    <w:p>
      <w:pPr>
        <w:ind w:firstLine="1304"/>
        <w:spacing w:after="0" w:line="263" w:lineRule="auto"/>
        <w:tabs>
          <w:tab w:leader="none" w:pos="1939" w:val="left"/>
        </w:tabs>
        <w:numPr>
          <w:ilvl w:val="0"/>
          <w:numId w:val="83"/>
        </w:numPr>
        <w:rPr>
          <w:rFonts w:ascii="Arial" w:cs="Arial" w:eastAsia="Arial" w:hAnsi="Arial"/>
          <w:sz w:val="22"/>
          <w:szCs w:val="22"/>
          <w:u w:val="single" w:color="auto"/>
          <w:color w:val="0000FF"/>
        </w:rPr>
      </w:pPr>
      <w:r>
        <w:rPr>
          <w:rFonts w:ascii="Arial" w:cs="Arial" w:eastAsia="Arial" w:hAnsi="Arial"/>
          <w:sz w:val="22"/>
          <w:szCs w:val="22"/>
          <w:color w:val="FF0000"/>
          <w:strike w:val="1"/>
        </w:rPr>
        <w:t>(a)</w:t>
      </w:r>
      <w:r>
        <w:rPr>
          <w:rFonts w:ascii="Arial" w:cs="Arial" w:eastAsia="Arial" w:hAnsi="Arial"/>
          <w:sz w:val="22"/>
          <w:szCs w:val="22"/>
          <w:color w:val="FF0000"/>
        </w:rPr>
        <w:t xml:space="preserve"> </w:t>
      </w:r>
      <w:r>
        <w:rPr>
          <w:rFonts w:ascii="Arial" w:cs="Arial" w:eastAsia="Arial" w:hAnsi="Arial"/>
          <w:sz w:val="22"/>
          <w:szCs w:val="22"/>
          <w:color w:val="000000"/>
        </w:rPr>
        <w:t>Each Base Rate Loan shall bear interest for each day on which it is outstanding at a rate per annum</w:t>
      </w:r>
      <w:r>
        <w:rPr>
          <w:rFonts w:ascii="Arial" w:cs="Arial" w:eastAsia="Arial" w:hAnsi="Arial"/>
          <w:sz w:val="22"/>
          <w:szCs w:val="22"/>
          <w:color w:val="FF0000"/>
        </w:rPr>
        <w:t xml:space="preserve"> </w:t>
      </w:r>
      <w:r>
        <w:rPr>
          <w:rFonts w:ascii="Arial" w:cs="Arial" w:eastAsia="Arial" w:hAnsi="Arial"/>
          <w:sz w:val="22"/>
          <w:szCs w:val="22"/>
          <w:color w:val="000000"/>
        </w:rPr>
        <w:t xml:space="preserve">equal to the Base Rate in effect for such day </w:t>
      </w:r>
      <w:r>
        <w:rPr>
          <w:rFonts w:ascii="Arial" w:cs="Arial" w:eastAsia="Arial" w:hAnsi="Arial"/>
          <w:sz w:val="22"/>
          <w:szCs w:val="22"/>
          <w:u w:val="single" w:color="auto"/>
          <w:color w:val="000000"/>
        </w:rPr>
        <w:t>plus</w:t>
      </w:r>
      <w:r>
        <w:rPr>
          <w:rFonts w:ascii="Arial" w:cs="Arial" w:eastAsia="Arial" w:hAnsi="Arial"/>
          <w:sz w:val="22"/>
          <w:szCs w:val="22"/>
          <w:color w:val="000000"/>
        </w:rPr>
        <w:t xml:space="preserve"> the Applicable Margin in effect for such day.</w:t>
      </w:r>
    </w:p>
    <w:p>
      <w:pPr>
        <w:spacing w:after="0" w:line="174" w:lineRule="exact"/>
        <w:rPr>
          <w:rFonts w:ascii="Arial" w:cs="Arial" w:eastAsia="Arial" w:hAnsi="Arial"/>
          <w:sz w:val="22"/>
          <w:szCs w:val="22"/>
          <w:u w:val="single" w:color="auto"/>
          <w:color w:val="0000FF"/>
        </w:rPr>
      </w:pPr>
    </w:p>
    <w:p>
      <w:pPr>
        <w:jc w:val="both"/>
        <w:ind w:firstLine="1304"/>
        <w:spacing w:after="0" w:line="258" w:lineRule="auto"/>
        <w:tabs>
          <w:tab w:leader="none" w:pos="1941" w:val="left"/>
        </w:tabs>
        <w:numPr>
          <w:ilvl w:val="0"/>
          <w:numId w:val="83"/>
        </w:numPr>
        <w:rPr>
          <w:rFonts w:ascii="Arial" w:cs="Arial" w:eastAsia="Arial" w:hAnsi="Arial"/>
          <w:sz w:val="21"/>
          <w:szCs w:val="21"/>
          <w:u w:val="single" w:color="auto"/>
          <w:color w:val="0000FF"/>
        </w:rPr>
      </w:pPr>
      <w:r>
        <w:rPr>
          <w:rFonts w:ascii="Arial" w:cs="Arial" w:eastAsia="Arial" w:hAnsi="Arial"/>
          <w:sz w:val="21"/>
          <w:szCs w:val="21"/>
          <w:color w:val="FF0000"/>
          <w:strike w:val="1"/>
        </w:rPr>
        <w:t>(b)</w:t>
      </w:r>
      <w:r>
        <w:rPr>
          <w:rFonts w:ascii="Arial" w:cs="Arial" w:eastAsia="Arial" w:hAnsi="Arial"/>
          <w:sz w:val="21"/>
          <w:szCs w:val="21"/>
          <w:color w:val="FF0000"/>
        </w:rPr>
        <w:t xml:space="preserve"> </w:t>
      </w:r>
      <w:r>
        <w:rPr>
          <w:rFonts w:ascii="Arial" w:cs="Arial" w:eastAsia="Arial" w:hAnsi="Arial"/>
          <w:sz w:val="21"/>
          <w:szCs w:val="21"/>
          <w:color w:val="000000"/>
        </w:rPr>
        <w:t>(i) If all or a portion of the principal amount of any Loan or Reimbursement Obligation shall not be</w:t>
      </w:r>
      <w:r>
        <w:rPr>
          <w:rFonts w:ascii="Arial" w:cs="Arial" w:eastAsia="Arial" w:hAnsi="Arial"/>
          <w:sz w:val="21"/>
          <w:szCs w:val="21"/>
          <w:color w:val="FF0000"/>
        </w:rPr>
        <w:t xml:space="preserve"> </w:t>
      </w:r>
      <w:r>
        <w:rPr>
          <w:rFonts w:ascii="Arial" w:cs="Arial" w:eastAsia="Arial" w:hAnsi="Arial"/>
          <w:sz w:val="21"/>
          <w:szCs w:val="21"/>
          <w:color w:val="000000"/>
        </w:rPr>
        <w:t xml:space="preserve">paid when due (whether at the stated maturity, by acceleration or otherwise), such overdue amount (to the extent legally permitted) shall bear interest at a rate per annum that is equal to (x) in the case of the Loans, the rate that would otherwise be applicable thereto pursuant to the foregoing provisions of this Section </w:t>
      </w:r>
      <w:r>
        <w:rPr>
          <w:rFonts w:ascii="Arial" w:cs="Arial" w:eastAsia="Arial" w:hAnsi="Arial"/>
          <w:sz w:val="21"/>
          <w:szCs w:val="21"/>
          <w:u w:val="single" w:color="auto"/>
          <w:color w:val="000000"/>
        </w:rPr>
        <w:t>plus</w:t>
      </w:r>
      <w:r>
        <w:rPr>
          <w:rFonts w:ascii="Arial" w:cs="Arial" w:eastAsia="Arial" w:hAnsi="Arial"/>
          <w:sz w:val="21"/>
          <w:szCs w:val="21"/>
          <w:color w:val="000000"/>
        </w:rPr>
        <w:t xml:space="preserve"> 2% or (y) in the case of Reimbursement Obligations, the rate applicable to Base Rate Loans under the Revolving Credit Facility </w:t>
      </w:r>
      <w:r>
        <w:rPr>
          <w:rFonts w:ascii="Arial" w:cs="Arial" w:eastAsia="Arial" w:hAnsi="Arial"/>
          <w:sz w:val="21"/>
          <w:szCs w:val="21"/>
          <w:u w:val="single" w:color="auto"/>
          <w:color w:val="000000"/>
        </w:rPr>
        <w:t>plus</w:t>
      </w:r>
      <w:r>
        <w:rPr>
          <w:rFonts w:ascii="Arial" w:cs="Arial" w:eastAsia="Arial" w:hAnsi="Arial"/>
          <w:sz w:val="21"/>
          <w:szCs w:val="21"/>
          <w:color w:val="000000"/>
        </w:rPr>
        <w:t xml:space="preserve"> 2%, and (ii) if all or a portion of any interest payable on any Loan or Reimbursement Obligation or any commitment fee or other amount payable hereunder shall not be paid when due (whether at the stated maturity, by acceleration or otherwise), such overdue amount shall bear interest at a rate per annum equal to the rate then applicable to Base Rate Loans under the relevant Facility plus 2% (or, in the case of any such other amounts that do not relate to a particular Facility, the rate then applicable to Base Rate Loans under the Revolving Credit Facility </w:t>
      </w:r>
      <w:r>
        <w:rPr>
          <w:rFonts w:ascii="Arial" w:cs="Arial" w:eastAsia="Arial" w:hAnsi="Arial"/>
          <w:sz w:val="21"/>
          <w:szCs w:val="21"/>
          <w:u w:val="single" w:color="auto"/>
          <w:color w:val="000000"/>
        </w:rPr>
        <w:t>plus</w:t>
      </w:r>
      <w:r>
        <w:rPr>
          <w:rFonts w:ascii="Arial" w:cs="Arial" w:eastAsia="Arial" w:hAnsi="Arial"/>
          <w:sz w:val="21"/>
          <w:szCs w:val="21"/>
          <w:color w:val="000000"/>
        </w:rPr>
        <w:t xml:space="preserve"> 2%), in each case, with respect to </w:t>
      </w:r>
      <w:r>
        <w:rPr>
          <w:rFonts w:ascii="Arial" w:cs="Arial" w:eastAsia="Arial" w:hAnsi="Arial"/>
          <w:sz w:val="21"/>
          <w:szCs w:val="21"/>
          <w:u w:val="single" w:color="auto"/>
          <w:color w:val="000000"/>
        </w:rPr>
        <w:t>clauses (i)</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(ii)</w:t>
      </w:r>
      <w:r>
        <w:rPr>
          <w:rFonts w:ascii="Arial" w:cs="Arial" w:eastAsia="Arial" w:hAnsi="Arial"/>
          <w:sz w:val="21"/>
          <w:szCs w:val="21"/>
          <w:color w:val="000000"/>
        </w:rPr>
        <w:t xml:space="preserve"> above, from the date of such nonpayment until such amount is paid in full (after as well as before judgment).</w:t>
      </w:r>
    </w:p>
    <w:p>
      <w:pPr>
        <w:spacing w:after="0" w:line="181" w:lineRule="exact"/>
        <w:rPr>
          <w:rFonts w:ascii="Arial" w:cs="Arial" w:eastAsia="Arial" w:hAnsi="Arial"/>
          <w:sz w:val="21"/>
          <w:szCs w:val="21"/>
          <w:u w:val="single" w:color="auto"/>
          <w:color w:val="0000FF"/>
        </w:rPr>
      </w:pPr>
    </w:p>
    <w:p>
      <w:pPr>
        <w:jc w:val="both"/>
        <w:ind w:firstLine="1304"/>
        <w:spacing w:after="0" w:line="250" w:lineRule="auto"/>
        <w:tabs>
          <w:tab w:leader="none" w:pos="1939" w:val="left"/>
        </w:tabs>
        <w:numPr>
          <w:ilvl w:val="0"/>
          <w:numId w:val="83"/>
        </w:numPr>
        <w:rPr>
          <w:rFonts w:ascii="Arial" w:cs="Arial" w:eastAsia="Arial" w:hAnsi="Arial"/>
          <w:sz w:val="22"/>
          <w:szCs w:val="22"/>
          <w:u w:val="single" w:color="auto"/>
          <w:color w:val="0000FF"/>
        </w:rPr>
      </w:pPr>
      <w:r>
        <w:rPr>
          <w:rFonts w:ascii="Arial" w:cs="Arial" w:eastAsia="Arial" w:hAnsi="Arial"/>
          <w:sz w:val="22"/>
          <w:szCs w:val="22"/>
          <w:color w:val="FF0000"/>
          <w:strike w:val="1"/>
        </w:rPr>
        <w:t>(c)</w:t>
      </w:r>
      <w:r>
        <w:rPr>
          <w:rFonts w:ascii="Arial" w:cs="Arial" w:eastAsia="Arial" w:hAnsi="Arial"/>
          <w:sz w:val="22"/>
          <w:szCs w:val="22"/>
          <w:color w:val="FF0000"/>
        </w:rPr>
        <w:t xml:space="preserve"> </w:t>
      </w:r>
      <w:r>
        <w:rPr>
          <w:rFonts w:ascii="Arial" w:cs="Arial" w:eastAsia="Arial" w:hAnsi="Arial"/>
          <w:sz w:val="22"/>
          <w:szCs w:val="22"/>
          <w:color w:val="000000"/>
        </w:rPr>
        <w:t>Interest shall be payable in arrears on each Interest Payment Date,</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provided</w:t>
      </w:r>
      <w:r>
        <w:rPr>
          <w:rFonts w:ascii="Arial" w:cs="Arial" w:eastAsia="Arial" w:hAnsi="Arial"/>
          <w:sz w:val="22"/>
          <w:szCs w:val="22"/>
          <w:color w:val="FF0000"/>
        </w:rPr>
        <w:t xml:space="preserve"> </w:t>
      </w:r>
      <w:r>
        <w:rPr>
          <w:rFonts w:ascii="Arial" w:cs="Arial" w:eastAsia="Arial" w:hAnsi="Arial"/>
          <w:sz w:val="22"/>
          <w:szCs w:val="22"/>
          <w:color w:val="000000"/>
        </w:rPr>
        <w:t>that interest accruing</w:t>
      </w:r>
      <w:r>
        <w:rPr>
          <w:rFonts w:ascii="Arial" w:cs="Arial" w:eastAsia="Arial" w:hAnsi="Arial"/>
          <w:sz w:val="22"/>
          <w:szCs w:val="22"/>
          <w:color w:val="FF0000"/>
        </w:rPr>
        <w:t xml:space="preserve"> </w:t>
      </w:r>
      <w:r>
        <w:rPr>
          <w:rFonts w:ascii="Arial" w:cs="Arial" w:eastAsia="Arial" w:hAnsi="Arial"/>
          <w:sz w:val="22"/>
          <w:szCs w:val="22"/>
          <w:color w:val="000000"/>
        </w:rPr>
        <w:t xml:space="preserve">pursuant to </w:t>
      </w:r>
      <w:r>
        <w:rPr>
          <w:rFonts w:ascii="Arial" w:cs="Arial" w:eastAsia="Arial" w:hAnsi="Arial"/>
          <w:sz w:val="22"/>
          <w:szCs w:val="22"/>
          <w:u w:val="single" w:color="auto"/>
          <w:color w:val="000000"/>
        </w:rPr>
        <w:t>paragraph (c)</w:t>
      </w:r>
      <w:r>
        <w:rPr>
          <w:rFonts w:ascii="Arial" w:cs="Arial" w:eastAsia="Arial" w:hAnsi="Arial"/>
          <w:sz w:val="22"/>
          <w:szCs w:val="22"/>
          <w:color w:val="000000"/>
        </w:rPr>
        <w:t xml:space="preserve"> of this Section shall be payable from time to time on demand (i) on the same Business Day if demand is made by the Administrative Agent on or prior to 11:00 a.m., New York City time and (ii) on the next Business Day if demand is made by the Administrative Agent after 11:00 a.m., New York City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8" w:right="339" w:bottom="1440" w:gutter="0" w:footer="0" w:header="0"/>
        </w:sectPr>
      </w:pPr>
    </w:p>
    <w:bookmarkStart w:id="157" w:name="page158"/>
    <w:bookmarkEnd w:id="157"/>
    <w:p>
      <w:pPr>
        <w:jc w:val="both"/>
        <w:ind w:firstLine="1296"/>
        <w:spacing w:after="0" w:line="290" w:lineRule="auto"/>
        <w:rPr>
          <w:sz w:val="20"/>
          <w:szCs w:val="20"/>
          <w:color w:val="auto"/>
        </w:rPr>
      </w:pPr>
      <w:r>
        <w:rPr>
          <w:rFonts w:ascii="Arial" w:cs="Arial" w:eastAsia="Arial" w:hAnsi="Arial"/>
          <w:sz w:val="19"/>
          <w:szCs w:val="19"/>
          <w:color w:val="auto"/>
        </w:rPr>
        <w:t xml:space="preserve">2.16 </w:t>
      </w:r>
      <w:r>
        <w:rPr>
          <w:rFonts w:ascii="Arial" w:cs="Arial" w:eastAsia="Arial" w:hAnsi="Arial"/>
          <w:sz w:val="19"/>
          <w:szCs w:val="19"/>
          <w:u w:val="single" w:color="auto"/>
          <w:color w:val="auto"/>
        </w:rPr>
        <w:t>Computation of Interest and Fees</w:t>
      </w:r>
      <w:r>
        <w:rPr>
          <w:rFonts w:ascii="Arial" w:cs="Arial" w:eastAsia="Arial" w:hAnsi="Arial"/>
          <w:sz w:val="19"/>
          <w:szCs w:val="19"/>
          <w:color w:val="auto"/>
        </w:rPr>
        <w:t>. (a) Interest, fees and commissions payable pursuant hereto shall be calculated on the basis of a 360-day year for the actual days elapsed, except that, with respect to Base Rate Loans on which interest is calculated on the basis of the Prime Rate, the interest thereon shall be calculated on the basis of a 365- (or 366-, as the case may be) day year for the actual days elapsed. The Administrative Agent shall as soon as practicable notify the Borrower and the relevant Lenders of each determination of a Eurodollar Rate. Any change in the interest rate on a Loan resulting from a change in the Base Rate or the Statutory Reserve Rate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56" w:lineRule="exact"/>
        <w:rPr>
          <w:sz w:val="20"/>
          <w:szCs w:val="20"/>
          <w:color w:val="auto"/>
        </w:rPr>
      </w:pPr>
    </w:p>
    <w:p>
      <w:pPr>
        <w:ind w:right="20" w:firstLine="1304"/>
        <w:spacing w:after="0" w:line="250" w:lineRule="auto"/>
        <w:tabs>
          <w:tab w:leader="none" w:pos="1939" w:val="left"/>
        </w:tabs>
        <w:numPr>
          <w:ilvl w:val="0"/>
          <w:numId w:val="84"/>
        </w:numPr>
        <w:rPr>
          <w:rFonts w:ascii="Arial" w:cs="Arial" w:eastAsia="Arial" w:hAnsi="Arial"/>
          <w:sz w:val="22"/>
          <w:szCs w:val="22"/>
          <w:u w:val="single" w:color="auto"/>
          <w:color w:val="0000FF"/>
        </w:rPr>
      </w:pPr>
      <w:r>
        <w:rPr>
          <w:rFonts w:ascii="Arial" w:cs="Arial" w:eastAsia="Arial" w:hAnsi="Arial"/>
          <w:sz w:val="22"/>
          <w:szCs w:val="22"/>
          <w:color w:val="FF0000"/>
          <w:strike w:val="1"/>
        </w:rPr>
        <w:t>(a)</w:t>
      </w:r>
      <w:r>
        <w:rPr>
          <w:rFonts w:ascii="Arial" w:cs="Arial" w:eastAsia="Arial" w:hAnsi="Arial"/>
          <w:sz w:val="22"/>
          <w:szCs w:val="22"/>
          <w:color w:val="FF0000"/>
        </w:rPr>
        <w:t xml:space="preserve"> </w:t>
      </w:r>
      <w:r>
        <w:rPr>
          <w:rFonts w:ascii="Arial" w:cs="Arial" w:eastAsia="Arial" w:hAnsi="Arial"/>
          <w:sz w:val="22"/>
          <w:szCs w:val="22"/>
          <w:color w:val="000000"/>
        </w:rPr>
        <w:t>Each determination of an interest rate by the Administrative Agent pursuant to any provision of this</w:t>
      </w:r>
      <w:r>
        <w:rPr>
          <w:rFonts w:ascii="Arial" w:cs="Arial" w:eastAsia="Arial" w:hAnsi="Arial"/>
          <w:sz w:val="22"/>
          <w:szCs w:val="22"/>
          <w:color w:val="FF0000"/>
        </w:rPr>
        <w:t xml:space="preserve"> </w:t>
      </w:r>
      <w:r>
        <w:rPr>
          <w:rFonts w:ascii="Arial" w:cs="Arial" w:eastAsia="Arial" w:hAnsi="Arial"/>
          <w:sz w:val="22"/>
          <w:szCs w:val="22"/>
          <w:color w:val="000000"/>
        </w:rPr>
        <w:t>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Section 2.15(a).</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u w:val="single" w:color="auto"/>
          <w:color w:val="auto"/>
        </w:rPr>
        <w:t>Inability to Determine Interest Rate</w:t>
      </w:r>
      <w:r>
        <w:rPr>
          <w:rFonts w:ascii="Arial" w:cs="Arial" w:eastAsia="Arial" w:hAnsi="Arial"/>
          <w:sz w:val="19"/>
          <w:szCs w:val="19"/>
          <w:color w:val="auto"/>
        </w:rPr>
        <w:t>. If prior to the first day of any Interest Period:</w:t>
      </w:r>
    </w:p>
    <w:p>
      <w:pPr>
        <w:spacing w:after="0" w:line="220" w:lineRule="exact"/>
        <w:rPr>
          <w:sz w:val="20"/>
          <w:szCs w:val="20"/>
          <w:color w:val="auto"/>
        </w:rPr>
      </w:pPr>
    </w:p>
    <w:p>
      <w:pPr>
        <w:jc w:val="both"/>
        <w:ind w:firstLine="1304"/>
        <w:spacing w:after="0" w:line="250" w:lineRule="auto"/>
        <w:tabs>
          <w:tab w:leader="none" w:pos="194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Administrative Agent shall have determined (which determination shall be conclusive and binding upon the Borrower) that, by reason of circumstances affecting the relevant market, adequate and reasonable means do not exist for ascertaining the Eurodollar Rate or LIBO Rate, as applicable (including the LIBO Screen Rate is not available or published on a current basis) for such Interest Period, or</w:t>
      </w:r>
    </w:p>
    <w:p>
      <w:pPr>
        <w:spacing w:after="0" w:line="187"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Administrative Agent shall have received notice from the Majority Facility Lenders in respect of the relevant Facility that the Eurodollar Rate determined or to be determined for such Interest Period will not adequately and fairly reflect the cost to such Lenders (as conclusively certified by such Lenders) of making or maintaining their affected Loans during such Interest Period,</w:t>
      </w:r>
    </w:p>
    <w:p>
      <w:pPr>
        <w:spacing w:after="0" w:line="187" w:lineRule="exact"/>
        <w:rPr>
          <w:rFonts w:ascii="Arial" w:cs="Arial" w:eastAsia="Arial" w:hAnsi="Arial"/>
          <w:sz w:val="22"/>
          <w:szCs w:val="22"/>
          <w:color w:val="auto"/>
        </w:rPr>
      </w:pPr>
    </w:p>
    <w:p>
      <w:pPr>
        <w:jc w:val="both"/>
        <w:ind w:firstLine="1304"/>
        <w:spacing w:after="0" w:line="259" w:lineRule="auto"/>
        <w:tabs>
          <w:tab w:leader="none" w:pos="1941" w:val="left"/>
        </w:tabs>
        <w:numPr>
          <w:ilvl w:val="0"/>
          <w:numId w:val="85"/>
        </w:numPr>
        <w:rPr>
          <w:rFonts w:ascii="Arial" w:cs="Arial" w:eastAsia="Arial" w:hAnsi="Arial"/>
          <w:sz w:val="21"/>
          <w:szCs w:val="21"/>
          <w:u w:val="single" w:color="auto"/>
          <w:color w:val="0000FF"/>
        </w:rPr>
      </w:pPr>
      <w:r>
        <w:rPr>
          <w:rFonts w:ascii="Arial" w:cs="Arial" w:eastAsia="Arial" w:hAnsi="Arial"/>
          <w:sz w:val="21"/>
          <w:szCs w:val="21"/>
          <w:color w:val="auto"/>
        </w:rPr>
        <w:t>the Administrative Agent shall give telecopy or telephonic notice thereof to the Borrower and the relevant Lenders as soon as practicable thereafter. If such notice is given (x) any Eurodollar Loans under the relevant Facility requested to be made on the first day of such Interest Period shall be made as Base Rate Loans, (y) any Loans under the relevant Facility that were to have been converted on the first day of such Interest Period to Eurodollar Loans shall be continued as Base Rate Loans and (z) any outstanding Eurodollar Loans under the relevant Facility shall be converted, on the last day of the then current Interest Period with respect thereto, to Base Rate Loans. Until such notice has been withdrawn by the Administrative Agent, no further Eurodollar Loans under the relevant Facility shall be made or continued as such, nor shall the Borrower have the right to convert Loans under the relevant Facility to Eurodollar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sectPr>
      </w:pPr>
    </w:p>
    <w:bookmarkStart w:id="158" w:name="page159"/>
    <w:bookmarkEnd w:id="158"/>
    <w:p>
      <w:pPr>
        <w:jc w:val="both"/>
        <w:ind w:firstLine="1304"/>
        <w:spacing w:after="0" w:line="285" w:lineRule="auto"/>
        <w:tabs>
          <w:tab w:leader="none" w:pos="1939" w:val="left"/>
        </w:tabs>
        <w:numPr>
          <w:ilvl w:val="0"/>
          <w:numId w:val="86"/>
        </w:numPr>
        <w:rPr>
          <w:rFonts w:ascii="Arial" w:cs="Arial" w:eastAsia="Arial" w:hAnsi="Arial"/>
          <w:sz w:val="19"/>
          <w:szCs w:val="19"/>
          <w:u w:val="single" w:color="auto"/>
          <w:color w:val="0000FF"/>
        </w:rPr>
      </w:pPr>
      <w:r>
        <w:rPr>
          <w:rFonts w:ascii="Arial" w:cs="Arial" w:eastAsia="Arial" w:hAnsi="Arial"/>
          <w:sz w:val="19"/>
          <w:szCs w:val="19"/>
          <w:color w:val="FF0000"/>
          <w:strike w:val="1"/>
        </w:rPr>
        <w:t>(c)</w:t>
      </w:r>
      <w:r>
        <w:rPr>
          <w:rFonts w:ascii="Arial" w:cs="Arial" w:eastAsia="Arial" w:hAnsi="Arial"/>
          <w:sz w:val="19"/>
          <w:szCs w:val="19"/>
          <w:color w:val="FF0000"/>
        </w:rPr>
        <w:t xml:space="preserve"> </w:t>
      </w:r>
      <w:r>
        <w:rPr>
          <w:rFonts w:ascii="Arial" w:cs="Arial" w:eastAsia="Arial" w:hAnsi="Arial"/>
          <w:sz w:val="19"/>
          <w:szCs w:val="19"/>
          <w:color w:val="000000"/>
        </w:rPr>
        <w:t>If at any time the Administrative Agent determines (which determination shall be conclusive absent</w:t>
      </w:r>
      <w:r>
        <w:rPr>
          <w:rFonts w:ascii="Arial" w:cs="Arial" w:eastAsia="Arial" w:hAnsi="Arial"/>
          <w:sz w:val="19"/>
          <w:szCs w:val="19"/>
          <w:color w:val="FF0000"/>
        </w:rPr>
        <w:t xml:space="preserve"> </w:t>
      </w:r>
      <w:r>
        <w:rPr>
          <w:rFonts w:ascii="Arial" w:cs="Arial" w:eastAsia="Arial" w:hAnsi="Arial"/>
          <w:sz w:val="19"/>
          <w:szCs w:val="19"/>
          <w:color w:val="000000"/>
        </w:rPr>
        <w:t xml:space="preserve">manifest error) that (i) the circumstances set forth in clause (a) have arisen and such circumstances are unlikely to be temporary or (ii) the circumstances set forth in clause (a) have not arisen but the supervisor for the administrator of the LIBO Screen Rate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(but for the avoidance of doubt, such related changes shall not include a reduction of the Applicable Rate);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if such alternate rate of interest as so determined would be less than zero, such rate shall be deemed to be zero for the purposes of this Agreement. Notwithstanding anything to the contrary in Section 10.1,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(c) (but, in the case of the circumstances described in clause (ii) of the first sentence of this Section 2.17(c), only to the extent the LIBO Screen Rate for such Interest Period is not available or published at such time on a current basis), (x) any request by the Borrower that requests the conversion of any Borrowing of Loans, or continuation of any borrowing of Loans as, a borrowing of Eurodollar Rate Loans shall be ineffective and (y) if any Borrowing Notice requests a borrowing of Eurodollar Rate Loans, such borrowing shall be made as a borrowing of Base Rate Loans.</w:t>
      </w:r>
    </w:p>
    <w:p>
      <w:pPr>
        <w:spacing w:after="0" w:line="200" w:lineRule="exact"/>
        <w:rPr>
          <w:sz w:val="20"/>
          <w:szCs w:val="20"/>
          <w:color w:val="auto"/>
        </w:rPr>
      </w:pPr>
    </w:p>
    <w:p>
      <w:pPr>
        <w:spacing w:after="0" w:line="216"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2.18 </w:t>
      </w:r>
      <w:r>
        <w:rPr>
          <w:rFonts w:ascii="Arial" w:cs="Arial" w:eastAsia="Arial" w:hAnsi="Arial"/>
          <w:sz w:val="21"/>
          <w:szCs w:val="21"/>
          <w:u w:val="single" w:color="auto"/>
          <w:color w:val="auto"/>
        </w:rPr>
        <w:t>Pro Rata Treatment and Payments</w:t>
      </w:r>
      <w:r>
        <w:rPr>
          <w:rFonts w:ascii="Arial" w:cs="Arial" w:eastAsia="Arial" w:hAnsi="Arial"/>
          <w:sz w:val="21"/>
          <w:szCs w:val="21"/>
          <w:color w:val="auto"/>
        </w:rPr>
        <w:t xml:space="preserve">. (a) Each borrowing by the Borrower from the Lenders hereunder, each payment by the Borrower on account of any commitment fee or Letter of Credit fee, and any reduction of the Commitments of the Lenders, shall be made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according to the respective Term Loan Percentages or Revolving Credit Percentages, as the case may be, of the relevant Lenders. Each payment of interest in respect of the Loans and each payment in respect of fees payable hereunder shall be applied to the amounts of such obligations owing to the Lenders </w:t>
      </w:r>
      <w:r>
        <w:rPr>
          <w:rFonts w:ascii="Arial" w:cs="Arial" w:eastAsia="Arial" w:hAnsi="Arial"/>
          <w:sz w:val="21"/>
          <w:szCs w:val="21"/>
          <w:u w:val="single" w:color="auto"/>
          <w:color w:val="auto"/>
        </w:rPr>
        <w:t>pro rata</w:t>
      </w:r>
      <w:r>
        <w:rPr>
          <w:rFonts w:ascii="Arial" w:cs="Arial" w:eastAsia="Arial" w:hAnsi="Arial"/>
          <w:sz w:val="21"/>
          <w:szCs w:val="21"/>
          <w:color w:val="auto"/>
        </w:rPr>
        <w:t xml:space="preserve"> according to the respective amounts then due and owing to the Lenders.</w:t>
      </w:r>
    </w:p>
    <w:p>
      <w:pPr>
        <w:spacing w:after="0" w:line="179" w:lineRule="exact"/>
        <w:rPr>
          <w:sz w:val="20"/>
          <w:szCs w:val="20"/>
          <w:color w:val="auto"/>
        </w:rPr>
      </w:pPr>
    </w:p>
    <w:p>
      <w:pPr>
        <w:ind w:right="300" w:firstLine="1304"/>
        <w:spacing w:after="0" w:line="246" w:lineRule="auto"/>
        <w:tabs>
          <w:tab w:leader="none" w:pos="1939" w:val="left"/>
        </w:tabs>
        <w:numPr>
          <w:ilvl w:val="0"/>
          <w:numId w:val="87"/>
        </w:numPr>
        <w:rPr>
          <w:rFonts w:ascii="Arial" w:cs="Arial" w:eastAsia="Arial" w:hAnsi="Arial"/>
          <w:sz w:val="22"/>
          <w:szCs w:val="22"/>
          <w:u w:val="single" w:color="auto"/>
          <w:color w:val="0000FF"/>
        </w:rPr>
      </w:pPr>
      <w:r>
        <w:rPr>
          <w:rFonts w:ascii="Arial" w:cs="Arial" w:eastAsia="Arial" w:hAnsi="Arial"/>
          <w:sz w:val="22"/>
          <w:szCs w:val="22"/>
          <w:color w:val="FF0000"/>
          <w:strike w:val="1"/>
        </w:rPr>
        <w:t>(a)</w:t>
      </w:r>
      <w:r>
        <w:rPr>
          <w:rFonts w:ascii="Arial" w:cs="Arial" w:eastAsia="Arial" w:hAnsi="Arial"/>
          <w:sz w:val="22"/>
          <w:szCs w:val="22"/>
          <w:color w:val="FF0000"/>
        </w:rPr>
        <w:t xml:space="preserve"> </w:t>
      </w:r>
      <w:r>
        <w:rPr>
          <w:rFonts w:ascii="Arial" w:cs="Arial" w:eastAsia="Arial" w:hAnsi="Arial"/>
          <w:sz w:val="22"/>
          <w:szCs w:val="22"/>
          <w:color w:val="000000"/>
        </w:rPr>
        <w:t>Each mandatory prepayment required by Section 2.12 to be applied to Term Loans shall be allocated</w:t>
      </w:r>
      <w:r>
        <w:rPr>
          <w:rFonts w:ascii="Arial" w:cs="Arial" w:eastAsia="Arial" w:hAnsi="Arial"/>
          <w:sz w:val="22"/>
          <w:szCs w:val="22"/>
          <w:color w:val="FF0000"/>
        </w:rPr>
        <w:t xml:space="preserve"> </w:t>
      </w:r>
      <w:r>
        <w:rPr>
          <w:rFonts w:ascii="Arial" w:cs="Arial" w:eastAsia="Arial" w:hAnsi="Arial"/>
          <w:sz w:val="22"/>
          <w:szCs w:val="22"/>
          <w:color w:val="000000"/>
        </w:rPr>
        <w:t>among the Term Loan Facilities pro rata according to the respective outstanding principal amounts of Term Loans under such Facilities. Each optional prepayment in respect of the Term Loans shall be allocated among the Term Loan Facilities in accordance with the Borrower’s instructions. Each payment on account of principal of the Term Loans outstanding under the Term Loan Facility shall be allocated among the Term Loan Lenders holding such Term Loans pro rata based on the principal amount of such Term Loans held by such Term Loan Lenders. Amounts prepaid on account of the Term Loans may not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8" w:right="339" w:bottom="1440" w:gutter="0" w:footer="0" w:header="0"/>
        </w:sectPr>
      </w:pPr>
    </w:p>
    <w:bookmarkStart w:id="159" w:name="page160"/>
    <w:bookmarkEnd w:id="159"/>
    <w:p>
      <w:pPr>
        <w:jc w:val="both"/>
        <w:ind w:firstLine="1304"/>
        <w:spacing w:after="0" w:line="250" w:lineRule="auto"/>
        <w:tabs>
          <w:tab w:leader="none" w:pos="1941" w:val="left"/>
        </w:tabs>
        <w:numPr>
          <w:ilvl w:val="0"/>
          <w:numId w:val="88"/>
        </w:numPr>
        <w:rPr>
          <w:rFonts w:ascii="Arial" w:cs="Arial" w:eastAsia="Arial" w:hAnsi="Arial"/>
          <w:sz w:val="22"/>
          <w:szCs w:val="22"/>
          <w:u w:val="single" w:color="auto"/>
          <w:color w:val="0000FF"/>
        </w:rPr>
      </w:pPr>
      <w:r>
        <w:rPr>
          <w:rFonts w:ascii="Arial" w:cs="Arial" w:eastAsia="Arial" w:hAnsi="Arial"/>
          <w:sz w:val="22"/>
          <w:szCs w:val="22"/>
          <w:color w:val="FF0000"/>
          <w:strike w:val="1"/>
        </w:rPr>
        <w:t>(b)</w:t>
      </w:r>
      <w:r>
        <w:rPr>
          <w:rFonts w:ascii="Arial" w:cs="Arial" w:eastAsia="Arial" w:hAnsi="Arial"/>
          <w:sz w:val="22"/>
          <w:szCs w:val="22"/>
          <w:color w:val="FF0000"/>
        </w:rPr>
        <w:t xml:space="preserve"> </w:t>
      </w:r>
      <w:r>
        <w:rPr>
          <w:rFonts w:ascii="Arial" w:cs="Arial" w:eastAsia="Arial" w:hAnsi="Arial"/>
          <w:sz w:val="22"/>
          <w:szCs w:val="22"/>
          <w:color w:val="000000"/>
        </w:rPr>
        <w:t>Each payment (including each prepayment) by the Borrower on account of principal of the Revolving</w:t>
      </w:r>
      <w:r>
        <w:rPr>
          <w:rFonts w:ascii="Arial" w:cs="Arial" w:eastAsia="Arial" w:hAnsi="Arial"/>
          <w:sz w:val="22"/>
          <w:szCs w:val="22"/>
          <w:color w:val="FF0000"/>
        </w:rPr>
        <w:t xml:space="preserve"> </w:t>
      </w:r>
      <w:r>
        <w:rPr>
          <w:rFonts w:ascii="Arial" w:cs="Arial" w:eastAsia="Arial" w:hAnsi="Arial"/>
          <w:sz w:val="22"/>
          <w:szCs w:val="22"/>
          <w:color w:val="000000"/>
        </w:rPr>
        <w:t>Credit Loans shall be made pro rata according to the respective outstanding principal amounts of the Revolving Credit Loans then held by the Revolving Credit Lenders. Each payment in respect of Reimbursement Obligations in respect of any Letter of Credit shall be made to the Issuing Lender that issued such Letter of Credit.</w:t>
      </w:r>
    </w:p>
    <w:p>
      <w:pPr>
        <w:spacing w:after="0" w:line="187" w:lineRule="exact"/>
        <w:rPr>
          <w:rFonts w:ascii="Arial" w:cs="Arial" w:eastAsia="Arial" w:hAnsi="Arial"/>
          <w:sz w:val="22"/>
          <w:szCs w:val="22"/>
          <w:u w:val="single" w:color="auto"/>
          <w:color w:val="0000FF"/>
        </w:rPr>
      </w:pPr>
    </w:p>
    <w:p>
      <w:pPr>
        <w:jc w:val="both"/>
        <w:ind w:firstLine="1304"/>
        <w:spacing w:after="0" w:line="265" w:lineRule="auto"/>
        <w:tabs>
          <w:tab w:leader="none" w:pos="1939" w:val="left"/>
        </w:tabs>
        <w:numPr>
          <w:ilvl w:val="0"/>
          <w:numId w:val="88"/>
        </w:numPr>
        <w:rPr>
          <w:rFonts w:ascii="Arial" w:cs="Arial" w:eastAsia="Arial" w:hAnsi="Arial"/>
          <w:sz w:val="21"/>
          <w:szCs w:val="21"/>
          <w:u w:val="single" w:color="auto"/>
          <w:color w:val="0000FF"/>
        </w:rPr>
      </w:pPr>
      <w:r>
        <w:rPr>
          <w:rFonts w:ascii="Arial" w:cs="Arial" w:eastAsia="Arial" w:hAnsi="Arial"/>
          <w:sz w:val="21"/>
          <w:szCs w:val="21"/>
          <w:color w:val="FF0000"/>
          <w:strike w:val="1"/>
        </w:rPr>
        <w:t>(c)</w:t>
      </w:r>
      <w:r>
        <w:rPr>
          <w:rFonts w:ascii="Arial" w:cs="Arial" w:eastAsia="Arial" w:hAnsi="Arial"/>
          <w:sz w:val="21"/>
          <w:szCs w:val="21"/>
          <w:color w:val="FF0000"/>
        </w:rPr>
        <w:t xml:space="preserve"> </w:t>
      </w:r>
      <w:r>
        <w:rPr>
          <w:rFonts w:ascii="Arial" w:cs="Arial" w:eastAsia="Arial" w:hAnsi="Arial"/>
          <w:sz w:val="21"/>
          <w:szCs w:val="21"/>
          <w:color w:val="000000"/>
        </w:rPr>
        <w:t>The application of any payment of Loans under any Facility (including optional and mandatory</w:t>
      </w:r>
      <w:r>
        <w:rPr>
          <w:rFonts w:ascii="Arial" w:cs="Arial" w:eastAsia="Arial" w:hAnsi="Arial"/>
          <w:sz w:val="21"/>
          <w:szCs w:val="21"/>
          <w:color w:val="FF0000"/>
        </w:rPr>
        <w:t xml:space="preserve"> </w:t>
      </w:r>
      <w:r>
        <w:rPr>
          <w:rFonts w:ascii="Arial" w:cs="Arial" w:eastAsia="Arial" w:hAnsi="Arial"/>
          <w:sz w:val="21"/>
          <w:szCs w:val="21"/>
          <w:color w:val="000000"/>
        </w:rPr>
        <w:t>prepayments) shall be made, first, to Base Rate Loans under such Facility and, second, to Eurodollar Loans under such Facility. Each payment of the Loans (except in the case of Swing Line Loans and Revolving Credit Loans that are Base Rate Loans) shall be accompanied by accrued interest to the date of such payment on the amount paid.</w:t>
      </w:r>
    </w:p>
    <w:p>
      <w:pPr>
        <w:spacing w:after="0" w:line="175" w:lineRule="exact"/>
        <w:rPr>
          <w:rFonts w:ascii="Arial" w:cs="Arial" w:eastAsia="Arial" w:hAnsi="Arial"/>
          <w:sz w:val="21"/>
          <w:szCs w:val="21"/>
          <w:u w:val="single" w:color="auto"/>
          <w:color w:val="0000FF"/>
        </w:rPr>
      </w:pPr>
    </w:p>
    <w:p>
      <w:pPr>
        <w:jc w:val="both"/>
        <w:ind w:firstLine="1304"/>
        <w:spacing w:after="0" w:line="287" w:lineRule="auto"/>
        <w:tabs>
          <w:tab w:leader="none" w:pos="1941" w:val="left"/>
        </w:tabs>
        <w:numPr>
          <w:ilvl w:val="0"/>
          <w:numId w:val="88"/>
        </w:numPr>
        <w:rPr>
          <w:rFonts w:ascii="Arial" w:cs="Arial" w:eastAsia="Arial" w:hAnsi="Arial"/>
          <w:sz w:val="19"/>
          <w:szCs w:val="19"/>
          <w:u w:val="single" w:color="auto"/>
          <w:color w:val="0000FF"/>
        </w:rPr>
      </w:pPr>
      <w:r>
        <w:rPr>
          <w:rFonts w:ascii="Arial" w:cs="Arial" w:eastAsia="Arial" w:hAnsi="Arial"/>
          <w:sz w:val="19"/>
          <w:szCs w:val="19"/>
          <w:color w:val="FF0000"/>
          <w:strike w:val="1"/>
        </w:rPr>
        <w:t>(d)</w:t>
      </w:r>
      <w:r>
        <w:rPr>
          <w:rFonts w:ascii="Arial" w:cs="Arial" w:eastAsia="Arial" w:hAnsi="Arial"/>
          <w:sz w:val="19"/>
          <w:szCs w:val="19"/>
          <w:color w:val="FF0000"/>
        </w:rPr>
        <w:t xml:space="preserve"> </w:t>
      </w:r>
      <w:r>
        <w:rPr>
          <w:rFonts w:ascii="Arial" w:cs="Arial" w:eastAsia="Arial" w:hAnsi="Arial"/>
          <w:sz w:val="19"/>
          <w:szCs w:val="19"/>
          <w:color w:val="000000"/>
        </w:rPr>
        <w:t>All payments (including prepayments) to be made by the Borrower hereunder, whether on account of</w:t>
      </w:r>
      <w:r>
        <w:rPr>
          <w:rFonts w:ascii="Arial" w:cs="Arial" w:eastAsia="Arial" w:hAnsi="Arial"/>
          <w:sz w:val="19"/>
          <w:szCs w:val="19"/>
          <w:color w:val="FF0000"/>
        </w:rPr>
        <w:t xml:space="preserve"> </w:t>
      </w:r>
      <w:r>
        <w:rPr>
          <w:rFonts w:ascii="Arial" w:cs="Arial" w:eastAsia="Arial" w:hAnsi="Arial"/>
          <w:sz w:val="19"/>
          <w:szCs w:val="19"/>
          <w:color w:val="000000"/>
        </w:rPr>
        <w:t>principal, interest, fees or otherwise, shall be made without setoff or counterclaim and shall be made prior to 2:00 p.m., New York City time, on the due date thereof to the Administrative Agent, for the account of the relevant Lenders, at the Payment Office, in Dollars and in immediately available funds. Any payment made by the Borrower after 2:00 p.m., New York City time, on any Business Day shall be deemed to have been on the next following Business Day. If any payment hereunder (other than payments on the Eurodollar Loans) becomes due and payable on a day other than a Business Day, such payment shall be extended to the next succeeding Business Day. If any payment on a Eurodollar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63" w:lineRule="exact"/>
        <w:rPr>
          <w:rFonts w:ascii="Arial" w:cs="Arial" w:eastAsia="Arial" w:hAnsi="Arial"/>
          <w:sz w:val="19"/>
          <w:szCs w:val="19"/>
          <w:u w:val="single" w:color="auto"/>
          <w:color w:val="0000FF"/>
        </w:rPr>
      </w:pPr>
    </w:p>
    <w:p>
      <w:pPr>
        <w:jc w:val="both"/>
        <w:ind w:firstLine="1304"/>
        <w:spacing w:after="0" w:line="286" w:lineRule="auto"/>
        <w:tabs>
          <w:tab w:leader="none" w:pos="1944" w:val="left"/>
        </w:tabs>
        <w:numPr>
          <w:ilvl w:val="0"/>
          <w:numId w:val="88"/>
        </w:numPr>
        <w:rPr>
          <w:rFonts w:ascii="Arial" w:cs="Arial" w:eastAsia="Arial" w:hAnsi="Arial"/>
          <w:sz w:val="19"/>
          <w:szCs w:val="19"/>
          <w:u w:val="single" w:color="auto"/>
          <w:color w:val="0000FF"/>
        </w:rPr>
      </w:pPr>
      <w:r>
        <w:rPr>
          <w:rFonts w:ascii="Arial" w:cs="Arial" w:eastAsia="Arial" w:hAnsi="Arial"/>
          <w:sz w:val="19"/>
          <w:szCs w:val="19"/>
          <w:color w:val="FF0000"/>
          <w:strike w:val="1"/>
        </w:rPr>
        <w:t>(e)</w:t>
      </w:r>
      <w:r>
        <w:rPr>
          <w:rFonts w:ascii="Arial" w:cs="Arial" w:eastAsia="Arial" w:hAnsi="Arial"/>
          <w:sz w:val="19"/>
          <w:szCs w:val="19"/>
          <w:color w:val="FF0000"/>
        </w:rPr>
        <w:t xml:space="preserve"> </w:t>
      </w:r>
      <w:r>
        <w:rPr>
          <w:rFonts w:ascii="Arial" w:cs="Arial" w:eastAsia="Arial" w:hAnsi="Arial"/>
          <w:sz w:val="19"/>
          <w:szCs w:val="19"/>
          <w:color w:val="000000"/>
        </w:rPr>
        <w:t>Unless the Administrative Agent shall have been notified in writing by any Lender prior to a borrowing</w:t>
      </w:r>
      <w:r>
        <w:rPr>
          <w:rFonts w:ascii="Arial" w:cs="Arial" w:eastAsia="Arial" w:hAnsi="Arial"/>
          <w:sz w:val="19"/>
          <w:szCs w:val="19"/>
          <w:color w:val="FF0000"/>
        </w:rPr>
        <w:t xml:space="preserve"> </w:t>
      </w:r>
      <w:r>
        <w:rPr>
          <w:rFonts w:ascii="Arial" w:cs="Arial" w:eastAsia="Arial" w:hAnsi="Arial"/>
          <w:sz w:val="19"/>
          <w:szCs w:val="19"/>
          <w:color w:val="000000"/>
        </w:rPr>
        <w:t>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paragraph 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Base Rate Loans under the relevant Facility, on demand from the Borrower (i) on the same Business Day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240"/>
          </w:cols>
          <w:pgMar w:left="320" w:top="1428" w:right="339" w:bottom="1440" w:gutter="0" w:footer="0" w:header="0"/>
        </w:sectPr>
      </w:pPr>
    </w:p>
    <w:bookmarkStart w:id="160" w:name="page161"/>
    <w:bookmarkEnd w:id="160"/>
    <w:p>
      <w:pPr>
        <w:spacing w:after="0" w:line="263" w:lineRule="auto"/>
        <w:rPr>
          <w:sz w:val="20"/>
          <w:szCs w:val="20"/>
          <w:color w:val="auto"/>
        </w:rPr>
      </w:pPr>
      <w:r>
        <w:rPr>
          <w:rFonts w:ascii="Arial" w:cs="Arial" w:eastAsia="Arial" w:hAnsi="Arial"/>
          <w:sz w:val="22"/>
          <w:szCs w:val="22"/>
          <w:color w:val="auto"/>
        </w:rPr>
        <w:t>demand is made by the Administrative Agent on or prior to 11:00 a.m., New York City time and (ii) on the next Business Day if demand is made by the Administrative Agent after 11:00 a.m., New York City time.</w:t>
      </w:r>
    </w:p>
    <w:p>
      <w:pPr>
        <w:spacing w:after="0" w:line="175" w:lineRule="exact"/>
        <w:rPr>
          <w:sz w:val="20"/>
          <w:szCs w:val="20"/>
          <w:color w:val="auto"/>
        </w:rPr>
      </w:pPr>
    </w:p>
    <w:p>
      <w:pPr>
        <w:jc w:val="both"/>
        <w:ind w:firstLine="1304"/>
        <w:spacing w:after="0" w:line="259" w:lineRule="auto"/>
        <w:tabs>
          <w:tab w:leader="none" w:pos="1939" w:val="left"/>
        </w:tabs>
        <w:numPr>
          <w:ilvl w:val="0"/>
          <w:numId w:val="89"/>
        </w:numPr>
        <w:rPr>
          <w:rFonts w:ascii="Arial" w:cs="Arial" w:eastAsia="Arial" w:hAnsi="Arial"/>
          <w:sz w:val="21"/>
          <w:szCs w:val="21"/>
          <w:u w:val="single" w:color="auto"/>
          <w:color w:val="0000FF"/>
        </w:rPr>
      </w:pPr>
      <w:r>
        <w:rPr>
          <w:rFonts w:ascii="Arial" w:cs="Arial" w:eastAsia="Arial" w:hAnsi="Arial"/>
          <w:sz w:val="21"/>
          <w:szCs w:val="21"/>
          <w:color w:val="FF0000"/>
          <w:strike w:val="1"/>
        </w:rPr>
        <w:t>(f)</w:t>
      </w:r>
      <w:r>
        <w:rPr>
          <w:rFonts w:ascii="Arial" w:cs="Arial" w:eastAsia="Arial" w:hAnsi="Arial"/>
          <w:sz w:val="21"/>
          <w:szCs w:val="21"/>
          <w:color w:val="FF0000"/>
        </w:rPr>
        <w:t xml:space="preserve"> </w:t>
      </w:r>
      <w:r>
        <w:rPr>
          <w:rFonts w:ascii="Arial" w:cs="Arial" w:eastAsia="Arial" w:hAnsi="Arial"/>
          <w:sz w:val="21"/>
          <w:szCs w:val="21"/>
          <w:color w:val="000000"/>
        </w:rPr>
        <w:t>Unless the Administrative Agent shall have been notified in writing by the Borrower prior to the date of</w:t>
      </w:r>
      <w:r>
        <w:rPr>
          <w:rFonts w:ascii="Arial" w:cs="Arial" w:eastAsia="Arial" w:hAnsi="Arial"/>
          <w:sz w:val="21"/>
          <w:szCs w:val="21"/>
          <w:color w:val="FF0000"/>
        </w:rPr>
        <w:t xml:space="preserve"> </w:t>
      </w:r>
      <w:r>
        <w:rPr>
          <w:rFonts w:ascii="Arial" w:cs="Arial" w:eastAsia="Arial" w:hAnsi="Arial"/>
          <w:sz w:val="21"/>
          <w:szCs w:val="21"/>
          <w:color w:val="000000"/>
        </w:rPr>
        <w:t>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179" w:lineRule="exact"/>
        <w:rPr>
          <w:rFonts w:ascii="Arial" w:cs="Arial" w:eastAsia="Arial" w:hAnsi="Arial"/>
          <w:sz w:val="21"/>
          <w:szCs w:val="21"/>
          <w:u w:val="single" w:color="auto"/>
          <w:color w:val="0000FF"/>
        </w:rPr>
      </w:pPr>
    </w:p>
    <w:p>
      <w:pPr>
        <w:jc w:val="both"/>
        <w:ind w:firstLine="1304"/>
        <w:spacing w:after="0" w:line="288" w:lineRule="auto"/>
        <w:tabs>
          <w:tab w:leader="none" w:pos="1939" w:val="left"/>
        </w:tabs>
        <w:numPr>
          <w:ilvl w:val="0"/>
          <w:numId w:val="89"/>
        </w:numPr>
        <w:rPr>
          <w:rFonts w:ascii="Arial" w:cs="Arial" w:eastAsia="Arial" w:hAnsi="Arial"/>
          <w:sz w:val="19"/>
          <w:szCs w:val="19"/>
          <w:u w:val="single" w:color="auto"/>
          <w:color w:val="0000FF"/>
        </w:rPr>
      </w:pPr>
      <w:r>
        <w:rPr>
          <w:rFonts w:ascii="Arial" w:cs="Arial" w:eastAsia="Arial" w:hAnsi="Arial"/>
          <w:sz w:val="19"/>
          <w:szCs w:val="19"/>
          <w:color w:val="FF0000"/>
          <w:strike w:val="1"/>
        </w:rPr>
        <w:t>(g)</w:t>
      </w:r>
      <w:r>
        <w:rPr>
          <w:rFonts w:ascii="Arial" w:cs="Arial" w:eastAsia="Arial" w:hAnsi="Arial"/>
          <w:sz w:val="19"/>
          <w:szCs w:val="19"/>
          <w:color w:val="FF0000"/>
        </w:rPr>
        <w:t xml:space="preserve"> </w:t>
      </w:r>
      <w:r>
        <w:rPr>
          <w:rFonts w:ascii="Arial" w:cs="Arial" w:eastAsia="Arial" w:hAnsi="Arial"/>
          <w:sz w:val="19"/>
          <w:szCs w:val="19"/>
          <w:color w:val="000000"/>
        </w:rPr>
        <w:t>Upon receipt by the Administrative Agent of payments on behalf of Lenders, the Administrative Agent</w:t>
      </w:r>
      <w:r>
        <w:rPr>
          <w:rFonts w:ascii="Arial" w:cs="Arial" w:eastAsia="Arial" w:hAnsi="Arial"/>
          <w:sz w:val="19"/>
          <w:szCs w:val="19"/>
          <w:color w:val="FF0000"/>
        </w:rPr>
        <w:t xml:space="preserve"> </w:t>
      </w:r>
      <w:r>
        <w:rPr>
          <w:rFonts w:ascii="Arial" w:cs="Arial" w:eastAsia="Arial" w:hAnsi="Arial"/>
          <w:sz w:val="19"/>
          <w:szCs w:val="19"/>
          <w:color w:val="000000"/>
        </w:rPr>
        <w:t xml:space="preserve">shall promptly distribute such payments to the Lender or Lenders entitled thereto, in like funds as received by the Administrative Agent. Notwithstanding the foregoing, if the Administrative Agent receives any payment (whether voluntarily or involuntarily, pursuant to events or proceedings of the nature referred to in </w:t>
      </w:r>
      <w:r>
        <w:rPr>
          <w:rFonts w:ascii="Arial" w:cs="Arial" w:eastAsia="Arial" w:hAnsi="Arial"/>
          <w:sz w:val="19"/>
          <w:szCs w:val="19"/>
          <w:u w:val="single" w:color="auto"/>
          <w:color w:val="000000"/>
        </w:rPr>
        <w:t>Section 8(f)</w:t>
      </w:r>
      <w:r>
        <w:rPr>
          <w:rFonts w:ascii="Arial" w:cs="Arial" w:eastAsia="Arial" w:hAnsi="Arial"/>
          <w:sz w:val="19"/>
          <w:szCs w:val="19"/>
          <w:color w:val="000000"/>
        </w:rPr>
        <w:t>, or otherwise) (the amount of such payment, the “</w:t>
      </w:r>
      <w:r>
        <w:rPr>
          <w:rFonts w:ascii="Arial" w:cs="Arial" w:eastAsia="Arial" w:hAnsi="Arial"/>
          <w:sz w:val="19"/>
          <w:szCs w:val="19"/>
          <w:u w:val="single" w:color="auto"/>
          <w:color w:val="000000"/>
        </w:rPr>
        <w:t>Payment Amount</w:t>
      </w:r>
      <w:r>
        <w:rPr>
          <w:rFonts w:ascii="Arial" w:cs="Arial" w:eastAsia="Arial" w:hAnsi="Arial"/>
          <w:sz w:val="19"/>
          <w:szCs w:val="19"/>
          <w:color w:val="000000"/>
        </w:rPr>
        <w:t xml:space="preserve">”) for the account of any Lender (whether in such Lender’s capacity as a Term Loan Lender, Revolving Credit Lender or L/C Participant), and at the time of such receipt such Lender, in its capacity as L/C Participant, is in default in any of its obligations pursuant to </w:t>
      </w:r>
      <w:r>
        <w:rPr>
          <w:rFonts w:ascii="Arial" w:cs="Arial" w:eastAsia="Arial" w:hAnsi="Arial"/>
          <w:sz w:val="19"/>
          <w:szCs w:val="19"/>
          <w:u w:val="single" w:color="auto"/>
          <w:color w:val="000000"/>
        </w:rPr>
        <w:t>Section 3.4(a)</w:t>
      </w:r>
      <w:r>
        <w:rPr>
          <w:rFonts w:ascii="Arial" w:cs="Arial" w:eastAsia="Arial" w:hAnsi="Arial"/>
          <w:sz w:val="19"/>
          <w:szCs w:val="19"/>
          <w:color w:val="000000"/>
        </w:rPr>
        <w:t xml:space="preserve"> (the amount of such obligations in default, the “</w:t>
      </w:r>
      <w:r>
        <w:rPr>
          <w:rFonts w:ascii="Arial" w:cs="Arial" w:eastAsia="Arial" w:hAnsi="Arial"/>
          <w:sz w:val="19"/>
          <w:szCs w:val="19"/>
          <w:u w:val="single" w:color="auto"/>
          <w:color w:val="000000"/>
        </w:rPr>
        <w:t>Defaulted Amount</w:t>
      </w:r>
      <w:r>
        <w:rPr>
          <w:rFonts w:ascii="Arial" w:cs="Arial" w:eastAsia="Arial" w:hAnsi="Arial"/>
          <w:sz w:val="19"/>
          <w:szCs w:val="19"/>
          <w:color w:val="000000"/>
        </w:rPr>
        <w:t>”), the Administrative Agent may withhold from the Payment Amount an amount up to the Defaulted Amount, and apply the amount so withheld toward payment to the relevant Issuing Lender of the Defaulted Amount or, if applicable, toward reimbursement of any other Person that has previously reimbursed such Issuing Lender for the Defaulted Amount.</w:t>
      </w:r>
    </w:p>
    <w:p>
      <w:pPr>
        <w:spacing w:after="0" w:line="159" w:lineRule="exact"/>
        <w:rPr>
          <w:rFonts w:ascii="Arial" w:cs="Arial" w:eastAsia="Arial" w:hAnsi="Arial"/>
          <w:sz w:val="19"/>
          <w:szCs w:val="19"/>
          <w:u w:val="single" w:color="auto"/>
          <w:color w:val="0000FF"/>
        </w:rPr>
      </w:pPr>
    </w:p>
    <w:p>
      <w:pPr>
        <w:jc w:val="both"/>
        <w:ind w:firstLine="1304"/>
        <w:spacing w:after="0" w:line="288" w:lineRule="auto"/>
        <w:tabs>
          <w:tab w:leader="none" w:pos="1932" w:val="left"/>
        </w:tabs>
        <w:numPr>
          <w:ilvl w:val="0"/>
          <w:numId w:val="89"/>
        </w:numPr>
        <w:rPr>
          <w:rFonts w:ascii="Arial" w:cs="Arial" w:eastAsia="Arial" w:hAnsi="Arial"/>
          <w:sz w:val="19"/>
          <w:szCs w:val="19"/>
          <w:u w:val="single" w:color="auto"/>
          <w:color w:val="0000FF"/>
        </w:rPr>
      </w:pPr>
      <w:r>
        <w:rPr>
          <w:rFonts w:ascii="Arial" w:cs="Arial" w:eastAsia="Arial" w:hAnsi="Arial"/>
          <w:sz w:val="19"/>
          <w:szCs w:val="19"/>
          <w:color w:val="FF0000"/>
          <w:strike w:val="1"/>
        </w:rPr>
        <w:t>(h)</w:t>
      </w:r>
      <w:r>
        <w:rPr>
          <w:rFonts w:ascii="Arial" w:cs="Arial" w:eastAsia="Arial" w:hAnsi="Arial"/>
          <w:sz w:val="19"/>
          <w:szCs w:val="19"/>
          <w:color w:val="FF0000"/>
        </w:rPr>
        <w:t xml:space="preserve"> </w:t>
      </w:r>
      <w:r>
        <w:rPr>
          <w:rFonts w:ascii="Arial" w:cs="Arial" w:eastAsia="Arial" w:hAnsi="Arial"/>
          <w:sz w:val="19"/>
          <w:szCs w:val="19"/>
          <w:color w:val="000000"/>
        </w:rPr>
        <w:t>If any Lender shall, by exercising any right of setoff or counterclaim or otherwise, obtain payment in</w:t>
      </w:r>
      <w:r>
        <w:rPr>
          <w:rFonts w:ascii="Arial" w:cs="Arial" w:eastAsia="Arial" w:hAnsi="Arial"/>
          <w:sz w:val="19"/>
          <w:szCs w:val="19"/>
          <w:color w:val="FF0000"/>
        </w:rPr>
        <w:t xml:space="preserve"> </w:t>
      </w:r>
      <w:r>
        <w:rPr>
          <w:rFonts w:ascii="Arial" w:cs="Arial" w:eastAsia="Arial" w:hAnsi="Arial"/>
          <w:sz w:val="19"/>
          <w:szCs w:val="19"/>
          <w:color w:val="000000"/>
        </w:rPr>
        <w:t xml:space="preserve">respect of any principal of or interest on any of its Loans or participations in L/C Disbursements or Swing Line Loans resulting in such Lender receiving payment of a greater proportion of the aggregate amount of its Loans and participations in L/C Disbursements and Swing Line Loans and accrued interest thereon than the proportion received by any other Lender, then the Lender receiving such greater proportion shall purchase (for cash at face value) participations in the Loans and participations in L/C Disbursements and Swing 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 Line Loans;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8" w:right="339" w:bottom="1440" w:gutter="0" w:footer="0" w:header="0"/>
        </w:sectPr>
      </w:pPr>
    </w:p>
    <w:bookmarkStart w:id="161" w:name="page162"/>
    <w:bookmarkEnd w:id="161"/>
    <w:p>
      <w:pPr>
        <w:jc w:val="both"/>
        <w:spacing w:after="0" w:line="292" w:lineRule="auto"/>
        <w:rPr>
          <w:sz w:val="20"/>
          <w:szCs w:val="20"/>
          <w:color w:val="auto"/>
        </w:rPr>
      </w:pPr>
      <w:r>
        <w:rPr>
          <w:rFonts w:ascii="Arial" w:cs="Arial" w:eastAsia="Arial" w:hAnsi="Arial"/>
          <w:sz w:val="19"/>
          <w:szCs w:val="19"/>
          <w:color w:val="auto"/>
        </w:rPr>
        <w:t>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u w:val="single" w:color="auto"/>
          <w:color w:val="auto"/>
        </w:rPr>
        <w:t>Increased Costs</w:t>
      </w:r>
      <w:r>
        <w:rPr>
          <w:rFonts w:ascii="Arial" w:cs="Arial" w:eastAsia="Arial" w:hAnsi="Arial"/>
          <w:sz w:val="19"/>
          <w:szCs w:val="19"/>
          <w:color w:val="auto"/>
        </w:rPr>
        <w:t>. (a) If any Change in Law:</w:t>
      </w:r>
    </w:p>
    <w:p>
      <w:pPr>
        <w:spacing w:after="0" w:line="220" w:lineRule="exact"/>
        <w:rPr>
          <w:sz w:val="20"/>
          <w:szCs w:val="20"/>
          <w:color w:val="auto"/>
        </w:rPr>
      </w:pPr>
    </w:p>
    <w:p>
      <w:pPr>
        <w:jc w:val="both"/>
        <w:ind w:left="660" w:firstLine="644"/>
        <w:spacing w:after="0" w:line="248" w:lineRule="auto"/>
        <w:tabs>
          <w:tab w:leader="none" w:pos="1944"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shall subject any Lender or Issuing Lender to any Tax of any kind whatsoever with respect to this Agreement, any Letter of Credit, any Application or any Eurodollar Loan made by it, or change the basis of taxation of payments to such Lender or Issuing Lender in respect thereof (except for Non-Excluded Taxes covered by </w:t>
      </w:r>
      <w:r>
        <w:rPr>
          <w:rFonts w:ascii="Arial" w:cs="Arial" w:eastAsia="Arial" w:hAnsi="Arial"/>
          <w:sz w:val="22"/>
          <w:szCs w:val="22"/>
          <w:u w:val="single" w:color="auto"/>
          <w:color w:val="auto"/>
        </w:rPr>
        <w:t>Section 2.20</w:t>
      </w:r>
      <w:r>
        <w:rPr>
          <w:rFonts w:ascii="Arial" w:cs="Arial" w:eastAsia="Arial" w:hAnsi="Arial"/>
          <w:sz w:val="22"/>
          <w:szCs w:val="22"/>
          <w:color w:val="auto"/>
        </w:rPr>
        <w:t xml:space="preserve"> and except for any Tax on the overall net income of such Lender or Issuing Lender) and any franchise Taxes (imposed in lieu of net income Taxes) and branch profits taxes and Other Taxes;</w:t>
      </w:r>
    </w:p>
    <w:p>
      <w:pPr>
        <w:spacing w:after="0" w:line="191" w:lineRule="exact"/>
        <w:rPr>
          <w:rFonts w:ascii="Arial" w:cs="Arial" w:eastAsia="Arial" w:hAnsi="Arial"/>
          <w:sz w:val="22"/>
          <w:szCs w:val="22"/>
          <w:color w:val="auto"/>
        </w:rPr>
      </w:pPr>
    </w:p>
    <w:p>
      <w:pPr>
        <w:jc w:val="both"/>
        <w:ind w:left="660" w:firstLine="644"/>
        <w:spacing w:after="0" w:line="250" w:lineRule="auto"/>
        <w:tabs>
          <w:tab w:leader="none" w:pos="1950" w:val="left"/>
        </w:tabs>
        <w:numPr>
          <w:ilvl w:val="0"/>
          <w:numId w:val="90"/>
        </w:numPr>
        <w:rPr>
          <w:rFonts w:ascii="Arial" w:cs="Arial" w:eastAsia="Arial" w:hAnsi="Arial"/>
          <w:sz w:val="22"/>
          <w:szCs w:val="22"/>
          <w:color w:val="auto"/>
        </w:rPr>
      </w:pPr>
      <w:r>
        <w:rPr>
          <w:rFonts w:ascii="Arial" w:cs="Arial" w:eastAsia="Arial" w:hAnsi="Arial"/>
          <w:sz w:val="22"/>
          <w:szCs w:val="22"/>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or Issuing Lender that is not otherwise included in the determination of the Eurodollar Rate hereunder; or</w:t>
      </w:r>
    </w:p>
    <w:p>
      <w:pPr>
        <w:spacing w:after="0" w:line="187" w:lineRule="exact"/>
        <w:rPr>
          <w:rFonts w:ascii="Arial" w:cs="Arial" w:eastAsia="Arial" w:hAnsi="Arial"/>
          <w:sz w:val="22"/>
          <w:szCs w:val="22"/>
          <w:color w:val="auto"/>
        </w:rPr>
      </w:pPr>
    </w:p>
    <w:p>
      <w:pPr>
        <w:jc w:val="both"/>
        <w:ind w:left="660" w:firstLine="644"/>
        <w:spacing w:after="0" w:line="312" w:lineRule="auto"/>
        <w:tabs>
          <w:tab w:leader="none" w:pos="1956"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shall impose on such Lender or Issuing Lender any other condition (except for Non-Excluded Taxes covered by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and except for any Tax on the overall net income of such Lender or Issuing Lender) affecting this Agreement or Eurodollar Loans made by such Lender or Issuing Lender or any Letter of Credit or participation therein;</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and the result of any of the foregoing is to increase the cost to such Lender or Issuing Lender, by an amount which such Lender or Issuing Lender deems to be material, of making, converting into, continuing or maintaining Eurodollar Loans or issuing or participating in Letters of Credit, or to reduce any amount receivable hereunder in respect thereof, then, in any such case, the Borrower shall promptly pay such Lender or Issuing Lender, upon its demand, any additional amounts necessary to compensate such Lender or Issuing Lender for such increased cost or reduced amount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Borrower shall not be liable for such compensation with respect to any such Lender if (x) the relevant change in law or other similar occurrence described in this paragraph occurs on a date prior to the date such Lender becomes a party hereto or (y) such Lender is not generally charging such amounts to similarly situated borrowers under comparable syndicated credit facilities that such Lender is a lender under and is entitled to charge such amounts to the borrower thereunder. If any Lender or Issuing Lender becomes entitled to claim any additional amounts pursuant to this Section, it shall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8" w:right="339" w:bottom="1440" w:gutter="0" w:footer="0" w:header="0"/>
        </w:sectPr>
      </w:pPr>
    </w:p>
    <w:bookmarkStart w:id="162" w:name="page163"/>
    <w:bookmarkEnd w:id="162"/>
    <w:p>
      <w:pPr>
        <w:spacing w:after="0"/>
        <w:rPr>
          <w:sz w:val="20"/>
          <w:szCs w:val="20"/>
          <w:color w:val="auto"/>
        </w:rPr>
      </w:pPr>
      <w:r>
        <w:rPr>
          <w:rFonts w:ascii="Arial" w:cs="Arial" w:eastAsia="Arial" w:hAnsi="Arial"/>
          <w:sz w:val="21"/>
          <w:szCs w:val="21"/>
          <w:color w:val="auto"/>
        </w:rPr>
        <w:t>notify the Borrower (with a copy to the Administrative Agent) of the event by reason of which it has become so entitled.</w:t>
      </w:r>
    </w:p>
    <w:p>
      <w:pPr>
        <w:spacing w:after="0" w:line="231" w:lineRule="exact"/>
        <w:rPr>
          <w:sz w:val="20"/>
          <w:szCs w:val="20"/>
          <w:color w:val="auto"/>
        </w:rPr>
      </w:pPr>
    </w:p>
    <w:p>
      <w:pPr>
        <w:jc w:val="both"/>
        <w:ind w:firstLine="1304"/>
        <w:spacing w:after="0" w:line="286" w:lineRule="auto"/>
        <w:tabs>
          <w:tab w:leader="none" w:pos="1939"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If any Lender or Issuing Lender shall have determined that any Change in Law regarding capital adequacy or in the interpretation or application thereof or compliance by such Lender, Issuing Lender or any corporation controlling such Lender or Issuing Lender with any request or directive regarding capital adequacy (whether or not having the force of law) from any Governmental Authority made subsequent to the date hereof shall have the effect of reducing the rate of return on such Lender’s, Issuing Lender’s or such corporation’s capital as a consequence of its obligations hereunder or under or in respect of any Letter of Credit to a level below that which such Lender or Issuing Lender or such corporation could have achieved but for such adoption, change or compliance (taking into consideration such Lender’s or Issuing Lender’s or such corporation’s policies with respect to capital adequacy) by an amount deemed by such Lender or Issuing Lender to be material, then from time to time, after submission by such Lender or Issuing Lender to the Borrower (with a copy to the Administrative Agent) of a written request therefor, the Borrower shall pay to such Lender or Issuing Lender such additional amount or amounts as will compensate such Lender or Issuing Lender or such corporation for such reduction;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Borrower shall not be liable for such compensation with respect to any such Lender if (x) the relevant change in law or other similar occurrence described in this paragraph occurs on a date prior to the date such Lender becomes a party hereto or (y) such Lender is not generally charging such amounts to similarly situated borrowers under comparable syndicated credit facilities that such Lender is a lender under and is entitled to charge such amounts to the borrower thereunder.</w:t>
      </w:r>
    </w:p>
    <w:p>
      <w:pPr>
        <w:spacing w:after="0" w:line="158" w:lineRule="exact"/>
        <w:rPr>
          <w:rFonts w:ascii="Arial" w:cs="Arial" w:eastAsia="Arial" w:hAnsi="Arial"/>
          <w:sz w:val="19"/>
          <w:szCs w:val="19"/>
          <w:color w:val="auto"/>
        </w:rPr>
      </w:pPr>
    </w:p>
    <w:p>
      <w:pPr>
        <w:jc w:val="both"/>
        <w:ind w:firstLine="1304"/>
        <w:spacing w:after="0" w:line="247" w:lineRule="auto"/>
        <w:tabs>
          <w:tab w:leader="none" w:pos="1941" w:val="left"/>
        </w:tabs>
        <w:numPr>
          <w:ilvl w:val="0"/>
          <w:numId w:val="91"/>
        </w:numPr>
        <w:rPr>
          <w:rFonts w:ascii="Arial" w:cs="Arial" w:eastAsia="Arial" w:hAnsi="Arial"/>
          <w:sz w:val="22"/>
          <w:szCs w:val="22"/>
          <w:color w:val="auto"/>
        </w:rPr>
      </w:pPr>
      <w:r>
        <w:rPr>
          <w:rFonts w:ascii="Arial" w:cs="Arial" w:eastAsia="Arial" w:hAnsi="Arial"/>
          <w:sz w:val="22"/>
          <w:szCs w:val="22"/>
          <w:color w:val="auto"/>
        </w:rPr>
        <w:t>A Lender or an Issuing Lender shall be required to submit a certificate (i) setting forth in reasonable detail the basis and any additional amounts payable pursuant to this Section and (ii) certifying that such Lender or Issuing Lender is generally charging such amounts to similarly situated borrowers, and any such certificate submitted by any Lender or Issuing Lender to the Borrower (with a copy to the Administrative Agent) shall be conclusive in the absence of manifest error. The Borrower shall pay such Lender or Issuing Lender, as the case may be, the amount shown as due on any such certificate within 30 days after receipt thereof.</w:t>
      </w:r>
    </w:p>
    <w:p>
      <w:pPr>
        <w:spacing w:after="0" w:line="192" w:lineRule="exact"/>
        <w:rPr>
          <w:rFonts w:ascii="Arial" w:cs="Arial" w:eastAsia="Arial" w:hAnsi="Arial"/>
          <w:sz w:val="22"/>
          <w:szCs w:val="22"/>
          <w:color w:val="auto"/>
        </w:rPr>
      </w:pPr>
    </w:p>
    <w:p>
      <w:pPr>
        <w:jc w:val="both"/>
        <w:ind w:firstLine="1304"/>
        <w:spacing w:after="0" w:line="259" w:lineRule="auto"/>
        <w:tabs>
          <w:tab w:leader="none" w:pos="1939" w:val="left"/>
        </w:tabs>
        <w:numPr>
          <w:ilvl w:val="0"/>
          <w:numId w:val="91"/>
        </w:numPr>
        <w:rPr>
          <w:rFonts w:ascii="Arial" w:cs="Arial" w:eastAsia="Arial" w:hAnsi="Arial"/>
          <w:sz w:val="21"/>
          <w:szCs w:val="21"/>
          <w:color w:val="auto"/>
        </w:rPr>
      </w:pPr>
      <w:r>
        <w:rPr>
          <w:rFonts w:ascii="Arial" w:cs="Arial" w:eastAsia="Arial" w:hAnsi="Arial"/>
          <w:sz w:val="21"/>
          <w:szCs w:val="21"/>
          <w:color w:val="auto"/>
        </w:rPr>
        <w:t xml:space="preserve">Failure or delay on the part of any Lender or Issuing Lender to demand compensation pursuant to this Section shall not constitute a waiver of such Lender’s or Issuing Lender’s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compensate a Lender or Issuing Lender pursuant to this Section for any amounts incurred more than six months prior to the date that such Lender or Issuing Lender, as the case may be, becomes aware of the occurrence of the event giving rise to such right to such amounts;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if the circumstances giving rise to such claim is retroactive, then the 6-month period referred to above shall be extended to include the period of retroactive effect thereof. The obligations of the Borrower pursuant to this Section shall survive the termination of this Agreement and the payment of the Loans and all other amounts payable hereunder.</w:t>
      </w:r>
    </w:p>
    <w:p>
      <w:pPr>
        <w:spacing w:after="0" w:line="183"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2.20 </w:t>
      </w:r>
      <w:r>
        <w:rPr>
          <w:rFonts w:ascii="Arial" w:cs="Arial" w:eastAsia="Arial" w:hAnsi="Arial"/>
          <w:sz w:val="22"/>
          <w:szCs w:val="22"/>
          <w:u w:val="single" w:color="auto"/>
          <w:color w:val="auto"/>
        </w:rPr>
        <w:t>Taxes</w:t>
      </w:r>
      <w:r>
        <w:rPr>
          <w:rFonts w:ascii="Arial" w:cs="Arial" w:eastAsia="Arial" w:hAnsi="Arial"/>
          <w:sz w:val="22"/>
          <w:szCs w:val="22"/>
          <w:color w:val="auto"/>
        </w:rPr>
        <w:t>. (a) All payments made by or on behalf of the Borrower or any other Loan Party under this Agreement or any other Loan Document shall be made free and clear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28" w:right="339" w:bottom="1440" w:gutter="0" w:footer="0" w:header="0"/>
        </w:sectPr>
      </w:pPr>
    </w:p>
    <w:bookmarkStart w:id="163" w:name="page164"/>
    <w:bookmarkEnd w:id="163"/>
    <w:p>
      <w:pPr>
        <w:jc w:val="both"/>
        <w:spacing w:after="0" w:line="285" w:lineRule="auto"/>
        <w:rPr>
          <w:sz w:val="20"/>
          <w:szCs w:val="20"/>
          <w:color w:val="auto"/>
        </w:rPr>
      </w:pPr>
      <w:r>
        <w:rPr>
          <w:rFonts w:ascii="Arial" w:cs="Arial" w:eastAsia="Arial" w:hAnsi="Arial"/>
          <w:sz w:val="19"/>
          <w:szCs w:val="19"/>
          <w:color w:val="auto"/>
        </w:rPr>
        <w:t xml:space="preserve">of, and without deduction or withholding for or on account of, any Taxes, except as required by applicable law. If any applicable law (as determined in the good faith discretion of the Borrower or the Administrative Agent, as applicable) requires the deduction or withholding of any Tax from any such payment by or on behalf of the Borrower, then the applicable withholding agent shall be entitled to make such deduction or withholding and shall timely pay the full amount deducted or withheld to the relevant Governmental Authority in accordance with applicable law and, if such Tax is a Non-Excluded Tax or Other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Borrower shall not be required to increase any such amounts payable to any Lender with respect to any Non-Excluded Taxes (i) that are attributable to such Lender’s failure to comply with the requirements of </w:t>
      </w:r>
      <w:r>
        <w:rPr>
          <w:rFonts w:ascii="Arial" w:cs="Arial" w:eastAsia="Arial" w:hAnsi="Arial"/>
          <w:sz w:val="19"/>
          <w:szCs w:val="19"/>
          <w:u w:val="single" w:color="auto"/>
          <w:color w:val="auto"/>
        </w:rPr>
        <w:t>paragraph (e)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of this Section, (ii) that are U.S. federal withholding Taxes imposed on amounts payable to such Lender at the time (A) such Lender becomes a party to this Agreement (other than pursuant to an assignment request by the Borrower under Section 2.24) or (B) such Lender changes its lending office, except in each case either to the extent that such Lender’s assignor (if any) was entitled, at the time of assignment, to receive additional amounts or such Lender was entitled to receive additional amounts immediately before it changed its lending office with respect to such Non-Excluded Taxes pursuant to this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(iii) that are withholding Taxes imposed under FATCA. For purposes of this </w:t>
      </w:r>
      <w:r>
        <w:rPr>
          <w:rFonts w:ascii="Arial" w:cs="Arial" w:eastAsia="Arial" w:hAnsi="Arial"/>
          <w:sz w:val="19"/>
          <w:szCs w:val="19"/>
          <w:u w:val="single" w:color="auto"/>
          <w:color w:val="auto"/>
        </w:rPr>
        <w:t>Section 2.20</w:t>
      </w:r>
      <w:r>
        <w:rPr>
          <w:rFonts w:ascii="Arial" w:cs="Arial" w:eastAsia="Arial" w:hAnsi="Arial"/>
          <w:sz w:val="19"/>
          <w:szCs w:val="19"/>
          <w:color w:val="auto"/>
        </w:rPr>
        <w:t>, the term “Lender” shall include the Swing Line Lender.</w:t>
      </w:r>
    </w:p>
    <w:p>
      <w:pPr>
        <w:spacing w:after="0" w:line="169" w:lineRule="exact"/>
        <w:rPr>
          <w:sz w:val="20"/>
          <w:szCs w:val="20"/>
          <w:color w:val="auto"/>
        </w:rPr>
      </w:pPr>
    </w:p>
    <w:p>
      <w:pPr>
        <w:ind w:right="820" w:firstLine="1304"/>
        <w:spacing w:after="0" w:line="263" w:lineRule="auto"/>
        <w:tabs>
          <w:tab w:leader="none" w:pos="1939" w:val="left"/>
        </w:tabs>
        <w:numPr>
          <w:ilvl w:val="0"/>
          <w:numId w:val="92"/>
        </w:numPr>
        <w:rPr>
          <w:rFonts w:ascii="Arial" w:cs="Arial" w:eastAsia="Arial" w:hAnsi="Arial"/>
          <w:sz w:val="22"/>
          <w:szCs w:val="22"/>
          <w:u w:val="single" w:color="auto"/>
          <w:color w:val="0000FF"/>
        </w:rPr>
      </w:pPr>
      <w:r>
        <w:rPr>
          <w:rFonts w:ascii="Arial" w:cs="Arial" w:eastAsia="Arial" w:hAnsi="Arial"/>
          <w:sz w:val="22"/>
          <w:szCs w:val="22"/>
          <w:color w:val="FF0000"/>
          <w:strike w:val="1"/>
        </w:rPr>
        <w:t>(a)</w:t>
      </w:r>
      <w:r>
        <w:rPr>
          <w:rFonts w:ascii="Arial" w:cs="Arial" w:eastAsia="Arial" w:hAnsi="Arial"/>
          <w:sz w:val="22"/>
          <w:szCs w:val="22"/>
          <w:color w:val="FF0000"/>
        </w:rPr>
        <w:t xml:space="preserve"> </w:t>
      </w:r>
      <w:r>
        <w:rPr>
          <w:rFonts w:ascii="Arial" w:cs="Arial" w:eastAsia="Arial" w:hAnsi="Arial"/>
          <w:sz w:val="22"/>
          <w:szCs w:val="22"/>
          <w:color w:val="000000"/>
        </w:rPr>
        <w:t>In addition, the Borrower shall pay any Other Taxes to the relevant Governmental Authority in</w:t>
      </w:r>
      <w:r>
        <w:rPr>
          <w:rFonts w:ascii="Arial" w:cs="Arial" w:eastAsia="Arial" w:hAnsi="Arial"/>
          <w:sz w:val="22"/>
          <w:szCs w:val="22"/>
          <w:color w:val="FF0000"/>
        </w:rPr>
        <w:t xml:space="preserve"> </w:t>
      </w:r>
      <w:r>
        <w:rPr>
          <w:rFonts w:ascii="Arial" w:cs="Arial" w:eastAsia="Arial" w:hAnsi="Arial"/>
          <w:sz w:val="22"/>
          <w:szCs w:val="22"/>
          <w:color w:val="000000"/>
        </w:rPr>
        <w:t>accordance with applicable law.</w:t>
      </w:r>
    </w:p>
    <w:p>
      <w:pPr>
        <w:spacing w:after="0" w:line="174" w:lineRule="exact"/>
        <w:rPr>
          <w:rFonts w:ascii="Arial" w:cs="Arial" w:eastAsia="Arial" w:hAnsi="Arial"/>
          <w:sz w:val="22"/>
          <w:szCs w:val="22"/>
          <w:u w:val="single" w:color="auto"/>
          <w:color w:val="0000FF"/>
        </w:rPr>
      </w:pPr>
    </w:p>
    <w:p>
      <w:pPr>
        <w:jc w:val="both"/>
        <w:ind w:firstLine="1304"/>
        <w:spacing w:after="0" w:line="259" w:lineRule="auto"/>
        <w:tabs>
          <w:tab w:leader="none" w:pos="1941" w:val="left"/>
        </w:tabs>
        <w:numPr>
          <w:ilvl w:val="0"/>
          <w:numId w:val="92"/>
        </w:numPr>
        <w:rPr>
          <w:rFonts w:ascii="Arial" w:cs="Arial" w:eastAsia="Arial" w:hAnsi="Arial"/>
          <w:sz w:val="21"/>
          <w:szCs w:val="21"/>
          <w:u w:val="single" w:color="auto"/>
          <w:color w:val="0000FF"/>
        </w:rPr>
      </w:pPr>
      <w:r>
        <w:rPr>
          <w:rFonts w:ascii="Arial" w:cs="Arial" w:eastAsia="Arial" w:hAnsi="Arial"/>
          <w:sz w:val="21"/>
          <w:szCs w:val="21"/>
          <w:color w:val="FF0000"/>
          <w:strike w:val="1"/>
        </w:rPr>
        <w:t>(b)</w:t>
      </w:r>
      <w:r>
        <w:rPr>
          <w:rFonts w:ascii="Arial" w:cs="Arial" w:eastAsia="Arial" w:hAnsi="Arial"/>
          <w:sz w:val="21"/>
          <w:szCs w:val="21"/>
          <w:color w:val="FF0000"/>
        </w:rPr>
        <w:t xml:space="preserve"> </w:t>
      </w:r>
      <w:r>
        <w:rPr>
          <w:rFonts w:ascii="Arial" w:cs="Arial" w:eastAsia="Arial" w:hAnsi="Arial"/>
          <w:sz w:val="21"/>
          <w:szCs w:val="21"/>
          <w:color w:val="000000"/>
        </w:rPr>
        <w:t>Whenever any Non-Excluded Taxes or Other Taxes are payable by the Borrower or any other Loan</w:t>
      </w:r>
      <w:r>
        <w:rPr>
          <w:rFonts w:ascii="Arial" w:cs="Arial" w:eastAsia="Arial" w:hAnsi="Arial"/>
          <w:sz w:val="21"/>
          <w:szCs w:val="21"/>
          <w:color w:val="FF0000"/>
        </w:rPr>
        <w:t xml:space="preserve"> </w:t>
      </w:r>
      <w:r>
        <w:rPr>
          <w:rFonts w:ascii="Arial" w:cs="Arial" w:eastAsia="Arial" w:hAnsi="Arial"/>
          <w:sz w:val="21"/>
          <w:szCs w:val="21"/>
          <w:color w:val="000000"/>
        </w:rPr>
        <w:t>Party, as promptly as possible thereafter the Borrower shall send to the Administrative Agent for the account of the relevant Agent or Lender, as the case may be, the original or a certified copy of an official receipt showing payment thereof. If the Borrower or any other Loan Party fails to pay any Non-Excluded Taxes or Other Taxes when due to the appropriate taxing authority or the Barrower fails to remit to the Administrative Agent the required receipts or other required documentary evidence, the Borrower shall indemnify the Administrative Agent and the Lenders for any Non-Excluded Taxes and Other Taxes and any incremental Taxes, interest or penalties that may become payable by the Administrative Agent or any Lender as a result of any such failure. The agreements in this Section shall survive the termination of this Agreement and the payment of the Loans and all other amounts payable hereunder.</w:t>
      </w:r>
    </w:p>
    <w:p>
      <w:pPr>
        <w:spacing w:after="0" w:line="179" w:lineRule="exact"/>
        <w:rPr>
          <w:rFonts w:ascii="Arial" w:cs="Arial" w:eastAsia="Arial" w:hAnsi="Arial"/>
          <w:sz w:val="21"/>
          <w:szCs w:val="21"/>
          <w:u w:val="single" w:color="auto"/>
          <w:color w:val="0000FF"/>
        </w:rPr>
      </w:pPr>
    </w:p>
    <w:p>
      <w:pPr>
        <w:jc w:val="both"/>
        <w:ind w:firstLine="1304"/>
        <w:spacing w:after="0" w:line="248" w:lineRule="auto"/>
        <w:tabs>
          <w:tab w:leader="none" w:pos="1939" w:val="left"/>
        </w:tabs>
        <w:numPr>
          <w:ilvl w:val="0"/>
          <w:numId w:val="92"/>
        </w:numPr>
        <w:rPr>
          <w:rFonts w:ascii="Arial" w:cs="Arial" w:eastAsia="Arial" w:hAnsi="Arial"/>
          <w:sz w:val="22"/>
          <w:szCs w:val="22"/>
          <w:u w:val="single" w:color="auto"/>
          <w:color w:val="0000FF"/>
        </w:rPr>
      </w:pPr>
      <w:r>
        <w:rPr>
          <w:rFonts w:ascii="Arial" w:cs="Arial" w:eastAsia="Arial" w:hAnsi="Arial"/>
          <w:sz w:val="22"/>
          <w:szCs w:val="22"/>
          <w:color w:val="FF0000"/>
          <w:strike w:val="1"/>
        </w:rPr>
        <w:t>(c)</w:t>
      </w:r>
      <w:r>
        <w:rPr>
          <w:rFonts w:ascii="Arial" w:cs="Arial" w:eastAsia="Arial" w:hAnsi="Arial"/>
          <w:sz w:val="22"/>
          <w:szCs w:val="22"/>
          <w:color w:val="FF0000"/>
        </w:rPr>
        <w:t xml:space="preserve"> </w:t>
      </w:r>
      <w:r>
        <w:rPr>
          <w:rFonts w:ascii="Arial" w:cs="Arial" w:eastAsia="Arial" w:hAnsi="Arial"/>
          <w:sz w:val="22"/>
          <w:szCs w:val="22"/>
          <w:color w:val="000000"/>
        </w:rPr>
        <w:t>The Loan Parties shall jointly and severally indemnify the Administrative Agent and each Lender,</w:t>
      </w:r>
      <w:r>
        <w:rPr>
          <w:rFonts w:ascii="Arial" w:cs="Arial" w:eastAsia="Arial" w:hAnsi="Arial"/>
          <w:sz w:val="22"/>
          <w:szCs w:val="22"/>
          <w:color w:val="FF0000"/>
        </w:rPr>
        <w:t xml:space="preserve"> </w:t>
      </w:r>
      <w:r>
        <w:rPr>
          <w:rFonts w:ascii="Arial" w:cs="Arial" w:eastAsia="Arial" w:hAnsi="Arial"/>
          <w:sz w:val="22"/>
          <w:szCs w:val="22"/>
          <w:color w:val="000000"/>
        </w:rPr>
        <w:t>within 30 days after written demand therefor, for the full amount of any Non-Excluded Taxes and Other Taxes (including Non-Excluded Taxes and Other Taxes imposed or asserted on or attributable to amounts payable under this Section) payable or paid by such Administrative Agent or Lender or required to be withheld or deducted from a payment to such Administrative Agent or Lender and any reasonable expenses arising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28" w:right="339" w:bottom="1440" w:gutter="0" w:footer="0" w:header="0"/>
        </w:sectPr>
      </w:pPr>
    </w:p>
    <w:bookmarkStart w:id="164" w:name="page165"/>
    <w:bookmarkEnd w:id="164"/>
    <w:p>
      <w:pPr>
        <w:jc w:val="both"/>
        <w:spacing w:after="0" w:line="250" w:lineRule="auto"/>
        <w:rPr>
          <w:sz w:val="20"/>
          <w:szCs w:val="20"/>
          <w:color w:val="auto"/>
        </w:rPr>
      </w:pPr>
      <w:r>
        <w:rPr>
          <w:rFonts w:ascii="Arial" w:cs="Arial" w:eastAsia="Arial" w:hAnsi="Arial"/>
          <w:sz w:val="22"/>
          <w:szCs w:val="22"/>
          <w:color w:val="auto"/>
        </w:rPr>
        <w:t>or with respect thereto, whether or not such Non-Excluded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8" w:lineRule="exact"/>
        <w:rPr>
          <w:sz w:val="20"/>
          <w:szCs w:val="20"/>
          <w:color w:val="auto"/>
        </w:rPr>
      </w:pPr>
    </w:p>
    <w:p>
      <w:pPr>
        <w:jc w:val="both"/>
        <w:ind w:firstLine="1304"/>
        <w:spacing w:after="0" w:line="287" w:lineRule="auto"/>
        <w:tabs>
          <w:tab w:leader="none" w:pos="1941" w:val="left"/>
        </w:tabs>
        <w:numPr>
          <w:ilvl w:val="0"/>
          <w:numId w:val="93"/>
        </w:numPr>
        <w:rPr>
          <w:rFonts w:ascii="Arial" w:cs="Arial" w:eastAsia="Arial" w:hAnsi="Arial"/>
          <w:sz w:val="19"/>
          <w:szCs w:val="19"/>
          <w:u w:val="single" w:color="auto"/>
          <w:color w:val="0000FF"/>
        </w:rPr>
      </w:pPr>
      <w:r>
        <w:rPr>
          <w:rFonts w:ascii="Arial" w:cs="Arial" w:eastAsia="Arial" w:hAnsi="Arial"/>
          <w:sz w:val="19"/>
          <w:szCs w:val="19"/>
          <w:color w:val="FF0000"/>
          <w:strike w:val="1"/>
        </w:rPr>
        <w:t>(d)</w:t>
      </w:r>
      <w:r>
        <w:rPr>
          <w:rFonts w:ascii="Arial" w:cs="Arial" w:eastAsia="Arial" w:hAnsi="Arial"/>
          <w:sz w:val="19"/>
          <w:szCs w:val="19"/>
          <w:color w:val="FF0000"/>
        </w:rPr>
        <w:t xml:space="preserve"> </w:t>
      </w:r>
      <w:r>
        <w:rPr>
          <w:rFonts w:ascii="Arial" w:cs="Arial" w:eastAsia="Arial" w:hAnsi="Arial"/>
          <w:sz w:val="19"/>
          <w:szCs w:val="19"/>
          <w:color w:val="000000"/>
        </w:rPr>
        <w:t>(i) Any Lender that is entitled to an exemption from or reduction of withholding Tax with respect to</w:t>
      </w:r>
      <w:r>
        <w:rPr>
          <w:rFonts w:ascii="Arial" w:cs="Arial" w:eastAsia="Arial" w:hAnsi="Arial"/>
          <w:sz w:val="19"/>
          <w:szCs w:val="19"/>
          <w:color w:val="FF0000"/>
        </w:rPr>
        <w:t xml:space="preserve"> </w:t>
      </w:r>
      <w:r>
        <w:rPr>
          <w:rFonts w:ascii="Arial" w:cs="Arial" w:eastAsia="Arial" w:hAnsi="Arial"/>
          <w:sz w:val="19"/>
          <w:szCs w:val="19"/>
          <w:color w:val="000000"/>
        </w:rPr>
        <w:t>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2.20(e) (ii)(a)-(ii)(b) and Section 2.20(h)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20" w:lineRule="exact"/>
        <w:rPr>
          <w:sz w:val="20"/>
          <w:szCs w:val="20"/>
          <w:color w:val="auto"/>
        </w:rPr>
      </w:pPr>
    </w:p>
    <w:p>
      <w:pPr>
        <w:ind w:left="1940" w:hanging="636"/>
        <w:spacing w:after="0"/>
        <w:tabs>
          <w:tab w:leader="none" w:pos="19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19" w:lineRule="exact"/>
        <w:rPr>
          <w:rFonts w:ascii="Arial" w:cs="Arial" w:eastAsia="Arial" w:hAnsi="Arial"/>
          <w:sz w:val="22"/>
          <w:szCs w:val="22"/>
          <w:color w:val="auto"/>
        </w:rPr>
      </w:pPr>
    </w:p>
    <w:p>
      <w:pPr>
        <w:jc w:val="both"/>
        <w:ind w:left="1540" w:firstLine="655"/>
        <w:spacing w:after="0" w:line="248" w:lineRule="auto"/>
        <w:tabs>
          <w:tab w:leader="none" w:pos="2582" w:val="left"/>
        </w:tabs>
        <w:numPr>
          <w:ilvl w:val="2"/>
          <w:numId w:val="94"/>
        </w:numPr>
        <w:rPr>
          <w:rFonts w:ascii="Arial" w:cs="Arial" w:eastAsia="Arial" w:hAnsi="Arial"/>
          <w:sz w:val="22"/>
          <w:szCs w:val="22"/>
          <w:color w:val="auto"/>
        </w:rPr>
      </w:pPr>
      <w:r>
        <w:rPr>
          <w:rFonts w:ascii="Arial" w:cs="Arial" w:eastAsia="Arial" w:hAnsi="Arial"/>
          <w:sz w:val="22"/>
          <w:szCs w:val="22"/>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Internal Revenue Service Form W-9 certifying that such Lender is exempt from U.S. federal backup withholding Tax;</w:t>
      </w:r>
    </w:p>
    <w:p>
      <w:pPr>
        <w:spacing w:after="0" w:line="191" w:lineRule="exact"/>
        <w:rPr>
          <w:rFonts w:ascii="Arial" w:cs="Arial" w:eastAsia="Arial" w:hAnsi="Arial"/>
          <w:sz w:val="22"/>
          <w:szCs w:val="22"/>
          <w:color w:val="auto"/>
        </w:rPr>
      </w:pPr>
    </w:p>
    <w:p>
      <w:pPr>
        <w:jc w:val="both"/>
        <w:ind w:left="1540" w:firstLine="655"/>
        <w:spacing w:after="0" w:line="302" w:lineRule="auto"/>
        <w:tabs>
          <w:tab w:leader="none" w:pos="2584" w:val="left"/>
        </w:tabs>
        <w:numPr>
          <w:ilvl w:val="2"/>
          <w:numId w:val="94"/>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42" w:lineRule="exact"/>
        <w:rPr>
          <w:rFonts w:ascii="Arial" w:cs="Arial" w:eastAsia="Arial" w:hAnsi="Arial"/>
          <w:sz w:val="19"/>
          <w:szCs w:val="19"/>
          <w:color w:val="auto"/>
        </w:rPr>
      </w:pPr>
    </w:p>
    <w:p>
      <w:pPr>
        <w:jc w:val="both"/>
        <w:ind w:left="1300" w:firstLine="652"/>
        <w:spacing w:after="0" w:line="297" w:lineRule="auto"/>
        <w:tabs>
          <w:tab w:leader="none" w:pos="2596" w:val="left"/>
        </w:tabs>
        <w:numPr>
          <w:ilvl w:val="1"/>
          <w:numId w:val="94"/>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copies of Internal Revenue Service Form W-8BEN or W-8BEN-E, as applicable, establishing an exemption from, or reduction of, U.S. federal withholding Tax pursuant to the “interest” article of such tax treaty and (y) with respect to any other applicable payments under any Loan Document, Internal Revenue Service Form W-8BEN or W-8BEN-E,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28" w:right="339" w:bottom="1440" w:gutter="0" w:footer="0" w:header="0"/>
        </w:sectPr>
      </w:pPr>
    </w:p>
    <w:bookmarkStart w:id="165" w:name="page166"/>
    <w:bookmarkEnd w:id="165"/>
    <w:p>
      <w:pPr>
        <w:ind w:left="1300" w:right="20"/>
        <w:spacing w:after="0" w:line="263" w:lineRule="auto"/>
        <w:rPr>
          <w:sz w:val="20"/>
          <w:szCs w:val="20"/>
          <w:color w:val="auto"/>
        </w:rPr>
      </w:pPr>
      <w:r>
        <w:rPr>
          <w:rFonts w:ascii="Arial" w:cs="Arial" w:eastAsia="Arial" w:hAnsi="Arial"/>
          <w:sz w:val="22"/>
          <w:szCs w:val="22"/>
          <w:color w:val="auto"/>
        </w:rPr>
        <w:t>applicable, establishing an exemption from, or reduction of, U.S. federal withholding Tax pursuant to the “business profits” or “other income” article of such tax treaty;</w:t>
      </w:r>
    </w:p>
    <w:p>
      <w:pPr>
        <w:spacing w:after="0" w:line="175" w:lineRule="exact"/>
        <w:rPr>
          <w:sz w:val="20"/>
          <w:szCs w:val="20"/>
          <w:color w:val="auto"/>
        </w:rPr>
      </w:pPr>
    </w:p>
    <w:p>
      <w:pPr>
        <w:ind w:left="2600" w:hanging="648"/>
        <w:spacing w:after="0"/>
        <w:tabs>
          <w:tab w:leader="none" w:pos="2600" w:val="left"/>
        </w:tabs>
        <w:numPr>
          <w:ilvl w:val="0"/>
          <w:numId w:val="95"/>
        </w:numPr>
        <w:rPr>
          <w:rFonts w:ascii="Arial" w:cs="Arial" w:eastAsia="Arial" w:hAnsi="Arial"/>
          <w:sz w:val="22"/>
          <w:szCs w:val="22"/>
          <w:color w:val="auto"/>
        </w:rPr>
      </w:pPr>
      <w:r>
        <w:rPr>
          <w:rFonts w:ascii="Arial" w:cs="Arial" w:eastAsia="Arial" w:hAnsi="Arial"/>
          <w:sz w:val="22"/>
          <w:szCs w:val="22"/>
          <w:color w:val="auto"/>
        </w:rPr>
        <w:t>executed copies of Internal Revenue Service Form W-8ECI;</w:t>
      </w:r>
    </w:p>
    <w:p>
      <w:pPr>
        <w:spacing w:after="0" w:line="220" w:lineRule="exact"/>
        <w:rPr>
          <w:sz w:val="20"/>
          <w:szCs w:val="20"/>
          <w:color w:val="auto"/>
        </w:rPr>
      </w:pPr>
    </w:p>
    <w:p>
      <w:pPr>
        <w:jc w:val="both"/>
        <w:ind w:left="1300" w:firstLine="652"/>
        <w:spacing w:after="0" w:line="261" w:lineRule="auto"/>
        <w:tabs>
          <w:tab w:leader="none" w:pos="2655" w:val="left"/>
        </w:tabs>
        <w:numPr>
          <w:ilvl w:val="0"/>
          <w:numId w:val="96"/>
        </w:numPr>
        <w:rPr>
          <w:rFonts w:ascii="Arial" w:cs="Arial" w:eastAsia="Arial" w:hAnsi="Arial"/>
          <w:sz w:val="21"/>
          <w:szCs w:val="21"/>
          <w:color w:val="auto"/>
        </w:rPr>
      </w:pPr>
      <w:r>
        <w:rPr>
          <w:rFonts w:ascii="Arial" w:cs="Arial" w:eastAsia="Arial" w:hAnsi="Arial"/>
          <w:sz w:val="21"/>
          <w:szCs w:val="21"/>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the Borrower within the meaning of Section 881(c)(3)(B) of the Code, or a “controlled foreign corporation” described in Section 881(c)(3)(C) of the Code (a “U.S. Tax Compliance Certificate”) and (y) executed copies of Internal Revenue Service Form W-8BEN or W-8BEN-E, as applicable; or</w:t>
      </w:r>
    </w:p>
    <w:p>
      <w:pPr>
        <w:spacing w:after="0" w:line="179" w:lineRule="exact"/>
        <w:rPr>
          <w:sz w:val="20"/>
          <w:szCs w:val="20"/>
          <w:color w:val="auto"/>
        </w:rPr>
      </w:pPr>
    </w:p>
    <w:p>
      <w:pPr>
        <w:jc w:val="both"/>
        <w:ind w:left="1300" w:firstLine="648"/>
        <w:spacing w:after="0" w:line="292" w:lineRule="auto"/>
        <w:rPr>
          <w:sz w:val="20"/>
          <w:szCs w:val="20"/>
          <w:color w:val="auto"/>
        </w:rPr>
      </w:pPr>
      <w:r>
        <w:rPr>
          <w:rFonts w:ascii="Arial" w:cs="Arial" w:eastAsia="Arial" w:hAnsi="Arial"/>
          <w:sz w:val="19"/>
          <w:szCs w:val="19"/>
          <w:color w:val="auto"/>
        </w:rPr>
        <w:t>(IV) to the extent a Foreign Lender is not the beneficial owner, executed copies of Internal Revenue Service Form W-8IMY, accompanied by Internal Revenue Service Form W-8ECI, Internal Revenue Service Form W-8BEN, W-8BEN-E, a U.S. Tax Compliance Certificate substantially in the form of Exhibit E-2 or Exhibit E-3, Internal Revenue Service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51" w:lineRule="exact"/>
        <w:rPr>
          <w:sz w:val="20"/>
          <w:szCs w:val="20"/>
          <w:color w:val="auto"/>
        </w:rPr>
      </w:pPr>
    </w:p>
    <w:p>
      <w:pPr>
        <w:jc w:val="both"/>
        <w:ind w:left="660" w:firstLine="320"/>
        <w:spacing w:after="0" w:line="260" w:lineRule="auto"/>
        <w:tabs>
          <w:tab w:leader="none" w:pos="1426" w:val="left"/>
        </w:tabs>
        <w:numPr>
          <w:ilvl w:val="0"/>
          <w:numId w:val="97"/>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80" w:lineRule="exact"/>
        <w:rPr>
          <w:rFonts w:ascii="Arial" w:cs="Arial" w:eastAsia="Arial" w:hAnsi="Arial"/>
          <w:sz w:val="21"/>
          <w:szCs w:val="21"/>
          <w:color w:val="auto"/>
        </w:rPr>
      </w:pPr>
    </w:p>
    <w:p>
      <w:pPr>
        <w:jc w:val="both"/>
        <w:ind w:firstLine="1304"/>
        <w:spacing w:after="0" w:line="253" w:lineRule="auto"/>
        <w:tabs>
          <w:tab w:leader="none" w:pos="1944" w:val="left"/>
        </w:tabs>
        <w:numPr>
          <w:ilvl w:val="1"/>
          <w:numId w:val="97"/>
        </w:numPr>
        <w:rPr>
          <w:rFonts w:ascii="Arial" w:cs="Arial" w:eastAsia="Arial" w:hAnsi="Arial"/>
          <w:sz w:val="22"/>
          <w:szCs w:val="22"/>
          <w:u w:val="single" w:color="auto"/>
          <w:color w:val="0000FF"/>
        </w:rPr>
      </w:pPr>
      <w:r>
        <w:rPr>
          <w:rFonts w:ascii="Arial" w:cs="Arial" w:eastAsia="Arial" w:hAnsi="Arial"/>
          <w:sz w:val="22"/>
          <w:szCs w:val="22"/>
          <w:color w:val="FF0000"/>
          <w:strike w:val="1"/>
        </w:rPr>
        <w:t>(e)</w:t>
      </w:r>
      <w:r>
        <w:rPr>
          <w:rFonts w:ascii="Arial" w:cs="Arial" w:eastAsia="Arial" w:hAnsi="Arial"/>
          <w:sz w:val="22"/>
          <w:szCs w:val="22"/>
          <w:color w:val="FF0000"/>
        </w:rPr>
        <w:t xml:space="preserve"> </w:t>
      </w:r>
      <w:r>
        <w:rPr>
          <w:rFonts w:ascii="Arial" w:cs="Arial" w:eastAsia="Arial" w:hAnsi="Arial"/>
          <w:sz w:val="22"/>
          <w:szCs w:val="22"/>
          <w:color w:val="000000"/>
        </w:rPr>
        <w:t>Each Lender agrees that if any form or certification it previously delivered expires or becomes obsolete</w:t>
      </w:r>
      <w:r>
        <w:rPr>
          <w:rFonts w:ascii="Arial" w:cs="Arial" w:eastAsia="Arial" w:hAnsi="Arial"/>
          <w:sz w:val="22"/>
          <w:szCs w:val="22"/>
          <w:color w:val="FF0000"/>
        </w:rPr>
        <w:t xml:space="preserve"> </w:t>
      </w:r>
      <w:r>
        <w:rPr>
          <w:rFonts w:ascii="Arial" w:cs="Arial" w:eastAsia="Arial" w:hAnsi="Arial"/>
          <w:sz w:val="22"/>
          <w:szCs w:val="22"/>
          <w:color w:val="000000"/>
        </w:rPr>
        <w:t>or inaccurate in any respect, it shall update such form or certification or promptly notify the Borrower and the Administrative Agent in writing of its legal inability to do so.</w:t>
      </w:r>
    </w:p>
    <w:p>
      <w:pPr>
        <w:spacing w:after="0" w:line="185" w:lineRule="exact"/>
        <w:rPr>
          <w:rFonts w:ascii="Arial" w:cs="Arial" w:eastAsia="Arial" w:hAnsi="Arial"/>
          <w:sz w:val="22"/>
          <w:szCs w:val="22"/>
          <w:u w:val="single" w:color="auto"/>
          <w:color w:val="0000FF"/>
        </w:rPr>
      </w:pPr>
    </w:p>
    <w:p>
      <w:pPr>
        <w:jc w:val="both"/>
        <w:ind w:firstLine="1304"/>
        <w:spacing w:after="0" w:line="312" w:lineRule="auto"/>
        <w:tabs>
          <w:tab w:leader="none" w:pos="1939" w:val="left"/>
        </w:tabs>
        <w:numPr>
          <w:ilvl w:val="1"/>
          <w:numId w:val="97"/>
        </w:numPr>
        <w:rPr>
          <w:rFonts w:ascii="Arial" w:cs="Arial" w:eastAsia="Arial" w:hAnsi="Arial"/>
          <w:sz w:val="19"/>
          <w:szCs w:val="19"/>
          <w:u w:val="single" w:color="auto"/>
          <w:color w:val="0000FF"/>
        </w:rPr>
      </w:pPr>
      <w:r>
        <w:rPr>
          <w:rFonts w:ascii="Arial" w:cs="Arial" w:eastAsia="Arial" w:hAnsi="Arial"/>
          <w:sz w:val="19"/>
          <w:szCs w:val="19"/>
          <w:color w:val="FF0000"/>
          <w:strike w:val="1"/>
        </w:rPr>
        <w:t>(f)</w:t>
      </w:r>
      <w:r>
        <w:rPr>
          <w:rFonts w:ascii="Arial" w:cs="Arial" w:eastAsia="Arial" w:hAnsi="Arial"/>
          <w:sz w:val="19"/>
          <w:szCs w:val="19"/>
          <w:color w:val="FF0000"/>
        </w:rPr>
        <w:t xml:space="preserve"> </w:t>
      </w:r>
      <w:r>
        <w:rPr>
          <w:rFonts w:ascii="Arial" w:cs="Arial" w:eastAsia="Arial" w:hAnsi="Arial"/>
          <w:sz w:val="19"/>
          <w:szCs w:val="19"/>
          <w:color w:val="000000"/>
        </w:rPr>
        <w:t>If the Administrative Agent or a Lender determines, in its sole discretion, that it has received a refund</w:t>
      </w:r>
      <w:r>
        <w:rPr>
          <w:rFonts w:ascii="Arial" w:cs="Arial" w:eastAsia="Arial" w:hAnsi="Arial"/>
          <w:sz w:val="19"/>
          <w:szCs w:val="19"/>
          <w:color w:val="FF0000"/>
        </w:rPr>
        <w:t xml:space="preserve"> </w:t>
      </w:r>
      <w:r>
        <w:rPr>
          <w:rFonts w:ascii="Arial" w:cs="Arial" w:eastAsia="Arial" w:hAnsi="Arial"/>
          <w:sz w:val="19"/>
          <w:szCs w:val="19"/>
          <w:color w:val="000000"/>
        </w:rPr>
        <w:t xml:space="preserve">of any Taxes as to which it has been indemnified by the Borrower or with respect to which the Borrower has paid additional amounts pursuant to this </w:t>
      </w:r>
      <w:r>
        <w:rPr>
          <w:rFonts w:ascii="Arial" w:cs="Arial" w:eastAsia="Arial" w:hAnsi="Arial"/>
          <w:sz w:val="19"/>
          <w:szCs w:val="19"/>
          <w:u w:val="single" w:color="auto"/>
          <w:color w:val="000000"/>
        </w:rPr>
        <w:t>Section 2.20</w:t>
      </w:r>
      <w:r>
        <w:rPr>
          <w:rFonts w:ascii="Arial" w:cs="Arial" w:eastAsia="Arial" w:hAnsi="Arial"/>
          <w:sz w:val="19"/>
          <w:szCs w:val="19"/>
          <w:color w:val="000000"/>
        </w:rPr>
        <w:t>, it shall pay over such refund to Borrower (but only to the extent of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8" w:right="339" w:bottom="1440" w:gutter="0" w:footer="0" w:header="0"/>
        </w:sectPr>
      </w:pPr>
    </w:p>
    <w:bookmarkStart w:id="166" w:name="page167"/>
    <w:bookmarkEnd w:id="166"/>
    <w:p>
      <w:pPr>
        <w:jc w:val="both"/>
        <w:spacing w:after="0" w:line="287" w:lineRule="auto"/>
        <w:rPr>
          <w:sz w:val="20"/>
          <w:szCs w:val="20"/>
          <w:color w:val="auto"/>
        </w:rPr>
      </w:pPr>
      <w:r>
        <w:rPr>
          <w:rFonts w:ascii="Arial" w:cs="Arial" w:eastAsia="Arial" w:hAnsi="Arial"/>
          <w:sz w:val="19"/>
          <w:szCs w:val="19"/>
          <w:color w:val="auto"/>
        </w:rPr>
        <w:t xml:space="preserve">payments made, or additional amounts paid, by the Borrower under this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with respect to the Non-Excluded Taxes or Other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upon the request of the relevant Agent or Lender, agrees to repay the amount paid over to the Borrower (plus any penalties, interest or other charges imposed by the relevant Governmental Authority) to the Administrative Agent or such Lender in the event the Administrative Agent or Lender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9"/>
          <w:szCs w:val="19"/>
          <w:u w:val="single" w:color="auto"/>
          <w:color w:val="auto"/>
        </w:rPr>
        <w:t>Section 2.20(g)</w:t>
      </w:r>
      <w:r>
        <w:rPr>
          <w:rFonts w:ascii="Arial" w:cs="Arial" w:eastAsia="Arial" w:hAnsi="Arial"/>
          <w:sz w:val="19"/>
          <w:szCs w:val="19"/>
          <w:color w:val="auto"/>
        </w:rPr>
        <w:t xml:space="preserve"> shall not be construed to require the Administrative Agent or any Lender to make available its tax returns (or any other information relating to its Taxes which it deems confidential) to the Borrower, any other Loan Party or any other Person.</w:t>
      </w:r>
    </w:p>
    <w:p>
      <w:pPr>
        <w:spacing w:after="0" w:line="200" w:lineRule="exact"/>
        <w:rPr>
          <w:sz w:val="20"/>
          <w:szCs w:val="20"/>
          <w:color w:val="auto"/>
        </w:rPr>
      </w:pPr>
    </w:p>
    <w:p>
      <w:pPr>
        <w:spacing w:after="0" w:line="215" w:lineRule="exact"/>
        <w:rPr>
          <w:sz w:val="20"/>
          <w:szCs w:val="20"/>
          <w:color w:val="auto"/>
        </w:rPr>
      </w:pPr>
    </w:p>
    <w:p>
      <w:pPr>
        <w:jc w:val="both"/>
        <w:ind w:firstLine="1304"/>
        <w:spacing w:after="0" w:line="292" w:lineRule="auto"/>
        <w:tabs>
          <w:tab w:leader="none" w:pos="1939" w:val="left"/>
        </w:tabs>
        <w:numPr>
          <w:ilvl w:val="0"/>
          <w:numId w:val="98"/>
        </w:numPr>
        <w:rPr>
          <w:rFonts w:ascii="Arial" w:cs="Arial" w:eastAsia="Arial" w:hAnsi="Arial"/>
          <w:sz w:val="19"/>
          <w:szCs w:val="19"/>
          <w:u w:val="single" w:color="auto"/>
          <w:color w:val="0000FF"/>
        </w:rPr>
      </w:pPr>
      <w:r>
        <w:rPr>
          <w:rFonts w:ascii="Arial" w:cs="Arial" w:eastAsia="Arial" w:hAnsi="Arial"/>
          <w:sz w:val="19"/>
          <w:szCs w:val="19"/>
          <w:color w:val="FF0000"/>
          <w:strike w:val="1"/>
        </w:rPr>
        <w:t>(g)</w:t>
      </w:r>
      <w:r>
        <w:rPr>
          <w:rFonts w:ascii="Arial" w:cs="Arial" w:eastAsia="Arial" w:hAnsi="Arial"/>
          <w:sz w:val="19"/>
          <w:szCs w:val="19"/>
          <w:color w:val="FF0000"/>
        </w:rPr>
        <w:t xml:space="preserve"> </w:t>
      </w:r>
      <w:r>
        <w:rPr>
          <w:rFonts w:ascii="Arial" w:cs="Arial" w:eastAsia="Arial" w:hAnsi="Arial"/>
          <w:sz w:val="19"/>
          <w:szCs w:val="19"/>
          <w:color w:val="000000"/>
        </w:rPr>
        <w:t>Each Lender shall deliver to the Borrower and the Administrative Agent at the time or times prescribed</w:t>
      </w:r>
      <w:r>
        <w:rPr>
          <w:rFonts w:ascii="Arial" w:cs="Arial" w:eastAsia="Arial" w:hAnsi="Arial"/>
          <w:sz w:val="19"/>
          <w:szCs w:val="19"/>
          <w:color w:val="FF0000"/>
        </w:rPr>
        <w:t xml:space="preserve"> </w:t>
      </w:r>
      <w:r>
        <w:rPr>
          <w:rFonts w:ascii="Arial" w:cs="Arial" w:eastAsia="Arial" w:hAnsi="Arial"/>
          <w:sz w:val="19"/>
          <w:szCs w:val="19"/>
          <w:color w:val="000000"/>
        </w:rPr>
        <w:t xml:space="preserve">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9"/>
          <w:szCs w:val="19"/>
          <w:u w:val="single" w:color="auto"/>
          <w:color w:val="000000"/>
        </w:rPr>
        <w:t>Section 2.20(h)</w:t>
      </w:r>
      <w:r>
        <w:rPr>
          <w:rFonts w:ascii="Arial" w:cs="Arial" w:eastAsia="Arial" w:hAnsi="Arial"/>
          <w:sz w:val="19"/>
          <w:szCs w:val="19"/>
          <w:color w:val="000000"/>
        </w:rPr>
        <w:t>, “FATCA” shall include any amendments made to FATCA after the date of this Agreement.</w:t>
      </w:r>
    </w:p>
    <w:p>
      <w:pPr>
        <w:spacing w:after="0" w:line="15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Indemnity</w:t>
      </w:r>
      <w:r>
        <w:rPr>
          <w:rFonts w:ascii="Arial" w:cs="Arial" w:eastAsia="Arial" w:hAnsi="Arial"/>
          <w:sz w:val="19"/>
          <w:szCs w:val="19"/>
          <w:color w:val="auto"/>
        </w:rPr>
        <w:t xml:space="preserve">. The Borrower agrees to indemnify each Lender for, and to hold each Lender harmless from, any loss or expense that such Lender may sustain or incur as a consequence of (a) default by the Borrower in making a borrowing of, conversion into or continuation of Eurodollar Loans after the Borrower has given a notice requesting the same in accordance with the provisions of this Agreement, (b) default by the Borrower in making any prepayment of Eurodollar Loans after the Borrower has given a notice thereof in accordance with the provisions of this Agreement, (c) the making of a prepayment or conversion of Eurodollar Loans on a day that is not the last day of an Interest Period with respect thereto or (d) the assignment of any Eurodollar Loan or Base Rate Loan other than on the last day of the Interest Period applicable thereto as a result of a request by the Borrower pursuant to </w:t>
      </w:r>
      <w:r>
        <w:rPr>
          <w:rFonts w:ascii="Arial" w:cs="Arial" w:eastAsia="Arial" w:hAnsi="Arial"/>
          <w:sz w:val="19"/>
          <w:szCs w:val="19"/>
          <w:u w:val="single" w:color="auto"/>
          <w:color w:val="auto"/>
        </w:rPr>
        <w:t>Section 2.24</w:t>
      </w:r>
      <w:r>
        <w:rPr>
          <w:rFonts w:ascii="Arial" w:cs="Arial" w:eastAsia="Arial" w:hAnsi="Arial"/>
          <w:sz w:val="19"/>
          <w:szCs w:val="19"/>
          <w:color w:val="auto"/>
        </w:rPr>
        <w:t>(a).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28" w:right="339" w:bottom="1440" w:gutter="0" w:footer="0" w:header="0"/>
        </w:sectPr>
      </w:pPr>
    </w:p>
    <w:bookmarkStart w:id="167" w:name="page168"/>
    <w:bookmarkEnd w:id="167"/>
    <w:p>
      <w:pPr>
        <w:jc w:val="both"/>
        <w:spacing w:after="0" w:line="259" w:lineRule="auto"/>
        <w:rPr>
          <w:sz w:val="20"/>
          <w:szCs w:val="20"/>
          <w:color w:val="auto"/>
        </w:rPr>
      </w:pPr>
      <w:r>
        <w:rPr>
          <w:rFonts w:ascii="Arial" w:cs="Arial" w:eastAsia="Arial" w:hAnsi="Arial"/>
          <w:sz w:val="21"/>
          <w:szCs w:val="21"/>
          <w:color w:val="auto"/>
        </w:rPr>
        <w:t>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Lender shall be required to submit a certificate (i) setting forth any additional amounts payable pursuant to this Section and (ii) certifying that such Lender or Issuing Lender is generally charging such amounts to similarly situated borrowers, and any such certificate submitted to the Borrower by any Lender shall be conclusive in the absence of manifest error. The Borrower shall pay such Lender the amount shown as due on any such certificate within 30 days after receipt thereof. This covenant shall survive the termination of this Agreement and the payment of the Loans and all other amounts payable hereunder.</w:t>
      </w:r>
    </w:p>
    <w:p>
      <w:pPr>
        <w:spacing w:after="0" w:line="183"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auto"/>
        </w:rPr>
        <w:t xml:space="preserve">2.22 </w:t>
      </w:r>
      <w:r>
        <w:rPr>
          <w:rFonts w:ascii="Arial" w:cs="Arial" w:eastAsia="Arial" w:hAnsi="Arial"/>
          <w:sz w:val="19"/>
          <w:szCs w:val="19"/>
          <w:u w:val="single" w:color="auto"/>
          <w:color w:val="auto"/>
        </w:rPr>
        <w:t>Illegality</w:t>
      </w:r>
      <w:r>
        <w:rPr>
          <w:rFonts w:ascii="Arial" w:cs="Arial" w:eastAsia="Arial" w:hAnsi="Arial"/>
          <w:sz w:val="19"/>
          <w:szCs w:val="19"/>
          <w:color w:val="auto"/>
        </w:rPr>
        <w:t xml:space="preserve">.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upon notice thereof by such Lender to the Borrower (through the Administrative Agent), (a) any obligation of such Lender to make or continue Eurodollar Rate Loans or to convert Base Rate Loans to Eurodollar Rate Loans shall be suspended, and (b)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(ii)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 together with any additional amounts required pursuant to </w:t>
      </w:r>
      <w:r>
        <w:rPr>
          <w:rFonts w:ascii="Arial" w:cs="Arial" w:eastAsia="Arial" w:hAnsi="Arial"/>
          <w:sz w:val="19"/>
          <w:szCs w:val="19"/>
          <w:u w:val="single" w:color="auto"/>
          <w:color w:val="auto"/>
        </w:rPr>
        <w:t>Section 2.21</w:t>
      </w:r>
      <w:r>
        <w:rPr>
          <w:rFonts w:ascii="Arial" w:cs="Arial" w:eastAsia="Arial" w:hAnsi="Arial"/>
          <w:sz w:val="19"/>
          <w:szCs w:val="19"/>
          <w:color w:val="auto"/>
        </w:rPr>
        <w:t>.</w:t>
      </w:r>
    </w:p>
    <w:p>
      <w:pPr>
        <w:spacing w:after="0" w:line="200" w:lineRule="exact"/>
        <w:rPr>
          <w:sz w:val="20"/>
          <w:szCs w:val="20"/>
          <w:color w:val="auto"/>
        </w:rPr>
      </w:pPr>
    </w:p>
    <w:p>
      <w:pPr>
        <w:spacing w:after="0" w:line="23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2.23 </w:t>
      </w:r>
      <w:r>
        <w:rPr>
          <w:rFonts w:ascii="Arial" w:cs="Arial" w:eastAsia="Arial" w:hAnsi="Arial"/>
          <w:sz w:val="22"/>
          <w:szCs w:val="22"/>
          <w:u w:val="single" w:color="auto"/>
          <w:color w:val="auto"/>
        </w:rPr>
        <w:t>Change of Lending Office</w:t>
      </w:r>
      <w:r>
        <w:rPr>
          <w:rFonts w:ascii="Arial" w:cs="Arial" w:eastAsia="Arial" w:hAnsi="Arial"/>
          <w:sz w:val="22"/>
          <w:szCs w:val="22"/>
          <w:color w:val="auto"/>
        </w:rPr>
        <w:t xml:space="preserve">. Each Lender agrees that, upon the occurrence of any event giving rise to the operation of </w:t>
      </w:r>
      <w:r>
        <w:rPr>
          <w:rFonts w:ascii="Arial" w:cs="Arial" w:eastAsia="Arial" w:hAnsi="Arial"/>
          <w:sz w:val="22"/>
          <w:szCs w:val="22"/>
          <w:u w:val="single" w:color="auto"/>
          <w:color w:val="auto"/>
        </w:rPr>
        <w:t>Section 2.19</w:t>
      </w:r>
      <w:r>
        <w:rPr>
          <w:rFonts w:ascii="Arial" w:cs="Arial" w:eastAsia="Arial" w:hAnsi="Arial"/>
          <w:sz w:val="22"/>
          <w:szCs w:val="22"/>
          <w:color w:val="auto"/>
        </w:rPr>
        <w:t xml:space="preserve">, </w:t>
      </w:r>
      <w:r>
        <w:rPr>
          <w:rFonts w:ascii="Arial" w:cs="Arial" w:eastAsia="Arial" w:hAnsi="Arial"/>
          <w:sz w:val="22"/>
          <w:szCs w:val="22"/>
          <w:u w:val="single" w:color="auto"/>
          <w:color w:val="auto"/>
        </w:rPr>
        <w:t>2.20(a)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2.22</w:t>
      </w:r>
      <w:r>
        <w:rPr>
          <w:rFonts w:ascii="Arial" w:cs="Arial" w:eastAsia="Arial" w:hAnsi="Arial"/>
          <w:sz w:val="22"/>
          <w:szCs w:val="22"/>
          <w:color w:val="auto"/>
        </w:rPr>
        <w:t xml:space="preserve"> with respect to such Lender, it will use reasonable efforts (subject to overall policy considerations of such Lender)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8" w:right="339" w:bottom="1440" w:gutter="0" w:footer="0" w:header="0"/>
        </w:sectPr>
      </w:pPr>
    </w:p>
    <w:bookmarkStart w:id="168" w:name="page169"/>
    <w:bookmarkEnd w:id="168"/>
    <w:p>
      <w:pPr>
        <w:jc w:val="both"/>
        <w:spacing w:after="0" w:line="294" w:lineRule="auto"/>
        <w:rPr>
          <w:sz w:val="20"/>
          <w:szCs w:val="20"/>
          <w:color w:val="auto"/>
        </w:rPr>
      </w:pPr>
      <w:r>
        <w:rPr>
          <w:rFonts w:ascii="Arial" w:cs="Arial" w:eastAsia="Arial" w:hAnsi="Arial"/>
          <w:sz w:val="19"/>
          <w:szCs w:val="19"/>
          <w:color w:val="auto"/>
        </w:rPr>
        <w:t xml:space="preserve">designate another lending office for any Loans affected by such event with the object of avoiding the consequences of such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designation shall be required unless such designation can be made on terms that, in the sole judgment of such Lender, (i) cause such Lender and its lending office(s) to suffer no economic, legal or regulatory disadvantage and (ii) in the case of a designation arising from the operation of Section 2.19 or Section 2.20(a), such designation or assignment would eliminate or reduce amounts payable pursuant to Section 2.19 or Section 2.20,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nothing in this Section shall affect or postpone any of the obligations of any Borrower or the rights of any Lender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2.22</w:t>
      </w:r>
      <w:r>
        <w:rPr>
          <w:rFonts w:ascii="Arial" w:cs="Arial" w:eastAsia="Arial" w:hAnsi="Arial"/>
          <w:sz w:val="19"/>
          <w:szCs w:val="19"/>
          <w:color w:val="auto"/>
        </w:rPr>
        <w:t>.</w:t>
      </w:r>
    </w:p>
    <w:p>
      <w:pPr>
        <w:spacing w:after="0" w:line="14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u w:val="single" w:color="auto"/>
          <w:color w:val="auto"/>
        </w:rPr>
        <w:t>Replacement of Lenders under Certain Circumstances; Defaulting Lenders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91" w:lineRule="auto"/>
        <w:tabs>
          <w:tab w:leader="none" w:pos="1941" w:val="left"/>
        </w:tabs>
        <w:numPr>
          <w:ilvl w:val="1"/>
          <w:numId w:val="99"/>
        </w:numPr>
        <w:rPr>
          <w:rFonts w:ascii="Arial" w:cs="Arial" w:eastAsia="Arial" w:hAnsi="Arial"/>
          <w:sz w:val="19"/>
          <w:szCs w:val="19"/>
          <w:color w:val="auto"/>
        </w:rPr>
      </w:pPr>
      <w:r>
        <w:rPr>
          <w:rFonts w:ascii="Arial" w:cs="Arial" w:eastAsia="Arial" w:hAnsi="Arial"/>
          <w:sz w:val="19"/>
          <w:szCs w:val="19"/>
          <w:color w:val="auto"/>
        </w:rPr>
        <w:t xml:space="preserve">Replacement of Lenders. The Borrower shall be permitted to replace any Lender that (a) requests reimbursement for amounts owing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or gives a notice of illegality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w:t>
      </w:r>
    </w:p>
    <w:p>
      <w:pPr>
        <w:spacing w:after="0" w:line="1" w:lineRule="exact"/>
        <w:rPr>
          <w:rFonts w:ascii="Arial" w:cs="Arial" w:eastAsia="Arial" w:hAnsi="Arial"/>
          <w:sz w:val="19"/>
          <w:szCs w:val="19"/>
          <w:color w:val="auto"/>
        </w:rPr>
      </w:pPr>
    </w:p>
    <w:p>
      <w:pPr>
        <w:jc w:val="both"/>
        <w:ind w:firstLine="8"/>
        <w:spacing w:after="0" w:line="283" w:lineRule="auto"/>
        <w:tabs>
          <w:tab w:leader="none" w:pos="33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becomes a Defaulting Lender, or (c)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has been obtained), with a replacement financial institution;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replacement does not conflict with any Requirement of Law, (ii) no Event of Default shall have occurred and be continuing at the time of such replacement, (iii) prior to any such replacement, such Lender shall have taken no action under </w:t>
      </w:r>
      <w:r>
        <w:rPr>
          <w:rFonts w:ascii="Arial" w:cs="Arial" w:eastAsia="Arial" w:hAnsi="Arial"/>
          <w:sz w:val="19"/>
          <w:szCs w:val="19"/>
          <w:u w:val="single" w:color="auto"/>
          <w:color w:val="auto"/>
        </w:rPr>
        <w:t>Section 2.23</w:t>
      </w:r>
      <w:r>
        <w:rPr>
          <w:rFonts w:ascii="Arial" w:cs="Arial" w:eastAsia="Arial" w:hAnsi="Arial"/>
          <w:sz w:val="19"/>
          <w:szCs w:val="19"/>
          <w:color w:val="auto"/>
        </w:rPr>
        <w:t xml:space="preserve"> so as to eliminate the continued need for payment of amounts owing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or to eliminate the illegality referred to in such notice of illegality given pursuant to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(iv) the replacement financial institution shall purchase, at par, all Loans and other amounts owing to such replaced Lender on or prior to the date of replacement, (v) the Borrower shall be liable to such replaced Lender under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(as though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were applicable) if any Eurodollar Loan owing to such replaced Lender shall be purchased other than on the last day of the Interest Period relating thereto, (vi) the replacement financial institution, if not already a Lender, shall be reasonably satisfactory to the Administrative Agent, (vii) the replaced Lender shall be obligated to make such replacement in accordance with the provisions of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obligated to pay the registration and processing fee referred to therein), (viii) the Borrower shall pay all additional amounts (if any) required pursuant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2.20</w:t>
      </w:r>
      <w:r>
        <w:rPr>
          <w:rFonts w:ascii="Arial" w:cs="Arial" w:eastAsia="Arial" w:hAnsi="Arial"/>
          <w:sz w:val="19"/>
          <w:szCs w:val="19"/>
          <w:color w:val="auto"/>
        </w:rPr>
        <w:t>, as the case may be, in respect of any period prior to the date on which such replacement shall be consummated, (ix) any such replacement shall not be deemed to be a waiver of any rights that the Borrower, the Administrative Agent or any other Lender shall have against the replaced Lender, and (x) in the case of any such assignment resulting from a claim for compensation under Section 2.19 or payments required to be made pursuant to Section 2.20, such assignment will result in a reduction in such compensation or payments thereafter.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 in order for such assignment to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28" w:right="339" w:bottom="1440" w:gutter="0" w:footer="0" w:header="0"/>
        </w:sectPr>
      </w:pPr>
    </w:p>
    <w:bookmarkStart w:id="169" w:name="page170"/>
    <w:bookmarkEnd w:id="169"/>
    <w:p>
      <w:pPr>
        <w:ind w:left="820" w:hanging="636"/>
        <w:spacing w:after="0"/>
        <w:tabs>
          <w:tab w:leader="none" w:pos="82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Cash Collateral.</w:t>
      </w:r>
    </w:p>
    <w:p>
      <w:pPr>
        <w:spacing w:after="0" w:line="220" w:lineRule="exact"/>
        <w:rPr>
          <w:sz w:val="20"/>
          <w:szCs w:val="20"/>
          <w:color w:val="auto"/>
        </w:rPr>
      </w:pPr>
    </w:p>
    <w:p>
      <w:pPr>
        <w:jc w:val="both"/>
        <w:ind w:left="-460" w:firstLine="644"/>
        <w:spacing w:after="0" w:line="261" w:lineRule="auto"/>
        <w:tabs>
          <w:tab w:leader="none" w:pos="824"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Obligation to Cash Collateralize</w:t>
      </w:r>
      <w:r>
        <w:rPr>
          <w:rFonts w:ascii="Arial" w:cs="Arial" w:eastAsia="Arial" w:hAnsi="Arial"/>
          <w:sz w:val="21"/>
          <w:szCs w:val="21"/>
          <w:color w:val="auto"/>
        </w:rPr>
        <w:t>. At any time that there shall exist a Defaulting Lender, within one Business Day following the written request of the Administrative Agent or any Issuing Lender (with a copy to the Administrative Agent), the Borrower shall Cash Collateralize the Issuing Lenders’ Fronting Exposure with respect to such Defaulting Lender (determined after giving effect to Section 2.24(c)(i)(d) and any Cash Collateral provided by such Defaulting Lender) in an amount not less than the aggregate Fronting Exposure of such Issuing Lender with respect to the applicable Letters of Credit issued and outstanding at such time.</w:t>
      </w:r>
    </w:p>
    <w:p>
      <w:pPr>
        <w:spacing w:after="0" w:line="179" w:lineRule="exact"/>
        <w:rPr>
          <w:rFonts w:ascii="Arial" w:cs="Arial" w:eastAsia="Arial" w:hAnsi="Arial"/>
          <w:sz w:val="21"/>
          <w:szCs w:val="21"/>
          <w:color w:val="auto"/>
        </w:rPr>
      </w:pPr>
    </w:p>
    <w:p>
      <w:pPr>
        <w:jc w:val="both"/>
        <w:ind w:left="-460" w:firstLine="644"/>
        <w:spacing w:after="0" w:line="258" w:lineRule="auto"/>
        <w:tabs>
          <w:tab w:leader="none" w:pos="830"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Grant of Security Interest</w:t>
      </w:r>
      <w:r>
        <w:rPr>
          <w:rFonts w:ascii="Arial" w:cs="Arial" w:eastAsia="Arial" w:hAnsi="Arial"/>
          <w:sz w:val="21"/>
          <w:szCs w:val="21"/>
          <w:color w:val="auto"/>
        </w:rPr>
        <w:t>. The Borrower, and to the extent provided by any Defaulting Lender, such Defaulting Lender, hereby grants to the Administrative Agent, for the benefit of the Issuing Lenders, and agrees to maintain, a first priority security interest in all such Cash Collateral as security for the Defaulting Lender’s obligation to fund participations in respect of L/C Obligations, to be applied pursuant to clause (iii) below. If at any time the Administrative Agent determines that Cash Collateral is subject to any right or claim of any Person other than the Administrative Agent and the Issuing Lenders as herein provided, or that the total amount of such Cash Collateral is less than the aggregate Fronting Exposure of such Issuing Lender with respect to the applicable Letters of Credit issued and outstanding at such time,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85" w:lineRule="exact"/>
        <w:rPr>
          <w:rFonts w:ascii="Arial" w:cs="Arial" w:eastAsia="Arial" w:hAnsi="Arial"/>
          <w:sz w:val="21"/>
          <w:szCs w:val="21"/>
          <w:color w:val="auto"/>
        </w:rPr>
      </w:pPr>
    </w:p>
    <w:p>
      <w:pPr>
        <w:jc w:val="both"/>
        <w:ind w:left="-460" w:firstLine="644"/>
        <w:spacing w:after="0" w:line="263" w:lineRule="auto"/>
        <w:tabs>
          <w:tab w:leader="none" w:pos="836"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Application</w:t>
      </w:r>
      <w:r>
        <w:rPr>
          <w:rFonts w:ascii="Arial" w:cs="Arial" w:eastAsia="Arial" w:hAnsi="Arial"/>
          <w:sz w:val="21"/>
          <w:szCs w:val="21"/>
          <w:color w:val="auto"/>
        </w:rPr>
        <w:t>. Notwithstanding anything to the contrary contained in this Agreement, Cash Collateral provided under this Section or Section 2.24(c)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75" w:lineRule="exact"/>
        <w:rPr>
          <w:rFonts w:ascii="Arial" w:cs="Arial" w:eastAsia="Arial" w:hAnsi="Arial"/>
          <w:sz w:val="21"/>
          <w:szCs w:val="21"/>
          <w:color w:val="auto"/>
        </w:rPr>
      </w:pPr>
    </w:p>
    <w:p>
      <w:pPr>
        <w:jc w:val="both"/>
        <w:ind w:left="-460" w:firstLine="644"/>
        <w:spacing w:after="0" w:line="290" w:lineRule="auto"/>
        <w:tabs>
          <w:tab w:leader="none" w:pos="82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Termination of Requirement</w:t>
      </w:r>
      <w:r>
        <w:rPr>
          <w:rFonts w:ascii="Arial" w:cs="Arial" w:eastAsia="Arial" w:hAnsi="Arial"/>
          <w:sz w:val="19"/>
          <w:szCs w:val="19"/>
          <w:color w:val="auto"/>
        </w:rPr>
        <w:t xml:space="preserve">. Cash Collateral (or the appropriate portion thereof) provided to reduce any Issuing Lender’s Fronting Exposure shall no longer be required to be held as Cash Collateral pursuant to this Section following (i) the elimination of the applicable Fronting Exposure (including by the termination of Defaulting Lender status of the applicable Lender), or (ii) the determination by the Administrative Agent and each Issuing Lender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Section 2.24(c) the Person providing Cash Collateral and each Issuing Lender may agree that Cash Collateral shall be held to support future anticipated Fronting Exposure or other obligations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to the extent that such Cash Collateral was provided by the Borrower, such Cash Collateral shall remain subject to the security interest granted pursuant to the Loan Documents.</w:t>
      </w:r>
    </w:p>
    <w:p>
      <w:pPr>
        <w:spacing w:after="0" w:line="156" w:lineRule="exact"/>
        <w:rPr>
          <w:sz w:val="20"/>
          <w:szCs w:val="20"/>
          <w:color w:val="auto"/>
        </w:rPr>
      </w:pPr>
    </w:p>
    <w:p>
      <w:pPr>
        <w:ind w:left="820" w:hanging="636"/>
        <w:spacing w:after="0"/>
        <w:tabs>
          <w:tab w:leader="none" w:pos="82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Defaulting Lenders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0120"/>
          </w:cols>
          <w:pgMar w:left="1440" w:top="1428" w:right="339" w:bottom="1440" w:gutter="0" w:footer="0" w:header="0"/>
        </w:sectPr>
      </w:pPr>
    </w:p>
    <w:bookmarkStart w:id="170" w:name="page171"/>
    <w:bookmarkEnd w:id="170"/>
    <w:p>
      <w:pPr>
        <w:jc w:val="both"/>
        <w:ind w:left="-460" w:firstLine="644"/>
        <w:spacing w:after="0" w:line="253" w:lineRule="auto"/>
        <w:tabs>
          <w:tab w:leader="none" w:pos="824"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 provision of this Agreement to the contrary, if any Lender becomes a Defaulting Lender, then the following provisions shall apply for so long as such Lender is a Defaulting Lender:</w:t>
      </w:r>
    </w:p>
    <w:p>
      <w:pPr>
        <w:spacing w:after="0" w:line="185" w:lineRule="exact"/>
        <w:rPr>
          <w:rFonts w:ascii="Arial" w:cs="Arial" w:eastAsia="Arial" w:hAnsi="Arial"/>
          <w:sz w:val="22"/>
          <w:szCs w:val="22"/>
          <w:color w:val="auto"/>
        </w:rPr>
      </w:pPr>
    </w:p>
    <w:p>
      <w:pPr>
        <w:jc w:val="both"/>
        <w:ind w:left="420" w:firstLine="655"/>
        <w:spacing w:after="0" w:line="253" w:lineRule="auto"/>
        <w:tabs>
          <w:tab w:leader="none" w:pos="1462" w:val="left"/>
        </w:tabs>
        <w:numPr>
          <w:ilvl w:val="2"/>
          <w:numId w:val="104"/>
        </w:numPr>
        <w:rPr>
          <w:rFonts w:ascii="Arial" w:cs="Arial" w:eastAsia="Arial" w:hAnsi="Arial"/>
          <w:sz w:val="22"/>
          <w:szCs w:val="22"/>
          <w:color w:val="auto"/>
        </w:rPr>
      </w:pPr>
      <w:r>
        <w:rPr>
          <w:rFonts w:ascii="Arial" w:cs="Arial" w:eastAsia="Arial" w:hAnsi="Arial"/>
          <w:sz w:val="22"/>
          <w:szCs w:val="22"/>
          <w:u w:val="single" w:color="auto"/>
          <w:color w:val="auto"/>
        </w:rPr>
        <w:t>Waivers and Amendments</w:t>
      </w:r>
      <w:r>
        <w:rPr>
          <w:rFonts w:ascii="Arial" w:cs="Arial" w:eastAsia="Arial" w:hAnsi="Arial"/>
          <w:sz w:val="22"/>
          <w:szCs w:val="22"/>
          <w:color w:val="auto"/>
        </w:rPr>
        <w:t xml:space="preserve">. Such Defaulting Lender’s right to approve or disapprove any amendment, waiver or consent with respect to this Agreement shall be restricted as set forth in the definition of Required Lenders and Majority Facility Lenders and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420" w:firstLine="655"/>
        <w:spacing w:after="0" w:line="284" w:lineRule="auto"/>
        <w:tabs>
          <w:tab w:leader="none" w:pos="1464" w:val="left"/>
        </w:tabs>
        <w:numPr>
          <w:ilvl w:val="2"/>
          <w:numId w:val="104"/>
        </w:numPr>
        <w:rPr>
          <w:rFonts w:ascii="Arial" w:cs="Arial" w:eastAsia="Arial" w:hAnsi="Arial"/>
          <w:sz w:val="19"/>
          <w:szCs w:val="19"/>
          <w:color w:val="auto"/>
        </w:rPr>
      </w:pPr>
      <w:r>
        <w:rPr>
          <w:rFonts w:ascii="Arial" w:cs="Arial" w:eastAsia="Arial" w:hAnsi="Arial"/>
          <w:sz w:val="19"/>
          <w:szCs w:val="19"/>
          <w:u w:val="single" w:color="auto"/>
          <w:color w:val="auto"/>
        </w:rPr>
        <w:t>Defaulting Lender Waterfall</w:t>
      </w:r>
      <w:r>
        <w:rPr>
          <w:rFonts w:ascii="Arial" w:cs="Arial" w:eastAsia="Arial" w:hAnsi="Arial"/>
          <w:sz w:val="19"/>
          <w:szCs w:val="19"/>
          <w:color w:val="auto"/>
        </w:rPr>
        <w:t xml:space="preserve">. Any payment of principal, interest, fees or other amounts received by the Administrative Agent for the account of such Defaulting Lender (whether voluntary or mandatory, at maturity, pursuant to Section 8 or otherwise) or received by the Administrative Agent from a Defaulting Lender pursuant to Section 10.7 shall be applied at such time or times as may be determined by the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the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any Issuing Lender or Swing 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the Issuing Lenders’ Fronting Exposure with respect to such Defaulting Lender in accordance with </w:t>
      </w:r>
      <w:r>
        <w:rPr>
          <w:rFonts w:ascii="Arial" w:cs="Arial" w:eastAsia="Arial" w:hAnsi="Arial"/>
          <w:sz w:val="19"/>
          <w:szCs w:val="19"/>
          <w:u w:val="single" w:color="auto"/>
          <w:color w:val="auto"/>
        </w:rPr>
        <w:t>Section 2.24(b)</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Section 2.24(b);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the Issuing Lenders or Swing Line Lenders as a result of any judgment of a court of competent jurisdiction obtained by any Lender, the Issuing Lenders or Swing Line Lenders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so long as no Default or Event of Default exists, to the payment of any amounts owing to the Borrower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to such Defaulting Lender or as otherwise directed by a court of competent jurisdiction;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 xml:space="preserve"> </w:t>
      </w:r>
      <w:r>
        <w:rPr>
          <w:rFonts w:ascii="Arial" w:cs="Arial" w:eastAsia="Arial" w:hAnsi="Arial"/>
          <w:sz w:val="19"/>
          <w:szCs w:val="19"/>
          <w:color w:val="auto"/>
        </w:rPr>
        <w:t>that if</w:t>
      </w:r>
    </w:p>
    <w:p>
      <w:pPr>
        <w:spacing w:after="0" w:line="231" w:lineRule="exact"/>
        <w:rPr>
          <w:rFonts w:ascii="Arial" w:cs="Arial" w:eastAsia="Arial" w:hAnsi="Arial"/>
          <w:sz w:val="19"/>
          <w:szCs w:val="19"/>
          <w:color w:val="auto"/>
        </w:rPr>
      </w:pPr>
    </w:p>
    <w:p>
      <w:pPr>
        <w:jc w:val="both"/>
        <w:ind w:left="420" w:firstLine="7"/>
        <w:spacing w:after="0" w:line="244" w:lineRule="auto"/>
        <w:tabs>
          <w:tab w:leader="none" w:pos="732" w:val="left"/>
        </w:tabs>
        <w:numPr>
          <w:ilvl w:val="1"/>
          <w:numId w:val="104"/>
        </w:numPr>
        <w:rPr>
          <w:rFonts w:ascii="Arial" w:cs="Arial" w:eastAsia="Arial" w:hAnsi="Arial"/>
          <w:sz w:val="22"/>
          <w:szCs w:val="22"/>
          <w:color w:val="auto"/>
        </w:rPr>
      </w:pPr>
      <w:r>
        <w:rPr>
          <w:rFonts w:ascii="Arial" w:cs="Arial" w:eastAsia="Arial" w:hAnsi="Arial"/>
          <w:sz w:val="22"/>
          <w:szCs w:val="22"/>
          <w:color w:val="auto"/>
        </w:rPr>
        <w:t xml:space="preserve">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were satisfied or waived,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0120"/>
          </w:cols>
          <w:pgMar w:left="1440" w:top="1428" w:right="339" w:bottom="1440" w:gutter="0" w:footer="0" w:header="0"/>
        </w:sectPr>
      </w:pPr>
    </w:p>
    <w:bookmarkStart w:id="171" w:name="page172"/>
    <w:bookmarkEnd w:id="171"/>
    <w:p>
      <w:pPr>
        <w:jc w:val="both"/>
        <w:ind w:left="420"/>
        <w:spacing w:after="0" w:line="259" w:lineRule="auto"/>
        <w:rPr>
          <w:sz w:val="20"/>
          <w:szCs w:val="20"/>
          <w:color w:val="auto"/>
        </w:rPr>
      </w:pPr>
      <w:r>
        <w:rPr>
          <w:rFonts w:ascii="Arial" w:cs="Arial" w:eastAsia="Arial" w:hAnsi="Arial"/>
          <w:sz w:val="21"/>
          <w:szCs w:val="21"/>
          <w:color w:val="auto"/>
        </w:rPr>
        <w:t>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Obligations and Swing Line Loans are held by the Lenders pro rata in accordance with the Commitments without giving effect to clause (iv)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83" w:lineRule="exact"/>
        <w:rPr>
          <w:sz w:val="20"/>
          <w:szCs w:val="20"/>
          <w:color w:val="auto"/>
        </w:rPr>
      </w:pPr>
    </w:p>
    <w:p>
      <w:pPr>
        <w:jc w:val="both"/>
        <w:ind w:left="420" w:firstLine="655"/>
        <w:spacing w:after="0" w:line="250" w:lineRule="auto"/>
        <w:tabs>
          <w:tab w:leader="none" w:pos="1464"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Commitment and L/C Fees</w:t>
      </w:r>
      <w:r>
        <w:rPr>
          <w:rFonts w:ascii="Arial" w:cs="Arial" w:eastAsia="Arial" w:hAnsi="Arial"/>
          <w:sz w:val="22"/>
          <w:szCs w:val="22"/>
          <w:color w:val="auto"/>
        </w:rPr>
        <w:t xml:space="preserve">. No Defaulting Lender shall be entitled to receive any commitment fee pursuant to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87" w:lineRule="exact"/>
        <w:rPr>
          <w:rFonts w:ascii="Arial" w:cs="Arial" w:eastAsia="Arial" w:hAnsi="Arial"/>
          <w:sz w:val="22"/>
          <w:szCs w:val="22"/>
          <w:color w:val="auto"/>
        </w:rPr>
      </w:pPr>
    </w:p>
    <w:p>
      <w:pPr>
        <w:jc w:val="both"/>
        <w:ind w:left="1080" w:firstLine="643"/>
        <w:spacing w:after="0" w:line="312" w:lineRule="auto"/>
        <w:tabs>
          <w:tab w:leader="none" w:pos="2133" w:val="left"/>
        </w:tabs>
        <w:numPr>
          <w:ilvl w:val="1"/>
          <w:numId w:val="105"/>
        </w:numPr>
        <w:rPr>
          <w:rFonts w:ascii="Arial" w:cs="Arial" w:eastAsia="Arial" w:hAnsi="Arial"/>
          <w:sz w:val="19"/>
          <w:szCs w:val="19"/>
          <w:color w:val="auto"/>
        </w:rPr>
      </w:pPr>
      <w:r>
        <w:rPr>
          <w:rFonts w:ascii="Arial" w:cs="Arial" w:eastAsia="Arial" w:hAnsi="Arial"/>
          <w:sz w:val="19"/>
          <w:szCs w:val="19"/>
          <w:color w:val="auto"/>
        </w:rPr>
        <w:t>Each Defaulting Lender shall be entitled to receive L/C Fees for any period during which that Lender is a Defaulting Lender only to the extent allocable to its Applicable Percentage of the stated amount of Letters of Credit for which it has provided Cash Collateral pursuant to Section 2.23.</w:t>
      </w:r>
    </w:p>
    <w:p>
      <w:pPr>
        <w:spacing w:after="0" w:line="133" w:lineRule="exact"/>
        <w:rPr>
          <w:sz w:val="20"/>
          <w:szCs w:val="20"/>
          <w:color w:val="auto"/>
        </w:rPr>
      </w:pPr>
    </w:p>
    <w:p>
      <w:pPr>
        <w:jc w:val="both"/>
        <w:ind w:left="1080" w:firstLine="643"/>
        <w:spacing w:after="0" w:line="290" w:lineRule="auto"/>
        <w:tabs>
          <w:tab w:leader="none" w:pos="212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With respect to any Letter of Credit fees pursuant to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not required to be paid to any Defaulting Lender pursuant to clause (A) or (B)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clause (d) below, (y) pay to each Issuing Lender and Swing Line Lender, as applicable, the amount of any such fee otherwise payable to such Defaulting Lender to the extent allocable to such Issuing Lender’s or Swing Line Lender’s Fronting Exposure to such Defaulting Lender, and (z) not be required to pay the remaining amount of any such fee.</w:t>
      </w:r>
    </w:p>
    <w:p>
      <w:pPr>
        <w:spacing w:after="0" w:line="155" w:lineRule="exact"/>
        <w:rPr>
          <w:rFonts w:ascii="Arial" w:cs="Arial" w:eastAsia="Arial" w:hAnsi="Arial"/>
          <w:sz w:val="19"/>
          <w:szCs w:val="19"/>
          <w:color w:val="auto"/>
        </w:rPr>
      </w:pPr>
    </w:p>
    <w:p>
      <w:pPr>
        <w:jc w:val="both"/>
        <w:ind w:left="420" w:firstLine="655"/>
        <w:spacing w:after="0" w:line="261" w:lineRule="auto"/>
        <w:tabs>
          <w:tab w:leader="none" w:pos="1462" w:val="left"/>
        </w:tabs>
        <w:numPr>
          <w:ilvl w:val="0"/>
          <w:numId w:val="107"/>
        </w:numPr>
        <w:rPr>
          <w:rFonts w:ascii="Arial" w:cs="Arial" w:eastAsia="Arial" w:hAnsi="Arial"/>
          <w:sz w:val="21"/>
          <w:szCs w:val="21"/>
          <w:color w:val="auto"/>
        </w:rPr>
      </w:pPr>
      <w:r>
        <w:rPr>
          <w:rFonts w:ascii="Arial" w:cs="Arial" w:eastAsia="Arial" w:hAnsi="Arial"/>
          <w:sz w:val="21"/>
          <w:szCs w:val="21"/>
          <w:u w:val="single" w:color="auto"/>
          <w:color w:val="auto"/>
        </w:rPr>
        <w:t>Reallocation of Participations to Reduce Fronting Exposure</w:t>
      </w:r>
      <w:r>
        <w:rPr>
          <w:rFonts w:ascii="Arial" w:cs="Arial" w:eastAsia="Arial" w:hAnsi="Arial"/>
          <w:sz w:val="21"/>
          <w:szCs w:val="21"/>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Extensions of Credit of any non-Defaulting Lender to exceed such non-Defaulting Lender’s Commitment. Subject to </w:t>
      </w:r>
      <w:r>
        <w:rPr>
          <w:rFonts w:ascii="Arial" w:cs="Arial" w:eastAsia="Arial" w:hAnsi="Arial"/>
          <w:sz w:val="21"/>
          <w:szCs w:val="21"/>
          <w:u w:val="single" w:color="auto"/>
          <w:color w:val="auto"/>
        </w:rPr>
        <w:t>Section 10.20</w:t>
      </w:r>
      <w:r>
        <w:rPr>
          <w:rFonts w:ascii="Arial" w:cs="Arial" w:eastAsia="Arial" w:hAnsi="Arial"/>
          <w:sz w:val="21"/>
          <w:szCs w:val="21"/>
          <w:color w:val="auto"/>
        </w:rPr>
        <w:t>, no reallocation hereunder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0120"/>
          </w:cols>
          <w:pgMar w:left="1440" w:top="1428" w:right="339" w:bottom="1440" w:gutter="0" w:footer="0" w:header="0"/>
        </w:sectPr>
      </w:pPr>
    </w:p>
    <w:bookmarkStart w:id="172" w:name="page173"/>
    <w:bookmarkEnd w:id="172"/>
    <w:p>
      <w:pPr>
        <w:jc w:val="both"/>
        <w:ind w:left="420"/>
        <w:spacing w:after="0" w:line="271" w:lineRule="auto"/>
        <w:rPr>
          <w:sz w:val="20"/>
          <w:szCs w:val="20"/>
          <w:color w:val="auto"/>
        </w:rPr>
      </w:pPr>
      <w:r>
        <w:rPr>
          <w:rFonts w:ascii="Arial" w:cs="Arial" w:eastAsia="Arial" w:hAnsi="Arial"/>
          <w:sz w:val="21"/>
          <w:szCs w:val="21"/>
          <w:color w:val="auto"/>
        </w:rPr>
        <w:t>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7" w:lineRule="exact"/>
        <w:rPr>
          <w:sz w:val="20"/>
          <w:szCs w:val="20"/>
          <w:color w:val="auto"/>
        </w:rPr>
      </w:pPr>
    </w:p>
    <w:p>
      <w:pPr>
        <w:jc w:val="both"/>
        <w:ind w:left="420" w:firstLine="655"/>
        <w:spacing w:after="0" w:line="248" w:lineRule="auto"/>
        <w:tabs>
          <w:tab w:leader="none" w:pos="1465"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Cash Collateral, Repayment of Swing Line Loans</w:t>
      </w:r>
      <w:r>
        <w:rPr>
          <w:rFonts w:ascii="Arial" w:cs="Arial" w:eastAsia="Arial" w:hAnsi="Arial"/>
          <w:sz w:val="22"/>
          <w:szCs w:val="22"/>
          <w:color w:val="auto"/>
        </w:rPr>
        <w:t xml:space="preserve">. If the reallocation described in clause (d) above cannot, or can only partially, be effected, the Borrower shall, without prejudice to any right or remedy available to it hereunder or under law, (x) first, prepay Swing Line Loans in an amount equal to the Swing Line Lenders’ Fronting Exposure and (y) second, Cash Collateralize the Issuing Lenders’ Fronting Exposure in accordance with the procedures set forth in </w:t>
      </w:r>
      <w:r>
        <w:rPr>
          <w:rFonts w:ascii="Arial" w:cs="Arial" w:eastAsia="Arial" w:hAnsi="Arial"/>
          <w:sz w:val="22"/>
          <w:szCs w:val="22"/>
          <w:u w:val="single" w:color="auto"/>
          <w:color w:val="auto"/>
        </w:rPr>
        <w:t>Section 2.24(b)</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jc w:val="both"/>
        <w:ind w:left="-460" w:firstLine="644"/>
        <w:spacing w:after="0" w:line="287" w:lineRule="auto"/>
        <w:tabs>
          <w:tab w:leader="none" w:pos="830"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and each Swing Line Lender and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pro rata by the Lenders in accordance with the Commitments (without giving effect to </w:t>
      </w:r>
      <w:r>
        <w:rPr>
          <w:rFonts w:ascii="Arial" w:cs="Arial" w:eastAsia="Arial" w:hAnsi="Arial"/>
          <w:sz w:val="19"/>
          <w:szCs w:val="19"/>
          <w:u w:val="single" w:color="auto"/>
          <w:color w:val="auto"/>
        </w:rPr>
        <w:t>Section 2.24(c)(i)(d)</w:t>
      </w:r>
      <w:r>
        <w:rPr>
          <w:rFonts w:ascii="Arial" w:cs="Arial" w:eastAsia="Arial" w:hAnsi="Arial"/>
          <w:sz w:val="19"/>
          <w:szCs w:val="19"/>
          <w:color w:val="auto"/>
        </w:rPr>
        <w:t xml:space="preserve"> above),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8" w:lineRule="exact"/>
        <w:rPr>
          <w:rFonts w:ascii="Arial" w:cs="Arial" w:eastAsia="Arial" w:hAnsi="Arial"/>
          <w:sz w:val="19"/>
          <w:szCs w:val="19"/>
          <w:color w:val="auto"/>
        </w:rPr>
      </w:pPr>
    </w:p>
    <w:p>
      <w:pPr>
        <w:jc w:val="both"/>
        <w:ind w:left="-460" w:firstLine="644"/>
        <w:spacing w:after="0" w:line="302" w:lineRule="auto"/>
        <w:tabs>
          <w:tab w:leader="none" w:pos="836"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New Swing Line Loans/Letters of Credit</w:t>
      </w:r>
      <w:r>
        <w:rPr>
          <w:rFonts w:ascii="Arial" w:cs="Arial" w:eastAsia="Arial" w:hAnsi="Arial"/>
          <w:sz w:val="19"/>
          <w:szCs w:val="19"/>
          <w:color w:val="auto"/>
        </w:rPr>
        <w:t>. So long as any Lender is a Defaulting Lender, (i) no Swing Line Lender shall be required to fund any Swing Line Loans unless it is satisfied that it will have no Fronting Exposure after giving effect to such Swing Line Loan and (ii) no Issuing Lender shall be required to issue, extend, increase, reinstate or renew any Letter of Credit unless it is satisfied that it will have no Fronting Exposure after giving effect thereto.</w:t>
      </w:r>
    </w:p>
    <w:p>
      <w:pPr>
        <w:spacing w:after="0" w:line="142" w:lineRule="exact"/>
        <w:rPr>
          <w:rFonts w:ascii="Arial" w:cs="Arial" w:eastAsia="Arial" w:hAnsi="Arial"/>
          <w:sz w:val="19"/>
          <w:szCs w:val="19"/>
          <w:color w:val="auto"/>
        </w:rPr>
      </w:pPr>
    </w:p>
    <w:p>
      <w:pPr>
        <w:jc w:val="both"/>
        <w:ind w:left="-460" w:firstLine="644"/>
        <w:spacing w:after="0" w:line="294" w:lineRule="auto"/>
        <w:tabs>
          <w:tab w:leader="none" w:pos="824"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Termination of Defaulting Lender</w:t>
      </w:r>
      <w:r>
        <w:rPr>
          <w:rFonts w:ascii="Arial" w:cs="Arial" w:eastAsia="Arial" w:hAnsi="Arial"/>
          <w:sz w:val="19"/>
          <w:szCs w:val="19"/>
          <w:color w:val="auto"/>
        </w:rPr>
        <w:t xml:space="preserve">. The Borrower may terminate the unused amount of the Commitment of any Lender that is a Defaulting Lender upon prior notice to the Administrative Agent (which shall promptly notify the Lenders thereof), and in such event the provisions of </w:t>
      </w:r>
      <w:r>
        <w:rPr>
          <w:rFonts w:ascii="Arial" w:cs="Arial" w:eastAsia="Arial" w:hAnsi="Arial"/>
          <w:sz w:val="19"/>
          <w:szCs w:val="19"/>
          <w:u w:val="single" w:color="auto"/>
          <w:color w:val="auto"/>
        </w:rPr>
        <w:t>Section 2.24(c)(i)(b)</w:t>
      </w:r>
      <w:r>
        <w:rPr>
          <w:rFonts w:ascii="Arial" w:cs="Arial" w:eastAsia="Arial" w:hAnsi="Arial"/>
          <w:sz w:val="19"/>
          <w:szCs w:val="19"/>
          <w:color w:val="auto"/>
        </w:rPr>
        <w:t xml:space="preserve"> will apply to all amounts thereafter paid by the Borrower for the account of such Defaulting Lender under this Agreement (whether on account of principal, interest, fees, indemnity or other amounts);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Event of Default shall have occurred and be continuing, and (ii) such termination shall not be deemed to be a waiver or release of any claim the Borrower,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0120"/>
          </w:cols>
          <w:pgMar w:left="1440" w:top="1428" w:right="339" w:bottom="1440" w:gutter="0" w:footer="0" w:header="0"/>
        </w:sectPr>
      </w:pPr>
    </w:p>
    <w:bookmarkStart w:id="173" w:name="page174"/>
    <w:bookmarkEnd w:id="173"/>
    <w:p>
      <w:pPr>
        <w:ind w:left="660"/>
        <w:spacing w:after="0"/>
        <w:rPr>
          <w:sz w:val="20"/>
          <w:szCs w:val="20"/>
          <w:color w:val="auto"/>
        </w:rPr>
      </w:pPr>
      <w:r>
        <w:rPr>
          <w:rFonts w:ascii="Arial" w:cs="Arial" w:eastAsia="Arial" w:hAnsi="Arial"/>
          <w:sz w:val="19"/>
          <w:szCs w:val="19"/>
          <w:color w:val="auto"/>
        </w:rPr>
        <w:t>Administrative Agent, any Issuing Lender, the Swing Line Bank or any Lender may have against such Defaulting Lender.</w:t>
      </w:r>
    </w:p>
    <w:p>
      <w:pPr>
        <w:spacing w:after="0" w:line="254"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2.25 </w:t>
      </w:r>
      <w:r>
        <w:rPr>
          <w:rFonts w:ascii="Arial" w:cs="Arial" w:eastAsia="Arial" w:hAnsi="Arial"/>
          <w:sz w:val="19"/>
          <w:szCs w:val="19"/>
          <w:u w:val="single" w:color="auto"/>
          <w:color w:val="auto"/>
        </w:rPr>
        <w:t>Incremental Credit Extensions</w:t>
      </w:r>
      <w:r>
        <w:rPr>
          <w:rFonts w:ascii="Arial" w:cs="Arial" w:eastAsia="Arial" w:hAnsi="Arial"/>
          <w:sz w:val="19"/>
          <w:szCs w:val="19"/>
          <w:color w:val="auto"/>
        </w:rPr>
        <w:t>. (a) The Borrower may at any time or from time to time after the Closing Date, by notice to the Administrative Agent (whereupon the Administrative Agent shall promptly deliver a copy to each of the Lenders), request (i) one or more additional tranches of term loans (the “</w:t>
      </w:r>
      <w:r>
        <w:rPr>
          <w:rFonts w:ascii="Arial" w:cs="Arial" w:eastAsia="Arial" w:hAnsi="Arial"/>
          <w:sz w:val="19"/>
          <w:szCs w:val="19"/>
          <w:u w:val="single" w:color="auto"/>
          <w:color w:val="auto"/>
        </w:rPr>
        <w:t>Incremental Term Loans</w:t>
      </w:r>
      <w:r>
        <w:rPr>
          <w:rFonts w:ascii="Arial" w:cs="Arial" w:eastAsia="Arial" w:hAnsi="Arial"/>
          <w:sz w:val="19"/>
          <w:szCs w:val="19"/>
          <w:color w:val="auto"/>
        </w:rPr>
        <w:t xml:space="preserve">”)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and</w:t>
      </w:r>
      <w:r>
        <w:rPr>
          <w:rFonts w:ascii="Arial" w:cs="Arial" w:eastAsia="Arial" w:hAnsi="Arial"/>
          <w:sz w:val="19"/>
          <w:szCs w:val="19"/>
          <w:color w:val="auto"/>
        </w:rPr>
        <w:t xml:space="preserve"> (ii) </w:t>
      </w:r>
      <w:r>
        <w:rPr>
          <w:rFonts w:ascii="Arial" w:cs="Arial" w:eastAsia="Arial" w:hAnsi="Arial"/>
          <w:sz w:val="19"/>
          <w:szCs w:val="19"/>
          <w:u w:val="single" w:color="auto"/>
          <w:color w:val="0000FF"/>
        </w:rPr>
        <w:t>subject to the last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sentence of this paragraph (a), the establishment of</w:t>
      </w:r>
      <w:r>
        <w:rPr>
          <w:rFonts w:ascii="Arial" w:cs="Arial" w:eastAsia="Arial" w:hAnsi="Arial"/>
          <w:sz w:val="19"/>
          <w:szCs w:val="19"/>
          <w:color w:val="0000FF"/>
        </w:rPr>
        <w:t xml:space="preserve"> </w:t>
      </w:r>
      <w:r>
        <w:rPr>
          <w:rFonts w:ascii="Arial" w:cs="Arial" w:eastAsia="Arial" w:hAnsi="Arial"/>
          <w:sz w:val="19"/>
          <w:szCs w:val="19"/>
          <w:color w:val="000000"/>
        </w:rPr>
        <w:t>one or more increases in the amount of</w:t>
      </w:r>
      <w:r>
        <w:rPr>
          <w:rFonts w:ascii="Arial" w:cs="Arial" w:eastAsia="Arial" w:hAnsi="Arial"/>
          <w:sz w:val="19"/>
          <w:szCs w:val="19"/>
          <w:color w:val="0000FF"/>
        </w:rPr>
        <w:t xml:space="preserve"> </w:t>
      </w:r>
      <w:r>
        <w:rPr>
          <w:rFonts w:ascii="Arial" w:cs="Arial" w:eastAsia="Arial" w:hAnsi="Arial"/>
          <w:sz w:val="19"/>
          <w:szCs w:val="19"/>
          <w:color w:val="FF0000"/>
          <w:strike w:val="1"/>
        </w:rPr>
        <w:t>the</w:t>
      </w:r>
      <w:r>
        <w:rPr>
          <w:rFonts w:ascii="Arial" w:cs="Arial" w:eastAsia="Arial" w:hAnsi="Arial"/>
          <w:sz w:val="19"/>
          <w:szCs w:val="19"/>
          <w:color w:val="0000FF"/>
        </w:rPr>
        <w:t xml:space="preserve"> </w:t>
      </w:r>
      <w:r>
        <w:rPr>
          <w:rFonts w:ascii="Arial" w:cs="Arial" w:eastAsia="Arial" w:hAnsi="Arial"/>
          <w:sz w:val="19"/>
          <w:szCs w:val="19"/>
          <w:color w:val="000000"/>
        </w:rPr>
        <w:t>Revolving Credit Commitments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(which may be established as a separate tranche of revolving loans with terms as described below)</w:t>
      </w:r>
      <w:r>
        <w:rPr>
          <w:rFonts w:ascii="Arial" w:cs="Arial" w:eastAsia="Arial" w:hAnsi="Arial"/>
          <w:sz w:val="19"/>
          <w:szCs w:val="19"/>
          <w:color w:val="0000FF"/>
        </w:rPr>
        <w:t xml:space="preserve"> </w:t>
      </w:r>
      <w:r>
        <w:rPr>
          <w:rFonts w:ascii="Arial" w:cs="Arial" w:eastAsia="Arial" w:hAnsi="Arial"/>
          <w:sz w:val="19"/>
          <w:szCs w:val="19"/>
          <w:color w:val="000000"/>
        </w:rPr>
        <w:t>(each such increase, a</w:t>
      </w:r>
      <w:r>
        <w:rPr>
          <w:rFonts w:ascii="Arial" w:cs="Arial" w:eastAsia="Arial" w:hAnsi="Arial"/>
          <w:sz w:val="19"/>
          <w:szCs w:val="19"/>
          <w:color w:val="0000FF"/>
        </w:rPr>
        <w:t xml:space="preserve"> </w:t>
      </w:r>
      <w:r>
        <w:rPr>
          <w:rFonts w:ascii="Arial" w:cs="Arial" w:eastAsia="Arial" w:hAnsi="Arial"/>
          <w:sz w:val="19"/>
          <w:szCs w:val="19"/>
          <w:color w:val="000000"/>
        </w:rPr>
        <w:t>“</w:t>
      </w:r>
      <w:r>
        <w:rPr>
          <w:rFonts w:ascii="Arial" w:cs="Arial" w:eastAsia="Arial" w:hAnsi="Arial"/>
          <w:sz w:val="19"/>
          <w:szCs w:val="19"/>
          <w:u w:val="single" w:color="auto"/>
          <w:color w:val="000000"/>
        </w:rPr>
        <w:t>Revolving Credit Commitment Increase</w:t>
      </w:r>
      <w:r>
        <w:rPr>
          <w:rFonts w:ascii="Arial" w:cs="Arial" w:eastAsia="Arial" w:hAnsi="Arial"/>
          <w:sz w:val="19"/>
          <w:szCs w:val="19"/>
          <w:color w:val="000000"/>
        </w:rPr>
        <w:t>” and, together with the Incremental Term Loans, the “</w:t>
      </w:r>
      <w:r>
        <w:rPr>
          <w:rFonts w:ascii="Arial" w:cs="Arial" w:eastAsia="Arial" w:hAnsi="Arial"/>
          <w:sz w:val="19"/>
          <w:szCs w:val="19"/>
          <w:u w:val="single" w:color="auto"/>
          <w:color w:val="000000"/>
        </w:rPr>
        <w:t>New Loan Commitments</w:t>
      </w:r>
      <w:r>
        <w:rPr>
          <w:rFonts w:ascii="Arial" w:cs="Arial" w:eastAsia="Arial" w:hAnsi="Arial"/>
          <w:sz w:val="19"/>
          <w:szCs w:val="19"/>
          <w:color w:val="000000"/>
        </w:rPr>
        <w:t>”)</w:t>
      </w:r>
      <w:r>
        <w:rPr>
          <w:rFonts w:ascii="Arial" w:cs="Arial" w:eastAsia="Arial" w:hAnsi="Arial"/>
          <w:sz w:val="19"/>
          <w:szCs w:val="19"/>
          <w:u w:val="single" w:color="auto"/>
          <w:color w:val="0000FF"/>
        </w:rPr>
        <w:t>, and</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the commitments in respect thereof, the “New Loan Commitments”)</w:t>
      </w:r>
      <w:r>
        <w:rPr>
          <w:rFonts w:ascii="Arial" w:cs="Arial" w:eastAsia="Arial" w:hAnsi="Arial"/>
          <w:sz w:val="19"/>
          <w:szCs w:val="19"/>
          <w:color w:val="000000"/>
        </w:rPr>
        <w:t>) by an amount not to exceed the sum of (</w:t>
      </w:r>
      <w:r>
        <w:rPr>
          <w:rFonts w:ascii="Arial" w:cs="Arial" w:eastAsia="Arial" w:hAnsi="Arial"/>
          <w:sz w:val="19"/>
          <w:szCs w:val="19"/>
          <w:color w:val="FF0000"/>
          <w:strike w:val="1"/>
        </w:rPr>
        <w:t>x) $250,000,000</w:t>
      </w:r>
      <w:r>
        <w:rPr>
          <w:rFonts w:ascii="Arial" w:cs="Arial" w:eastAsia="Arial" w:hAnsi="Arial"/>
          <w:sz w:val="19"/>
          <w:szCs w:val="19"/>
          <w:color w:val="0000FF"/>
        </w:rPr>
        <w:t xml:space="preserve"> </w:t>
      </w:r>
      <w:r>
        <w:rPr>
          <w:rFonts w:ascii="Arial" w:cs="Arial" w:eastAsia="Arial" w:hAnsi="Arial"/>
          <w:sz w:val="19"/>
          <w:szCs w:val="19"/>
          <w:color w:val="FF0000"/>
          <w:strike w:val="1"/>
        </w:rPr>
        <w:t>(the “</w:t>
      </w:r>
      <w:r>
        <w:rPr>
          <w:rFonts w:ascii="Arial" w:cs="Arial" w:eastAsia="Arial" w:hAnsi="Arial"/>
          <w:sz w:val="19"/>
          <w:szCs w:val="19"/>
          <w:u w:val="single" w:color="auto"/>
          <w:color w:val="FF0000"/>
          <w:strike w:val="1"/>
        </w:rPr>
        <w:t>Cash-Capped Incremental Facility</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plus</w:t>
      </w:r>
      <w:r>
        <w:rPr>
          <w:rFonts w:ascii="Arial" w:cs="Arial" w:eastAsia="Arial" w:hAnsi="Arial"/>
          <w:sz w:val="19"/>
          <w:szCs w:val="19"/>
          <w:color w:val="FF0000"/>
          <w:strike w:val="1"/>
        </w:rPr>
        <w:t xml:space="preserve"> (y) an unlimited additional amount (the “</w:t>
      </w:r>
      <w:r>
        <w:rPr>
          <w:rFonts w:ascii="Arial" w:cs="Arial" w:eastAsia="Arial" w:hAnsi="Arial"/>
          <w:sz w:val="19"/>
          <w:szCs w:val="19"/>
          <w:u w:val="single" w:color="auto"/>
          <w:color w:val="FF0000"/>
          <w:strike w:val="1"/>
        </w:rPr>
        <w:t>Ratio-Based Incremental Facility</w:t>
      </w:r>
      <w:r>
        <w:rPr>
          <w:rFonts w:ascii="Arial" w:cs="Arial" w:eastAsia="Arial" w:hAnsi="Arial"/>
          <w:sz w:val="19"/>
          <w:szCs w:val="19"/>
          <w:color w:val="FF0000"/>
          <w:strike w:val="1"/>
        </w:rPr>
        <w:t xml:space="preserve">”) so long as the pro forma </w:t>
      </w:r>
      <w:r>
        <w:rPr>
          <w:rFonts w:ascii="Arial" w:cs="Arial" w:eastAsia="Arial" w:hAnsi="Arial"/>
          <w:sz w:val="19"/>
          <w:szCs w:val="19"/>
          <w:color w:val="008000"/>
          <w:strike w:val="1"/>
        </w:rPr>
        <w:t>Consolidated Net Senior Secured Leverage Ratio</w:t>
      </w:r>
      <w:r>
        <w:rPr>
          <w:rFonts w:ascii="Arial" w:cs="Arial" w:eastAsia="Arial" w:hAnsi="Arial"/>
          <w:sz w:val="19"/>
          <w:szCs w:val="19"/>
          <w:color w:val="FF0000"/>
          <w:strike w:val="1"/>
        </w:rPr>
        <w:t xml:space="preserve"> of the Borrower and its Subsidiaries after </w:t>
      </w:r>
      <w:r>
        <w:rPr>
          <w:rFonts w:ascii="Arial" w:cs="Arial" w:eastAsia="Arial" w:hAnsi="Arial"/>
          <w:sz w:val="19"/>
          <w:szCs w:val="19"/>
          <w:color w:val="008000"/>
          <w:strike w:val="1"/>
        </w:rPr>
        <w:t>giving effect to</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 xml:space="preserve">such </w:t>
      </w:r>
      <w:r>
        <w:rPr>
          <w:rFonts w:ascii="Arial" w:cs="Arial" w:eastAsia="Arial" w:hAnsi="Arial"/>
          <w:sz w:val="19"/>
          <w:szCs w:val="19"/>
          <w:color w:val="FF0000"/>
          <w:strike w:val="1"/>
        </w:rPr>
        <w:t>Incremental Term Loans or Revolving Credit Commitment Increase shall not be greater than 3.95 to 1.00</w:t>
      </w:r>
      <w:r>
        <w:rPr>
          <w:rFonts w:ascii="Arial" w:cs="Arial" w:eastAsia="Arial" w:hAnsi="Arial"/>
          <w:sz w:val="19"/>
          <w:szCs w:val="19"/>
          <w:color w:val="008000"/>
          <w:strike w:val="1"/>
        </w:rPr>
        <w:t xml:space="preserve"> </w:t>
      </w:r>
      <w:r>
        <w:rPr>
          <w:rFonts w:ascii="Arial" w:cs="Arial" w:eastAsia="Arial" w:hAnsi="Arial"/>
          <w:sz w:val="19"/>
          <w:szCs w:val="19"/>
          <w:u w:val="single" w:color="auto"/>
          <w:color w:val="FF0000"/>
          <w:strike w:val="1"/>
        </w:rPr>
        <w:t>plus</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(z) an amount</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 xml:space="preserve">equal to all voluntary prepayments of pari passu Term Loans made pursuant to </w:t>
      </w:r>
      <w:r>
        <w:rPr>
          <w:rFonts w:ascii="Arial" w:cs="Arial" w:eastAsia="Arial" w:hAnsi="Arial"/>
          <w:sz w:val="19"/>
          <w:szCs w:val="19"/>
          <w:u w:val="single" w:color="auto"/>
          <w:color w:val="FF0000"/>
          <w:strike w:val="1"/>
        </w:rPr>
        <w:t>Section 2.11(a)</w:t>
      </w:r>
      <w:r>
        <w:rPr>
          <w:rFonts w:ascii="Arial" w:cs="Arial" w:eastAsia="Arial" w:hAnsi="Arial"/>
          <w:sz w:val="19"/>
          <w:szCs w:val="19"/>
          <w:color w:val="FF0000"/>
          <w:strike w:val="1"/>
        </w:rPr>
        <w:t xml:space="preserve"> and repurchases of pari passu Term Loans made pursuant to the terms hereof and voluntary prepayments of Revolving Credit Loans made pursuant to </w:t>
      </w:r>
      <w:r>
        <w:rPr>
          <w:rFonts w:ascii="Arial" w:cs="Arial" w:eastAsia="Arial" w:hAnsi="Arial"/>
          <w:sz w:val="19"/>
          <w:szCs w:val="19"/>
          <w:u w:val="single" w:color="auto"/>
          <w:color w:val="FF0000"/>
          <w:strike w:val="1"/>
        </w:rPr>
        <w:t>Section</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 xml:space="preserve">2.11(a) </w:t>
      </w:r>
      <w:r>
        <w:rPr>
          <w:rFonts w:ascii="Arial" w:cs="Arial" w:eastAsia="Arial" w:hAnsi="Arial"/>
          <w:sz w:val="19"/>
          <w:szCs w:val="19"/>
          <w:color w:val="FF0000"/>
          <w:strike w:val="1"/>
        </w:rPr>
        <w:t>to the extent accompanied by a corresponding, permanent reduction in the Revolving Credit Commitments pursuant to</w:t>
      </w:r>
      <w:r>
        <w:rPr>
          <w:rFonts w:ascii="Arial" w:cs="Arial" w:eastAsia="Arial" w:hAnsi="Arial"/>
          <w:sz w:val="19"/>
          <w:szCs w:val="19"/>
          <w:u w:val="single" w:color="auto"/>
          <w:color w:val="FF0000"/>
          <w:strike w:val="1"/>
        </w:rPr>
        <w:t xml:space="preserve"> Section 2.11(a)</w:t>
      </w: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008000"/>
          <w:strike w:val="1"/>
        </w:rPr>
        <w:t>in each case, to the extent</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not funded with the proceeds of long term Indebtedness (the “</w:t>
      </w:r>
      <w:r>
        <w:rPr>
          <w:rFonts w:ascii="Arial" w:cs="Arial" w:eastAsia="Arial" w:hAnsi="Arial"/>
          <w:sz w:val="19"/>
          <w:szCs w:val="19"/>
          <w:u w:val="single" w:color="auto"/>
          <w:color w:val="FF0000"/>
          <w:strike w:val="1"/>
        </w:rPr>
        <w:t>Prepayment-Based Incremental Facility</w:t>
      </w:r>
      <w:r>
        <w:rPr>
          <w:rFonts w:ascii="Arial" w:cs="Arial" w:eastAsia="Arial" w:hAnsi="Arial"/>
          <w:sz w:val="19"/>
          <w:szCs w:val="19"/>
          <w:color w:val="FF0000"/>
          <w:strike w:val="1"/>
        </w:rPr>
        <w:t>”) (such sum, at any such time, the “</w:t>
      </w:r>
      <w:r>
        <w:rPr>
          <w:rFonts w:ascii="Arial" w:cs="Arial" w:eastAsia="Arial" w:hAnsi="Arial"/>
          <w:sz w:val="19"/>
          <w:szCs w:val="19"/>
          <w:u w:val="single" w:color="auto"/>
          <w:color w:val="FF0000"/>
          <w:strike w:val="1"/>
        </w:rPr>
        <w:t>Incremental Amount</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further, that for purposes of any New Loan Commitments established pursuant to this </w:t>
      </w:r>
      <w:r>
        <w:rPr>
          <w:rFonts w:ascii="Arial" w:cs="Arial" w:eastAsia="Arial" w:hAnsi="Arial"/>
          <w:sz w:val="19"/>
          <w:szCs w:val="19"/>
          <w:u w:val="single" w:color="auto"/>
          <w:color w:val="FF0000"/>
          <w:strike w:val="1"/>
        </w:rPr>
        <w:t>Section 2.25</w:t>
      </w:r>
      <w:r>
        <w:rPr>
          <w:rFonts w:ascii="Arial" w:cs="Arial" w:eastAsia="Arial" w:hAnsi="Arial"/>
          <w:sz w:val="19"/>
          <w:szCs w:val="19"/>
          <w:color w:val="FF0000"/>
          <w:strike w:val="1"/>
        </w:rPr>
        <w:t xml:space="preserve"> and Incremental Equivalent Debt incurred pursuant to </w:t>
      </w:r>
      <w:r>
        <w:rPr>
          <w:rFonts w:ascii="Arial" w:cs="Arial" w:eastAsia="Arial" w:hAnsi="Arial"/>
          <w:sz w:val="19"/>
          <w:szCs w:val="19"/>
          <w:u w:val="single" w:color="auto"/>
          <w:color w:val="FF0000"/>
          <w:strike w:val="1"/>
        </w:rPr>
        <w:t>Section 2.26</w:t>
      </w:r>
      <w:r>
        <w:rPr>
          <w:rFonts w:ascii="Arial" w:cs="Arial" w:eastAsia="Arial" w:hAnsi="Arial"/>
          <w:sz w:val="19"/>
          <w:szCs w:val="19"/>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04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0415" cy="8890"/>
                    </a:xfrm>
                    <a:prstGeom prst="rect">
                      <a:avLst/>
                    </a:prstGeom>
                    <a:noFill/>
                  </pic:spPr>
                </pic:pic>
              </a:graphicData>
            </a:graphic>
          </wp:anchor>
        </w:drawing>
      </w:r>
    </w:p>
    <w:p>
      <w:pPr>
        <w:jc w:val="both"/>
        <w:ind w:firstLine="8"/>
        <w:spacing w:after="0" w:line="284" w:lineRule="auto"/>
        <w:tabs>
          <w:tab w:leader="none" w:pos="378" w:val="left"/>
        </w:tabs>
        <w:numPr>
          <w:ilvl w:val="0"/>
          <w:numId w:val="110"/>
        </w:numPr>
        <w:rPr>
          <w:rFonts w:ascii="Arial" w:cs="Arial" w:eastAsia="Arial" w:hAnsi="Arial"/>
          <w:sz w:val="19"/>
          <w:szCs w:val="19"/>
          <w:color w:val="FF0000"/>
          <w:strike w:val="1"/>
        </w:rPr>
      </w:pPr>
      <w:r>
        <w:rPr>
          <w:rFonts w:ascii="Arial" w:cs="Arial" w:eastAsia="Arial" w:hAnsi="Arial"/>
          <w:sz w:val="19"/>
          <w:szCs w:val="19"/>
          <w:color w:val="FF0000"/>
          <w:strike w:val="1"/>
        </w:rPr>
        <w:t xml:space="preserve">the Borrower may elect to use the Ratio-Based Incremental Facility prior to the Cash-Capped Incremental Facility or the Prepayment Based Incremental Facility, (B) if either the Cash-Capped Incremental Facility or the Prepayment Based Facility are available and the Borrower does not make an election, the Borrower will be deemed to have elected to use the Ratio-Based Incremental Facility and (C) New Loan Commitments pursuant to this </w:t>
      </w:r>
      <w:r>
        <w:rPr>
          <w:rFonts w:ascii="Arial" w:cs="Arial" w:eastAsia="Arial" w:hAnsi="Arial"/>
          <w:sz w:val="19"/>
          <w:szCs w:val="19"/>
          <w:u w:val="single" w:color="auto"/>
          <w:color w:val="FF0000"/>
          <w:strike w:val="1"/>
        </w:rPr>
        <w:t>Section 2.25</w:t>
      </w:r>
      <w:r>
        <w:rPr>
          <w:rFonts w:ascii="Arial" w:cs="Arial" w:eastAsia="Arial" w:hAnsi="Arial"/>
          <w:sz w:val="19"/>
          <w:szCs w:val="19"/>
          <w:color w:val="FF0000"/>
          <w:strike w:val="1"/>
        </w:rPr>
        <w:t xml:space="preserve"> and Incremental Equivalent Debt pursuant to </w:t>
      </w:r>
      <w:r>
        <w:rPr>
          <w:rFonts w:ascii="Arial" w:cs="Arial" w:eastAsia="Arial" w:hAnsi="Arial"/>
          <w:sz w:val="19"/>
          <w:szCs w:val="19"/>
          <w:u w:val="single" w:color="auto"/>
          <w:color w:val="FF0000"/>
          <w:strike w:val="1"/>
        </w:rPr>
        <w:t xml:space="preserve">Section 2.26 </w:t>
      </w:r>
      <w:r>
        <w:rPr>
          <w:rFonts w:ascii="Arial" w:cs="Arial" w:eastAsia="Arial" w:hAnsi="Arial"/>
          <w:sz w:val="19"/>
          <w:szCs w:val="19"/>
          <w:color w:val="FF0000"/>
          <w:strike w:val="1"/>
        </w:rPr>
        <w:t>may be incurred under the Cash-Capped Incremental Facility, the Ratio-Based Incremental Facility and the</w:t>
      </w:r>
      <w:r>
        <w:rPr>
          <w:rFonts w:ascii="Arial" w:cs="Arial" w:eastAsia="Arial" w:hAnsi="Arial"/>
          <w:sz w:val="19"/>
          <w:szCs w:val="19"/>
          <w:u w:val="single" w:color="auto"/>
          <w:color w:val="FF0000"/>
          <w:strike w:val="1"/>
        </w:rPr>
        <w:t xml:space="preserve"> </w:t>
      </w:r>
      <w:r>
        <w:rPr>
          <w:rFonts w:ascii="Arial" w:cs="Arial" w:eastAsia="Arial" w:hAnsi="Arial"/>
          <w:sz w:val="19"/>
          <w:szCs w:val="19"/>
          <w:color w:val="FF0000"/>
          <w:strike w:val="1"/>
        </w:rPr>
        <w:t>Prepayment-Based Incremental Facility, and proceeds from any such incurrence under the Cash-Capped Incremental Facility, the Ratio-Based Incremental Facility and the Prepayment-Based Incremental Facility may be utilized in a single transaction by first calculating the incurrence under the Ratio-Based Incremental Facility (without inclusion of any amounts utilized pursuant to the Cash-Capped Incremental Facility or Prepayment-Based Incremental Facility) and then calculating the incurrence under the Cash-Capped Incremental Facility and the Prepayment-Based Incremental Facility.</w:t>
      </w:r>
      <w:r>
        <w:rPr>
          <w:rFonts w:ascii="Arial" w:cs="Arial" w:eastAsia="Arial" w:hAnsi="Arial"/>
          <w:sz w:val="19"/>
          <w:szCs w:val="19"/>
          <w:u w:val="single" w:color="auto"/>
          <w:color w:val="0000FF"/>
          <w:strike w:val="1"/>
        </w:rPr>
        <w:t>y) the aggregate principal amount of the New</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Incremental Loans established in connection with Amendment No. 2 (provided that any payments or prepayments in respect thereof shall not increase capacity for future New Loan Commitments hereunder) plus (z)(i) from the Amendment No. 2 Effective Date to and including the Q3 End Date, $50,000,000, of which only $25,000,000 may be provided by lenders who were not Term Loan Lenders (or Affiliates of (or funds, partnerships, accounts, investment vehicles or other entities managed or advised by) Term Loan Lenders or their Affiliates) immediately prior to the effectiveness of such New Loan Commitments (as modified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240"/>
          </w:cols>
          <w:pgMar w:left="320" w:top="1428" w:right="339" w:bottom="1440" w:gutter="0" w:footer="0" w:header="0"/>
        </w:sectPr>
      </w:pPr>
    </w:p>
    <w:bookmarkStart w:id="174" w:name="page175"/>
    <w:bookmarkEnd w:id="174"/>
    <w:p>
      <w:pPr>
        <w:jc w:val="both"/>
        <w:spacing w:after="0" w:line="292" w:lineRule="auto"/>
        <w:rPr>
          <w:sz w:val="20"/>
          <w:szCs w:val="20"/>
          <w:color w:val="auto"/>
        </w:rPr>
      </w:pPr>
      <w:r>
        <w:rPr>
          <w:rFonts w:ascii="Arial" w:cs="Arial" w:eastAsia="Arial" w:hAnsi="Arial"/>
          <w:sz w:val="19"/>
          <w:szCs w:val="19"/>
          <w:u w:val="single" w:color="auto"/>
          <w:color w:val="0000FF"/>
        </w:rPr>
        <w:t>definition thereof set forth in Section 1.1, “Incremental Additional Lenders”), and any such Incremental Additional Lenders must be acceptable to the Required Lenders and (ii) after the Q3 End Date, $50,000,000 (less the principal amount of New Loan Commitments incurred pursuant to clause (z)(i)). Notwithstanding the foregoing, other than any Incremental Term Loans, any incremental facilities (including any revolving credit commitments) under this Agreement, including any New Loan Commitments that are Revolving Credit Commitments, shall require the consent of the Majority Term Loan Facility Lenders and the Borrower and its Subsidiaries shall not be permitted to add any incremental facilities under this Agreement other than Incremental Term Loans without such consent of the Majority Term Loan Facility Lenders.</w:t>
      </w:r>
    </w:p>
    <w:p>
      <w:pPr>
        <w:spacing w:after="0" w:line="394" w:lineRule="exact"/>
        <w:rPr>
          <w:sz w:val="20"/>
          <w:szCs w:val="20"/>
          <w:color w:val="auto"/>
        </w:rPr>
      </w:pPr>
    </w:p>
    <w:p>
      <w:pPr>
        <w:jc w:val="both"/>
        <w:ind w:firstLine="1304"/>
        <w:spacing w:after="0" w:line="263" w:lineRule="auto"/>
        <w:tabs>
          <w:tab w:leader="none" w:pos="1939" w:val="left"/>
        </w:tabs>
        <w:numPr>
          <w:ilvl w:val="0"/>
          <w:numId w:val="111"/>
        </w:numPr>
        <w:rPr>
          <w:rFonts w:ascii="Arial" w:cs="Arial" w:eastAsia="Arial" w:hAnsi="Arial"/>
          <w:sz w:val="21"/>
          <w:szCs w:val="21"/>
          <w:u w:val="single" w:color="auto"/>
          <w:color w:val="0000FF"/>
        </w:rPr>
      </w:pPr>
      <w:r>
        <w:rPr>
          <w:rFonts w:ascii="Arial" w:cs="Arial" w:eastAsia="Arial" w:hAnsi="Arial"/>
          <w:sz w:val="21"/>
          <w:szCs w:val="21"/>
          <w:color w:val="FF0000"/>
          <w:strike w:val="1"/>
        </w:rPr>
        <w:t>(a)</w:t>
      </w:r>
      <w:r>
        <w:rPr>
          <w:rFonts w:ascii="Arial" w:cs="Arial" w:eastAsia="Arial" w:hAnsi="Arial"/>
          <w:sz w:val="21"/>
          <w:szCs w:val="21"/>
          <w:color w:val="FF0000"/>
        </w:rPr>
        <w:t xml:space="preserve"> </w:t>
      </w:r>
      <w:r>
        <w:rPr>
          <w:rFonts w:ascii="Arial" w:cs="Arial" w:eastAsia="Arial" w:hAnsi="Arial"/>
          <w:sz w:val="21"/>
          <w:szCs w:val="21"/>
          <w:color w:val="000000"/>
        </w:rPr>
        <w:t>Each tranche of Incremental Term Loans and each Revolving Credit Commitment Increase shall be in</w:t>
      </w:r>
      <w:r>
        <w:rPr>
          <w:rFonts w:ascii="Arial" w:cs="Arial" w:eastAsia="Arial" w:hAnsi="Arial"/>
          <w:sz w:val="21"/>
          <w:szCs w:val="21"/>
          <w:color w:val="FF0000"/>
        </w:rPr>
        <w:t xml:space="preserve"> </w:t>
      </w:r>
      <w:r>
        <w:rPr>
          <w:rFonts w:ascii="Arial" w:cs="Arial" w:eastAsia="Arial" w:hAnsi="Arial"/>
          <w:sz w:val="21"/>
          <w:szCs w:val="21"/>
          <w:color w:val="000000"/>
        </w:rPr>
        <w:t>an aggregate principal amount that is a whole multiple of $5,000,000 which is not less than $</w:t>
      </w:r>
      <w:r>
        <w:rPr>
          <w:rFonts w:ascii="Arial" w:cs="Arial" w:eastAsia="Arial" w:hAnsi="Arial"/>
          <w:sz w:val="21"/>
          <w:szCs w:val="21"/>
          <w:color w:val="FF0000"/>
          <w:strike w:val="1"/>
        </w:rPr>
        <w:t>25,000,000</w:t>
      </w:r>
      <w:r>
        <w:rPr>
          <w:rFonts w:ascii="Arial" w:cs="Arial" w:eastAsia="Arial" w:hAnsi="Arial"/>
          <w:sz w:val="21"/>
          <w:szCs w:val="21"/>
          <w:u w:val="single" w:color="auto"/>
          <w:color w:val="0000FF"/>
        </w:rPr>
        <w:t>10,000,000</w:t>
      </w:r>
      <w:r>
        <w:rPr>
          <w:rFonts w:ascii="Arial" w:cs="Arial" w:eastAsia="Arial" w:hAnsi="Arial"/>
          <w:sz w:val="21"/>
          <w:szCs w:val="21"/>
          <w:color w:val="000000"/>
        </w:rPr>
        <w:t xml:space="preserve"> (provided that such amount may be less than $</w:t>
      </w:r>
      <w:r>
        <w:rPr>
          <w:rFonts w:ascii="Arial" w:cs="Arial" w:eastAsia="Arial" w:hAnsi="Arial"/>
          <w:sz w:val="21"/>
          <w:szCs w:val="21"/>
          <w:color w:val="FF0000"/>
          <w:strike w:val="1"/>
        </w:rPr>
        <w:t>25,000,000</w:t>
      </w:r>
      <w:r>
        <w:rPr>
          <w:rFonts w:ascii="Arial" w:cs="Arial" w:eastAsia="Arial" w:hAnsi="Arial"/>
          <w:sz w:val="21"/>
          <w:szCs w:val="21"/>
          <w:u w:val="single" w:color="auto"/>
          <w:color w:val="0000FF"/>
        </w:rPr>
        <w:t>10,000,000</w:t>
      </w:r>
      <w:r>
        <w:rPr>
          <w:rFonts w:ascii="Arial" w:cs="Arial" w:eastAsia="Arial" w:hAnsi="Arial"/>
          <w:sz w:val="21"/>
          <w:szCs w:val="21"/>
          <w:color w:val="000000"/>
        </w:rPr>
        <w:t xml:space="preserve"> if such amount represents all remaining availability under the limit set forth in the next sentence) and there shall be not more than four requests for Incremental Term Loans or Revolving Credit Commitment Increases</w:t>
      </w:r>
      <w:r>
        <w:rPr>
          <w:rFonts w:ascii="Arial" w:cs="Arial" w:eastAsia="Arial" w:hAnsi="Arial"/>
          <w:sz w:val="21"/>
          <w:szCs w:val="21"/>
          <w:u w:val="single" w:color="auto"/>
          <w:color w:val="0000FF"/>
        </w:rPr>
        <w:t>, in each case, following the Amendment No. 2 Effective Date</w:t>
      </w:r>
      <w:r>
        <w:rPr>
          <w:rFonts w:ascii="Arial" w:cs="Arial" w:eastAsia="Arial" w:hAnsi="Arial"/>
          <w:sz w:val="21"/>
          <w:szCs w:val="21"/>
          <w:color w:val="000000"/>
        </w:rPr>
        <w:t>.</w:t>
      </w:r>
    </w:p>
    <w:p>
      <w:pPr>
        <w:spacing w:after="0" w:line="175" w:lineRule="exact"/>
        <w:rPr>
          <w:rFonts w:ascii="Arial" w:cs="Arial" w:eastAsia="Arial" w:hAnsi="Arial"/>
          <w:sz w:val="21"/>
          <w:szCs w:val="21"/>
          <w:u w:val="single" w:color="auto"/>
          <w:color w:val="0000FF"/>
        </w:rPr>
      </w:pPr>
    </w:p>
    <w:p>
      <w:pPr>
        <w:ind w:right="20" w:firstLine="1304"/>
        <w:spacing w:after="0" w:line="263" w:lineRule="auto"/>
        <w:tabs>
          <w:tab w:leader="none" w:pos="1941" w:val="left"/>
        </w:tabs>
        <w:numPr>
          <w:ilvl w:val="0"/>
          <w:numId w:val="111"/>
        </w:numPr>
        <w:rPr>
          <w:rFonts w:ascii="Arial" w:cs="Arial" w:eastAsia="Arial" w:hAnsi="Arial"/>
          <w:sz w:val="22"/>
          <w:szCs w:val="22"/>
          <w:u w:val="single" w:color="auto"/>
          <w:color w:val="0000FF"/>
        </w:rPr>
      </w:pPr>
      <w:r>
        <w:rPr>
          <w:rFonts w:ascii="Arial" w:cs="Arial" w:eastAsia="Arial" w:hAnsi="Arial"/>
          <w:sz w:val="22"/>
          <w:szCs w:val="22"/>
          <w:color w:val="FF0000"/>
          <w:strike w:val="1"/>
        </w:rPr>
        <w:t>(b)</w:t>
      </w:r>
      <w:r>
        <w:rPr>
          <w:rFonts w:ascii="Arial" w:cs="Arial" w:eastAsia="Arial" w:hAnsi="Arial"/>
          <w:sz w:val="22"/>
          <w:szCs w:val="22"/>
          <w:color w:val="FF0000"/>
        </w:rPr>
        <w:t xml:space="preserve"> </w:t>
      </w:r>
      <w:r>
        <w:rPr>
          <w:rFonts w:ascii="Arial" w:cs="Arial" w:eastAsia="Arial" w:hAnsi="Arial"/>
          <w:sz w:val="22"/>
          <w:szCs w:val="22"/>
          <w:color w:val="000000"/>
        </w:rPr>
        <w:t>With respect to any Revolving Credit Commitment Increase or addition of Incremental Term Loans</w:t>
      </w:r>
      <w:r>
        <w:rPr>
          <w:rFonts w:ascii="Arial" w:cs="Arial" w:eastAsia="Arial" w:hAnsi="Arial"/>
          <w:sz w:val="22"/>
          <w:szCs w:val="22"/>
          <w:color w:val="FF0000"/>
        </w:rPr>
        <w:t xml:space="preserve"> </w:t>
      </w:r>
      <w:r>
        <w:rPr>
          <w:rFonts w:ascii="Arial" w:cs="Arial" w:eastAsia="Arial" w:hAnsi="Arial"/>
          <w:sz w:val="22"/>
          <w:szCs w:val="22"/>
          <w:color w:val="000000"/>
        </w:rPr>
        <w:t xml:space="preserve">pursuant to this </w:t>
      </w:r>
      <w:r>
        <w:rPr>
          <w:rFonts w:ascii="Arial" w:cs="Arial" w:eastAsia="Arial" w:hAnsi="Arial"/>
          <w:sz w:val="22"/>
          <w:szCs w:val="22"/>
          <w:u w:val="single" w:color="auto"/>
          <w:color w:val="000000"/>
        </w:rPr>
        <w:t>Section 2.25</w:t>
      </w:r>
      <w:r>
        <w:rPr>
          <w:rFonts w:ascii="Arial" w:cs="Arial" w:eastAsia="Arial" w:hAnsi="Arial"/>
          <w:sz w:val="22"/>
          <w:szCs w:val="22"/>
          <w:color w:val="000000"/>
        </w:rPr>
        <w:t>:</w:t>
      </w:r>
    </w:p>
    <w:p>
      <w:pPr>
        <w:spacing w:after="0" w:line="175" w:lineRule="exact"/>
        <w:rPr>
          <w:sz w:val="20"/>
          <w:szCs w:val="20"/>
          <w:color w:val="auto"/>
        </w:rPr>
      </w:pPr>
    </w:p>
    <w:p>
      <w:pPr>
        <w:jc w:val="both"/>
        <w:ind w:left="660" w:firstLine="444"/>
        <w:spacing w:after="0" w:line="253" w:lineRule="auto"/>
        <w:rPr>
          <w:sz w:val="20"/>
          <w:szCs w:val="20"/>
          <w:color w:val="auto"/>
        </w:rPr>
      </w:pPr>
      <w:r>
        <w:rPr>
          <w:rFonts w:ascii="Arial" w:cs="Arial" w:eastAsia="Arial" w:hAnsi="Arial"/>
          <w:sz w:val="22"/>
          <w:szCs w:val="22"/>
          <w:color w:val="auto"/>
        </w:rPr>
        <w:t xml:space="preserve">(i)subject to clause (e) below (A) no Event of Default would exist after giving effect to such increase and (B) </w:t>
      </w:r>
      <w:r>
        <w:rPr>
          <w:rFonts w:ascii="Arial" w:cs="Arial" w:eastAsia="Arial" w:hAnsi="Arial"/>
          <w:sz w:val="22"/>
          <w:szCs w:val="22"/>
          <w:u w:val="single" w:color="auto"/>
          <w:color w:val="0000FF"/>
        </w:rPr>
        <w:t>to the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extent required by the lenders providing such Revolving Credit Commitment or Incremental Term Loans,</w:t>
      </w:r>
      <w:r>
        <w:rPr>
          <w:rFonts w:ascii="Arial" w:cs="Arial" w:eastAsia="Arial" w:hAnsi="Arial"/>
          <w:sz w:val="22"/>
          <w:szCs w:val="22"/>
          <w:color w:val="0000FF"/>
        </w:rPr>
        <w:t xml:space="preserve"> </w:t>
      </w:r>
      <w:r>
        <w:rPr>
          <w:rFonts w:ascii="Arial" w:cs="Arial" w:eastAsia="Arial" w:hAnsi="Arial"/>
          <w:sz w:val="22"/>
          <w:szCs w:val="22"/>
          <w:color w:val="000000"/>
        </w:rPr>
        <w:t>all</w:t>
      </w:r>
      <w:r>
        <w:rPr>
          <w:rFonts w:ascii="Arial" w:cs="Arial" w:eastAsia="Arial" w:hAnsi="Arial"/>
          <w:sz w:val="22"/>
          <w:szCs w:val="22"/>
          <w:color w:val="0000FF"/>
        </w:rPr>
        <w:t xml:space="preserve"> </w:t>
      </w:r>
      <w:r>
        <w:rPr>
          <w:rFonts w:ascii="Arial" w:cs="Arial" w:eastAsia="Arial" w:hAnsi="Arial"/>
          <w:sz w:val="22"/>
          <w:szCs w:val="22"/>
          <w:color w:val="000000"/>
        </w:rPr>
        <w:t>representations and warranties in Section 4 shall be true and correct in all material respects</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p>
    <w:p>
      <w:pPr>
        <w:spacing w:after="0" w:line="185" w:lineRule="exact"/>
        <w:rPr>
          <w:sz w:val="20"/>
          <w:szCs w:val="20"/>
          <w:color w:val="auto"/>
        </w:rPr>
      </w:pPr>
    </w:p>
    <w:p>
      <w:pPr>
        <w:jc w:val="both"/>
        <w:ind w:left="660" w:firstLine="384"/>
        <w:spacing w:after="0" w:line="253" w:lineRule="auto"/>
        <w:rPr>
          <w:sz w:val="20"/>
          <w:szCs w:val="20"/>
          <w:color w:val="auto"/>
        </w:rPr>
      </w:pPr>
      <w:r>
        <w:rPr>
          <w:rFonts w:ascii="Arial" w:cs="Arial" w:eastAsia="Arial" w:hAnsi="Arial"/>
          <w:sz w:val="22"/>
          <w:szCs w:val="22"/>
          <w:color w:val="auto"/>
        </w:rPr>
        <w:t xml:space="preserve">(ii)the Incremental Term Loans and Revolving Credit Loans made pursuant to the Revolving Credit Commitment Increases shall rank </w:t>
      </w:r>
      <w:r>
        <w:rPr>
          <w:rFonts w:ascii="Arial" w:cs="Arial" w:eastAsia="Arial" w:hAnsi="Arial"/>
          <w:sz w:val="22"/>
          <w:szCs w:val="22"/>
          <w:u w:val="single" w:color="auto"/>
          <w:color w:val="auto"/>
        </w:rPr>
        <w:t>pari passu</w:t>
      </w:r>
      <w:r>
        <w:rPr>
          <w:rFonts w:ascii="Arial" w:cs="Arial" w:eastAsia="Arial" w:hAnsi="Arial"/>
          <w:sz w:val="22"/>
          <w:szCs w:val="22"/>
          <w:color w:val="auto"/>
        </w:rPr>
        <w:t xml:space="preserve"> </w:t>
      </w:r>
      <w:r>
        <w:rPr>
          <w:rFonts w:ascii="Arial" w:cs="Arial" w:eastAsia="Arial" w:hAnsi="Arial"/>
          <w:sz w:val="22"/>
          <w:szCs w:val="22"/>
          <w:u w:val="single" w:color="auto"/>
          <w:color w:val="0000FF"/>
        </w:rPr>
        <w:t>or junior</w:t>
      </w:r>
      <w:r>
        <w:rPr>
          <w:rFonts w:ascii="Arial" w:cs="Arial" w:eastAsia="Arial" w:hAnsi="Arial"/>
          <w:sz w:val="22"/>
          <w:szCs w:val="22"/>
          <w:color w:val="auto"/>
        </w:rPr>
        <w:t xml:space="preserve"> in right of payment and of security with the Revolving Credit Loans and the Term Loans</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p>
    <w:p>
      <w:pPr>
        <w:spacing w:after="0" w:line="185" w:lineRule="exact"/>
        <w:rPr>
          <w:sz w:val="20"/>
          <w:szCs w:val="20"/>
          <w:color w:val="auto"/>
        </w:rPr>
      </w:pPr>
    </w:p>
    <w:p>
      <w:pPr>
        <w:jc w:val="both"/>
        <w:ind w:left="660" w:firstLine="324"/>
        <w:spacing w:after="0" w:line="258" w:lineRule="auto"/>
        <w:rPr>
          <w:sz w:val="20"/>
          <w:szCs w:val="20"/>
          <w:color w:val="auto"/>
        </w:rPr>
      </w:pPr>
      <w:r>
        <w:rPr>
          <w:rFonts w:ascii="Arial" w:cs="Arial" w:eastAsia="Arial" w:hAnsi="Arial"/>
          <w:sz w:val="21"/>
          <w:szCs w:val="21"/>
          <w:color w:val="auto"/>
        </w:rPr>
        <w:t>(iii)</w:t>
      </w:r>
      <w:r>
        <w:rPr>
          <w:rFonts w:ascii="Arial" w:cs="Arial" w:eastAsia="Arial" w:hAnsi="Arial"/>
          <w:sz w:val="21"/>
          <w:szCs w:val="21"/>
          <w:color w:val="FF0000"/>
          <w:strike w:val="1"/>
        </w:rPr>
        <w:t>(</w:t>
      </w:r>
      <w:r>
        <w:rPr>
          <w:rFonts w:ascii="Arial" w:cs="Arial" w:eastAsia="Arial" w:hAnsi="Arial"/>
          <w:sz w:val="21"/>
          <w:szCs w:val="21"/>
          <w:u w:val="single" w:color="auto"/>
          <w:color w:val="0000FF"/>
        </w:rPr>
        <w:t>other than with the written consent of the Majority Term Loan Facility Lenders (in their sole discretion), (</w:t>
      </w:r>
      <w:r>
        <w:rPr>
          <w:rFonts w:ascii="Arial" w:cs="Arial" w:eastAsia="Arial" w:hAnsi="Arial"/>
          <w:sz w:val="21"/>
          <w:szCs w:val="21"/>
          <w:color w:val="auto"/>
        </w:rPr>
        <w:t xml:space="preserve">A) in the case of any Revolving Credit Commitment Increase, (1) the final maturity shall be </w:t>
      </w:r>
      <w:r>
        <w:rPr>
          <w:rFonts w:ascii="Arial" w:cs="Arial" w:eastAsia="Arial" w:hAnsi="Arial"/>
          <w:sz w:val="21"/>
          <w:szCs w:val="21"/>
          <w:color w:val="FF0000"/>
          <w:strike w:val="1"/>
        </w:rPr>
        <w:t>the same as</w:t>
      </w:r>
      <w:r>
        <w:rPr>
          <w:rFonts w:ascii="Arial" w:cs="Arial" w:eastAsia="Arial" w:hAnsi="Arial"/>
          <w:sz w:val="21"/>
          <w:szCs w:val="21"/>
          <w:u w:val="single" w:color="auto"/>
          <w:color w:val="0000FF"/>
        </w:rPr>
        <w:t>no earlier than</w:t>
      </w:r>
      <w:r>
        <w:rPr>
          <w:rFonts w:ascii="Arial" w:cs="Arial" w:eastAsia="Arial" w:hAnsi="Arial"/>
          <w:sz w:val="21"/>
          <w:szCs w:val="21"/>
          <w:color w:val="auto"/>
        </w:rPr>
        <w:t xml:space="preserve"> the Maturity Date </w:t>
      </w:r>
      <w:r>
        <w:rPr>
          <w:rFonts w:ascii="Arial" w:cs="Arial" w:eastAsia="Arial" w:hAnsi="Arial"/>
          <w:sz w:val="21"/>
          <w:szCs w:val="21"/>
          <w:color w:val="FF0000"/>
          <w:strike w:val="1"/>
        </w:rPr>
        <w:t>applicable to the</w:t>
      </w:r>
      <w:r>
        <w:rPr>
          <w:rFonts w:ascii="Arial" w:cs="Arial" w:eastAsia="Arial" w:hAnsi="Arial"/>
          <w:sz w:val="21"/>
          <w:szCs w:val="21"/>
          <w:u w:val="single" w:color="auto"/>
          <w:color w:val="0000FF"/>
        </w:rPr>
        <w:t>then-applicable to the New Incremental Term Loans (or such later date as the lender(s)</w:t>
      </w:r>
      <w:r>
        <w:rPr>
          <w:rFonts w:ascii="Arial" w:cs="Arial" w:eastAsia="Arial" w:hAnsi="Arial"/>
          <w:sz w:val="21"/>
          <w:szCs w:val="21"/>
          <w:color w:val="auto"/>
        </w:rPr>
        <w:t xml:space="preserve"> </w:t>
      </w:r>
      <w:r>
        <w:rPr>
          <w:rFonts w:ascii="Arial" w:cs="Arial" w:eastAsia="Arial" w:hAnsi="Arial"/>
          <w:sz w:val="21"/>
          <w:szCs w:val="21"/>
          <w:u w:val="single" w:color="auto"/>
          <w:color w:val="0000FF"/>
        </w:rPr>
        <w:t>providing such</w:t>
      </w:r>
      <w:r>
        <w:rPr>
          <w:rFonts w:ascii="Arial" w:cs="Arial" w:eastAsia="Arial" w:hAnsi="Arial"/>
          <w:sz w:val="21"/>
          <w:szCs w:val="21"/>
          <w:color w:val="0000FF"/>
        </w:rPr>
        <w:t xml:space="preserve"> </w:t>
      </w:r>
      <w:r>
        <w:rPr>
          <w:rFonts w:ascii="Arial" w:cs="Arial" w:eastAsia="Arial" w:hAnsi="Arial"/>
          <w:sz w:val="21"/>
          <w:szCs w:val="21"/>
          <w:color w:val="000000"/>
        </w:rPr>
        <w:t>Revolving Credit</w:t>
      </w:r>
      <w:r>
        <w:rPr>
          <w:rFonts w:ascii="Arial" w:cs="Arial" w:eastAsia="Arial" w:hAnsi="Arial"/>
          <w:sz w:val="21"/>
          <w:szCs w:val="21"/>
          <w:color w:val="0000FF"/>
        </w:rPr>
        <w:t xml:space="preserve"> </w:t>
      </w:r>
      <w:r>
        <w:rPr>
          <w:rFonts w:ascii="Arial" w:cs="Arial" w:eastAsia="Arial" w:hAnsi="Arial"/>
          <w:sz w:val="21"/>
          <w:szCs w:val="21"/>
          <w:color w:val="FF0000"/>
          <w:strike w:val="1"/>
        </w:rPr>
        <w:t>Facility,</w:t>
      </w:r>
      <w:r>
        <w:rPr>
          <w:rFonts w:ascii="Arial" w:cs="Arial" w:eastAsia="Arial" w:hAnsi="Arial"/>
          <w:sz w:val="21"/>
          <w:szCs w:val="21"/>
          <w:u w:val="single" w:color="auto"/>
          <w:color w:val="0000FF"/>
        </w:rPr>
        <w:t>Commitment Increase may agree)</w:t>
      </w:r>
      <w:r>
        <w:rPr>
          <w:rFonts w:ascii="Arial" w:cs="Arial" w:eastAsia="Arial" w:hAnsi="Arial"/>
          <w:sz w:val="21"/>
          <w:szCs w:val="21"/>
          <w:color w:val="0000FF"/>
        </w:rPr>
        <w:t xml:space="preserve"> </w:t>
      </w:r>
      <w:r>
        <w:rPr>
          <w:rFonts w:ascii="Arial" w:cs="Arial" w:eastAsia="Arial" w:hAnsi="Arial"/>
          <w:sz w:val="21"/>
          <w:szCs w:val="21"/>
          <w:color w:val="000000"/>
        </w:rPr>
        <w:t>and (2) no amortization or mandatory</w:t>
      </w:r>
      <w:r>
        <w:rPr>
          <w:rFonts w:ascii="Arial" w:cs="Arial" w:eastAsia="Arial" w:hAnsi="Arial"/>
          <w:sz w:val="21"/>
          <w:szCs w:val="21"/>
          <w:color w:val="0000FF"/>
        </w:rPr>
        <w:t xml:space="preserve"> </w:t>
      </w:r>
      <w:r>
        <w:rPr>
          <w:rFonts w:ascii="Arial" w:cs="Arial" w:eastAsia="Arial" w:hAnsi="Arial"/>
          <w:sz w:val="21"/>
          <w:szCs w:val="21"/>
          <w:color w:val="000000"/>
        </w:rPr>
        <w:t xml:space="preserve">commitment reduction prior to the Maturity Date </w:t>
      </w:r>
      <w:r>
        <w:rPr>
          <w:rFonts w:ascii="Arial" w:cs="Arial" w:eastAsia="Arial" w:hAnsi="Arial"/>
          <w:sz w:val="21"/>
          <w:szCs w:val="21"/>
          <w:color w:val="FF0000"/>
          <w:strike w:val="1"/>
        </w:rPr>
        <w:t>applicable to the Revolving Credit Facility</w:t>
      </w:r>
      <w:r>
        <w:rPr>
          <w:rFonts w:ascii="Arial" w:cs="Arial" w:eastAsia="Arial" w:hAnsi="Arial"/>
          <w:sz w:val="21"/>
          <w:szCs w:val="21"/>
          <w:u w:val="single" w:color="auto"/>
          <w:color w:val="0000FF"/>
        </w:rPr>
        <w:t>then-applicable to the New</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Incremental Term Loans</w:t>
      </w:r>
      <w:r>
        <w:rPr>
          <w:rFonts w:ascii="Arial" w:cs="Arial" w:eastAsia="Arial" w:hAnsi="Arial"/>
          <w:sz w:val="21"/>
          <w:szCs w:val="21"/>
          <w:color w:val="0000FF"/>
        </w:rPr>
        <w:t xml:space="preserve"> </w:t>
      </w:r>
      <w:r>
        <w:rPr>
          <w:rFonts w:ascii="Arial" w:cs="Arial" w:eastAsia="Arial" w:hAnsi="Arial"/>
          <w:sz w:val="21"/>
          <w:szCs w:val="21"/>
          <w:color w:val="000000"/>
        </w:rPr>
        <w:t>shall be required</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(unless such amortization or mandatory commitment reduction shall be no</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 xml:space="preserve">greater than, or result in a shorter </w:t>
      </w:r>
      <w:r>
        <w:rPr>
          <w:rFonts w:ascii="Arial" w:cs="Arial" w:eastAsia="Arial" w:hAnsi="Arial"/>
          <w:sz w:val="21"/>
          <w:szCs w:val="21"/>
          <w:u w:val="single" w:color="auto"/>
          <w:color w:val="008000"/>
        </w:rPr>
        <w:t>weighted average life to maturity</w:t>
      </w:r>
      <w:r>
        <w:rPr>
          <w:rFonts w:ascii="Arial" w:cs="Arial" w:eastAsia="Arial" w:hAnsi="Arial"/>
          <w:sz w:val="21"/>
          <w:szCs w:val="21"/>
          <w:u w:val="single" w:color="auto"/>
          <w:color w:val="0000FF"/>
        </w:rPr>
        <w:t xml:space="preserve"> than, the </w:t>
      </w:r>
      <w:r>
        <w:rPr>
          <w:rFonts w:ascii="Arial" w:cs="Arial" w:eastAsia="Arial" w:hAnsi="Arial"/>
          <w:sz w:val="21"/>
          <w:szCs w:val="21"/>
          <w:u w:val="single" w:color="auto"/>
          <w:color w:val="008000"/>
        </w:rPr>
        <w:t>remaining weighted average life</w:t>
      </w:r>
      <w:r>
        <w:rPr>
          <w:rFonts w:ascii="Arial" w:cs="Arial" w:eastAsia="Arial" w:hAnsi="Arial"/>
          <w:sz w:val="21"/>
          <w:szCs w:val="21"/>
          <w:u w:val="single" w:color="auto"/>
          <w:color w:val="0000FF"/>
        </w:rPr>
        <w:t xml:space="preserve"> to maturity of the then-outstanding New Incremental Term Loans)</w:t>
      </w:r>
      <w:r>
        <w:rPr>
          <w:rFonts w:ascii="Arial" w:cs="Arial" w:eastAsia="Arial" w:hAnsi="Arial"/>
          <w:sz w:val="21"/>
          <w:szCs w:val="21"/>
          <w:color w:val="0000FF"/>
        </w:rPr>
        <w:t xml:space="preserve"> </w:t>
      </w:r>
      <w:r>
        <w:rPr>
          <w:rFonts w:ascii="Arial" w:cs="Arial" w:eastAsia="Arial" w:hAnsi="Arial"/>
          <w:sz w:val="21"/>
          <w:szCs w:val="21"/>
          <w:color w:val="000000"/>
        </w:rPr>
        <w:t>and (B) in the case of any Incremental Term Loans</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(other than, in</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each case, New Incremental Loans)</w:t>
      </w:r>
      <w:r>
        <w:rPr>
          <w:rFonts w:ascii="Arial" w:cs="Arial" w:eastAsia="Arial" w:hAnsi="Arial"/>
          <w:sz w:val="21"/>
          <w:szCs w:val="21"/>
          <w:color w:val="000000"/>
        </w:rPr>
        <w:t>, such Incremental Term Loans shall mature no earlier than the</w:t>
      </w:r>
      <w:r>
        <w:rPr>
          <w:rFonts w:ascii="Arial" w:cs="Arial" w:eastAsia="Arial" w:hAnsi="Arial"/>
          <w:sz w:val="21"/>
          <w:szCs w:val="21"/>
          <w:color w:val="0000FF"/>
        </w:rPr>
        <w:t xml:space="preserve"> </w:t>
      </w:r>
      <w:r>
        <w:rPr>
          <w:rFonts w:ascii="Arial" w:cs="Arial" w:eastAsia="Arial" w:hAnsi="Arial"/>
          <w:sz w:val="21"/>
          <w:szCs w:val="21"/>
          <w:color w:val="FF0000"/>
          <w:strike w:val="1"/>
        </w:rPr>
        <w:t>latest</w:t>
      </w:r>
      <w:r>
        <w:rPr>
          <w:rFonts w:ascii="Arial" w:cs="Arial" w:eastAsia="Arial" w:hAnsi="Arial"/>
          <w:sz w:val="21"/>
          <w:szCs w:val="21"/>
          <w:u w:val="single" w:color="auto"/>
          <w:color w:val="0000FF"/>
        </w:rPr>
        <w:t>Latest</w:t>
      </w:r>
      <w:r>
        <w:rPr>
          <w:rFonts w:ascii="Arial" w:cs="Arial" w:eastAsia="Arial" w:hAnsi="Arial"/>
          <w:sz w:val="21"/>
          <w:szCs w:val="21"/>
          <w:color w:val="0000FF"/>
        </w:rPr>
        <w:t xml:space="preserve"> </w:t>
      </w:r>
      <w:r>
        <w:rPr>
          <w:rFonts w:ascii="Arial" w:cs="Arial" w:eastAsia="Arial" w:hAnsi="Arial"/>
          <w:sz w:val="21"/>
          <w:szCs w:val="21"/>
          <w:color w:val="000000"/>
        </w:rPr>
        <w:t>Maturity</w:t>
      </w:r>
      <w:r>
        <w:rPr>
          <w:rFonts w:ascii="Arial" w:cs="Arial" w:eastAsia="Arial" w:hAnsi="Arial"/>
          <w:sz w:val="21"/>
          <w:szCs w:val="21"/>
          <w:color w:val="0000FF"/>
        </w:rPr>
        <w:t xml:space="preserve"> </w:t>
      </w:r>
      <w:r>
        <w:rPr>
          <w:rFonts w:ascii="Arial" w:cs="Arial" w:eastAsia="Arial" w:hAnsi="Arial"/>
          <w:sz w:val="21"/>
          <w:szCs w:val="21"/>
          <w:color w:val="000000"/>
        </w:rPr>
        <w:t xml:space="preserve">Date </w:t>
      </w:r>
      <w:r>
        <w:rPr>
          <w:rFonts w:ascii="Arial" w:cs="Arial" w:eastAsia="Arial" w:hAnsi="Arial"/>
          <w:sz w:val="21"/>
          <w:szCs w:val="21"/>
          <w:color w:val="FF0000"/>
          <w:strike w:val="1"/>
        </w:rPr>
        <w:t>of the then outstanding Term Loan Facility</w:t>
      </w:r>
      <w:r>
        <w:rPr>
          <w:rFonts w:ascii="Arial" w:cs="Arial" w:eastAsia="Arial" w:hAnsi="Arial"/>
          <w:sz w:val="21"/>
          <w:szCs w:val="21"/>
          <w:color w:val="000000"/>
        </w:rPr>
        <w:t xml:space="preserve"> and the weighted average life to maturity of such Incremental Term Loans shall be no shorter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8" w:right="3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 xml:space="preserve">longest remaining weighted average life of the then outstanding Term </w:t>
      </w:r>
      <w:r>
        <w:rPr>
          <w:rFonts w:ascii="Arial" w:cs="Arial" w:eastAsia="Arial" w:hAnsi="Arial"/>
          <w:sz w:val="22"/>
          <w:szCs w:val="22"/>
          <w:color w:val="FF0000"/>
          <w:strike w:val="1"/>
        </w:rPr>
        <w:t>Loan Facility</w:t>
      </w:r>
      <w:r>
        <w:rPr>
          <w:rFonts w:ascii="Arial" w:cs="Arial" w:eastAsia="Arial" w:hAnsi="Arial"/>
          <w:sz w:val="22"/>
          <w:szCs w:val="22"/>
          <w:u w:val="single" w:color="auto"/>
          <w:color w:val="0000FF"/>
        </w:rPr>
        <w:t>Loans</w:t>
      </w:r>
      <w:r>
        <w:rPr>
          <w:rFonts w:ascii="Arial" w:cs="Arial" w:eastAsia="Arial" w:hAnsi="Arial"/>
          <w:sz w:val="22"/>
          <w:szCs w:val="22"/>
          <w:color w:val="auto"/>
        </w:rPr>
        <w:t>;</w:t>
      </w:r>
    </w:p>
    <w:p>
      <w:pPr>
        <w:spacing w:after="0" w:line="220" w:lineRule="exact"/>
        <w:rPr>
          <w:sz w:val="20"/>
          <w:szCs w:val="20"/>
          <w:color w:val="auto"/>
        </w:rPr>
      </w:pPr>
    </w:p>
    <w:p>
      <w:pPr>
        <w:jc w:val="both"/>
        <w:ind w:firstLine="336"/>
        <w:spacing w:after="0" w:line="257" w:lineRule="auto"/>
        <w:rPr>
          <w:sz w:val="20"/>
          <w:szCs w:val="20"/>
          <w:color w:val="auto"/>
        </w:rPr>
      </w:pPr>
      <w:r>
        <w:rPr>
          <w:rFonts w:ascii="Arial" w:cs="Arial" w:eastAsia="Arial" w:hAnsi="Arial"/>
          <w:sz w:val="21"/>
          <w:szCs w:val="21"/>
          <w:color w:val="auto"/>
        </w:rPr>
        <w:t xml:space="preserve">(iv)except with respect to All-in Yield as set forth in subclause (vi) below and final maturity and weighted average life to maturity as set forth in subclause (iii) above, </w:t>
      </w:r>
      <w:r>
        <w:rPr>
          <w:rFonts w:ascii="Arial" w:cs="Arial" w:eastAsia="Arial" w:hAnsi="Arial"/>
          <w:sz w:val="21"/>
          <w:szCs w:val="21"/>
          <w:color w:val="FF0000"/>
          <w:strike w:val="1"/>
        </w:rPr>
        <w:t>or as otherwise agreed with a Person appointed by the Borrower to</w:t>
      </w:r>
      <w:r>
        <w:rPr>
          <w:rFonts w:ascii="Arial" w:cs="Arial" w:eastAsia="Arial" w:hAnsi="Arial"/>
          <w:sz w:val="21"/>
          <w:szCs w:val="21"/>
          <w:color w:val="auto"/>
        </w:rPr>
        <w:t xml:space="preserve"> </w:t>
      </w:r>
      <w:r>
        <w:rPr>
          <w:rFonts w:ascii="Arial" w:cs="Arial" w:eastAsia="Arial" w:hAnsi="Arial"/>
          <w:sz w:val="21"/>
          <w:szCs w:val="21"/>
          <w:color w:val="FF0000"/>
          <w:strike w:val="1"/>
        </w:rPr>
        <w:t xml:space="preserve">arrange an incremental Facility (such Person (who may be (i) the Administrative Agent, if it so agrees, or (ii) any other Person (other than an Affiliate of the Borrower) appointed by the Borrower after consultation with the Administrative Agent; </w:t>
      </w:r>
      <w:r>
        <w:rPr>
          <w:rFonts w:ascii="Arial" w:cs="Arial" w:eastAsia="Arial" w:hAnsi="Arial"/>
          <w:sz w:val="21"/>
          <w:szCs w:val="21"/>
          <w:u w:val="single" w:color="auto"/>
          <w:color w:val="FF0000"/>
          <w:strike w:val="1"/>
        </w:rPr>
        <w:t>provided</w:t>
      </w:r>
      <w:r>
        <w:rPr>
          <w:rFonts w:ascii="Arial" w:cs="Arial" w:eastAsia="Arial" w:hAnsi="Arial"/>
          <w:sz w:val="21"/>
          <w:szCs w:val="21"/>
          <w:color w:val="FF0000"/>
          <w:strike w:val="1"/>
        </w:rPr>
        <w:t xml:space="preserve"> that such Person may not be an Affiliate of the Borrower), the “</w:t>
      </w:r>
      <w:r>
        <w:rPr>
          <w:rFonts w:ascii="Arial" w:cs="Arial" w:eastAsia="Arial" w:hAnsi="Arial"/>
          <w:sz w:val="21"/>
          <w:szCs w:val="21"/>
          <w:u w:val="single" w:color="auto"/>
          <w:color w:val="FF0000"/>
          <w:strike w:val="1"/>
        </w:rPr>
        <w:t>Incremental Arranger</w:t>
      </w:r>
      <w:r>
        <w:rPr>
          <w:rFonts w:ascii="Arial" w:cs="Arial" w:eastAsia="Arial" w:hAnsi="Arial"/>
          <w:sz w:val="21"/>
          <w:szCs w:val="21"/>
          <w:color w:val="FF0000"/>
          <w:strike w:val="1"/>
        </w:rPr>
        <w:t>”) in the documentation relating to</w:t>
      </w:r>
      <w:r>
        <w:rPr>
          <w:rFonts w:ascii="Arial" w:cs="Arial" w:eastAsia="Arial" w:hAnsi="Arial"/>
          <w:sz w:val="21"/>
          <w:szCs w:val="21"/>
          <w:u w:val="single" w:color="auto"/>
          <w:color w:val="0000FF"/>
          <w:strike w:val="1"/>
        </w:rPr>
        <w:t>any</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such Incremental Term Loans or Revolving Credit Commitment Increase</w:t>
      </w:r>
      <w:r>
        <w:rPr>
          <w:rFonts w:ascii="Arial" w:cs="Arial" w:eastAsia="Arial" w:hAnsi="Arial"/>
          <w:sz w:val="21"/>
          <w:szCs w:val="21"/>
          <w:color w:val="FF0000"/>
          <w:strike w:val="1"/>
        </w:rPr>
        <w:t xml:space="preserve">, any </w:t>
      </w:r>
      <w:r>
        <w:rPr>
          <w:rFonts w:ascii="Arial" w:cs="Arial" w:eastAsia="Arial" w:hAnsi="Arial"/>
          <w:sz w:val="21"/>
          <w:szCs w:val="21"/>
          <w:color w:val="008000"/>
          <w:strike w:val="1"/>
        </w:rPr>
        <w:t>such</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 xml:space="preserve">Incremental Term Loans or </w:t>
      </w:r>
      <w:r>
        <w:rPr>
          <w:rFonts w:ascii="Arial" w:cs="Arial" w:eastAsia="Arial" w:hAnsi="Arial"/>
          <w:sz w:val="21"/>
          <w:szCs w:val="21"/>
          <w:color w:val="FF0000"/>
          <w:strike w:val="1"/>
        </w:rPr>
        <w:t>Revolving Credit Increase</w:t>
      </w:r>
      <w:r>
        <w:rPr>
          <w:rFonts w:ascii="Arial" w:cs="Arial" w:eastAsia="Arial" w:hAnsi="Arial"/>
          <w:sz w:val="21"/>
          <w:szCs w:val="21"/>
          <w:color w:val="008000"/>
          <w:strike w:val="1"/>
        </w:rPr>
        <w:t xml:space="preserve"> </w:t>
      </w:r>
      <w:r>
        <w:rPr>
          <w:rFonts w:ascii="Arial" w:cs="Arial" w:eastAsia="Arial" w:hAnsi="Arial"/>
          <w:sz w:val="21"/>
          <w:szCs w:val="21"/>
          <w:color w:val="000000"/>
          <w:strike w:val="1"/>
        </w:rPr>
        <w:t>shall either (i) have the same terms as the Term Loan Facility or</w:t>
      </w:r>
      <w:r>
        <w:rPr>
          <w:rFonts w:ascii="Arial" w:cs="Arial" w:eastAsia="Arial" w:hAnsi="Arial"/>
          <w:sz w:val="21"/>
          <w:szCs w:val="21"/>
          <w:color w:val="008000"/>
          <w:strike w:val="1"/>
        </w:rPr>
        <w:t xml:space="preserve"> </w:t>
      </w:r>
      <w:r>
        <w:rPr>
          <w:rFonts w:ascii="Arial" w:cs="Arial" w:eastAsia="Arial" w:hAnsi="Arial"/>
          <w:sz w:val="21"/>
          <w:szCs w:val="21"/>
          <w:color w:val="000000"/>
          <w:strike w:val="1"/>
        </w:rPr>
        <w:t xml:space="preserve">Revolving Credit Facility or (ii) have such other terms as may </w:t>
      </w:r>
      <w:r>
        <w:rPr>
          <w:rFonts w:ascii="Arial" w:cs="Arial" w:eastAsia="Arial" w:hAnsi="Arial"/>
          <w:sz w:val="21"/>
          <w:szCs w:val="21"/>
          <w:u w:val="single" w:color="auto"/>
          <w:color w:val="0000FF"/>
          <w:strike w:val="1"/>
        </w:rPr>
        <w:t>be</w:t>
      </w:r>
      <w:r>
        <w:rPr>
          <w:rFonts w:ascii="Arial" w:cs="Arial" w:eastAsia="Arial" w:hAnsi="Arial"/>
          <w:sz w:val="21"/>
          <w:szCs w:val="21"/>
          <w:color w:val="000000"/>
          <w:strike w:val="1"/>
        </w:rPr>
        <w:t xml:space="preserve"> agreed by the Borrower and the lenders providing such New Loan Commitments; </w:t>
      </w:r>
      <w:r>
        <w:rPr>
          <w:rFonts w:ascii="Arial" w:cs="Arial" w:eastAsia="Arial" w:hAnsi="Arial"/>
          <w:sz w:val="21"/>
          <w:szCs w:val="21"/>
          <w:u w:val="single" w:color="auto"/>
          <w:color w:val="000000"/>
          <w:strike w:val="1"/>
        </w:rPr>
        <w:t>provided</w:t>
      </w:r>
      <w:r>
        <w:rPr>
          <w:rFonts w:ascii="Arial" w:cs="Arial" w:eastAsia="Arial" w:hAnsi="Arial"/>
          <w:sz w:val="21"/>
          <w:szCs w:val="21"/>
          <w:color w:val="000000"/>
          <w:strike w:val="1"/>
        </w:rPr>
        <w:t xml:space="preserve">, that to the extent such terms are more favorable to the </w:t>
      </w:r>
      <w:r>
        <w:rPr>
          <w:rFonts w:ascii="Arial" w:cs="Arial" w:eastAsia="Arial" w:hAnsi="Arial"/>
          <w:sz w:val="21"/>
          <w:szCs w:val="21"/>
          <w:color w:val="FF0000"/>
          <w:strike w:val="1"/>
        </w:rPr>
        <w:t>existing</w:t>
      </w:r>
      <w:r>
        <w:rPr>
          <w:rFonts w:ascii="Arial" w:cs="Arial" w:eastAsia="Arial" w:hAnsi="Arial"/>
          <w:sz w:val="21"/>
          <w:szCs w:val="21"/>
          <w:u w:val="single" w:color="auto"/>
          <w:color w:val="0000FF"/>
          <w:strike w:val="1"/>
        </w:rPr>
        <w:t>new</w:t>
      </w:r>
      <w:r>
        <w:rPr>
          <w:rFonts w:ascii="Arial" w:cs="Arial" w:eastAsia="Arial" w:hAnsi="Arial"/>
          <w:sz w:val="21"/>
          <w:szCs w:val="21"/>
          <w:color w:val="000000"/>
          <w:strike w:val="1"/>
        </w:rPr>
        <w:t xml:space="preserve"> Lenders, when taken as a whole, than comparable terms </w:t>
      </w:r>
      <w:r>
        <w:rPr>
          <w:rFonts w:ascii="Arial" w:cs="Arial" w:eastAsia="Arial" w:hAnsi="Arial"/>
          <w:sz w:val="21"/>
          <w:szCs w:val="21"/>
          <w:color w:val="FF0000"/>
          <w:strike w:val="1"/>
        </w:rPr>
        <w:t>existing</w:t>
      </w:r>
      <w:r>
        <w:rPr>
          <w:rFonts w:ascii="Arial" w:cs="Arial" w:eastAsia="Arial" w:hAnsi="Arial"/>
          <w:sz w:val="21"/>
          <w:szCs w:val="21"/>
          <w:u w:val="single" w:color="auto"/>
          <w:color w:val="0000FF"/>
          <w:strike w:val="1"/>
        </w:rPr>
        <w:t>then-existing</w:t>
      </w:r>
      <w:r>
        <w:rPr>
          <w:rFonts w:ascii="Arial" w:cs="Arial" w:eastAsia="Arial" w:hAnsi="Arial"/>
          <w:sz w:val="21"/>
          <w:szCs w:val="21"/>
          <w:color w:val="000000"/>
          <w:strike w:val="1"/>
        </w:rPr>
        <w:t xml:space="preserve"> in the Loan Documents (as determined by the Borrower in good faith), such terms may be, in consultation with the Administrative Agent and Borrower, incorporated into this Agreement (or any other applicable Loan Document) for the benefit of all existing Lenders (to the extent applicable to such Lender) without further amendment requirements, including, for the avoidance of doubt, at the option of the Borrower, any increase in the Applicable Margin relating to any existing Term Loan Facility to bring such Applicable Margin in line with </w:t>
      </w:r>
      <w:r>
        <w:rPr>
          <w:rFonts w:ascii="Arial" w:cs="Arial" w:eastAsia="Arial" w:hAnsi="Arial"/>
          <w:sz w:val="21"/>
          <w:szCs w:val="21"/>
          <w:color w:val="FF0000"/>
          <w:strike w:val="1"/>
        </w:rPr>
        <w:t>the</w:t>
      </w:r>
      <w:r>
        <w:rPr>
          <w:rFonts w:ascii="Arial" w:cs="Arial" w:eastAsia="Arial" w:hAnsi="Arial"/>
          <w:sz w:val="21"/>
          <w:szCs w:val="21"/>
          <w:u w:val="single" w:color="auto"/>
          <w:color w:val="0000FF"/>
          <w:strike w:val="1"/>
        </w:rPr>
        <w:t>such then-incurred</w:t>
      </w:r>
      <w:r>
        <w:rPr>
          <w:rFonts w:ascii="Arial" w:cs="Arial" w:eastAsia="Arial" w:hAnsi="Arial"/>
          <w:sz w:val="21"/>
          <w:szCs w:val="21"/>
          <w:color w:val="000000"/>
          <w:strike w:val="1"/>
        </w:rPr>
        <w:t xml:space="preserve"> Incremental Term Loans to achieve fungibility with such </w:t>
      </w:r>
      <w:r>
        <w:rPr>
          <w:rFonts w:ascii="Arial" w:cs="Arial" w:eastAsia="Arial" w:hAnsi="Arial"/>
          <w:sz w:val="21"/>
          <w:szCs w:val="21"/>
          <w:u w:val="single" w:color="auto"/>
          <w:color w:val="0000FF"/>
          <w:strike w:val="1"/>
        </w:rPr>
        <w:t>then applicable</w:t>
      </w:r>
      <w:r>
        <w:rPr>
          <w:rFonts w:ascii="Arial" w:cs="Arial" w:eastAsia="Arial" w:hAnsi="Arial"/>
          <w:sz w:val="21"/>
          <w:szCs w:val="21"/>
          <w:color w:val="000000"/>
          <w:strike w:val="1"/>
        </w:rPr>
        <w:t xml:space="preserve"> existing Term Loan Facility;</w:t>
      </w:r>
    </w:p>
    <w:p>
      <w:pPr>
        <w:spacing w:after="0" w:line="183" w:lineRule="exact"/>
        <w:rPr>
          <w:sz w:val="20"/>
          <w:szCs w:val="20"/>
          <w:color w:val="auto"/>
        </w:rPr>
      </w:pPr>
    </w:p>
    <w:p>
      <w:pPr>
        <w:jc w:val="both"/>
        <w:ind w:firstLine="396"/>
        <w:spacing w:after="0" w:line="290" w:lineRule="auto"/>
        <w:rPr>
          <w:sz w:val="20"/>
          <w:szCs w:val="20"/>
          <w:color w:val="auto"/>
        </w:rPr>
      </w:pPr>
      <w:r>
        <w:rPr>
          <w:rFonts w:ascii="Arial" w:cs="Arial" w:eastAsia="Arial" w:hAnsi="Arial"/>
          <w:sz w:val="19"/>
          <w:szCs w:val="19"/>
          <w:color w:val="auto"/>
        </w:rPr>
        <w:t>(v)</w:t>
      </w:r>
      <w:r>
        <w:rPr>
          <w:rFonts w:ascii="Arial" w:cs="Arial" w:eastAsia="Arial" w:hAnsi="Arial"/>
          <w:sz w:val="19"/>
          <w:szCs w:val="19"/>
          <w:color w:val="FF0000"/>
          <w:strike w:val="1"/>
        </w:rPr>
        <w:t>(v)</w:t>
      </w:r>
      <w:r>
        <w:rPr>
          <w:rFonts w:ascii="Arial" w:cs="Arial" w:eastAsia="Arial" w:hAnsi="Arial"/>
          <w:sz w:val="19"/>
          <w:szCs w:val="19"/>
          <w:color w:val="auto"/>
        </w:rPr>
        <w:t xml:space="preserve"> to the extent reasonably requested by the </w:t>
      </w:r>
      <w:r>
        <w:rPr>
          <w:rFonts w:ascii="Arial" w:cs="Arial" w:eastAsia="Arial" w:hAnsi="Arial"/>
          <w:sz w:val="19"/>
          <w:szCs w:val="19"/>
          <w:color w:val="FF0000"/>
          <w:strike w:val="1"/>
        </w:rPr>
        <w:t>Incremental Arranger</w:t>
      </w:r>
      <w:r>
        <w:rPr>
          <w:rFonts w:ascii="Arial" w:cs="Arial" w:eastAsia="Arial" w:hAnsi="Arial"/>
          <w:sz w:val="19"/>
          <w:szCs w:val="19"/>
          <w:u w:val="single" w:color="auto"/>
          <w:color w:val="0000FF"/>
        </w:rPr>
        <w:t>Administrative Agent</w:t>
      </w:r>
      <w:r>
        <w:rPr>
          <w:rFonts w:ascii="Arial" w:cs="Arial" w:eastAsia="Arial" w:hAnsi="Arial"/>
          <w:sz w:val="19"/>
          <w:szCs w:val="19"/>
          <w:color w:val="auto"/>
        </w:rPr>
        <w:t xml:space="preserve"> and expressly set forth in the documentation relating to Incremental Term Loans or Revolving Credit </w:t>
      </w:r>
      <w:r>
        <w:rPr>
          <w:rFonts w:ascii="Arial" w:cs="Arial" w:eastAsia="Arial" w:hAnsi="Arial"/>
          <w:sz w:val="19"/>
          <w:szCs w:val="19"/>
          <w:u w:val="single" w:color="auto"/>
          <w:color w:val="0000FF"/>
        </w:rPr>
        <w:t>Commitment</w:t>
      </w:r>
      <w:r>
        <w:rPr>
          <w:rFonts w:ascii="Arial" w:cs="Arial" w:eastAsia="Arial" w:hAnsi="Arial"/>
          <w:sz w:val="19"/>
          <w:szCs w:val="19"/>
          <w:color w:val="auto"/>
        </w:rPr>
        <w:t xml:space="preserve"> Increase, the </w:t>
      </w:r>
      <w:r>
        <w:rPr>
          <w:rFonts w:ascii="Arial" w:cs="Arial" w:eastAsia="Arial" w:hAnsi="Arial"/>
          <w:sz w:val="19"/>
          <w:szCs w:val="19"/>
          <w:color w:val="FF0000"/>
          <w:strike w:val="1"/>
        </w:rPr>
        <w:t>Incremental</w:t>
      </w:r>
      <w:r>
        <w:rPr>
          <w:rFonts w:ascii="Arial" w:cs="Arial" w:eastAsia="Arial" w:hAnsi="Arial"/>
          <w:sz w:val="19"/>
          <w:szCs w:val="19"/>
          <w:color w:val="auto"/>
        </w:rPr>
        <w:t xml:space="preserve"> </w:t>
      </w:r>
      <w:r>
        <w:rPr>
          <w:rFonts w:ascii="Arial" w:cs="Arial" w:eastAsia="Arial" w:hAnsi="Arial"/>
          <w:sz w:val="19"/>
          <w:szCs w:val="19"/>
          <w:color w:val="FF0000"/>
          <w:strike w:val="1"/>
        </w:rPr>
        <w:t>Arranger</w:t>
      </w:r>
      <w:r>
        <w:rPr>
          <w:rFonts w:ascii="Arial" w:cs="Arial" w:eastAsia="Arial" w:hAnsi="Arial"/>
          <w:sz w:val="19"/>
          <w:szCs w:val="19"/>
          <w:u w:val="single" w:color="auto"/>
          <w:color w:val="0000FF"/>
        </w:rPr>
        <w:t>Administrative Agent</w:t>
      </w:r>
      <w:r>
        <w:rPr>
          <w:rFonts w:ascii="Arial" w:cs="Arial" w:eastAsia="Arial" w:hAnsi="Arial"/>
          <w:sz w:val="19"/>
          <w:szCs w:val="19"/>
          <w:color w:val="FF0000"/>
        </w:rPr>
        <w:t xml:space="preserve"> </w:t>
      </w:r>
      <w:r>
        <w:rPr>
          <w:rFonts w:ascii="Arial" w:cs="Arial" w:eastAsia="Arial" w:hAnsi="Arial"/>
          <w:sz w:val="19"/>
          <w:szCs w:val="19"/>
          <w:color w:val="000000"/>
        </w:rPr>
        <w:t>shall have received legal opinions, resolutions, officers’ certificates and/or reaffirmation</w:t>
      </w:r>
      <w:r>
        <w:rPr>
          <w:rFonts w:ascii="Arial" w:cs="Arial" w:eastAsia="Arial" w:hAnsi="Arial"/>
          <w:sz w:val="19"/>
          <w:szCs w:val="19"/>
          <w:color w:val="FF0000"/>
        </w:rPr>
        <w:t xml:space="preserve"> </w:t>
      </w:r>
      <w:r>
        <w:rPr>
          <w:rFonts w:ascii="Arial" w:cs="Arial" w:eastAsia="Arial" w:hAnsi="Arial"/>
          <w:sz w:val="19"/>
          <w:szCs w:val="19"/>
          <w:color w:val="000000"/>
        </w:rPr>
        <w:t xml:space="preserve">agreements consistent with those delivered on the Closing Date under </w:t>
      </w:r>
      <w:r>
        <w:rPr>
          <w:rFonts w:ascii="Arial" w:cs="Arial" w:eastAsia="Arial" w:hAnsi="Arial"/>
          <w:sz w:val="19"/>
          <w:szCs w:val="19"/>
          <w:u w:val="single" w:color="auto"/>
          <w:color w:val="000000"/>
        </w:rPr>
        <w:t>Section 5.1</w:t>
      </w:r>
      <w:r>
        <w:rPr>
          <w:rFonts w:ascii="Arial" w:cs="Arial" w:eastAsia="Arial" w:hAnsi="Arial"/>
          <w:sz w:val="19"/>
          <w:szCs w:val="19"/>
          <w:color w:val="000000"/>
        </w:rPr>
        <w:t xml:space="preserve"> or delivered from time to time pursuant to </w:t>
      </w:r>
      <w:r>
        <w:rPr>
          <w:rFonts w:ascii="Arial" w:cs="Arial" w:eastAsia="Arial" w:hAnsi="Arial"/>
          <w:sz w:val="19"/>
          <w:szCs w:val="19"/>
          <w:u w:val="single" w:color="auto"/>
          <w:color w:val="000000"/>
        </w:rPr>
        <w:t>Section 6.10</w:t>
      </w:r>
      <w:r>
        <w:rPr>
          <w:rFonts w:ascii="Arial" w:cs="Arial" w:eastAsia="Arial" w:hAnsi="Arial"/>
          <w:sz w:val="19"/>
          <w:szCs w:val="19"/>
          <w:color w:val="000000"/>
        </w:rPr>
        <w:t xml:space="preserve"> with respect to the Borrower and each material Subsidiary Guarantor that is organized in a jurisdiction for which counsel to the Administrative Agent advises that such deliveries are reasonably necessary to preserve the Collateral in such jurisdiction (other than changes to such legal opinions resulting from a change in law, change in fact or change to counsel’s form of opinion reasonably satisfactory to the </w:t>
      </w:r>
      <w:r>
        <w:rPr>
          <w:rFonts w:ascii="Arial" w:cs="Arial" w:eastAsia="Arial" w:hAnsi="Arial"/>
          <w:sz w:val="19"/>
          <w:szCs w:val="19"/>
          <w:color w:val="FF0000"/>
          <w:strike w:val="1"/>
        </w:rPr>
        <w:t>Incremental Arranger</w:t>
      </w:r>
      <w:r>
        <w:rPr>
          <w:rFonts w:ascii="Arial" w:cs="Arial" w:eastAsia="Arial" w:hAnsi="Arial"/>
          <w:sz w:val="19"/>
          <w:szCs w:val="19"/>
          <w:u w:val="single" w:color="auto"/>
          <w:color w:val="0000FF"/>
        </w:rPr>
        <w:t>Administrative Agent</w:t>
      </w:r>
      <w:r>
        <w:rPr>
          <w:rFonts w:ascii="Arial" w:cs="Arial" w:eastAsia="Arial" w:hAnsi="Arial"/>
          <w:sz w:val="19"/>
          <w:szCs w:val="19"/>
          <w:color w:val="000000"/>
        </w:rPr>
        <w:t xml:space="preserve">); </w:t>
      </w:r>
      <w:r>
        <w:rPr>
          <w:rFonts w:ascii="Arial" w:cs="Arial" w:eastAsia="Arial" w:hAnsi="Arial"/>
          <w:sz w:val="19"/>
          <w:szCs w:val="19"/>
          <w:color w:val="FF0000"/>
          <w:strike w:val="1"/>
        </w:rPr>
        <w:t>and</w:t>
      </w:r>
    </w:p>
    <w:p>
      <w:pPr>
        <w:spacing w:after="0" w:line="156" w:lineRule="exact"/>
        <w:rPr>
          <w:sz w:val="20"/>
          <w:szCs w:val="20"/>
          <w:color w:val="auto"/>
        </w:rPr>
      </w:pPr>
    </w:p>
    <w:p>
      <w:pPr>
        <w:jc w:val="both"/>
        <w:ind w:firstLine="336"/>
        <w:spacing w:after="0" w:line="294" w:lineRule="auto"/>
        <w:rPr>
          <w:sz w:val="20"/>
          <w:szCs w:val="20"/>
          <w:color w:val="auto"/>
        </w:rPr>
      </w:pPr>
      <w:r>
        <w:rPr>
          <w:rFonts w:ascii="Arial" w:cs="Arial" w:eastAsia="Arial" w:hAnsi="Arial"/>
          <w:sz w:val="19"/>
          <w:szCs w:val="19"/>
          <w:color w:val="auto"/>
        </w:rPr>
        <w:t xml:space="preserve">(vi)with respect to any Incremental Term Loans </w:t>
      </w:r>
      <w:r>
        <w:rPr>
          <w:rFonts w:ascii="Arial" w:cs="Arial" w:eastAsia="Arial" w:hAnsi="Arial"/>
          <w:sz w:val="19"/>
          <w:szCs w:val="19"/>
          <w:color w:val="FF0000"/>
          <w:strike w:val="1"/>
        </w:rPr>
        <w:t>that are incurred</w:t>
      </w:r>
      <w:r>
        <w:rPr>
          <w:rFonts w:ascii="Arial" w:cs="Arial" w:eastAsia="Arial" w:hAnsi="Arial"/>
          <w:sz w:val="19"/>
          <w:szCs w:val="19"/>
          <w:color w:val="auto"/>
        </w:rPr>
        <w:t xml:space="preserve"> </w:t>
      </w:r>
      <w:r>
        <w:rPr>
          <w:rFonts w:ascii="Arial" w:cs="Arial" w:eastAsia="Arial" w:hAnsi="Arial"/>
          <w:sz w:val="19"/>
          <w:szCs w:val="19"/>
          <w:color w:val="008000"/>
          <w:strike w:val="1"/>
        </w:rPr>
        <w:t>on or prior to the date that is</w:t>
      </w:r>
      <w:r>
        <w:rPr>
          <w:rFonts w:ascii="Arial" w:cs="Arial" w:eastAsia="Arial" w:hAnsi="Arial"/>
          <w:sz w:val="19"/>
          <w:szCs w:val="19"/>
          <w:color w:val="auto"/>
        </w:rPr>
        <w:t xml:space="preserve"> </w:t>
      </w:r>
      <w:r>
        <w:rPr>
          <w:rFonts w:ascii="Arial" w:cs="Arial" w:eastAsia="Arial" w:hAnsi="Arial"/>
          <w:sz w:val="19"/>
          <w:szCs w:val="19"/>
          <w:color w:val="FF0000"/>
          <w:strike w:val="1"/>
        </w:rPr>
        <w:t>twelve months after the</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Closing Date, the All-in Yield </w:t>
      </w:r>
      <w:r>
        <w:rPr>
          <w:rFonts w:ascii="Arial" w:cs="Arial" w:eastAsia="Arial" w:hAnsi="Arial"/>
          <w:sz w:val="19"/>
          <w:szCs w:val="19"/>
          <w:u w:val="single" w:color="auto"/>
          <w:color w:val="0000FF"/>
          <w:strike w:val="1"/>
        </w:rPr>
        <w:t>(but not New Incremental Loans) or, other than with the written consent of the Majority</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 xml:space="preserve">Term Loan Facility Lenders (in their sole discretion), Revolving Credit Commitment Increases, in each case that are secured on a basis that is pari passu with the Initial Term Loans and New Incremental </w:t>
      </w:r>
      <w:r>
        <w:rPr>
          <w:rFonts w:ascii="Arial" w:cs="Arial" w:eastAsia="Arial" w:hAnsi="Arial"/>
          <w:sz w:val="19"/>
          <w:szCs w:val="19"/>
          <w:u w:val="single" w:color="auto"/>
          <w:color w:val="008000"/>
          <w:strike w:val="1"/>
        </w:rPr>
        <w:t>Loans (it being understood that</w:t>
      </w:r>
      <w:r>
        <w:rPr>
          <w:rFonts w:ascii="Arial" w:cs="Arial" w:eastAsia="Arial" w:hAnsi="Arial"/>
          <w:sz w:val="19"/>
          <w:szCs w:val="19"/>
          <w:u w:val="single" w:color="auto"/>
          <w:color w:val="0000FF"/>
          <w:strike w:val="1"/>
        </w:rPr>
        <w:t xml:space="preserve"> such Incremental Term Loans, in each case may not be secured on a basis that is senior to the Initial Term Loans or the New Incremental Loans), the All-in-Yield</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payable by the Borrower applicable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0580"/>
          </w:cols>
          <w:pgMar w:left="980" w:top="1428" w:right="339" w:bottom="1440" w:gutter="0" w:footer="0" w:header="0"/>
        </w:sectPr>
      </w:pPr>
    </w:p>
    <w:bookmarkStart w:id="176" w:name="page177"/>
    <w:bookmarkEnd w:id="176"/>
    <w:p>
      <w:pPr>
        <w:jc w:val="both"/>
        <w:ind w:left="660"/>
        <w:spacing w:after="0" w:line="285" w:lineRule="auto"/>
        <w:rPr>
          <w:sz w:val="20"/>
          <w:szCs w:val="20"/>
          <w:color w:val="auto"/>
        </w:rPr>
      </w:pPr>
      <w:r>
        <w:rPr>
          <w:rFonts w:ascii="Arial" w:cs="Arial" w:eastAsia="Arial" w:hAnsi="Arial"/>
          <w:sz w:val="19"/>
          <w:szCs w:val="19"/>
          <w:color w:val="auto"/>
        </w:rPr>
        <w:t xml:space="preserve">Incremental Term Loans </w:t>
      </w:r>
      <w:r>
        <w:rPr>
          <w:rFonts w:ascii="Arial" w:cs="Arial" w:eastAsia="Arial" w:hAnsi="Arial"/>
          <w:sz w:val="19"/>
          <w:szCs w:val="19"/>
          <w:color w:val="FF0000"/>
          <w:strike w:val="1"/>
        </w:rPr>
        <w:t>shall not be more than 50 basis points</w:t>
      </w:r>
      <w:r>
        <w:rPr>
          <w:rFonts w:ascii="Arial" w:cs="Arial" w:eastAsia="Arial" w:hAnsi="Arial"/>
          <w:sz w:val="19"/>
          <w:szCs w:val="19"/>
          <w:u w:val="single" w:color="auto"/>
          <w:color w:val="0000FF"/>
        </w:rPr>
        <w:t>or such applicable Revolving Credit Commitment Increase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(as applicable) shall not be</w:t>
      </w:r>
      <w:r>
        <w:rPr>
          <w:rFonts w:ascii="Arial" w:cs="Arial" w:eastAsia="Arial" w:hAnsi="Arial"/>
          <w:sz w:val="19"/>
          <w:szCs w:val="19"/>
          <w:color w:val="0000FF"/>
        </w:rPr>
        <w:t xml:space="preserve"> </w:t>
      </w:r>
      <w:r>
        <w:rPr>
          <w:rFonts w:ascii="Arial" w:cs="Arial" w:eastAsia="Arial" w:hAnsi="Arial"/>
          <w:sz w:val="19"/>
          <w:szCs w:val="19"/>
          <w:color w:val="000000"/>
        </w:rPr>
        <w:t>higher than the corresponding All-in Yield payable by the Borrower with respect to</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(x)</w:t>
      </w:r>
      <w:r>
        <w:rPr>
          <w:rFonts w:ascii="Arial" w:cs="Arial" w:eastAsia="Arial" w:hAnsi="Arial"/>
          <w:sz w:val="19"/>
          <w:szCs w:val="19"/>
          <w:color w:val="0000FF"/>
        </w:rPr>
        <w:t xml:space="preserve"> </w:t>
      </w:r>
      <w:r>
        <w:rPr>
          <w:rFonts w:ascii="Arial" w:cs="Arial" w:eastAsia="Arial" w:hAnsi="Arial"/>
          <w:sz w:val="19"/>
          <w:szCs w:val="19"/>
          <w:color w:val="000000"/>
        </w:rPr>
        <w:t>the</w:t>
      </w:r>
      <w:r>
        <w:rPr>
          <w:rFonts w:ascii="Arial" w:cs="Arial" w:eastAsia="Arial" w:hAnsi="Arial"/>
          <w:sz w:val="19"/>
          <w:szCs w:val="19"/>
          <w:color w:val="0000FF"/>
        </w:rPr>
        <w:t xml:space="preserve"> </w:t>
      </w:r>
      <w:r>
        <w:rPr>
          <w:rFonts w:ascii="Arial" w:cs="Arial" w:eastAsia="Arial" w:hAnsi="Arial"/>
          <w:sz w:val="19"/>
          <w:szCs w:val="19"/>
          <w:color w:val="FF0000"/>
          <w:strike w:val="1"/>
        </w:rPr>
        <w:t>Term Loan Facility</w:t>
      </w:r>
      <w:r>
        <w:rPr>
          <w:rFonts w:ascii="Arial" w:cs="Arial" w:eastAsia="Arial" w:hAnsi="Arial"/>
          <w:sz w:val="19"/>
          <w:szCs w:val="19"/>
          <w:u w:val="single" w:color="auto"/>
          <w:color w:val="0000FF"/>
          <w:strike w:val="1"/>
        </w:rPr>
        <w:t>New Incremental Loans and (y) solely if such Incremental Term Loans or such applicable Revolving</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Credit Commitment Increases (as applicable) are initially provided by any Incremental Additional Lender, the Initial Term Loans</w:t>
      </w:r>
      <w:r>
        <w:rPr>
          <w:rFonts w:ascii="Arial" w:cs="Arial" w:eastAsia="Arial" w:hAnsi="Arial"/>
          <w:sz w:val="19"/>
          <w:szCs w:val="19"/>
          <w:color w:val="000000"/>
          <w:strike w:val="1"/>
        </w:rPr>
        <w:t>, unless the All-in Yield with respect to the</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Term Loan Facility</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FF"/>
          <w:strike w:val="1"/>
        </w:rPr>
        <w:t>New Incremental Loans, and solely if</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8000"/>
          <w:strike w:val="1"/>
        </w:rPr>
        <w:t>such</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8000"/>
          <w:strike w:val="1"/>
        </w:rPr>
        <w:t xml:space="preserve">Incremental Term Loans or </w:t>
      </w:r>
      <w:r>
        <w:rPr>
          <w:rFonts w:ascii="Arial" w:cs="Arial" w:eastAsia="Arial" w:hAnsi="Arial"/>
          <w:sz w:val="19"/>
          <w:szCs w:val="19"/>
          <w:u w:val="single" w:color="auto"/>
          <w:color w:val="0000FF"/>
          <w:strike w:val="1"/>
        </w:rPr>
        <w:t>such applicable Revolving Credit Commitment Increases (as applicable) are initially provided</w:t>
      </w:r>
      <w:r>
        <w:rPr>
          <w:rFonts w:ascii="Arial" w:cs="Arial" w:eastAsia="Arial" w:hAnsi="Arial"/>
          <w:sz w:val="19"/>
          <w:szCs w:val="19"/>
          <w:u w:val="single" w:color="auto"/>
          <w:color w:val="008000"/>
          <w:strike w:val="1"/>
        </w:rPr>
        <w:t xml:space="preserve"> </w:t>
      </w:r>
      <w:r>
        <w:rPr>
          <w:rFonts w:ascii="Arial" w:cs="Arial" w:eastAsia="Arial" w:hAnsi="Arial"/>
          <w:sz w:val="19"/>
          <w:szCs w:val="19"/>
          <w:u w:val="single" w:color="auto"/>
          <w:color w:val="0000FF"/>
          <w:strike w:val="1"/>
        </w:rPr>
        <w:t>by any Incremental Additional Lender, the Initial Term Loans,</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is increased</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FF"/>
          <w:strike w:val="1"/>
        </w:rPr>
        <w:t>(to the extent necessary)</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to the amount</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 xml:space="preserve">necessary so that </w:t>
      </w:r>
      <w:r>
        <w:rPr>
          <w:rFonts w:ascii="Arial" w:cs="Arial" w:eastAsia="Arial" w:hAnsi="Arial"/>
          <w:sz w:val="19"/>
          <w:szCs w:val="19"/>
          <w:color w:val="FF0000"/>
          <w:strike w:val="1"/>
        </w:rPr>
        <w:t>the</w:t>
      </w:r>
      <w:r>
        <w:rPr>
          <w:rFonts w:ascii="Arial" w:cs="Arial" w:eastAsia="Arial" w:hAnsi="Arial"/>
          <w:sz w:val="19"/>
          <w:szCs w:val="19"/>
          <w:u w:val="single" w:color="auto"/>
          <w:color w:val="0000FF"/>
          <w:strike w:val="1"/>
        </w:rPr>
        <w:t>there is no</w:t>
      </w:r>
      <w:r>
        <w:rPr>
          <w:rFonts w:ascii="Arial" w:cs="Arial" w:eastAsia="Arial" w:hAnsi="Arial"/>
          <w:sz w:val="19"/>
          <w:szCs w:val="19"/>
          <w:color w:val="000000"/>
          <w:strike w:val="1"/>
        </w:rPr>
        <w:t xml:space="preserve"> difference between the All-in Yield with respect to such Incremental Term Loans </w:t>
      </w:r>
      <w:r>
        <w:rPr>
          <w:rFonts w:ascii="Arial" w:cs="Arial" w:eastAsia="Arial" w:hAnsi="Arial"/>
          <w:sz w:val="19"/>
          <w:szCs w:val="19"/>
          <w:u w:val="single" w:color="auto"/>
          <w:color w:val="0000FF"/>
          <w:strike w:val="1"/>
        </w:rPr>
        <w:t>or</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applicable Revolving Credit Commitment Increases (as applicable)</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and the corresponding All-in Yield of the</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Term Loan</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Facility is equal to 50 basis points</w:t>
      </w:r>
      <w:r>
        <w:rPr>
          <w:rFonts w:ascii="Arial" w:cs="Arial" w:eastAsia="Arial" w:hAnsi="Arial"/>
          <w:sz w:val="19"/>
          <w:szCs w:val="19"/>
          <w:u w:val="single" w:color="auto"/>
          <w:color w:val="0000FF"/>
          <w:strike w:val="1"/>
        </w:rPr>
        <w:t>New Incremental Loans, and solely if such Incremental Term Loans are initially</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provided by any Incremental Additional Lender, the Initial Term Loans</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(this proviso, the “</w:t>
      </w:r>
      <w:r>
        <w:rPr>
          <w:rFonts w:ascii="Arial" w:cs="Arial" w:eastAsia="Arial" w:hAnsi="Arial"/>
          <w:sz w:val="19"/>
          <w:szCs w:val="19"/>
          <w:u w:val="single" w:color="auto"/>
          <w:color w:val="000000"/>
          <w:strike w:val="1"/>
        </w:rPr>
        <w:t>MFN Provision</w:t>
      </w:r>
      <w:r>
        <w:rPr>
          <w:rFonts w:ascii="Arial" w:cs="Arial" w:eastAsia="Arial" w:hAnsi="Arial"/>
          <w:sz w:val="19"/>
          <w:szCs w:val="19"/>
          <w:color w:val="000000"/>
          <w:strike w:val="1"/>
        </w:rPr>
        <w:t>”)</w:t>
      </w:r>
      <w:r>
        <w:rPr>
          <w:rFonts w:ascii="Arial" w:cs="Arial" w:eastAsia="Arial" w:hAnsi="Arial"/>
          <w:sz w:val="19"/>
          <w:szCs w:val="19"/>
          <w:color w:val="FF0000"/>
          <w:strike w:val="1"/>
        </w:rPr>
        <w:t>.</w:t>
      </w:r>
      <w:r>
        <w:rPr>
          <w:rFonts w:ascii="Arial" w:cs="Arial" w:eastAsia="Arial" w:hAnsi="Arial"/>
          <w:sz w:val="19"/>
          <w:szCs w:val="19"/>
          <w:u w:val="single" w:color="auto"/>
          <w:color w:val="0000FF"/>
          <w:strike w:val="1"/>
        </w:rPr>
        <w:t>; provided</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0000FF"/>
          <w:strike w:val="1"/>
        </w:rPr>
        <w:t>that, for the avoidance of doubt, if the All-in-Yield with respect to such Incremental Term Loans or applicable Revolving Credit Commitment Increases (as applicable) exceeds the All-in-Yield of some, but not all, applicable tranches or classes of Term Loans then outstanding, only those applicable Term Loans with such lower All-in-Yield shall be provided with such applicable increase (if any); provided further, that for purposes hereof, “initially provided by any Incremental Additional Lender” (or words of similar import) shall not include (or apply) where such loans or commitments are initially provided (or backstopped) by Persons that are not Incremental Additional Lenders without actual knowledge by the Borrower that such loans or commitments would be promptly thereafter assigned to Incremental Additional Lenders; provided further, that, for the avoidance of doubt, the incurrence of the New Incremental Term Loans does not require any such increase with respect to Initial Term Loans;</w:t>
      </w:r>
    </w:p>
    <w:p>
      <w:pPr>
        <w:spacing w:after="0" w:line="200" w:lineRule="exact"/>
        <w:rPr>
          <w:sz w:val="20"/>
          <w:szCs w:val="20"/>
          <w:color w:val="auto"/>
        </w:rPr>
      </w:pPr>
    </w:p>
    <w:p>
      <w:pPr>
        <w:spacing w:after="0" w:line="216" w:lineRule="exact"/>
        <w:rPr>
          <w:sz w:val="20"/>
          <w:szCs w:val="20"/>
          <w:color w:val="auto"/>
        </w:rPr>
      </w:pPr>
    </w:p>
    <w:p>
      <w:pPr>
        <w:jc w:val="both"/>
        <w:ind w:right="20" w:firstLine="1304"/>
        <w:spacing w:after="0" w:line="253" w:lineRule="auto"/>
        <w:tabs>
          <w:tab w:leader="none" w:pos="2005" w:val="left"/>
        </w:tabs>
        <w:numPr>
          <w:ilvl w:val="0"/>
          <w:numId w:val="112"/>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 xml:space="preserve">to the extent required by the Persons providing any Revolving Credit Commitment Increases after the Amendment No. 2 Effective Date, such Revolving Credit Commitment Increases may share pro rata (but not </w:t>
      </w:r>
      <w:r>
        <w:rPr>
          <w:rFonts w:ascii="Arial" w:cs="Arial" w:eastAsia="Arial" w:hAnsi="Arial"/>
          <w:sz w:val="22"/>
          <w:szCs w:val="22"/>
          <w:u w:val="single" w:color="auto"/>
          <w:color w:val="008000"/>
        </w:rPr>
        <w:t>greater than pro</w:t>
      </w:r>
      <w:r>
        <w:rPr>
          <w:rFonts w:ascii="Arial" w:cs="Arial" w:eastAsia="Arial" w:hAnsi="Arial"/>
          <w:sz w:val="22"/>
          <w:szCs w:val="22"/>
          <w:u w:val="single" w:color="auto"/>
          <w:color w:val="0000FF"/>
        </w:rPr>
        <w:t xml:space="preserve"> </w:t>
      </w:r>
      <w:r>
        <w:rPr>
          <w:rFonts w:ascii="Arial" w:cs="Arial" w:eastAsia="Arial" w:hAnsi="Arial"/>
          <w:sz w:val="22"/>
          <w:szCs w:val="22"/>
          <w:u w:val="single" w:color="auto"/>
          <w:color w:val="008000"/>
        </w:rPr>
        <w:t xml:space="preserve">rata) to </w:t>
      </w:r>
      <w:r>
        <w:rPr>
          <w:rFonts w:ascii="Arial" w:cs="Arial" w:eastAsia="Arial" w:hAnsi="Arial"/>
          <w:sz w:val="22"/>
          <w:szCs w:val="22"/>
          <w:u w:val="single" w:color="auto"/>
          <w:color w:val="0000FF"/>
        </w:rPr>
        <w:t>any Mandatory Prepayments otherwise due and payable to Term Loans hereunder.</w:t>
      </w:r>
    </w:p>
    <w:p>
      <w:pPr>
        <w:spacing w:after="0" w:line="185" w:lineRule="exact"/>
        <w:rPr>
          <w:sz w:val="20"/>
          <w:szCs w:val="20"/>
          <w:color w:val="auto"/>
        </w:rPr>
      </w:pPr>
    </w:p>
    <w:p>
      <w:pPr>
        <w:jc w:val="both"/>
        <w:ind w:firstLine="1304"/>
        <w:spacing w:after="0" w:line="289" w:lineRule="auto"/>
        <w:tabs>
          <w:tab w:leader="none" w:pos="1939" w:val="left"/>
        </w:tabs>
        <w:numPr>
          <w:ilvl w:val="0"/>
          <w:numId w:val="113"/>
        </w:numPr>
        <w:rPr>
          <w:rFonts w:ascii="Arial" w:cs="Arial" w:eastAsia="Arial" w:hAnsi="Arial"/>
          <w:sz w:val="19"/>
          <w:szCs w:val="19"/>
          <w:u w:val="single" w:color="auto"/>
          <w:color w:val="0000FF"/>
        </w:rPr>
      </w:pPr>
      <w:r>
        <w:rPr>
          <w:rFonts w:ascii="Arial" w:cs="Arial" w:eastAsia="Arial" w:hAnsi="Arial"/>
          <w:sz w:val="19"/>
          <w:szCs w:val="19"/>
          <w:color w:val="FF0000"/>
          <w:strike w:val="1"/>
        </w:rPr>
        <w:t>(c)</w:t>
      </w:r>
      <w:r>
        <w:rPr>
          <w:rFonts w:ascii="Arial" w:cs="Arial" w:eastAsia="Arial" w:hAnsi="Arial"/>
          <w:sz w:val="19"/>
          <w:szCs w:val="19"/>
          <w:color w:val="FF0000"/>
        </w:rPr>
        <w:t xml:space="preserve"> </w:t>
      </w:r>
      <w:r>
        <w:rPr>
          <w:rFonts w:ascii="Arial" w:cs="Arial" w:eastAsia="Arial" w:hAnsi="Arial"/>
          <w:sz w:val="19"/>
          <w:szCs w:val="19"/>
          <w:color w:val="000000"/>
        </w:rPr>
        <w:t>Each notice from the Borrower pursuant to this</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Section 2.25</w:t>
      </w:r>
      <w:r>
        <w:rPr>
          <w:rFonts w:ascii="Arial" w:cs="Arial" w:eastAsia="Arial" w:hAnsi="Arial"/>
          <w:sz w:val="19"/>
          <w:szCs w:val="19"/>
          <w:color w:val="FF0000"/>
        </w:rPr>
        <w:t xml:space="preserve"> </w:t>
      </w:r>
      <w:r>
        <w:rPr>
          <w:rFonts w:ascii="Arial" w:cs="Arial" w:eastAsia="Arial" w:hAnsi="Arial"/>
          <w:sz w:val="19"/>
          <w:szCs w:val="19"/>
          <w:color w:val="000000"/>
        </w:rPr>
        <w:t>shall set forth the requested amount and</w:t>
      </w:r>
      <w:r>
        <w:rPr>
          <w:rFonts w:ascii="Arial" w:cs="Arial" w:eastAsia="Arial" w:hAnsi="Arial"/>
          <w:sz w:val="19"/>
          <w:szCs w:val="19"/>
          <w:color w:val="FF0000"/>
        </w:rPr>
        <w:t xml:space="preserve"> </w:t>
      </w:r>
      <w:r>
        <w:rPr>
          <w:rFonts w:ascii="Arial" w:cs="Arial" w:eastAsia="Arial" w:hAnsi="Arial"/>
          <w:sz w:val="19"/>
          <w:szCs w:val="19"/>
          <w:color w:val="000000"/>
        </w:rPr>
        <w:t>proposed terms of the relevant Incremental Term Loans or Revolving Credit Commitment Increases. Incremental Term Loans may be made, and Revolving Credit Commitment Increases may be provided, by any “Additional Lender”</w:t>
      </w:r>
      <w:r>
        <w:rPr>
          <w:rFonts w:ascii="Arial" w:cs="Arial" w:eastAsia="Arial" w:hAnsi="Arial"/>
          <w:sz w:val="19"/>
          <w:szCs w:val="19"/>
          <w:color w:val="FF0000"/>
          <w:strike w:val="1"/>
        </w:rPr>
        <w:t>)</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Administrative Agent shall have consented (not to be unreasonably withheld) to such Lender’s or Additional Lender’s providing any such Revolving Credit Commitment Increases if such consent would be required under </w:t>
      </w:r>
      <w:r>
        <w:rPr>
          <w:rFonts w:ascii="Arial" w:cs="Arial" w:eastAsia="Arial" w:hAnsi="Arial"/>
          <w:sz w:val="19"/>
          <w:szCs w:val="19"/>
          <w:u w:val="single" w:color="auto"/>
          <w:color w:val="000000"/>
        </w:rPr>
        <w:t>Section 10.1</w:t>
      </w:r>
      <w:r>
        <w:rPr>
          <w:rFonts w:ascii="Arial" w:cs="Arial" w:eastAsia="Arial" w:hAnsi="Arial"/>
          <w:sz w:val="19"/>
          <w:szCs w:val="19"/>
          <w:color w:val="000000"/>
        </w:rPr>
        <w:t xml:space="preserve"> for an assignment of Loans or Commitments, as applicable, to such Lender or Additional Lender. Commitments in respect of Incremental Term Loans and Revolving Credit Commitment Increases shall become Commitments (or in the case of a Revolving Credit Commitment Increase to be provided by an existing Revolving Credit Lender, an increase in such Lender’s applicable Revolving Credit Commitment </w:t>
      </w:r>
      <w:r>
        <w:rPr>
          <w:rFonts w:ascii="Arial" w:cs="Arial" w:eastAsia="Arial" w:hAnsi="Arial"/>
          <w:sz w:val="19"/>
          <w:szCs w:val="19"/>
          <w:u w:val="single" w:color="auto"/>
          <w:color w:val="0000FF"/>
        </w:rPr>
        <w:t>(which may be established as a separate tranche)</w:t>
      </w:r>
      <w:r>
        <w:rPr>
          <w:rFonts w:ascii="Arial" w:cs="Arial" w:eastAsia="Arial" w:hAnsi="Arial"/>
          <w:sz w:val="19"/>
          <w:szCs w:val="19"/>
          <w:color w:val="000000"/>
        </w:rPr>
        <w:t>) under this Agreement pursuant to an amendment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28" w:right="339" w:bottom="1440" w:gutter="0" w:footer="0" w:header="0"/>
        </w:sectPr>
      </w:pPr>
    </w:p>
    <w:bookmarkStart w:id="177" w:name="page178"/>
    <w:bookmarkEnd w:id="177"/>
    <w:p>
      <w:pPr>
        <w:jc w:val="both"/>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Amendment</w:t>
      </w:r>
      <w:r>
        <w:rPr>
          <w:rFonts w:ascii="Arial" w:cs="Arial" w:eastAsia="Arial" w:hAnsi="Arial"/>
          <w:sz w:val="19"/>
          <w:szCs w:val="19"/>
          <w:color w:val="auto"/>
        </w:rPr>
        <w:t xml:space="preserve">”) to this Agreement and, as appropriate, the other Loan Documents, executed by the Borrower, each Lender agreeing to provide such Commitment, if any, each Additional Lender, if any, and the Administrative Agent. The Incremental Amendment may, without the consent of any other Lenders, effect such amendments to this Agreement and the other Loan Documents as may be necessary or appropriate, in the reasonable opinion of the Administrative Agent and the Borrower, to effect the provisions of this </w:t>
      </w:r>
      <w:r>
        <w:rPr>
          <w:rFonts w:ascii="Arial" w:cs="Arial" w:eastAsia="Arial" w:hAnsi="Arial"/>
          <w:sz w:val="19"/>
          <w:szCs w:val="19"/>
          <w:u w:val="single" w:color="auto"/>
          <w:color w:val="auto"/>
        </w:rPr>
        <w:t>Section 2.25</w:t>
      </w:r>
      <w:r>
        <w:rPr>
          <w:rFonts w:ascii="Arial" w:cs="Arial" w:eastAsia="Arial" w:hAnsi="Arial"/>
          <w:sz w:val="19"/>
          <w:szCs w:val="19"/>
          <w:color w:val="FF0000"/>
          <w:strike w:val="1"/>
        </w:rPr>
        <w:t>.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(including, for the avoidance of doubt, to establish a separate tranche of revolving</w:t>
      </w:r>
      <w:r>
        <w:rPr>
          <w:rFonts w:ascii="Arial" w:cs="Arial" w:eastAsia="Arial" w:hAnsi="Arial"/>
          <w:sz w:val="19"/>
          <w:szCs w:val="19"/>
          <w:color w:val="auto"/>
        </w:rPr>
        <w:t xml:space="preserve"> </w:t>
      </w:r>
      <w:r>
        <w:rPr>
          <w:rFonts w:ascii="Arial" w:cs="Arial" w:eastAsia="Arial" w:hAnsi="Arial"/>
          <w:sz w:val="19"/>
          <w:szCs w:val="19"/>
          <w:u w:val="single" w:color="auto"/>
          <w:color w:val="0000FF"/>
        </w:rPr>
        <w:t xml:space="preserve">loans and commitments, which separate tranche may share ratably (but not greater than ratably) in any mandatory prepayments </w:t>
      </w:r>
      <w:r>
        <w:rPr>
          <w:rFonts w:ascii="Arial" w:cs="Arial" w:eastAsia="Arial" w:hAnsi="Arial"/>
          <w:sz w:val="19"/>
          <w:szCs w:val="19"/>
          <w:u w:val="single" w:color="auto"/>
          <w:color w:val="008000"/>
        </w:rPr>
        <w:t>applicable to the Term Loans</w:t>
      </w:r>
      <w:r>
        <w:rPr>
          <w:rFonts w:ascii="Arial" w:cs="Arial" w:eastAsia="Arial" w:hAnsi="Arial"/>
          <w:sz w:val="19"/>
          <w:szCs w:val="19"/>
          <w:u w:val="single" w:color="auto"/>
          <w:color w:val="0000FF"/>
        </w:rPr>
        <w:t>). To the extent required by the parties providing such Incremental Term Loans and/or Revolving</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Credit Commitments, the</w:t>
      </w:r>
      <w:r>
        <w:rPr>
          <w:rFonts w:ascii="Arial" w:cs="Arial" w:eastAsia="Arial" w:hAnsi="Arial"/>
          <w:sz w:val="19"/>
          <w:szCs w:val="19"/>
          <w:color w:val="0000FF"/>
        </w:rPr>
        <w:t xml:space="preserve"> </w:t>
      </w:r>
      <w:r>
        <w:rPr>
          <w:rFonts w:ascii="Arial" w:cs="Arial" w:eastAsia="Arial" w:hAnsi="Arial"/>
          <w:sz w:val="19"/>
          <w:szCs w:val="19"/>
          <w:color w:val="000000"/>
        </w:rPr>
        <w:t>effectiveness of any Incremental Amendment shall be subject to the satisfaction on the date thereof</w:t>
      </w:r>
      <w:r>
        <w:rPr>
          <w:rFonts w:ascii="Arial" w:cs="Arial" w:eastAsia="Arial" w:hAnsi="Arial"/>
          <w:sz w:val="19"/>
          <w:szCs w:val="19"/>
          <w:color w:val="0000FF"/>
        </w:rPr>
        <w:t xml:space="preserve"> </w:t>
      </w:r>
      <w:r>
        <w:rPr>
          <w:rFonts w:ascii="Arial" w:cs="Arial" w:eastAsia="Arial" w:hAnsi="Arial"/>
          <w:sz w:val="19"/>
          <w:szCs w:val="19"/>
          <w:color w:val="000000"/>
        </w:rPr>
        <w:t>(each, an “</w:t>
      </w:r>
      <w:r>
        <w:rPr>
          <w:rFonts w:ascii="Arial" w:cs="Arial" w:eastAsia="Arial" w:hAnsi="Arial"/>
          <w:sz w:val="19"/>
          <w:szCs w:val="19"/>
          <w:u w:val="single" w:color="auto"/>
          <w:color w:val="000000"/>
        </w:rPr>
        <w:t>Incremental Facility Closing Date</w:t>
      </w:r>
      <w:r>
        <w:rPr>
          <w:rFonts w:ascii="Arial" w:cs="Arial" w:eastAsia="Arial" w:hAnsi="Arial"/>
          <w:sz w:val="19"/>
          <w:szCs w:val="19"/>
          <w:color w:val="000000"/>
        </w:rPr>
        <w:t xml:space="preserve">”) of each of the conditions set forth in </w:t>
      </w:r>
      <w:r>
        <w:rPr>
          <w:rFonts w:ascii="Arial" w:cs="Arial" w:eastAsia="Arial" w:hAnsi="Arial"/>
          <w:sz w:val="19"/>
          <w:szCs w:val="19"/>
          <w:u w:val="single" w:color="auto"/>
          <w:color w:val="000000"/>
        </w:rPr>
        <w:t>Section 5.2</w:t>
      </w:r>
      <w:r>
        <w:rPr>
          <w:rFonts w:ascii="Arial" w:cs="Arial" w:eastAsia="Arial" w:hAnsi="Arial"/>
          <w:sz w:val="19"/>
          <w:szCs w:val="19"/>
          <w:color w:val="000000"/>
        </w:rPr>
        <w:t xml:space="preserve"> and such other conditions as the parties thereto shall agree. The Borrower will use the proceeds of the Incremental Term Loans and the Revolving Credit Commitment Increases for any purpose not prohibited by this Agreement. No Lender shall be obligated to provide any Incremental Term Loans or Revolving Credit Commitment Increases, unless it so agrees. </w:t>
      </w:r>
      <w:r>
        <w:rPr>
          <w:rFonts w:ascii="Arial" w:cs="Arial" w:eastAsia="Arial" w:hAnsi="Arial"/>
          <w:sz w:val="19"/>
          <w:szCs w:val="19"/>
          <w:color w:val="FF0000"/>
          <w:strike w:val="1"/>
        </w:rPr>
        <w:t>Upon</w:t>
      </w:r>
    </w:p>
    <w:p>
      <w:pPr>
        <w:spacing w:after="0" w:line="159" w:lineRule="exact"/>
        <w:rPr>
          <w:sz w:val="20"/>
          <w:szCs w:val="20"/>
          <w:color w:val="auto"/>
        </w:rPr>
      </w:pPr>
    </w:p>
    <w:p>
      <w:pPr>
        <w:jc w:val="both"/>
        <w:ind w:firstLine="1304"/>
        <w:spacing w:after="0" w:line="285" w:lineRule="auto"/>
        <w:tabs>
          <w:tab w:leader="none" w:pos="1941" w:val="left"/>
        </w:tabs>
        <w:numPr>
          <w:ilvl w:val="0"/>
          <w:numId w:val="11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If such Revolving Credit Commitment Increase is not established as a separate tranche, then upon</w:t>
      </w:r>
      <w:r>
        <w:rPr>
          <w:rFonts w:ascii="Arial" w:cs="Arial" w:eastAsia="Arial" w:hAnsi="Arial"/>
          <w:sz w:val="19"/>
          <w:szCs w:val="19"/>
          <w:color w:val="0000FF"/>
        </w:rPr>
        <w:t xml:space="preserve"> </w:t>
      </w:r>
      <w:r>
        <w:rPr>
          <w:rFonts w:ascii="Arial" w:cs="Arial" w:eastAsia="Arial" w:hAnsi="Arial"/>
          <w:sz w:val="19"/>
          <w:szCs w:val="19"/>
          <w:color w:val="000000"/>
        </w:rPr>
        <w:t>each</w:t>
      </w:r>
      <w:r>
        <w:rPr>
          <w:rFonts w:ascii="Arial" w:cs="Arial" w:eastAsia="Arial" w:hAnsi="Arial"/>
          <w:sz w:val="19"/>
          <w:szCs w:val="19"/>
          <w:color w:val="0000FF"/>
        </w:rPr>
        <w:t xml:space="preserve"> </w:t>
      </w:r>
      <w:r>
        <w:rPr>
          <w:rFonts w:ascii="Arial" w:cs="Arial" w:eastAsia="Arial" w:hAnsi="Arial"/>
          <w:sz w:val="19"/>
          <w:szCs w:val="19"/>
          <w:color w:val="000000"/>
        </w:rPr>
        <w:t xml:space="preserve">increase in the Revolving Credit Commitments pursuant to this </w:t>
      </w:r>
      <w:r>
        <w:rPr>
          <w:rFonts w:ascii="Arial" w:cs="Arial" w:eastAsia="Arial" w:hAnsi="Arial"/>
          <w:sz w:val="19"/>
          <w:szCs w:val="19"/>
          <w:u w:val="single" w:color="auto"/>
          <w:color w:val="000000"/>
        </w:rPr>
        <w:t>Section 2.25</w:t>
      </w:r>
      <w:r>
        <w:rPr>
          <w:rFonts w:ascii="Arial" w:cs="Arial" w:eastAsia="Arial" w:hAnsi="Arial"/>
          <w:sz w:val="19"/>
          <w:szCs w:val="19"/>
          <w:color w:val="000000"/>
        </w:rPr>
        <w:t>, each Revolving Credit Lender immediately prior to such increase will automatically and without further act be deemed to have assigned to each Lender providing a portion of the Revolving Credit Commitment Increase (each a “</w:t>
      </w:r>
      <w:r>
        <w:rPr>
          <w:rFonts w:ascii="Arial" w:cs="Arial" w:eastAsia="Arial" w:hAnsi="Arial"/>
          <w:sz w:val="19"/>
          <w:szCs w:val="19"/>
          <w:u w:val="single" w:color="auto"/>
          <w:color w:val="000000"/>
        </w:rPr>
        <w:t>Revolving Credit Commitment Increase Lender</w:t>
      </w:r>
      <w:r>
        <w:rPr>
          <w:rFonts w:ascii="Arial" w:cs="Arial" w:eastAsia="Arial" w:hAnsi="Arial"/>
          <w:sz w:val="19"/>
          <w:szCs w:val="19"/>
          <w:color w:val="000000"/>
        </w:rPr>
        <w:t xml:space="preserve">”) in respect of such increase, and each such Revolving Credit Commitment Increase Lender will automatically and without further act be deemed to have assumed, a portion of such Revolving Credit Lender’s participations hereunder in outstanding Letters of Credit and Swing Line Loans such that, after giving effect to each such deemed assignment and assumption of participations, the percentage of the aggregate outstanding (i) participations hereunder in Letters of Credit and (ii) participations hereunder in Swing Line Loans held by each Revolving Credit Lender (including each such Revolving Credit Commitment Increase Lender) will equal the percentage of the aggregate Revolving Credit Commitments of all Revolving Credit Lenders represented by such Revolving Credit Lender’s Revolving Credit Commitment and (b) if, on the date of such increase, there are any Revolving Credit Loans outstanding, the Revolving Credit Lenders (including the Additional Lenders) shall make such payments as directed by the Administrative Agent in order that the Revolving Credit Loans are held by the Revolving Credit Lenders (including Additional Lenders) ratably in accordance with the increased Revolving Credit Commitments (and interest and other payments shall be adjusted accordingly). </w:t>
      </w:r>
      <w:r>
        <w:rPr>
          <w:rFonts w:ascii="Arial" w:cs="Arial" w:eastAsia="Arial" w:hAnsi="Arial"/>
          <w:sz w:val="19"/>
          <w:szCs w:val="19"/>
          <w:color w:val="0000FF"/>
        </w:rPr>
        <w:t>If</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 xml:space="preserve">such Revolving Credit Commitment Increase is established as a separate tranche, the preceding provisions of this paragraph (e) shall not apply, and as set forth in paragraph (c) of this Section 2.25, the Incremental Amendment may, without the consent of any other Lenders, effect such </w:t>
      </w:r>
      <w:r>
        <w:rPr>
          <w:rFonts w:ascii="Arial" w:cs="Arial" w:eastAsia="Arial" w:hAnsi="Arial"/>
          <w:sz w:val="19"/>
          <w:szCs w:val="19"/>
          <w:u w:val="single" w:color="auto"/>
          <w:color w:val="008000"/>
        </w:rPr>
        <w:t>amendments to this Agreement and the other Loan Documents as may be necessary or appropriate</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in the reasonable opinion of the </w:t>
      </w:r>
      <w:r>
        <w:rPr>
          <w:rFonts w:ascii="Arial" w:cs="Arial" w:eastAsia="Arial" w:hAnsi="Arial"/>
          <w:sz w:val="19"/>
          <w:szCs w:val="19"/>
          <w:u w:val="single" w:color="auto"/>
          <w:color w:val="0000FF"/>
        </w:rPr>
        <w:t>Administrative Agent and the Borrower, to effect the provisions hereof.</w:t>
      </w:r>
    </w:p>
    <w:p>
      <w:pPr>
        <w:spacing w:after="0" w:line="162" w:lineRule="exact"/>
        <w:rPr>
          <w:rFonts w:ascii="Arial" w:cs="Arial" w:eastAsia="Arial" w:hAnsi="Arial"/>
          <w:sz w:val="19"/>
          <w:szCs w:val="19"/>
          <w:u w:val="single" w:color="auto"/>
          <w:color w:val="0000FF"/>
        </w:rPr>
      </w:pPr>
    </w:p>
    <w:p>
      <w:pPr>
        <w:ind w:firstLine="1304"/>
        <w:spacing w:after="0" w:line="263" w:lineRule="auto"/>
        <w:tabs>
          <w:tab w:leader="none" w:pos="1944" w:val="left"/>
        </w:tabs>
        <w:numPr>
          <w:ilvl w:val="0"/>
          <w:numId w:val="114"/>
        </w:numPr>
        <w:rPr>
          <w:rFonts w:ascii="Arial" w:cs="Arial" w:eastAsia="Arial" w:hAnsi="Arial"/>
          <w:sz w:val="22"/>
          <w:szCs w:val="22"/>
          <w:u w:val="single" w:color="auto"/>
          <w:color w:val="0000FF"/>
        </w:rPr>
      </w:pPr>
      <w:r>
        <w:rPr>
          <w:rFonts w:ascii="Arial" w:cs="Arial" w:eastAsia="Arial" w:hAnsi="Arial"/>
          <w:sz w:val="22"/>
          <w:szCs w:val="22"/>
          <w:color w:val="FF0000"/>
          <w:strike w:val="1"/>
        </w:rPr>
        <w:t>(d)</w:t>
      </w:r>
      <w:r>
        <w:rPr>
          <w:rFonts w:ascii="Arial" w:cs="Arial" w:eastAsia="Arial" w:hAnsi="Arial"/>
          <w:sz w:val="22"/>
          <w:szCs w:val="22"/>
          <w:color w:val="FF0000"/>
        </w:rPr>
        <w:t xml:space="preserve"> </w:t>
      </w:r>
      <w:r>
        <w:rPr>
          <w:rFonts w:ascii="Arial" w:cs="Arial" w:eastAsia="Arial" w:hAnsi="Arial"/>
          <w:sz w:val="22"/>
          <w:szCs w:val="22"/>
          <w:color w:val="000000"/>
        </w:rPr>
        <w:t>In connection with any Limited Condition Transaction and any actions or transactions related thereto,</w:t>
      </w:r>
      <w:r>
        <w:rPr>
          <w:rFonts w:ascii="Arial" w:cs="Arial" w:eastAsia="Arial" w:hAnsi="Arial"/>
          <w:sz w:val="22"/>
          <w:szCs w:val="22"/>
          <w:color w:val="FF0000"/>
        </w:rPr>
        <w:t xml:space="preserve"> </w:t>
      </w:r>
      <w:r>
        <w:rPr>
          <w:rFonts w:ascii="Arial" w:cs="Arial" w:eastAsia="Arial" w:hAnsi="Arial"/>
          <w:sz w:val="22"/>
          <w:szCs w:val="22"/>
          <w:color w:val="000000"/>
        </w:rPr>
        <w:t>in each case, at the option of the Borrower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-1160780</wp:posOffset>
            </wp:positionV>
            <wp:extent cx="1257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28" w:right="339" w:bottom="1440" w:gutter="0" w:footer="0" w:header="0"/>
        </w:sectPr>
      </w:pPr>
    </w:p>
    <w:bookmarkStart w:id="178" w:name="page179"/>
    <w:bookmarkEnd w:id="178"/>
    <w:p>
      <w:pPr>
        <w:jc w:val="both"/>
        <w:spacing w:after="0" w:line="289" w:lineRule="auto"/>
        <w:rPr>
          <w:sz w:val="20"/>
          <w:szCs w:val="20"/>
          <w:color w:val="auto"/>
        </w:rPr>
      </w:pPr>
      <w:r>
        <w:rPr>
          <w:rFonts w:ascii="Arial" w:cs="Arial" w:eastAsia="Arial" w:hAnsi="Arial"/>
          <w:sz w:val="19"/>
          <w:szCs w:val="19"/>
          <w:color w:val="auto"/>
        </w:rPr>
        <w:t>election to exercise such option, an “</w:t>
      </w:r>
      <w:r>
        <w:rPr>
          <w:rFonts w:ascii="Arial" w:cs="Arial" w:eastAsia="Arial" w:hAnsi="Arial"/>
          <w:sz w:val="19"/>
          <w:szCs w:val="19"/>
          <w:u w:val="single" w:color="auto"/>
          <w:color w:val="auto"/>
        </w:rPr>
        <w:t>LCT Election</w:t>
      </w:r>
      <w:r>
        <w:rPr>
          <w:rFonts w:ascii="Arial" w:cs="Arial" w:eastAsia="Arial" w:hAnsi="Arial"/>
          <w:sz w:val="19"/>
          <w:szCs w:val="19"/>
          <w:color w:val="auto"/>
        </w:rPr>
        <w:t xml:space="preserve">”): (i) when calculating the availability of any basket or ratio in connection with any Incremental Term Loans or Revolving Credit Commitment </w:t>
      </w:r>
      <w:r>
        <w:rPr>
          <w:rFonts w:ascii="Arial" w:cs="Arial" w:eastAsia="Arial" w:hAnsi="Arial"/>
          <w:sz w:val="19"/>
          <w:szCs w:val="19"/>
          <w:color w:val="FF0000"/>
          <w:strike w:val="1"/>
        </w:rPr>
        <w:t>Increase</w:t>
      </w:r>
      <w:r>
        <w:rPr>
          <w:rFonts w:ascii="Arial" w:cs="Arial" w:eastAsia="Arial" w:hAnsi="Arial"/>
          <w:sz w:val="19"/>
          <w:szCs w:val="19"/>
          <w:u w:val="single" w:color="auto"/>
          <w:color w:val="0000FF"/>
        </w:rPr>
        <w:t>Increases</w:t>
      </w:r>
      <w:r>
        <w:rPr>
          <w:rFonts w:ascii="Arial" w:cs="Arial" w:eastAsia="Arial" w:hAnsi="Arial"/>
          <w:sz w:val="19"/>
          <w:szCs w:val="19"/>
          <w:color w:val="auto"/>
        </w:rPr>
        <w:t xml:space="preserve"> incurred or established, as applicable, in connection with such Limited Condition Transaction, the date of determination for availability under any such basket or ratio shall be determined at the time the definitive agreement related to such Limited Condition Transaction is entered into (the “</w:t>
      </w:r>
      <w:r>
        <w:rPr>
          <w:rFonts w:ascii="Arial" w:cs="Arial" w:eastAsia="Arial" w:hAnsi="Arial"/>
          <w:sz w:val="19"/>
          <w:szCs w:val="19"/>
          <w:u w:val="single" w:color="auto"/>
          <w:color w:val="auto"/>
        </w:rPr>
        <w:t>LCT</w:t>
      </w:r>
      <w:r>
        <w:rPr>
          <w:rFonts w:ascii="Arial" w:cs="Arial" w:eastAsia="Arial" w:hAnsi="Arial"/>
          <w:sz w:val="19"/>
          <w:szCs w:val="19"/>
          <w:color w:val="auto"/>
        </w:rPr>
        <w:t xml:space="preserve"> </w:t>
      </w:r>
      <w:r>
        <w:rPr>
          <w:rFonts w:ascii="Arial" w:cs="Arial" w:eastAsia="Arial" w:hAnsi="Arial"/>
          <w:sz w:val="19"/>
          <w:szCs w:val="19"/>
          <w:u w:val="single" w:color="auto"/>
          <w:color w:val="auto"/>
        </w:rPr>
        <w:t>Test Date</w:t>
      </w:r>
      <w:r>
        <w:rPr>
          <w:rFonts w:ascii="Arial" w:cs="Arial" w:eastAsia="Arial" w:hAnsi="Arial"/>
          <w:sz w:val="19"/>
          <w:szCs w:val="19"/>
          <w:color w:val="auto"/>
        </w:rPr>
        <w:t xml:space="preserve">”), in which case, such Limited Condition Transaction will be given pro forma effect, including with respect to the Indebtedness to be incurred in connection therewith, and (ii) the date of determination for whether any such transaction is permitted under this Agreement shall be deemed in all respects to be the LCT Test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however, that at the time of funding: (x) there shall be no Event of Default under </w:t>
      </w:r>
      <w:r>
        <w:rPr>
          <w:rFonts w:ascii="Arial" w:cs="Arial" w:eastAsia="Arial" w:hAnsi="Arial"/>
          <w:sz w:val="19"/>
          <w:szCs w:val="19"/>
          <w:u w:val="single" w:color="auto"/>
          <w:color w:val="auto"/>
        </w:rPr>
        <w:t>Section 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8(f)</w:t>
      </w:r>
      <w:r>
        <w:rPr>
          <w:rFonts w:ascii="Arial" w:cs="Arial" w:eastAsia="Arial" w:hAnsi="Arial"/>
          <w:sz w:val="19"/>
          <w:szCs w:val="19"/>
          <w:color w:val="auto"/>
        </w:rPr>
        <w:t xml:space="preserve"> in existence, and (y) certain customary “specified representations” consistent with “SunGard” conditionality provision must be true and correct in all material respects.</w:t>
      </w:r>
    </w:p>
    <w:p>
      <w:pPr>
        <w:spacing w:after="0" w:line="157" w:lineRule="exact"/>
        <w:rPr>
          <w:sz w:val="20"/>
          <w:szCs w:val="20"/>
          <w:color w:val="auto"/>
        </w:rPr>
      </w:pPr>
    </w:p>
    <w:p>
      <w:pPr>
        <w:jc w:val="both"/>
        <w:ind w:firstLine="1304"/>
        <w:spacing w:after="0" w:line="253" w:lineRule="auto"/>
        <w:tabs>
          <w:tab w:leader="none" w:pos="1939" w:val="left"/>
        </w:tabs>
        <w:numPr>
          <w:ilvl w:val="0"/>
          <w:numId w:val="115"/>
        </w:numPr>
        <w:rPr>
          <w:rFonts w:ascii="Arial" w:cs="Arial" w:eastAsia="Arial" w:hAnsi="Arial"/>
          <w:sz w:val="22"/>
          <w:szCs w:val="22"/>
          <w:u w:val="single" w:color="auto"/>
          <w:color w:val="0000FF"/>
        </w:rPr>
      </w:pPr>
      <w:r>
        <w:rPr>
          <w:rFonts w:ascii="Arial" w:cs="Arial" w:eastAsia="Arial" w:hAnsi="Arial"/>
          <w:sz w:val="22"/>
          <w:szCs w:val="22"/>
          <w:color w:val="FF0000"/>
          <w:strike w:val="1"/>
        </w:rPr>
        <w:t>(e)</w:t>
      </w:r>
      <w:r>
        <w:rPr>
          <w:rFonts w:ascii="Arial" w:cs="Arial" w:eastAsia="Arial" w:hAnsi="Arial"/>
          <w:sz w:val="22"/>
          <w:szCs w:val="22"/>
          <w:color w:val="FF0000"/>
        </w:rPr>
        <w:t xml:space="preserve"> </w:t>
      </w:r>
      <w:r>
        <w:rPr>
          <w:rFonts w:ascii="Arial" w:cs="Arial" w:eastAsia="Arial" w:hAnsi="Arial"/>
          <w:sz w:val="22"/>
          <w:szCs w:val="22"/>
          <w:color w:val="000000"/>
        </w:rPr>
        <w:t>The Administrative Agent and the Lenders hereby agree that the minimum borrowing,</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pro rata</w:t>
      </w:r>
      <w:r>
        <w:rPr>
          <w:rFonts w:ascii="Arial" w:cs="Arial" w:eastAsia="Arial" w:hAnsi="Arial"/>
          <w:sz w:val="22"/>
          <w:szCs w:val="22"/>
          <w:color w:val="FF0000"/>
        </w:rPr>
        <w:t xml:space="preserve"> </w:t>
      </w:r>
      <w:r>
        <w:rPr>
          <w:rFonts w:ascii="Arial" w:cs="Arial" w:eastAsia="Arial" w:hAnsi="Arial"/>
          <w:sz w:val="22"/>
          <w:szCs w:val="22"/>
          <w:color w:val="000000"/>
        </w:rPr>
        <w:t xml:space="preserve">borrowing and pro rata payment requirements contained elsewhere in this Agreement shall not apply to the transactions effected pursuant to this </w:t>
      </w:r>
      <w:r>
        <w:rPr>
          <w:rFonts w:ascii="Arial" w:cs="Arial" w:eastAsia="Arial" w:hAnsi="Arial"/>
          <w:sz w:val="22"/>
          <w:szCs w:val="22"/>
          <w:u w:val="single" w:color="auto"/>
          <w:color w:val="000000"/>
        </w:rPr>
        <w:t>Section 2.25</w:t>
      </w:r>
      <w:r>
        <w:rPr>
          <w:rFonts w:ascii="Arial" w:cs="Arial" w:eastAsia="Arial" w:hAnsi="Arial"/>
          <w:sz w:val="22"/>
          <w:szCs w:val="22"/>
          <w:color w:val="000000"/>
        </w:rPr>
        <w:t>.</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u w:val="single" w:color="auto"/>
          <w:color w:val="FF0000"/>
          <w:strike w:val="1"/>
        </w:rPr>
        <w:t>Incremental Equivalent Debt</w:t>
      </w:r>
      <w:r>
        <w:rPr>
          <w:rFonts w:ascii="Arial" w:cs="Arial" w:eastAsia="Arial" w:hAnsi="Arial"/>
          <w:sz w:val="19"/>
          <w:szCs w:val="19"/>
          <w:u w:val="single" w:color="auto"/>
          <w:color w:val="0000FF"/>
          <w:strike w:val="1"/>
        </w:rPr>
        <w:t>[Reserved]</w:t>
      </w:r>
      <w:r>
        <w:rPr>
          <w:rFonts w:ascii="Arial" w:cs="Arial" w:eastAsia="Arial" w:hAnsi="Arial"/>
          <w:sz w:val="19"/>
          <w:szCs w:val="19"/>
          <w:color w:val="000000"/>
          <w:strike w:val="1"/>
        </w:rPr>
        <w:t>.</w:t>
      </w:r>
    </w:p>
    <w:p>
      <w:pPr>
        <w:spacing w:after="0" w:line="220" w:lineRule="exact"/>
        <w:rPr>
          <w:sz w:val="20"/>
          <w:szCs w:val="20"/>
          <w:color w:val="auto"/>
        </w:rPr>
      </w:pPr>
    </w:p>
    <w:p>
      <w:pPr>
        <w:jc w:val="both"/>
        <w:ind w:firstLine="1304"/>
        <w:spacing w:after="0" w:line="292" w:lineRule="auto"/>
        <w:tabs>
          <w:tab w:leader="none" w:pos="1657" w:val="left"/>
        </w:tabs>
        <w:numPr>
          <w:ilvl w:val="0"/>
          <w:numId w:val="116"/>
        </w:numPr>
        <w:rPr>
          <w:rFonts w:ascii="Arial" w:cs="Arial" w:eastAsia="Arial" w:hAnsi="Arial"/>
          <w:sz w:val="19"/>
          <w:szCs w:val="19"/>
          <w:color w:val="FF0000"/>
          <w:strike w:val="1"/>
        </w:rPr>
      </w:pPr>
      <w:r>
        <w:rPr>
          <w:rFonts w:ascii="Arial" w:cs="Arial" w:eastAsia="Arial" w:hAnsi="Arial"/>
          <w:sz w:val="19"/>
          <w:szCs w:val="19"/>
          <w:color w:val="FF0000"/>
          <w:strike w:val="1"/>
        </w:rPr>
        <w:t xml:space="preserve">The Borrower </w:t>
      </w:r>
      <w:r>
        <w:rPr>
          <w:rFonts w:ascii="Arial" w:cs="Arial" w:eastAsia="Arial" w:hAnsi="Arial"/>
          <w:sz w:val="19"/>
          <w:szCs w:val="19"/>
          <w:color w:val="008000"/>
          <w:strike w:val="1"/>
        </w:rPr>
        <w:t>may from time to time</w:t>
      </w:r>
      <w:r>
        <w:rPr>
          <w:rFonts w:ascii="Arial" w:cs="Arial" w:eastAsia="Arial" w:hAnsi="Arial"/>
          <w:sz w:val="19"/>
          <w:szCs w:val="19"/>
          <w:color w:val="FF0000"/>
          <w:strike w:val="1"/>
        </w:rPr>
        <w:t xml:space="preserve"> after the Closing Date, upon notice by the Borrower </w:t>
      </w:r>
      <w:r>
        <w:rPr>
          <w:rFonts w:ascii="Arial" w:cs="Arial" w:eastAsia="Arial" w:hAnsi="Arial"/>
          <w:sz w:val="19"/>
          <w:szCs w:val="19"/>
          <w:color w:val="008000"/>
          <w:strike w:val="1"/>
        </w:rPr>
        <w:t>to the</w:t>
      </w:r>
      <w:r>
        <w:rPr>
          <w:rFonts w:ascii="Arial" w:cs="Arial" w:eastAsia="Arial" w:hAnsi="Arial"/>
          <w:sz w:val="19"/>
          <w:szCs w:val="19"/>
          <w:color w:val="FF0000"/>
          <w:strike w:val="1"/>
        </w:rPr>
        <w:t xml:space="preserve"> </w:t>
      </w:r>
      <w:r>
        <w:rPr>
          <w:rFonts w:ascii="Arial" w:cs="Arial" w:eastAsia="Arial" w:hAnsi="Arial"/>
          <w:sz w:val="19"/>
          <w:szCs w:val="19"/>
          <w:color w:val="008000"/>
          <w:strike w:val="1"/>
        </w:rPr>
        <w:t>Administrative Agent</w:t>
      </w:r>
      <w:r>
        <w:rPr>
          <w:rFonts w:ascii="Arial" w:cs="Arial" w:eastAsia="Arial" w:hAnsi="Arial"/>
          <w:sz w:val="19"/>
          <w:szCs w:val="19"/>
          <w:color w:val="FF0000"/>
          <w:strike w:val="1"/>
        </w:rPr>
        <w:t>, specifying in reasonable detail the proposed terms thereof, issue one or more series of notes or term loans</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that are (</w:t>
      </w:r>
      <w:r>
        <w:rPr>
          <w:rFonts w:ascii="Arial" w:cs="Arial" w:eastAsia="Arial" w:hAnsi="Arial"/>
          <w:sz w:val="19"/>
          <w:szCs w:val="19"/>
          <w:color w:val="008000"/>
          <w:strike w:val="1"/>
        </w:rPr>
        <w:t>at the option of the</w:t>
      </w:r>
      <w:r>
        <w:rPr>
          <w:rFonts w:ascii="Arial" w:cs="Arial" w:eastAsia="Arial" w:hAnsi="Arial"/>
          <w:sz w:val="19"/>
          <w:szCs w:val="19"/>
          <w:color w:val="FF0000"/>
          <w:strike w:val="1"/>
        </w:rPr>
        <w:t xml:space="preserve"> Borrower) secured on a first lien “equal and ratable” basis with the Liens securing the Obligations or secured on a “junior” basis with the Liens securing the Obligations in lieu of Incremental Term Loans in an amount not to exceed the Incremental Amount (at the time of incurrence) (collectively, “</w:t>
      </w:r>
      <w:r>
        <w:rPr>
          <w:rFonts w:ascii="Arial" w:cs="Arial" w:eastAsia="Arial" w:hAnsi="Arial"/>
          <w:sz w:val="19"/>
          <w:szCs w:val="19"/>
          <w:u w:val="single" w:color="auto"/>
          <w:color w:val="FF0000"/>
          <w:strike w:val="1"/>
        </w:rPr>
        <w:t>Incremental Equivalent Debt</w:t>
      </w:r>
      <w:r>
        <w:rPr>
          <w:rFonts w:ascii="Arial" w:cs="Arial" w:eastAsia="Arial" w:hAnsi="Arial"/>
          <w:sz w:val="19"/>
          <w:szCs w:val="19"/>
          <w:color w:val="FF0000"/>
          <w:strike w:val="1"/>
        </w:rPr>
        <w:t>”). The Borrower may, at it’s option, appoint any Person that is not an Affiliate of the Borrower as arranger of such Incremental Equivalent Debt (such Person (who may be the Administrative Agent, if it so agrees), the “</w:t>
      </w:r>
      <w:r>
        <w:rPr>
          <w:rFonts w:ascii="Arial" w:cs="Arial" w:eastAsia="Arial" w:hAnsi="Arial"/>
          <w:sz w:val="19"/>
          <w:szCs w:val="19"/>
          <w:u w:val="single" w:color="auto"/>
          <w:color w:val="FF0000"/>
          <w:strike w:val="1"/>
        </w:rPr>
        <w:t>Incremental Equivalent Debt Arranger</w:t>
      </w:r>
      <w:r>
        <w:rPr>
          <w:rFonts w:ascii="Arial" w:cs="Arial" w:eastAsia="Arial" w:hAnsi="Arial"/>
          <w:sz w:val="19"/>
          <w:szCs w:val="19"/>
          <w:color w:val="FF0000"/>
          <w:strike w:val="1"/>
        </w:rPr>
        <w:t>”).</w:t>
      </w:r>
    </w:p>
    <w:p>
      <w:pPr>
        <w:spacing w:after="0" w:line="150" w:lineRule="exact"/>
        <w:rPr>
          <w:rFonts w:ascii="Arial" w:cs="Arial" w:eastAsia="Arial" w:hAnsi="Arial"/>
          <w:sz w:val="19"/>
          <w:szCs w:val="19"/>
          <w:color w:val="FF0000"/>
          <w:strike w:val="1"/>
        </w:rPr>
      </w:pPr>
    </w:p>
    <w:p>
      <w:pPr>
        <w:ind w:firstLine="1304"/>
        <w:spacing w:after="0" w:line="263" w:lineRule="auto"/>
        <w:tabs>
          <w:tab w:leader="none" w:pos="1602" w:val="left"/>
        </w:tabs>
        <w:numPr>
          <w:ilvl w:val="0"/>
          <w:numId w:val="116"/>
        </w:numPr>
        <w:rPr>
          <w:rFonts w:ascii="Arial" w:cs="Arial" w:eastAsia="Arial" w:hAnsi="Arial"/>
          <w:sz w:val="22"/>
          <w:szCs w:val="22"/>
          <w:color w:val="FF0000"/>
          <w:strike w:val="1"/>
        </w:rPr>
      </w:pPr>
      <w:r>
        <w:rPr>
          <w:rFonts w:ascii="Arial" w:cs="Arial" w:eastAsia="Arial" w:hAnsi="Arial"/>
          <w:sz w:val="22"/>
          <w:szCs w:val="22"/>
          <w:color w:val="FF0000"/>
          <w:strike w:val="1"/>
        </w:rPr>
        <w:t xml:space="preserve">Each incurrence of Incremental Equivalent Debt shall be in a minimum amount of the lesser of (x) $5,000,000 and (y) the entire amount that may be requested under this </w:t>
      </w:r>
      <w:r>
        <w:rPr>
          <w:rFonts w:ascii="Arial" w:cs="Arial" w:eastAsia="Arial" w:hAnsi="Arial"/>
          <w:sz w:val="22"/>
          <w:szCs w:val="22"/>
          <w:u w:val="single" w:color="auto"/>
          <w:color w:val="FF0000"/>
          <w:strike w:val="1"/>
        </w:rPr>
        <w:t>Section 2.26.</w:t>
      </w:r>
    </w:p>
    <w:p>
      <w:pPr>
        <w:spacing w:after="0" w:line="174" w:lineRule="exact"/>
        <w:rPr>
          <w:rFonts w:ascii="Arial" w:cs="Arial" w:eastAsia="Arial" w:hAnsi="Arial"/>
          <w:sz w:val="22"/>
          <w:szCs w:val="22"/>
          <w:color w:val="FF0000"/>
          <w:strike w:val="1"/>
        </w:rPr>
      </w:pPr>
    </w:p>
    <w:p>
      <w:pPr>
        <w:ind w:left="1600" w:hanging="296"/>
        <w:spacing w:after="0"/>
        <w:tabs>
          <w:tab w:leader="none" w:pos="1600" w:val="left"/>
        </w:tabs>
        <w:numPr>
          <w:ilvl w:val="0"/>
          <w:numId w:val="116"/>
        </w:numPr>
        <w:rPr>
          <w:rFonts w:ascii="Arial" w:cs="Arial" w:eastAsia="Arial" w:hAnsi="Arial"/>
          <w:sz w:val="22"/>
          <w:szCs w:val="22"/>
          <w:color w:val="FF0000"/>
          <w:strike w:val="1"/>
        </w:rPr>
      </w:pPr>
      <w:r>
        <w:rPr>
          <w:rFonts w:ascii="Arial" w:cs="Arial" w:eastAsia="Arial" w:hAnsi="Arial"/>
          <w:sz w:val="22"/>
          <w:szCs w:val="22"/>
          <w:color w:val="FF0000"/>
          <w:strike w:val="1"/>
        </w:rPr>
        <w:t xml:space="preserve">With respect to any Incremental Equivalent Debt </w:t>
      </w:r>
      <w:r>
        <w:rPr>
          <w:rFonts w:ascii="Arial" w:cs="Arial" w:eastAsia="Arial" w:hAnsi="Arial"/>
          <w:sz w:val="22"/>
          <w:szCs w:val="22"/>
          <w:color w:val="008000"/>
          <w:strike w:val="1"/>
        </w:rPr>
        <w:t>pursuant to this</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008000"/>
          <w:strike w:val="1"/>
        </w:rPr>
        <w:t>Section</w:t>
      </w:r>
      <w:r>
        <w:rPr>
          <w:rFonts w:ascii="Arial" w:cs="Arial" w:eastAsia="Arial" w:hAnsi="Arial"/>
          <w:sz w:val="22"/>
          <w:szCs w:val="22"/>
          <w:color w:val="FF0000"/>
          <w:strike w:val="1"/>
        </w:rPr>
        <w:t xml:space="preserve"> </w:t>
      </w:r>
      <w:r>
        <w:rPr>
          <w:rFonts w:ascii="Arial" w:cs="Arial" w:eastAsia="Arial" w:hAnsi="Arial"/>
          <w:sz w:val="22"/>
          <w:szCs w:val="22"/>
          <w:u w:val="single" w:color="auto"/>
          <w:color w:val="FF0000"/>
          <w:strike w:val="1"/>
        </w:rPr>
        <w:t>2.26,</w:t>
      </w:r>
    </w:p>
    <w:p>
      <w:pPr>
        <w:spacing w:after="0" w:line="220" w:lineRule="exact"/>
        <w:rPr>
          <w:sz w:val="20"/>
          <w:szCs w:val="20"/>
          <w:color w:val="auto"/>
        </w:rPr>
      </w:pPr>
    </w:p>
    <w:p>
      <w:pPr>
        <w:ind w:left="660" w:right="20" w:firstLine="644"/>
        <w:spacing w:after="0" w:line="343" w:lineRule="auto"/>
        <w:tabs>
          <w:tab w:leader="none" w:pos="1612" w:val="left"/>
        </w:tabs>
        <w:numPr>
          <w:ilvl w:val="0"/>
          <w:numId w:val="117"/>
        </w:numPr>
        <w:rPr>
          <w:rFonts w:ascii="Arial" w:cs="Arial" w:eastAsia="Arial" w:hAnsi="Arial"/>
          <w:sz w:val="19"/>
          <w:szCs w:val="19"/>
          <w:color w:val="FF0000"/>
          <w:strike w:val="1"/>
        </w:rPr>
      </w:pPr>
      <w:r>
        <w:rPr>
          <w:rFonts w:ascii="Arial" w:cs="Arial" w:eastAsia="Arial" w:hAnsi="Arial"/>
          <w:sz w:val="19"/>
          <w:szCs w:val="19"/>
          <w:color w:val="FF0000"/>
          <w:strike w:val="1"/>
        </w:rPr>
        <w:t xml:space="preserve">subject to clause (d) below (A) no Event of Default would exist </w:t>
      </w:r>
      <w:r>
        <w:rPr>
          <w:rFonts w:ascii="Arial" w:cs="Arial" w:eastAsia="Arial" w:hAnsi="Arial"/>
          <w:sz w:val="19"/>
          <w:szCs w:val="19"/>
          <w:color w:val="008000"/>
          <w:strike w:val="1"/>
        </w:rPr>
        <w:t>after giving effect to such</w:t>
      </w:r>
      <w:r>
        <w:rPr>
          <w:rFonts w:ascii="Arial" w:cs="Arial" w:eastAsia="Arial" w:hAnsi="Arial"/>
          <w:sz w:val="19"/>
          <w:szCs w:val="19"/>
          <w:color w:val="FF0000"/>
          <w:strike w:val="1"/>
        </w:rPr>
        <w:t xml:space="preserve"> Incremental Equivalent Debt and (B) all representations and warranties in Section 4 </w:t>
      </w:r>
      <w:r>
        <w:rPr>
          <w:rFonts w:ascii="Arial" w:cs="Arial" w:eastAsia="Arial" w:hAnsi="Arial"/>
          <w:sz w:val="19"/>
          <w:szCs w:val="19"/>
          <w:color w:val="008000"/>
          <w:strike w:val="1"/>
        </w:rPr>
        <w:t>shall be true and correct in all material respects</w:t>
      </w:r>
      <w:r>
        <w:rPr>
          <w:rFonts w:ascii="Arial" w:cs="Arial" w:eastAsia="Arial" w:hAnsi="Arial"/>
          <w:sz w:val="19"/>
          <w:szCs w:val="19"/>
          <w:color w:val="FF0000"/>
          <w:strike w:val="1"/>
        </w:rPr>
        <w:t>;</w:t>
      </w:r>
    </w:p>
    <w:p>
      <w:pPr>
        <w:spacing w:after="0" w:line="104" w:lineRule="exact"/>
        <w:rPr>
          <w:rFonts w:ascii="Arial" w:cs="Arial" w:eastAsia="Arial" w:hAnsi="Arial"/>
          <w:sz w:val="19"/>
          <w:szCs w:val="19"/>
          <w:color w:val="FF0000"/>
          <w:strike w:val="1"/>
        </w:rPr>
      </w:pPr>
    </w:p>
    <w:p>
      <w:pPr>
        <w:ind w:left="660" w:firstLine="644"/>
        <w:spacing w:after="0" w:line="343" w:lineRule="auto"/>
        <w:tabs>
          <w:tab w:leader="none" w:pos="1636" w:val="left"/>
        </w:tabs>
        <w:numPr>
          <w:ilvl w:val="0"/>
          <w:numId w:val="117"/>
        </w:numPr>
        <w:rPr>
          <w:rFonts w:ascii="Arial" w:cs="Arial" w:eastAsia="Arial" w:hAnsi="Arial"/>
          <w:sz w:val="19"/>
          <w:szCs w:val="19"/>
          <w:color w:val="FF0000"/>
          <w:strike w:val="1"/>
        </w:rPr>
      </w:pPr>
      <w:r>
        <w:rPr>
          <w:rFonts w:ascii="Arial" w:cs="Arial" w:eastAsia="Arial" w:hAnsi="Arial"/>
          <w:sz w:val="19"/>
          <w:szCs w:val="19"/>
          <w:color w:val="FF0000"/>
          <w:strike w:val="1"/>
        </w:rPr>
        <w:t xml:space="preserve">such Incremental Equivalent Debt shall not be guaranteed by any Person </w:t>
      </w:r>
      <w:r>
        <w:rPr>
          <w:rFonts w:ascii="Arial" w:cs="Arial" w:eastAsia="Arial" w:hAnsi="Arial"/>
          <w:sz w:val="19"/>
          <w:szCs w:val="19"/>
          <w:color w:val="008000"/>
          <w:strike w:val="1"/>
        </w:rPr>
        <w:t>that is not a Loan Party or</w:t>
      </w:r>
      <w:r>
        <w:rPr>
          <w:rFonts w:ascii="Arial" w:cs="Arial" w:eastAsia="Arial" w:hAnsi="Arial"/>
          <w:sz w:val="19"/>
          <w:szCs w:val="19"/>
          <w:color w:val="FF0000"/>
          <w:strike w:val="1"/>
        </w:rPr>
        <w:t xml:space="preserve"> that does not become a Loan Party and </w:t>
      </w:r>
      <w:r>
        <w:rPr>
          <w:rFonts w:ascii="Arial" w:cs="Arial" w:eastAsia="Arial" w:hAnsi="Arial"/>
          <w:sz w:val="19"/>
          <w:szCs w:val="19"/>
          <w:color w:val="008000"/>
          <w:strike w:val="1"/>
        </w:rPr>
        <w:t>shall not be secured by</w:t>
      </w:r>
      <w:r>
        <w:rPr>
          <w:rFonts w:ascii="Arial" w:cs="Arial" w:eastAsia="Arial" w:hAnsi="Arial"/>
          <w:sz w:val="19"/>
          <w:szCs w:val="19"/>
          <w:color w:val="FF0000"/>
          <w:strike w:val="1"/>
        </w:rPr>
        <w:t xml:space="preserve"> a lien on any </w:t>
      </w:r>
      <w:r>
        <w:rPr>
          <w:rFonts w:ascii="Arial" w:cs="Arial" w:eastAsia="Arial" w:hAnsi="Arial"/>
          <w:sz w:val="19"/>
          <w:szCs w:val="19"/>
          <w:color w:val="008000"/>
          <w:strike w:val="1"/>
        </w:rPr>
        <w:t>assets of a Loan Party</w:t>
      </w:r>
      <w:r>
        <w:rPr>
          <w:rFonts w:ascii="Arial" w:cs="Arial" w:eastAsia="Arial" w:hAnsi="Arial"/>
          <w:sz w:val="19"/>
          <w:szCs w:val="19"/>
          <w:color w:val="FF0000"/>
          <w:strike w:val="1"/>
        </w:rPr>
        <w:t xml:space="preserve"> that is not part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28" w:right="339" w:bottom="1440" w:gutter="0" w:footer="0" w:header="0"/>
        </w:sectPr>
      </w:pPr>
    </w:p>
    <w:bookmarkStart w:id="179" w:name="page180"/>
    <w:bookmarkEnd w:id="179"/>
    <w:p>
      <w:pPr>
        <w:jc w:val="both"/>
        <w:ind w:left="660" w:firstLine="644"/>
        <w:spacing w:after="0" w:line="253" w:lineRule="auto"/>
        <w:tabs>
          <w:tab w:leader="none" w:pos="1716" w:val="left"/>
        </w:tabs>
        <w:numPr>
          <w:ilvl w:val="0"/>
          <w:numId w:val="118"/>
        </w:numPr>
        <w:rPr>
          <w:rFonts w:ascii="Arial" w:cs="Arial" w:eastAsia="Arial" w:hAnsi="Arial"/>
          <w:sz w:val="22"/>
          <w:szCs w:val="22"/>
          <w:color w:val="FF0000"/>
          <w:strike w:val="1"/>
        </w:rPr>
      </w:pPr>
      <w:r>
        <w:rPr>
          <w:rFonts w:ascii="Arial" w:cs="Arial" w:eastAsia="Arial" w:hAnsi="Arial"/>
          <w:sz w:val="22"/>
          <w:szCs w:val="22"/>
          <w:color w:val="FF0000"/>
          <w:strike w:val="1"/>
        </w:rPr>
        <w:t xml:space="preserve">to the extent secured by the Collateral, such Incremental Equivalent Debt </w:t>
      </w:r>
      <w:r>
        <w:rPr>
          <w:rFonts w:ascii="Arial" w:cs="Arial" w:eastAsia="Arial" w:hAnsi="Arial"/>
          <w:sz w:val="22"/>
          <w:szCs w:val="22"/>
          <w:color w:val="008000"/>
          <w:strike w:val="1"/>
        </w:rPr>
        <w:t>shall be subject to</w:t>
      </w:r>
      <w:r>
        <w:rPr>
          <w:rFonts w:ascii="Arial" w:cs="Arial" w:eastAsia="Arial" w:hAnsi="Arial"/>
          <w:sz w:val="22"/>
          <w:szCs w:val="22"/>
          <w:color w:val="FF0000"/>
          <w:strike w:val="1"/>
        </w:rPr>
        <w:t xml:space="preserve"> intercreditor arrangements that are </w:t>
      </w:r>
      <w:r>
        <w:rPr>
          <w:rFonts w:ascii="Arial" w:cs="Arial" w:eastAsia="Arial" w:hAnsi="Arial"/>
          <w:sz w:val="22"/>
          <w:szCs w:val="22"/>
          <w:color w:val="008000"/>
          <w:strike w:val="1"/>
        </w:rPr>
        <w:t>reasonably satisfactory to the</w:t>
      </w:r>
      <w:r>
        <w:rPr>
          <w:rFonts w:ascii="Arial" w:cs="Arial" w:eastAsia="Arial" w:hAnsi="Arial"/>
          <w:sz w:val="22"/>
          <w:szCs w:val="22"/>
          <w:color w:val="FF0000"/>
          <w:strike w:val="1"/>
        </w:rPr>
        <w:t xml:space="preserve"> Incremental Equivalent Debt Arranger and, if such Incremental Equivalent Debt Arranger is not the Administrative Agent, the Administrative Agent,</w:t>
      </w:r>
    </w:p>
    <w:p>
      <w:pPr>
        <w:spacing w:after="0" w:line="185" w:lineRule="exact"/>
        <w:rPr>
          <w:rFonts w:ascii="Arial" w:cs="Arial" w:eastAsia="Arial" w:hAnsi="Arial"/>
          <w:sz w:val="22"/>
          <w:szCs w:val="22"/>
          <w:color w:val="FF0000"/>
          <w:strike w:val="1"/>
        </w:rPr>
      </w:pPr>
    </w:p>
    <w:p>
      <w:pPr>
        <w:jc w:val="both"/>
        <w:ind w:left="660" w:firstLine="644"/>
        <w:spacing w:after="0" w:line="271" w:lineRule="auto"/>
        <w:tabs>
          <w:tab w:leader="none" w:pos="1678" w:val="left"/>
        </w:tabs>
        <w:numPr>
          <w:ilvl w:val="0"/>
          <w:numId w:val="118"/>
        </w:numPr>
        <w:rPr>
          <w:rFonts w:ascii="Arial" w:cs="Arial" w:eastAsia="Arial" w:hAnsi="Arial"/>
          <w:sz w:val="21"/>
          <w:szCs w:val="21"/>
          <w:color w:val="FF0000"/>
          <w:strike w:val="1"/>
        </w:rPr>
      </w:pPr>
      <w:r>
        <w:rPr>
          <w:rFonts w:ascii="Arial" w:cs="Arial" w:eastAsia="Arial" w:hAnsi="Arial"/>
          <w:sz w:val="21"/>
          <w:szCs w:val="21"/>
          <w:color w:val="FF0000"/>
          <w:strike w:val="1"/>
        </w:rPr>
        <w:t xml:space="preserve">such Incremental Equivalent Debt shall mature no earlier than the latest Maturity Date of the then outstanding Term Loan Facility and the </w:t>
      </w:r>
      <w:r>
        <w:rPr>
          <w:rFonts w:ascii="Arial" w:cs="Arial" w:eastAsia="Arial" w:hAnsi="Arial"/>
          <w:sz w:val="21"/>
          <w:szCs w:val="21"/>
          <w:color w:val="008000"/>
          <w:strike w:val="1"/>
        </w:rPr>
        <w:t>weighted average life to maturity</w:t>
      </w:r>
      <w:r>
        <w:rPr>
          <w:rFonts w:ascii="Arial" w:cs="Arial" w:eastAsia="Arial" w:hAnsi="Arial"/>
          <w:sz w:val="21"/>
          <w:szCs w:val="21"/>
          <w:color w:val="FF0000"/>
          <w:strike w:val="1"/>
        </w:rPr>
        <w:t xml:space="preserve"> of such Incremental Equivalent Debt shall be no shorter than the longest </w:t>
      </w:r>
      <w:r>
        <w:rPr>
          <w:rFonts w:ascii="Arial" w:cs="Arial" w:eastAsia="Arial" w:hAnsi="Arial"/>
          <w:sz w:val="21"/>
          <w:szCs w:val="21"/>
          <w:color w:val="008000"/>
          <w:strike w:val="1"/>
        </w:rPr>
        <w:t>remaining weighted average life</w:t>
      </w:r>
      <w:r>
        <w:rPr>
          <w:rFonts w:ascii="Arial" w:cs="Arial" w:eastAsia="Arial" w:hAnsi="Arial"/>
          <w:sz w:val="21"/>
          <w:szCs w:val="21"/>
          <w:color w:val="FF0000"/>
          <w:strike w:val="1"/>
        </w:rPr>
        <w:t xml:space="preserve"> of the then outstanding Term Loan Facility,</w:t>
      </w:r>
    </w:p>
    <w:p>
      <w:pPr>
        <w:spacing w:after="0" w:line="167" w:lineRule="exact"/>
        <w:rPr>
          <w:rFonts w:ascii="Arial" w:cs="Arial" w:eastAsia="Arial" w:hAnsi="Arial"/>
          <w:sz w:val="21"/>
          <w:szCs w:val="21"/>
          <w:color w:val="FF0000"/>
          <w:strike w:val="1"/>
        </w:rPr>
      </w:pPr>
    </w:p>
    <w:p>
      <w:pPr>
        <w:jc w:val="both"/>
        <w:ind w:left="660" w:firstLine="644"/>
        <w:spacing w:after="0" w:line="250" w:lineRule="auto"/>
        <w:tabs>
          <w:tab w:leader="none" w:pos="1620" w:val="left"/>
        </w:tabs>
        <w:numPr>
          <w:ilvl w:val="0"/>
          <w:numId w:val="118"/>
        </w:numPr>
        <w:rPr>
          <w:rFonts w:ascii="Arial" w:cs="Arial" w:eastAsia="Arial" w:hAnsi="Arial"/>
          <w:sz w:val="22"/>
          <w:szCs w:val="22"/>
          <w:color w:val="FF0000"/>
          <w:strike w:val="1"/>
        </w:rPr>
      </w:pPr>
      <w:r>
        <w:rPr>
          <w:rFonts w:ascii="Arial" w:cs="Arial" w:eastAsia="Arial" w:hAnsi="Arial"/>
          <w:sz w:val="22"/>
          <w:szCs w:val="22"/>
          <w:color w:val="FF0000"/>
          <w:strike w:val="1"/>
        </w:rPr>
        <w:t xml:space="preserve">such Incremental Equivalent Debt shall not be subject to any mandatory redemption or prepayment provisions or rights (except to the extent any such mandatory redemption or prepayment is required to be applied pro rata (or </w:t>
      </w:r>
      <w:r>
        <w:rPr>
          <w:rFonts w:ascii="Arial" w:cs="Arial" w:eastAsia="Arial" w:hAnsi="Arial"/>
          <w:sz w:val="22"/>
          <w:szCs w:val="22"/>
          <w:color w:val="008000"/>
          <w:strike w:val="1"/>
        </w:rPr>
        <w:t>greater</w:t>
      </w:r>
      <w:r>
        <w:rPr>
          <w:rFonts w:ascii="Arial" w:cs="Arial" w:eastAsia="Arial" w:hAnsi="Arial"/>
          <w:sz w:val="22"/>
          <w:szCs w:val="22"/>
          <w:color w:val="FF0000"/>
          <w:strike w:val="1"/>
        </w:rPr>
        <w:t xml:space="preserve"> </w:t>
      </w:r>
      <w:r>
        <w:rPr>
          <w:rFonts w:ascii="Arial" w:cs="Arial" w:eastAsia="Arial" w:hAnsi="Arial"/>
          <w:sz w:val="22"/>
          <w:szCs w:val="22"/>
          <w:color w:val="008000"/>
          <w:strike w:val="1"/>
        </w:rPr>
        <w:t xml:space="preserve">than pro rata) to </w:t>
      </w:r>
      <w:r>
        <w:rPr>
          <w:rFonts w:ascii="Arial" w:cs="Arial" w:eastAsia="Arial" w:hAnsi="Arial"/>
          <w:sz w:val="22"/>
          <w:szCs w:val="22"/>
          <w:color w:val="FF0000"/>
          <w:strike w:val="1"/>
        </w:rPr>
        <w:t>the Term Loans and other Incremental Equivalent Debt</w:t>
      </w:r>
      <w:r>
        <w:rPr>
          <w:rFonts w:ascii="Arial" w:cs="Arial" w:eastAsia="Arial" w:hAnsi="Arial"/>
          <w:sz w:val="22"/>
          <w:szCs w:val="22"/>
          <w:color w:val="008000"/>
          <w:strike w:val="1"/>
        </w:rPr>
        <w:t xml:space="preserve"> that is secured on a pari passu basis </w:t>
      </w:r>
      <w:r>
        <w:rPr>
          <w:rFonts w:ascii="Arial" w:cs="Arial" w:eastAsia="Arial" w:hAnsi="Arial"/>
          <w:sz w:val="22"/>
          <w:szCs w:val="22"/>
          <w:color w:val="FF0000"/>
          <w:strike w:val="1"/>
        </w:rPr>
        <w:t>with the</w:t>
      </w:r>
      <w:r>
        <w:rPr>
          <w:rFonts w:ascii="Arial" w:cs="Arial" w:eastAsia="Arial" w:hAnsi="Arial"/>
          <w:sz w:val="22"/>
          <w:szCs w:val="22"/>
          <w:color w:val="008000"/>
          <w:strike w:val="1"/>
        </w:rPr>
        <w:t xml:space="preserve"> </w:t>
      </w:r>
      <w:r>
        <w:rPr>
          <w:rFonts w:ascii="Arial" w:cs="Arial" w:eastAsia="Arial" w:hAnsi="Arial"/>
          <w:sz w:val="22"/>
          <w:szCs w:val="22"/>
          <w:color w:val="FF0000"/>
          <w:strike w:val="1"/>
        </w:rPr>
        <w:t>Obligations),</w:t>
      </w:r>
    </w:p>
    <w:p>
      <w:pPr>
        <w:spacing w:after="0" w:line="187" w:lineRule="exact"/>
        <w:rPr>
          <w:rFonts w:ascii="Arial" w:cs="Arial" w:eastAsia="Arial" w:hAnsi="Arial"/>
          <w:sz w:val="22"/>
          <w:szCs w:val="22"/>
          <w:color w:val="FF0000"/>
          <w:strike w:val="1"/>
        </w:rPr>
      </w:pPr>
    </w:p>
    <w:p>
      <w:pPr>
        <w:jc w:val="both"/>
        <w:ind w:left="660" w:firstLine="644"/>
        <w:spacing w:after="0" w:line="271" w:lineRule="auto"/>
        <w:tabs>
          <w:tab w:leader="none" w:pos="1675" w:val="left"/>
        </w:tabs>
        <w:numPr>
          <w:ilvl w:val="0"/>
          <w:numId w:val="118"/>
        </w:numPr>
        <w:rPr>
          <w:rFonts w:ascii="Arial" w:cs="Arial" w:eastAsia="Arial" w:hAnsi="Arial"/>
          <w:sz w:val="21"/>
          <w:szCs w:val="21"/>
          <w:color w:val="FF0000"/>
          <w:strike w:val="1"/>
        </w:rPr>
      </w:pPr>
      <w:r>
        <w:rPr>
          <w:rFonts w:ascii="Arial" w:cs="Arial" w:eastAsia="Arial" w:hAnsi="Arial"/>
          <w:sz w:val="21"/>
          <w:szCs w:val="21"/>
          <w:color w:val="FF0000"/>
          <w:strike w:val="1"/>
        </w:rPr>
        <w:t>with respect to any Incremental Equivalent Debt consisting of loans that are secured on a pari passu basis with the Obligations that are incurred on or prior to the date that is twelve months after the Closing Date, the MFN Provision shall be applicable thereto as though such loans were Incremental Term Loans and</w:t>
      </w:r>
    </w:p>
    <w:p>
      <w:pPr>
        <w:spacing w:after="0" w:line="167" w:lineRule="exact"/>
        <w:rPr>
          <w:rFonts w:ascii="Arial" w:cs="Arial" w:eastAsia="Arial" w:hAnsi="Arial"/>
          <w:sz w:val="21"/>
          <w:szCs w:val="21"/>
          <w:color w:val="FF0000"/>
          <w:strike w:val="1"/>
        </w:rPr>
      </w:pPr>
    </w:p>
    <w:p>
      <w:pPr>
        <w:jc w:val="both"/>
        <w:ind w:left="660" w:firstLine="644"/>
        <w:spacing w:after="0" w:line="290" w:lineRule="auto"/>
        <w:tabs>
          <w:tab w:leader="none" w:pos="1749" w:val="left"/>
        </w:tabs>
        <w:numPr>
          <w:ilvl w:val="0"/>
          <w:numId w:val="118"/>
        </w:numPr>
        <w:rPr>
          <w:rFonts w:ascii="Arial" w:cs="Arial" w:eastAsia="Arial" w:hAnsi="Arial"/>
          <w:sz w:val="19"/>
          <w:szCs w:val="19"/>
          <w:color w:val="FF0000"/>
          <w:strike w:val="1"/>
        </w:rPr>
      </w:pPr>
      <w:r>
        <w:rPr>
          <w:rFonts w:ascii="Arial" w:cs="Arial" w:eastAsia="Arial" w:hAnsi="Arial"/>
          <w:sz w:val="19"/>
          <w:szCs w:val="19"/>
          <w:color w:val="FF0000"/>
          <w:strike w:val="1"/>
        </w:rPr>
        <w:t>the covenants and events of default of such Incremental Equivalent Debt are not materially more restrictive (excluding pricing and optional prepayment and redemption terms), when taken as a whole, than those under the then-existing Term Loan Facility (as determined by the Borrower in good faith), unless such covenants and events of default are applicable only to periods after the latest Maturity Date or such covenants and events of default are, in consultation with the Administrative Agent and Borrower, incorporated into this Agreement (or any other applicable Loan Document) for the benefit of all existing Lenders (to the extent applicable to such Lender) without further amendment voting requirements. Subject to the foregoing and clause (e) below, the conditions precedent to each such incurrence shall be agreed to by the creditors providing such Incremental Equivalent Debt and the Borrower.</w:t>
      </w:r>
    </w:p>
    <w:p>
      <w:pPr>
        <w:spacing w:after="0" w:line="156" w:lineRule="exact"/>
        <w:rPr>
          <w:sz w:val="20"/>
          <w:szCs w:val="20"/>
          <w:color w:val="auto"/>
        </w:rPr>
      </w:pPr>
    </w:p>
    <w:p>
      <w:pPr>
        <w:jc w:val="both"/>
        <w:ind w:firstLine="1304"/>
        <w:spacing w:after="0" w:line="259" w:lineRule="auto"/>
        <w:tabs>
          <w:tab w:leader="none" w:pos="1602" w:val="left"/>
        </w:tabs>
        <w:numPr>
          <w:ilvl w:val="0"/>
          <w:numId w:val="119"/>
        </w:numPr>
        <w:rPr>
          <w:rFonts w:ascii="Arial" w:cs="Arial" w:eastAsia="Arial" w:hAnsi="Arial"/>
          <w:sz w:val="21"/>
          <w:szCs w:val="21"/>
          <w:color w:val="FF0000"/>
          <w:strike w:val="1"/>
        </w:rPr>
      </w:pPr>
      <w:r>
        <w:rPr>
          <w:rFonts w:ascii="Arial" w:cs="Arial" w:eastAsia="Arial" w:hAnsi="Arial"/>
          <w:sz w:val="21"/>
          <w:szCs w:val="21"/>
          <w:color w:val="FF0000"/>
          <w:strike w:val="1"/>
        </w:rPr>
        <w:t xml:space="preserve">In connection with any LCT Election: (i) when calculating the availability of any basket or ratio in connection with any Incremental Equivalent Debt incurred or established, as applicable, in connection with such Limited Condition Transaction, the date of determination for availability under any such basket or ratio shall be determined on the LCT Date, in which case, such Limited Condition Transaction will be given pro forma effect, including with respect to the Indebtedness to be incurred in connection therewith, and (ii) the date of determination for whether any such transaction is permitted under this Agreement shall be deemed in all respects to be the LCT Test </w:t>
      </w:r>
      <w:r>
        <w:rPr>
          <w:rFonts w:ascii="Arial" w:cs="Arial" w:eastAsia="Arial" w:hAnsi="Arial"/>
          <w:sz w:val="21"/>
          <w:szCs w:val="21"/>
          <w:color w:val="008000"/>
          <w:strike w:val="1"/>
        </w:rPr>
        <w:t>Date;</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8000"/>
          <w:strike w:val="1"/>
        </w:rPr>
        <w:t>provided</w:t>
      </w:r>
      <w:r>
        <w:rPr>
          <w:rFonts w:ascii="Arial" w:cs="Arial" w:eastAsia="Arial" w:hAnsi="Arial"/>
          <w:sz w:val="21"/>
          <w:szCs w:val="21"/>
          <w:color w:val="008000"/>
          <w:strike w:val="1"/>
        </w:rPr>
        <w:t>, however, that</w:t>
      </w:r>
      <w:r>
        <w:rPr>
          <w:rFonts w:ascii="Arial" w:cs="Arial" w:eastAsia="Arial" w:hAnsi="Arial"/>
          <w:sz w:val="21"/>
          <w:szCs w:val="21"/>
          <w:color w:val="FF0000"/>
          <w:strike w:val="1"/>
        </w:rPr>
        <w:t xml:space="preserve"> at the time of funding of such Incremental Equivalent Debt: (x) there shall be no Event of Default under </w:t>
      </w:r>
      <w:r>
        <w:rPr>
          <w:rFonts w:ascii="Arial" w:cs="Arial" w:eastAsia="Arial" w:hAnsi="Arial"/>
          <w:sz w:val="21"/>
          <w:szCs w:val="21"/>
          <w:u w:val="single" w:color="auto"/>
          <w:color w:val="FF0000"/>
          <w:strike w:val="1"/>
        </w:rPr>
        <w:t>Section 8(a)</w:t>
      </w:r>
      <w:r>
        <w:rPr>
          <w:rFonts w:ascii="Arial" w:cs="Arial" w:eastAsia="Arial" w:hAnsi="Arial"/>
          <w:sz w:val="21"/>
          <w:szCs w:val="21"/>
          <w:color w:val="FF0000"/>
          <w:strike w:val="1"/>
        </w:rPr>
        <w:t xml:space="preserve"> or </w:t>
      </w:r>
      <w:r>
        <w:rPr>
          <w:rFonts w:ascii="Arial" w:cs="Arial" w:eastAsia="Arial" w:hAnsi="Arial"/>
          <w:sz w:val="21"/>
          <w:szCs w:val="21"/>
          <w:u w:val="single" w:color="auto"/>
          <w:color w:val="FF0000"/>
          <w:strike w:val="1"/>
        </w:rPr>
        <w:t>Section 8(f)</w:t>
      </w:r>
      <w:r>
        <w:rPr>
          <w:rFonts w:ascii="Arial" w:cs="Arial" w:eastAsia="Arial" w:hAnsi="Arial"/>
          <w:sz w:val="21"/>
          <w:szCs w:val="21"/>
          <w:color w:val="FF0000"/>
          <w:strike w:val="1"/>
        </w:rPr>
        <w:t xml:space="preserve"> in existence, and (y) certain customary “specified representations” consistent with “SunGard” conditionality provisions must be </w:t>
      </w:r>
      <w:r>
        <w:rPr>
          <w:rFonts w:ascii="Arial" w:cs="Arial" w:eastAsia="Arial" w:hAnsi="Arial"/>
          <w:sz w:val="21"/>
          <w:szCs w:val="21"/>
          <w:color w:val="008000"/>
          <w:strike w:val="1"/>
        </w:rPr>
        <w:t>true and correct in all</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material respects</w:t>
      </w:r>
      <w:r>
        <w:rPr>
          <w:rFonts w:ascii="Arial" w:cs="Arial" w:eastAsia="Arial" w:hAnsi="Arial"/>
          <w:sz w:val="21"/>
          <w:szCs w:val="21"/>
          <w:color w:val="FF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28" w:right="339" w:bottom="1440" w:gutter="0" w:footer="0" w:header="0"/>
        </w:sectPr>
      </w:pPr>
    </w:p>
    <w:bookmarkStart w:id="180" w:name="page181"/>
    <w:bookmarkEnd w:id="180"/>
    <w:p>
      <w:pPr>
        <w:jc w:val="both"/>
        <w:ind w:firstLine="1304"/>
        <w:spacing w:after="0" w:line="258" w:lineRule="auto"/>
        <w:tabs>
          <w:tab w:leader="none" w:pos="1590" w:val="left"/>
        </w:tabs>
        <w:numPr>
          <w:ilvl w:val="0"/>
          <w:numId w:val="120"/>
        </w:numPr>
        <w:rPr>
          <w:rFonts w:ascii="Arial" w:cs="Arial" w:eastAsia="Arial" w:hAnsi="Arial"/>
          <w:sz w:val="21"/>
          <w:szCs w:val="21"/>
          <w:color w:val="FF0000"/>
          <w:strike w:val="1"/>
        </w:rPr>
      </w:pPr>
      <w:r>
        <w:rPr>
          <w:rFonts w:ascii="Arial" w:cs="Arial" w:eastAsia="Arial" w:hAnsi="Arial"/>
          <w:sz w:val="21"/>
          <w:szCs w:val="21"/>
          <w:color w:val="FF0000"/>
          <w:strike w:val="1"/>
        </w:rPr>
        <w:t xml:space="preserve">The Lenders hereby authorize the Incremental Equivalent Debt Arranger (and the Lenders hereby authorize the Incremental Equivalent Debt Arranger to execute and deliver such amendments) to enter into </w:t>
      </w:r>
      <w:r>
        <w:rPr>
          <w:rFonts w:ascii="Arial" w:cs="Arial" w:eastAsia="Arial" w:hAnsi="Arial"/>
          <w:sz w:val="21"/>
          <w:szCs w:val="21"/>
          <w:color w:val="008000"/>
          <w:strike w:val="1"/>
        </w:rPr>
        <w:t>amendments to this Agreement and</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 xml:space="preserve">the other Loan Documents </w:t>
      </w:r>
      <w:r>
        <w:rPr>
          <w:rFonts w:ascii="Arial" w:cs="Arial" w:eastAsia="Arial" w:hAnsi="Arial"/>
          <w:sz w:val="21"/>
          <w:szCs w:val="21"/>
          <w:color w:val="FF0000"/>
          <w:strike w:val="1"/>
        </w:rPr>
        <w:t>with the Borrower as may be necessary in order to secure any Incremental Equivalent Debt with the</w:t>
      </w:r>
      <w:r>
        <w:rPr>
          <w:rFonts w:ascii="Arial" w:cs="Arial" w:eastAsia="Arial" w:hAnsi="Arial"/>
          <w:sz w:val="21"/>
          <w:szCs w:val="21"/>
          <w:color w:val="008000"/>
          <w:strike w:val="1"/>
        </w:rPr>
        <w:t xml:space="preserve"> </w:t>
      </w:r>
      <w:r>
        <w:rPr>
          <w:rFonts w:ascii="Arial" w:cs="Arial" w:eastAsia="Arial" w:hAnsi="Arial"/>
          <w:sz w:val="21"/>
          <w:szCs w:val="21"/>
          <w:color w:val="FF0000"/>
          <w:strike w:val="1"/>
        </w:rPr>
        <w:t xml:space="preserve">Collateral and/or to make such technical amendments </w:t>
      </w:r>
      <w:r>
        <w:rPr>
          <w:rFonts w:ascii="Arial" w:cs="Arial" w:eastAsia="Arial" w:hAnsi="Arial"/>
          <w:sz w:val="21"/>
          <w:szCs w:val="21"/>
          <w:color w:val="008000"/>
          <w:strike w:val="1"/>
        </w:rPr>
        <w:t>as may be necessary or appropriate in the reasonable opinion of the</w:t>
      </w:r>
      <w:r>
        <w:rPr>
          <w:rFonts w:ascii="Arial" w:cs="Arial" w:eastAsia="Arial" w:hAnsi="Arial"/>
          <w:sz w:val="21"/>
          <w:szCs w:val="21"/>
          <w:color w:val="FF0000"/>
          <w:strike w:val="1"/>
        </w:rPr>
        <w:t xml:space="preserve"> Incremental Equivalent Debt Arranger and the Borrower in connection with the incurrence of such Incremental Equivalent Debt, in each case on terms consistent with this </w:t>
      </w:r>
      <w:r>
        <w:rPr>
          <w:rFonts w:ascii="Arial" w:cs="Arial" w:eastAsia="Arial" w:hAnsi="Arial"/>
          <w:sz w:val="21"/>
          <w:szCs w:val="21"/>
          <w:u w:val="single" w:color="auto"/>
          <w:color w:val="FF0000"/>
          <w:strike w:val="1"/>
        </w:rPr>
        <w:t>Section 2.26</w:t>
      </w:r>
      <w:r>
        <w:rPr>
          <w:rFonts w:ascii="Arial" w:cs="Arial" w:eastAsia="Arial" w:hAnsi="Arial"/>
          <w:sz w:val="21"/>
          <w:szCs w:val="21"/>
          <w:color w:val="FF0000"/>
          <w:strike w:val="1"/>
        </w:rPr>
        <w:t xml:space="preserve">. If the Incremental Equivalent Debt Arranger is not the Administrative Agent, the actions authorized to be taken by the Incremental Equivalent Debt Arranger herein shall be done in consultation with the Administrative Agent and, with respect to applicable documentation (including amendments to </w:t>
      </w:r>
      <w:r>
        <w:rPr>
          <w:rFonts w:ascii="Arial" w:cs="Arial" w:eastAsia="Arial" w:hAnsi="Arial"/>
          <w:sz w:val="21"/>
          <w:szCs w:val="21"/>
          <w:color w:val="008000"/>
          <w:strike w:val="1"/>
        </w:rPr>
        <w:t>this Agreement and the other</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Loan Documents</w:t>
      </w:r>
      <w:r>
        <w:rPr>
          <w:rFonts w:ascii="Arial" w:cs="Arial" w:eastAsia="Arial" w:hAnsi="Arial"/>
          <w:sz w:val="21"/>
          <w:szCs w:val="21"/>
          <w:color w:val="FF0000"/>
          <w:strike w:val="1"/>
        </w:rPr>
        <w:t>), any comments to such documentation reasonably requested by the Administrative Agent shall be reflected</w:t>
      </w:r>
      <w:r>
        <w:rPr>
          <w:rFonts w:ascii="Arial" w:cs="Arial" w:eastAsia="Arial" w:hAnsi="Arial"/>
          <w:sz w:val="21"/>
          <w:szCs w:val="21"/>
          <w:color w:val="008000"/>
          <w:strike w:val="1"/>
        </w:rPr>
        <w:t xml:space="preserve"> </w:t>
      </w:r>
      <w:r>
        <w:rPr>
          <w:rFonts w:ascii="Arial" w:cs="Arial" w:eastAsia="Arial" w:hAnsi="Arial"/>
          <w:sz w:val="21"/>
          <w:szCs w:val="21"/>
          <w:color w:val="FF0000"/>
          <w:strike w:val="1"/>
        </w:rPr>
        <w:t>therein.</w:t>
      </w:r>
    </w:p>
    <w:p>
      <w:pPr>
        <w:spacing w:after="0" w:line="185" w:lineRule="exact"/>
        <w:rPr>
          <w:sz w:val="20"/>
          <w:szCs w:val="20"/>
          <w:color w:val="auto"/>
        </w:rPr>
      </w:pPr>
    </w:p>
    <w:p>
      <w:pPr>
        <w:ind w:firstLine="1296"/>
        <w:spacing w:after="0" w:line="287" w:lineRule="auto"/>
        <w:rPr>
          <w:sz w:val="20"/>
          <w:szCs w:val="20"/>
          <w:color w:val="auto"/>
        </w:rPr>
      </w:pPr>
      <w:r>
        <w:rPr>
          <w:rFonts w:ascii="Arial" w:cs="Arial" w:eastAsia="Arial" w:hAnsi="Arial"/>
          <w:sz w:val="21"/>
          <w:szCs w:val="21"/>
          <w:color w:val="auto"/>
        </w:rPr>
        <w:t xml:space="preserve">2.27 </w:t>
      </w:r>
      <w:r>
        <w:rPr>
          <w:rFonts w:ascii="Arial" w:cs="Arial" w:eastAsia="Arial" w:hAnsi="Arial"/>
          <w:sz w:val="21"/>
          <w:szCs w:val="21"/>
          <w:u w:val="single" w:color="auto"/>
          <w:color w:val="auto"/>
        </w:rPr>
        <w:t>Extensions of Revolving Credit Loans and Term Loans and Revolving Credit Commitments and</w:t>
      </w:r>
      <w:r>
        <w:rPr>
          <w:rFonts w:ascii="Arial" w:cs="Arial" w:eastAsia="Arial" w:hAnsi="Arial"/>
          <w:sz w:val="21"/>
          <w:szCs w:val="21"/>
          <w:color w:val="auto"/>
        </w:rPr>
        <w:t xml:space="preserve"> </w:t>
      </w:r>
      <w:r>
        <w:rPr>
          <w:rFonts w:ascii="Arial" w:cs="Arial" w:eastAsia="Arial" w:hAnsi="Arial"/>
          <w:sz w:val="21"/>
          <w:szCs w:val="21"/>
          <w:u w:val="single" w:color="auto"/>
          <w:color w:val="auto"/>
        </w:rPr>
        <w:t>Replacement Revolving Credit Loans and Replacement Term Loans and Replacement Revolving Credit Commitments</w:t>
      </w:r>
      <w:r>
        <w:rPr>
          <w:rFonts w:ascii="Arial" w:cs="Arial" w:eastAsia="Arial" w:hAnsi="Arial"/>
          <w:sz w:val="21"/>
          <w:szCs w:val="21"/>
          <w:color w:val="auto"/>
        </w:rPr>
        <w:t>.</w:t>
      </w:r>
    </w:p>
    <w:p>
      <w:pPr>
        <w:spacing w:after="0" w:line="151" w:lineRule="exact"/>
        <w:rPr>
          <w:sz w:val="20"/>
          <w:szCs w:val="20"/>
          <w:color w:val="auto"/>
        </w:rPr>
      </w:pPr>
    </w:p>
    <w:p>
      <w:pPr>
        <w:jc w:val="both"/>
        <w:ind w:firstLine="1304"/>
        <w:spacing w:after="0" w:line="284" w:lineRule="auto"/>
        <w:tabs>
          <w:tab w:leader="none" w:pos="194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Borrower may at any time and from time to time request that all or a portion of (x) the Revolving Credit Commitments, the Extended Revolving Credit Commitments of any Class and/or any Replacement Revolving Credit Commitments of any Class, existing at the time of such request (each, an “</w:t>
      </w:r>
      <w:r>
        <w:rPr>
          <w:rFonts w:ascii="Arial" w:cs="Arial" w:eastAsia="Arial" w:hAnsi="Arial"/>
          <w:sz w:val="19"/>
          <w:szCs w:val="19"/>
          <w:u w:val="single" w:color="auto"/>
          <w:color w:val="auto"/>
        </w:rPr>
        <w:t>Existing Revolving Credit Commitment</w:t>
      </w:r>
      <w:r>
        <w:rPr>
          <w:rFonts w:ascii="Arial" w:cs="Arial" w:eastAsia="Arial" w:hAnsi="Arial"/>
          <w:sz w:val="19"/>
          <w:szCs w:val="19"/>
          <w:color w:val="auto"/>
        </w:rPr>
        <w:t>” and any related revolving credit loans under any such facility, “</w:t>
      </w:r>
      <w:r>
        <w:rPr>
          <w:rFonts w:ascii="Arial" w:cs="Arial" w:eastAsia="Arial" w:hAnsi="Arial"/>
          <w:sz w:val="19"/>
          <w:szCs w:val="19"/>
          <w:u w:val="single" w:color="auto"/>
          <w:color w:val="auto"/>
        </w:rPr>
        <w:t>Existing Revolving Credit Loans</w:t>
      </w:r>
      <w:r>
        <w:rPr>
          <w:rFonts w:ascii="Arial" w:cs="Arial" w:eastAsia="Arial" w:hAnsi="Arial"/>
          <w:sz w:val="19"/>
          <w:szCs w:val="19"/>
          <w:color w:val="auto"/>
        </w:rPr>
        <w:t>”; each Existing Revolving Credit Commitment and related Existing Revolving Credit Loans together being referred to as an “</w:t>
      </w:r>
      <w:r>
        <w:rPr>
          <w:rFonts w:ascii="Arial" w:cs="Arial" w:eastAsia="Arial" w:hAnsi="Arial"/>
          <w:sz w:val="19"/>
          <w:szCs w:val="19"/>
          <w:u w:val="single" w:color="auto"/>
          <w:color w:val="auto"/>
        </w:rPr>
        <w:t>Existing Revolving Credit Class</w:t>
      </w:r>
      <w:r>
        <w:rPr>
          <w:rFonts w:ascii="Arial" w:cs="Arial" w:eastAsia="Arial" w:hAnsi="Arial"/>
          <w:sz w:val="19"/>
          <w:szCs w:val="19"/>
          <w:color w:val="auto"/>
        </w:rPr>
        <w:t>”) be converted to extend the termination date thereof and the scheduled maturity date(s) of any payment of principal with respect to all or a portion of any principal amount of Existing Revolving Credit Loans related to such Existing Revolving Credit Commitments (any such Existing Revolving Credit Commitments which have been so extended, “</w:t>
      </w:r>
      <w:r>
        <w:rPr>
          <w:rFonts w:ascii="Arial" w:cs="Arial" w:eastAsia="Arial" w:hAnsi="Arial"/>
          <w:sz w:val="19"/>
          <w:szCs w:val="19"/>
          <w:u w:val="single" w:color="auto"/>
          <w:color w:val="auto"/>
        </w:rPr>
        <w:t>Extended Revolving Credit Commitments</w:t>
      </w:r>
      <w:r>
        <w:rPr>
          <w:rFonts w:ascii="Arial" w:cs="Arial" w:eastAsia="Arial" w:hAnsi="Arial"/>
          <w:sz w:val="19"/>
          <w:szCs w:val="19"/>
          <w:color w:val="auto"/>
        </w:rPr>
        <w:t>” and any related revolving credit loans, “</w:t>
      </w:r>
      <w:r>
        <w:rPr>
          <w:rFonts w:ascii="Arial" w:cs="Arial" w:eastAsia="Arial" w:hAnsi="Arial"/>
          <w:sz w:val="19"/>
          <w:szCs w:val="19"/>
          <w:u w:val="single" w:color="auto"/>
          <w:color w:val="auto"/>
        </w:rPr>
        <w:t>Extended Revolving Credit Loans</w:t>
      </w:r>
      <w:r>
        <w:rPr>
          <w:rFonts w:ascii="Arial" w:cs="Arial" w:eastAsia="Arial" w:hAnsi="Arial"/>
          <w:sz w:val="19"/>
          <w:szCs w:val="19"/>
          <w:color w:val="auto"/>
        </w:rPr>
        <w:t xml:space="preserve">”) and to provide for other terms consistent with this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and (y) the Term Loans, the Extended Term Loans and/or any Replacement Term Loans existing at the time of such request (each, an “</w:t>
      </w:r>
      <w:r>
        <w:rPr>
          <w:rFonts w:ascii="Arial" w:cs="Arial" w:eastAsia="Arial" w:hAnsi="Arial"/>
          <w:sz w:val="19"/>
          <w:szCs w:val="19"/>
          <w:u w:val="single" w:color="auto"/>
          <w:color w:val="auto"/>
        </w:rPr>
        <w:t>Existing Term Loan</w:t>
      </w:r>
      <w:r>
        <w:rPr>
          <w:rFonts w:ascii="Arial" w:cs="Arial" w:eastAsia="Arial" w:hAnsi="Arial"/>
          <w:sz w:val="19"/>
          <w:szCs w:val="19"/>
          <w:color w:val="auto"/>
        </w:rPr>
        <w:t>”) be converted to extend the termination date thereof and the scheduled maturity date(s) of any payment of principal with respect to all or a portion of any principal amount of the Existing Term Loans (any such Existing Term Loans which have been so extended, “</w:t>
      </w:r>
      <w:r>
        <w:rPr>
          <w:rFonts w:ascii="Arial" w:cs="Arial" w:eastAsia="Arial" w:hAnsi="Arial"/>
          <w:sz w:val="19"/>
          <w:szCs w:val="19"/>
          <w:u w:val="single" w:color="auto"/>
          <w:color w:val="auto"/>
        </w:rPr>
        <w:t>Extended Term Loans</w:t>
      </w:r>
      <w:r>
        <w:rPr>
          <w:rFonts w:ascii="Arial" w:cs="Arial" w:eastAsia="Arial" w:hAnsi="Arial"/>
          <w:sz w:val="19"/>
          <w:szCs w:val="19"/>
          <w:color w:val="auto"/>
        </w:rPr>
        <w:t xml:space="preserve">”) and to provide for other terms consistent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2.27</w:t>
      </w:r>
      <w:r>
        <w:rPr>
          <w:rFonts w:ascii="Arial" w:cs="Arial" w:eastAsia="Arial" w:hAnsi="Arial"/>
          <w:sz w:val="19"/>
          <w:szCs w:val="19"/>
          <w:color w:val="auto"/>
        </w:rPr>
        <w:t>. Prior to entering into any Extension Amendment with respect to any Extended Revolving Credit Commitments or Extended Term Loans, as applicable, the Borrower shall provide a notice to the Administrative Agent (who shall provide a copy of such notice to each of the Lenders of the applicable Existing Revolving Credit Commitments or each of the Lenders of the applicable Existing Term Loans, as applicable, with such request offered to all Lenders of the applicable Class) (an “</w:t>
      </w:r>
      <w:r>
        <w:rPr>
          <w:rFonts w:ascii="Arial" w:cs="Arial" w:eastAsia="Arial" w:hAnsi="Arial"/>
          <w:sz w:val="19"/>
          <w:szCs w:val="19"/>
          <w:u w:val="single" w:color="auto"/>
          <w:color w:val="auto"/>
        </w:rPr>
        <w:t>Extension Request</w:t>
      </w:r>
      <w:r>
        <w:rPr>
          <w:rFonts w:ascii="Arial" w:cs="Arial" w:eastAsia="Arial" w:hAnsi="Arial"/>
          <w:sz w:val="19"/>
          <w:szCs w:val="19"/>
          <w:color w:val="auto"/>
        </w:rPr>
        <w:t>”) setting forth the proposed terms of the Extended Revolving Credit Commitments or Extended Term Loans, as applicable, to be established thereunder, which terms shall be similar to, or less favorable to the investors providing (i) in the case of Extended Revolving Credit Loans, such Extended Revolving Credit Commitments than, those applicable to the Existing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28" w:right="339" w:bottom="1440" w:gutter="0" w:footer="0" w:header="0"/>
        </w:sectPr>
      </w:pPr>
    </w:p>
    <w:bookmarkStart w:id="181" w:name="page182"/>
    <w:bookmarkEnd w:id="181"/>
    <w:p>
      <w:pPr>
        <w:jc w:val="both"/>
        <w:spacing w:after="0" w:line="288" w:lineRule="auto"/>
        <w:rPr>
          <w:sz w:val="20"/>
          <w:szCs w:val="20"/>
          <w:color w:val="auto"/>
        </w:rPr>
      </w:pPr>
      <w:r>
        <w:rPr>
          <w:rFonts w:ascii="Arial" w:cs="Arial" w:eastAsia="Arial" w:hAnsi="Arial"/>
          <w:sz w:val="19"/>
          <w:szCs w:val="19"/>
          <w:color w:val="auto"/>
        </w:rPr>
        <w:t>Credit Commitments from which they are to be extended (the “</w:t>
      </w:r>
      <w:r>
        <w:rPr>
          <w:rFonts w:ascii="Arial" w:cs="Arial" w:eastAsia="Arial" w:hAnsi="Arial"/>
          <w:sz w:val="19"/>
          <w:szCs w:val="19"/>
          <w:u w:val="single" w:color="auto"/>
          <w:color w:val="auto"/>
        </w:rPr>
        <w:t>Specified Existing Revolving Credit Commitment Class</w:t>
      </w:r>
      <w:r>
        <w:rPr>
          <w:rFonts w:ascii="Arial" w:cs="Arial" w:eastAsia="Arial" w:hAnsi="Arial"/>
          <w:sz w:val="19"/>
          <w:szCs w:val="19"/>
          <w:color w:val="auto"/>
        </w:rPr>
        <w:t>”) and (ii) in the case of Extended Term Loans, such Extended Term Loans than, those applicable to the Existing Term Loans from which they are to be extended (the “</w:t>
      </w:r>
      <w:r>
        <w:rPr>
          <w:rFonts w:ascii="Arial" w:cs="Arial" w:eastAsia="Arial" w:hAnsi="Arial"/>
          <w:sz w:val="19"/>
          <w:szCs w:val="19"/>
          <w:u w:val="single" w:color="auto"/>
          <w:color w:val="auto"/>
        </w:rPr>
        <w:t>Specified Existing Term Loan Class</w:t>
      </w:r>
      <w:r>
        <w:rPr>
          <w:rFonts w:ascii="Arial" w:cs="Arial" w:eastAsia="Arial" w:hAnsi="Arial"/>
          <w:sz w:val="19"/>
          <w:szCs w:val="19"/>
          <w:color w:val="auto"/>
        </w:rPr>
        <w:t>”) except that (w) all or any of the final maturity dates of such</w:t>
      </w:r>
    </w:p>
    <w:p>
      <w:pPr>
        <w:spacing w:after="0" w:line="1" w:lineRule="exact"/>
        <w:rPr>
          <w:sz w:val="20"/>
          <w:szCs w:val="20"/>
          <w:color w:val="auto"/>
        </w:rPr>
      </w:pPr>
    </w:p>
    <w:p>
      <w:pPr>
        <w:jc w:val="both"/>
        <w:ind w:firstLine="8"/>
        <w:spacing w:after="0" w:line="281" w:lineRule="auto"/>
        <w:tabs>
          <w:tab w:leader="none" w:pos="35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Extended Revolving Credit Commitments may be delayed to later dates than the final maturity dates of the Existing Revolving Credit Commitments of the Specified Existing Revolving Credit Commitment Class and (2) Extended Term Loans may be delayed to later dates than the final maturity dates of the Existing Term Loans of the Specified Existing Term Loan Class, as applicable, (x) the interest rates (including fixed interest rates), interest margins, rate floors, upfront fees, funding discounts, original issue discounts and premiums with respect to the (1) Extended Revolving Credit Commitments may be different than those for the Existing Revolving Credit Commitments of the Specified Existing Revolving Credit Commitment Class and (2) Extended Term Loans may be different than those for the Existing Term Loans of the Specified Existing Term Loan Class, (y)</w:t>
      </w:r>
    </w:p>
    <w:p>
      <w:pPr>
        <w:spacing w:after="0" w:line="4" w:lineRule="exact"/>
        <w:rPr>
          <w:rFonts w:ascii="Arial" w:cs="Arial" w:eastAsia="Arial" w:hAnsi="Arial"/>
          <w:sz w:val="19"/>
          <w:szCs w:val="19"/>
          <w:color w:val="auto"/>
        </w:rPr>
      </w:pPr>
    </w:p>
    <w:p>
      <w:pPr>
        <w:jc w:val="both"/>
        <w:ind w:firstLine="8"/>
        <w:spacing w:after="0" w:line="281" w:lineRule="auto"/>
        <w:tabs>
          <w:tab w:leader="none" w:pos="338"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the undrawn revolving credit commitment fee rate with respect to the Extended Revolving Credit Commitments may be different than those for the Specified Existing Revolving Credit Commitment Class and (2) the Extension Amendment may provide for other covenants and terms that apply to any period after (i) the Latest Revolving Maturity Date or otherwise are provided for the benefit of the Lenders of the Specified Existing Revolving Credit Commitment Class and (ii) the Latest Term Loan Maturity Date or otherwise are provided for the benefit of the Lenders of the Specified Existing Term Loan Class,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in this </w:t>
      </w:r>
      <w:r>
        <w:rPr>
          <w:rFonts w:ascii="Arial" w:cs="Arial" w:eastAsia="Arial" w:hAnsi="Arial"/>
          <w:sz w:val="19"/>
          <w:szCs w:val="19"/>
          <w:u w:val="single" w:color="auto"/>
          <w:color w:val="auto"/>
        </w:rPr>
        <w:t>Section 2.27</w:t>
      </w:r>
      <w:r>
        <w:rPr>
          <w:rFonts w:ascii="Arial" w:cs="Arial" w:eastAsia="Arial" w:hAnsi="Arial"/>
          <w:sz w:val="19"/>
          <w:szCs w:val="19"/>
          <w:color w:val="auto"/>
        </w:rPr>
        <w:t xml:space="preserve"> or otherwise, (1) the borrowing and repayment (other than in connection with a permanent repayment and termination of commitments) of (x) the Extended Revolving Credit Loans under any Extended Revolving Credit Commitments shall be made on a pro rata basis with any borrowings and repayments of the Existing Revolving Credit Loans of the Specified Existing Revolving Credit Commitment Class (the mechanics for which may be implemented through the applicable Extension Amendment and may include technical changes related to the borrowing and repayment procedures of the Specified Existing Revolving Credit Commitment Class) and</w:t>
      </w:r>
    </w:p>
    <w:p>
      <w:pPr>
        <w:spacing w:after="0" w:line="7"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19"/>
          <w:szCs w:val="19"/>
          <w:color w:val="auto"/>
        </w:rPr>
        <w:t xml:space="preserve">(y) the Extended Term Loans shall be made on a pro rata basis with any borrowings and repayments of the Existing Term Loans of the Specified Existing Term Loan Class (the mechanics for which may be implemented through the applicable Extension Amendment and may include technical changes related to the borrowing and repayment procedures of the Specified Existing Term Loan Class), (2) assignments and participations of (x) Extended Revolving Credit Commitments and Extended Revolving Credit Loans shall be governed by the assignment and participation provisions set forth in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and (y) Extended Term Loans shall be governed by the assignment and participation provisions set forth in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and (3) subject to the applicable limitations set forth in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2.18</w:t>
      </w:r>
      <w:r>
        <w:rPr>
          <w:rFonts w:ascii="Arial" w:cs="Arial" w:eastAsia="Arial" w:hAnsi="Arial"/>
          <w:sz w:val="19"/>
          <w:szCs w:val="19"/>
          <w:color w:val="auto"/>
        </w:rPr>
        <w:t>, permanent repayments of (x) Extended Revolving Credit Loans (and corresponding permanent reduction in the related Extended Revolving Credit Commitments) shall be permitted as may be agreed between the Borrower and the Lenders thereof and (y) Extended Term Loans shall be permitted as may be agreed between the Borrower and the Lenders thereof. No Lender shall have any obligation to agree to have any of its (x) Revolving Credit Loans or Revolving Credit Commitments of any Existing Revolving Credit Class converted into Extended Revolving Credit Loans or Extended Revolving Credit Commitments and/or (y) Term Loans converted into Extended Term Loans, in each case, pursuant to any Extension Request. Any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28" w:right="339" w:bottom="1440" w:gutter="0" w:footer="0" w:header="0"/>
        </w:sectPr>
      </w:pPr>
    </w:p>
    <w:bookmarkStart w:id="182" w:name="page183"/>
    <w:bookmarkEnd w:id="182"/>
    <w:p>
      <w:pPr>
        <w:jc w:val="both"/>
        <w:spacing w:after="0" w:line="253" w:lineRule="auto"/>
        <w:rPr>
          <w:sz w:val="20"/>
          <w:szCs w:val="20"/>
          <w:color w:val="auto"/>
        </w:rPr>
      </w:pPr>
      <w:r>
        <w:rPr>
          <w:rFonts w:ascii="Arial" w:cs="Arial" w:eastAsia="Arial" w:hAnsi="Arial"/>
          <w:sz w:val="22"/>
          <w:szCs w:val="22"/>
          <w:color w:val="auto"/>
        </w:rPr>
        <w:t>Revolving Credit Commitments of any Extension Series shall constitute a separate Class of revolving credit commitments from Existing Revolving Credit Commitments of the Specified Existing Revolving Credit Commitment Class and from any other Existing Revolving Credit Commitments.</w:t>
      </w:r>
    </w:p>
    <w:p>
      <w:pPr>
        <w:spacing w:after="0" w:line="185" w:lineRule="exact"/>
        <w:rPr>
          <w:sz w:val="20"/>
          <w:szCs w:val="20"/>
          <w:color w:val="auto"/>
        </w:rPr>
      </w:pPr>
    </w:p>
    <w:p>
      <w:pPr>
        <w:jc w:val="both"/>
        <w:ind w:firstLine="1304"/>
        <w:spacing w:after="0" w:line="283" w:lineRule="auto"/>
        <w:tabs>
          <w:tab w:leader="none" w:pos="1939"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The Borrower shall provide the applicable Extension Request at least five (5) Business Days (or such shorter period as the Administrative Agent may determine in its reasonable discretion) prior to the date on which Lenders under the Existing Class are requested to respond, and shall agree to such procedures, if any, as may be established by, or acceptable to, the Administrative Agent, in each case acting reasonably, to accomplish the purpose of this </w:t>
      </w:r>
      <w:r>
        <w:rPr>
          <w:rFonts w:ascii="Arial" w:cs="Arial" w:eastAsia="Arial" w:hAnsi="Arial"/>
          <w:sz w:val="19"/>
          <w:szCs w:val="19"/>
          <w:u w:val="single" w:color="auto"/>
          <w:color w:val="auto"/>
        </w:rPr>
        <w:t>Section 2.27</w:t>
      </w:r>
      <w:r>
        <w:rPr>
          <w:rFonts w:ascii="Arial" w:cs="Arial" w:eastAsia="Arial" w:hAnsi="Arial"/>
          <w:sz w:val="19"/>
          <w:szCs w:val="19"/>
          <w:color w:val="auto"/>
        </w:rPr>
        <w:t>. Any Lender (an “</w:t>
      </w:r>
      <w:r>
        <w:rPr>
          <w:rFonts w:ascii="Arial" w:cs="Arial" w:eastAsia="Arial" w:hAnsi="Arial"/>
          <w:sz w:val="19"/>
          <w:szCs w:val="19"/>
          <w:u w:val="single" w:color="auto"/>
          <w:color w:val="auto"/>
        </w:rPr>
        <w:t>Extending Lender</w:t>
      </w:r>
      <w:r>
        <w:rPr>
          <w:rFonts w:ascii="Arial" w:cs="Arial" w:eastAsia="Arial" w:hAnsi="Arial"/>
          <w:sz w:val="19"/>
          <w:szCs w:val="19"/>
          <w:color w:val="auto"/>
        </w:rPr>
        <w:t>”) wishing to have all or a portion of its Revolving Credit Commitments, Replacement Revolving Credit Commitments (or any earlier extended Extended Revolving Credit Commitments),Term Loans, Replacement Term Loans (or any earlier extended Extended Term Loans) of an Existing Class subject to such Extension Request converted into Extended Loans/Commitments shall notify the Administrative Agent (an “</w:t>
      </w:r>
      <w:r>
        <w:rPr>
          <w:rFonts w:ascii="Arial" w:cs="Arial" w:eastAsia="Arial" w:hAnsi="Arial"/>
          <w:sz w:val="19"/>
          <w:szCs w:val="19"/>
          <w:u w:val="single" w:color="auto"/>
          <w:color w:val="auto"/>
        </w:rPr>
        <w:t>Extension Election</w:t>
      </w:r>
      <w:r>
        <w:rPr>
          <w:rFonts w:ascii="Arial" w:cs="Arial" w:eastAsia="Arial" w:hAnsi="Arial"/>
          <w:sz w:val="19"/>
          <w:szCs w:val="19"/>
          <w:color w:val="auto"/>
        </w:rPr>
        <w:t xml:space="preserve">”) on or prior to the date specified in such Extension Request of the amount of its Revolving Credit Commitments, Replacement Revolving Credit Commitments (and/or any earlier extended Extended Revolving Credit Commitments), Term Loans and/or Replacement Term Loans (and/or any earlier extended Extended Term Loans) which it has elected to convert into Extended Loans/Commitments (subject to any minimum denomination requirements imposed by the Administrative Agent). In the event that the aggregate amount of Revolving Credit Commitments, Replacement Revolving Credit Commitments or earlier extended Extended Revolving Credit Commitments, as applicable, subject to Extension Elections exceeds the amount of Extended Loans/Commitments requested pursuant to the Extension Request, such Revolving Credit Commitments, Replacement Revolving Credit Commitments or extended Extended Revolving Credit Commitments subject to Extension Elections shall be converted to Extended Loans/Commitments on a pro rata basis (subject to such rounding requirements as may be established by the Administrative Agent) (or another methodology as may be agreed between the Administrative Agent and the Borrower) based on the amount of Revolving Credit Commitments, Replacement Revolving Credit Commitments (and any earlier extended Extended Revolving Credit Commitments) included in each such Extension Election. In the event that the aggregate amount of Term Loans, Replacement Term Loans or earlier extended Extended Term Loans, as applicable, subject to Extension Elections exceeds the amount of Extended Loans/Commitments requested pursuant to the Extension Request, such Term Loans, Replacement Term Loans or earlier extended Extended Term Loans subject to Extension Elections shall be converted to Extended Loans/Commitments on a pro rata basis (subject to such rounding requirements as may be established by the Administrative Agent) (or another methodology as may be agreed between the Administrative Agent and the Borrower) based on the amount of Term Loans, Replacement Term Loans (and any earlier extended Extended Term Loans) included in each such Extension Election. Notwithstanding the conversion of any Existing Revolving Credit Commitment into an Extended Revolving Credit Commitment, such Extended Revolving Credit Commitment shall be treated identically to all Existing Revolving Credit Commitments of the Specified Existing Revolving Credit Commitment Class for purposes of the obligations of a Revolving Credit Lender in respect of Swing Line Loans under </w:t>
      </w:r>
      <w:r>
        <w:rPr>
          <w:rFonts w:ascii="Arial" w:cs="Arial" w:eastAsia="Arial" w:hAnsi="Arial"/>
          <w:sz w:val="19"/>
          <w:szCs w:val="19"/>
          <w:u w:val="single" w:color="auto"/>
          <w:color w:val="auto"/>
        </w:rPr>
        <w:t>Section 2.7(e)</w:t>
      </w:r>
      <w:r>
        <w:rPr>
          <w:rFonts w:ascii="Arial" w:cs="Arial" w:eastAsia="Arial" w:hAnsi="Arial"/>
          <w:sz w:val="19"/>
          <w:szCs w:val="19"/>
          <w:color w:val="auto"/>
        </w:rPr>
        <w:t xml:space="preserve"> and Letters of Credit under </w:t>
      </w:r>
      <w:r>
        <w:rPr>
          <w:rFonts w:ascii="Arial" w:cs="Arial" w:eastAsia="Arial" w:hAnsi="Arial"/>
          <w:sz w:val="19"/>
          <w:szCs w:val="19"/>
          <w:u w:val="single" w:color="auto"/>
          <w:color w:val="auto"/>
        </w:rPr>
        <w:t>Section 3</w:t>
      </w:r>
      <w:r>
        <w:rPr>
          <w:rFonts w:ascii="Arial" w:cs="Arial" w:eastAsia="Arial" w:hAnsi="Arial"/>
          <w:sz w:val="19"/>
          <w:szCs w:val="19"/>
          <w:color w:val="auto"/>
        </w:rPr>
        <w:t>, except that the applicable Extension Agreement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28" w:right="339" w:bottom="1440" w:gutter="0" w:footer="0" w:header="0"/>
        </w:sectPr>
      </w:pPr>
    </w:p>
    <w:bookmarkStart w:id="183" w:name="page184"/>
    <w:bookmarkEnd w:id="183"/>
    <w:p>
      <w:pPr>
        <w:jc w:val="both"/>
        <w:spacing w:after="0" w:line="248" w:lineRule="auto"/>
        <w:rPr>
          <w:sz w:val="20"/>
          <w:szCs w:val="20"/>
          <w:color w:val="auto"/>
        </w:rPr>
      </w:pPr>
      <w:r>
        <w:rPr>
          <w:rFonts w:ascii="Arial" w:cs="Arial" w:eastAsia="Arial" w:hAnsi="Arial"/>
          <w:sz w:val="22"/>
          <w:szCs w:val="22"/>
          <w:color w:val="auto"/>
        </w:rPr>
        <w:t>provide that the last day for making Swing Line Loans and/or the last day for issuing Letters of Credit may be extended and the related obligations to make Swing Line Loans and issue Letters of Credit may be continued (pursuant to mechanics set forth in the applicable Extension Agreement) so long as the Swing Line Lender and/or the applicable Issuing Lender, as applicable, have consented to such extensions (it being understood that no consent of any other Lender shall be required in connection with any such extension).</w:t>
      </w:r>
    </w:p>
    <w:p>
      <w:pPr>
        <w:spacing w:after="0" w:line="192" w:lineRule="exact"/>
        <w:rPr>
          <w:sz w:val="20"/>
          <w:szCs w:val="20"/>
          <w:color w:val="auto"/>
        </w:rPr>
      </w:pPr>
    </w:p>
    <w:p>
      <w:pPr>
        <w:jc w:val="both"/>
        <w:ind w:firstLine="1304"/>
        <w:spacing w:after="0" w:line="289" w:lineRule="auto"/>
        <w:tabs>
          <w:tab w:leader="none" w:pos="194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Extended Loans/Commitments shall be established pursuant to an amendment (an “</w:t>
      </w:r>
      <w:r>
        <w:rPr>
          <w:rFonts w:ascii="Arial" w:cs="Arial" w:eastAsia="Arial" w:hAnsi="Arial"/>
          <w:sz w:val="19"/>
          <w:szCs w:val="19"/>
          <w:u w:val="single" w:color="auto"/>
          <w:color w:val="auto"/>
        </w:rPr>
        <w:t>Extension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to this Agreement (which notwithstanding anything to the contrary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shall not require the consent of any Lender other than the Extending Lenders with respect to the Extended Loans/Commitments established thereby) executed by the Loan Parties, the Administrative Agent, the applicable Extending Lenders and if applicable, the Swing Line Lender and Issuing Lender. In connection with any Extension Amendment, upon the reasonable request of the Administrative Agent or any Extending Lender, the Borrower shall deliver an opinion of counsel reasonably acceptable to the Administrative Agent as to the enforceability of such Extension Amendment and as to the security interests created by any Loan Document (if any) as may be amended thereby, that such Extension Amendment does not invalidate or adversely affect the attachment of such security interests created pursuant to such Loan Document.</w:t>
      </w:r>
    </w:p>
    <w:p>
      <w:pPr>
        <w:spacing w:after="0" w:line="156" w:lineRule="exact"/>
        <w:rPr>
          <w:rFonts w:ascii="Arial" w:cs="Arial" w:eastAsia="Arial" w:hAnsi="Arial"/>
          <w:sz w:val="19"/>
          <w:szCs w:val="19"/>
          <w:color w:val="auto"/>
        </w:rPr>
      </w:pPr>
    </w:p>
    <w:p>
      <w:pPr>
        <w:jc w:val="both"/>
        <w:ind w:firstLine="1304"/>
        <w:spacing w:after="0" w:line="286" w:lineRule="auto"/>
        <w:tabs>
          <w:tab w:leader="none" w:pos="193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(i) on any date on which any Class of Existing Revolving Credit Commitments is converted to extend the related scheduled maturity date(s) in accordance with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above (an “</w:t>
      </w:r>
      <w:r>
        <w:rPr>
          <w:rFonts w:ascii="Arial" w:cs="Arial" w:eastAsia="Arial" w:hAnsi="Arial"/>
          <w:sz w:val="19"/>
          <w:szCs w:val="19"/>
          <w:u w:val="single" w:color="auto"/>
          <w:color w:val="auto"/>
        </w:rPr>
        <w:t>Revolver Extension Date</w:t>
      </w:r>
      <w:r>
        <w:rPr>
          <w:rFonts w:ascii="Arial" w:cs="Arial" w:eastAsia="Arial" w:hAnsi="Arial"/>
          <w:sz w:val="19"/>
          <w:szCs w:val="19"/>
          <w:color w:val="auto"/>
        </w:rPr>
        <w:t>”), in the case of the Existing Revolving Credit Commitments of each Extending Lender under any Specified Existing Revolving Credit Commitment Class, the aggregate principal amount of such Existing Revolving Credit Commitments shall be deemed reduced by an amount equal to the aggregate principal amount of Extended Revolving Credit Commitments so converted by such Lender on such date (or by any greater amount as may be agreed by the Borrower and such Lender), and such Extended Revolving Credit Commitments shall be established as a separate Class of revolving credit commitments from the Specified Existing Revolving Credit Commitment Class and from any other Existing Revolving Credit Commitments (together with any other Extended Revolving Credit Commitments so established on such date) and (ii) if, immediately before giving effect to any such conversion, any Existing Revolving Credit Loans of any Extending Lender are outstanding under the Specified Existing Revolving Credit Commitment Class, simultaneous with such conversion, such Existing Revolving Credit Loans (and any related participations) shall be deemed to be converted to Extended Revolving Credit Loans (and related participations) of the applicable Class in the same proportion as such Extending Lender’s Existing Revolving Credit Commitments under such Specified Existing Revolving Credit Commitment Class being converted to Extended Revolving Credit Commitments of such applicable Class.</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1304"/>
        <w:spacing w:after="0" w:line="312" w:lineRule="auto"/>
        <w:tabs>
          <w:tab w:leader="none" w:pos="194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on any date on which any Class of Existing Term Loans is converted to extend the related scheduled maturity date(s) in accordance with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above (a “</w:t>
      </w:r>
      <w:r>
        <w:rPr>
          <w:rFonts w:ascii="Arial" w:cs="Arial" w:eastAsia="Arial" w:hAnsi="Arial"/>
          <w:sz w:val="19"/>
          <w:szCs w:val="19"/>
          <w:u w:val="single" w:color="auto"/>
          <w:color w:val="auto"/>
        </w:rPr>
        <w:t>Term Loan Extension Date</w:t>
      </w:r>
      <w:r>
        <w:rPr>
          <w:rFonts w:ascii="Arial" w:cs="Arial" w:eastAsia="Arial" w:hAnsi="Arial"/>
          <w:sz w:val="19"/>
          <w:szCs w:val="19"/>
          <w:color w:val="auto"/>
        </w:rPr>
        <w:t>” and, together with the Revolver Extension Date, each an “</w:t>
      </w:r>
      <w:r>
        <w:rPr>
          <w:rFonts w:ascii="Arial" w:cs="Arial" w:eastAsia="Arial" w:hAnsi="Arial"/>
          <w:sz w:val="19"/>
          <w:szCs w:val="19"/>
          <w:u w:val="single" w:color="auto"/>
          <w:color w:val="auto"/>
        </w:rPr>
        <w:t>Extension Date</w:t>
      </w:r>
      <w:r>
        <w:rPr>
          <w:rFonts w:ascii="Arial" w:cs="Arial" w:eastAsia="Arial" w:hAnsi="Arial"/>
          <w:sz w:val="19"/>
          <w:szCs w:val="19"/>
          <w:color w:val="auto"/>
        </w:rPr>
        <w:t>”), in the case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28" w:right="339" w:bottom="1440" w:gutter="0" w:footer="0" w:header="0"/>
        </w:sectPr>
      </w:pPr>
    </w:p>
    <w:bookmarkStart w:id="184" w:name="page185"/>
    <w:bookmarkEnd w:id="184"/>
    <w:p>
      <w:pPr>
        <w:jc w:val="both"/>
        <w:spacing w:after="0" w:line="247" w:lineRule="auto"/>
        <w:rPr>
          <w:sz w:val="20"/>
          <w:szCs w:val="20"/>
          <w:color w:val="auto"/>
        </w:rPr>
      </w:pPr>
      <w:r>
        <w:rPr>
          <w:rFonts w:ascii="Arial" w:cs="Arial" w:eastAsia="Arial" w:hAnsi="Arial"/>
          <w:sz w:val="22"/>
          <w:szCs w:val="22"/>
          <w:color w:val="auto"/>
        </w:rPr>
        <w:t>Existing Term Loans of each Extending Lender under any Specified Existing Term Loan Commitment Class, the aggregate principal amount of such Existing Term Loans shall be deemed reduced by an amount equal to the aggregate principal amount of Extended Term Loans so converted by such Lender on such date (or by any greater amount as may be agreed by the Borrower and such Lender), and such Extended Term Loans shall be established as a separate Class of term loans from the Specified Existing Term Loan Class and from any other Existing Term Loans (together with any other Extended Term Loans so established on such date).</w:t>
      </w:r>
    </w:p>
    <w:p>
      <w:pPr>
        <w:spacing w:after="0" w:line="193" w:lineRule="exact"/>
        <w:rPr>
          <w:sz w:val="20"/>
          <w:szCs w:val="20"/>
          <w:color w:val="auto"/>
        </w:rPr>
      </w:pPr>
    </w:p>
    <w:p>
      <w:pPr>
        <w:jc w:val="both"/>
        <w:ind w:firstLine="1304"/>
        <w:spacing w:after="0" w:line="285" w:lineRule="auto"/>
        <w:tabs>
          <w:tab w:leader="none" w:pos="1944" w:val="left"/>
        </w:tabs>
        <w:numPr>
          <w:ilvl w:val="0"/>
          <w:numId w:val="126"/>
        </w:numPr>
        <w:rPr>
          <w:rFonts w:ascii="Arial" w:cs="Arial" w:eastAsia="Arial" w:hAnsi="Arial"/>
          <w:sz w:val="19"/>
          <w:szCs w:val="19"/>
          <w:color w:val="auto"/>
        </w:rPr>
      </w:pPr>
      <w:r>
        <w:rPr>
          <w:rFonts w:ascii="Arial" w:cs="Arial" w:eastAsia="Arial" w:hAnsi="Arial"/>
          <w:sz w:val="19"/>
          <w:szCs w:val="19"/>
          <w:color w:val="auto"/>
        </w:rPr>
        <w:t>In the event that the Administrative Agent determines in its sole discretion that the allocation of the Extended Revolving Credit Commitments or Extended Term Loans, as applicable, of a given Extension Series, in each case to a given Lender was incorrectly determined as a result of manifest administrative error in the receipt and processing of an Extension Election timely submitted by such Lender in accordance with the procedures set forth in the applicable Extension Amendment, then the Administrative Agent, the Borrower and such affected Lender may (and hereby are authorized to), in their sole discretion and without the consent of any other Lender, enter into an amendment to this Agreement and the other Loan Documents (each, a “</w:t>
      </w:r>
      <w:r>
        <w:rPr>
          <w:rFonts w:ascii="Arial" w:cs="Arial" w:eastAsia="Arial" w:hAnsi="Arial"/>
          <w:sz w:val="19"/>
          <w:szCs w:val="19"/>
          <w:u w:val="single" w:color="auto"/>
          <w:color w:val="auto"/>
        </w:rPr>
        <w:t>Corrective Extension Amendment</w:t>
      </w:r>
      <w:r>
        <w:rPr>
          <w:rFonts w:ascii="Arial" w:cs="Arial" w:eastAsia="Arial" w:hAnsi="Arial"/>
          <w:sz w:val="19"/>
          <w:szCs w:val="19"/>
          <w:color w:val="auto"/>
        </w:rPr>
        <w:t>”) within 15 days following the effective date of such Extension Amendment, as the case may be, which Corrective Extension Amendment shall (i) provide for the conversion and extension of (x) Existing Revolving Credit Commitments (and related Revolving Extensions of Credit), as the case may be, in such amount as is required to cause such Lender to hold Extended Revolving Credit Commitments (and related Revolving Extensions of Credit) of the applicable Extension Series into which such other Commitments were initially converted, as the case may be and (y) Existing Term Loans in such amount as is required to cause such Lender to hold Extended Term Loans of the applicable Extension Series into which such other Loans were initially converted, in each case, in the amount such Lender would have held had such administrative error not occurred and had such Lender received the minimum allocation of the applicable Loans or Commitments to which it was entitled under the terms of such Extension Amendment, in the absence of such error and (ii) be subject to the satisfaction of such conditions as the Administrative Agent, the Borrower and such Lender may agree.</w:t>
      </w:r>
    </w:p>
    <w:p>
      <w:pPr>
        <w:spacing w:after="0" w:line="168" w:lineRule="exact"/>
        <w:rPr>
          <w:rFonts w:ascii="Arial" w:cs="Arial" w:eastAsia="Arial" w:hAnsi="Arial"/>
          <w:sz w:val="19"/>
          <w:szCs w:val="19"/>
          <w:color w:val="auto"/>
        </w:rPr>
      </w:pPr>
    </w:p>
    <w:p>
      <w:pPr>
        <w:ind w:firstLine="1304"/>
        <w:spacing w:after="0" w:line="287" w:lineRule="auto"/>
        <w:tabs>
          <w:tab w:leader="none" w:pos="1939"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No conversion of Loans or Commitments pursuant to any Extension Amendment in accordance with this </w:t>
      </w:r>
      <w:r>
        <w:rPr>
          <w:rFonts w:ascii="Arial" w:cs="Arial" w:eastAsia="Arial" w:hAnsi="Arial"/>
          <w:sz w:val="21"/>
          <w:szCs w:val="21"/>
          <w:u w:val="single" w:color="auto"/>
          <w:color w:val="auto"/>
        </w:rPr>
        <w:t>Section 2.27</w:t>
      </w:r>
      <w:r>
        <w:rPr>
          <w:rFonts w:ascii="Arial" w:cs="Arial" w:eastAsia="Arial" w:hAnsi="Arial"/>
          <w:sz w:val="21"/>
          <w:szCs w:val="21"/>
          <w:color w:val="auto"/>
        </w:rPr>
        <w:t xml:space="preserve"> shall constitute a voluntary or mandatory payment or prepayment for purposes of this Agreement.</w:t>
      </w:r>
    </w:p>
    <w:p>
      <w:pPr>
        <w:spacing w:after="0" w:line="151" w:lineRule="exact"/>
        <w:rPr>
          <w:rFonts w:ascii="Arial" w:cs="Arial" w:eastAsia="Arial" w:hAnsi="Arial"/>
          <w:sz w:val="21"/>
          <w:szCs w:val="21"/>
          <w:color w:val="auto"/>
        </w:rPr>
      </w:pPr>
    </w:p>
    <w:p>
      <w:pPr>
        <w:ind w:left="1940" w:hanging="636"/>
        <w:spacing w:after="0"/>
        <w:tabs>
          <w:tab w:leader="none" w:pos="19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2.27</w:t>
      </w:r>
      <w:r>
        <w:rPr>
          <w:rFonts w:ascii="Arial" w:cs="Arial" w:eastAsia="Arial" w:hAnsi="Arial"/>
          <w:sz w:val="22"/>
          <w:szCs w:val="22"/>
          <w:color w:val="auto"/>
        </w:rPr>
        <w:t xml:space="preserve"> shall supersede any provisions in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10.1</w:t>
      </w:r>
      <w:r>
        <w:rPr>
          <w:rFonts w:ascii="Arial" w:cs="Arial" w:eastAsia="Arial" w:hAnsi="Arial"/>
          <w:sz w:val="22"/>
          <w:szCs w:val="22"/>
          <w:color w:val="auto"/>
        </w:rPr>
        <w:t xml:space="preserve"> to the contrary.</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u w:val="single" w:color="auto"/>
          <w:color w:val="auto"/>
        </w:rPr>
        <w:t>Replacement Facilities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6" w:lineRule="auto"/>
        <w:tabs>
          <w:tab w:leader="none" w:pos="1941" w:val="left"/>
        </w:tabs>
        <w:numPr>
          <w:ilvl w:val="1"/>
          <w:numId w:val="127"/>
        </w:numPr>
        <w:rPr>
          <w:rFonts w:ascii="Arial" w:cs="Arial" w:eastAsia="Arial" w:hAnsi="Arial"/>
          <w:sz w:val="19"/>
          <w:szCs w:val="19"/>
          <w:color w:val="auto"/>
        </w:rPr>
      </w:pPr>
      <w:r>
        <w:rPr>
          <w:rFonts w:ascii="Arial" w:cs="Arial" w:eastAsia="Arial" w:hAnsi="Arial"/>
          <w:sz w:val="19"/>
          <w:szCs w:val="19"/>
          <w:color w:val="auto"/>
        </w:rPr>
        <w:t>At any time and from time to time, subject to the terms and conditions set forth herein, the Borrower may, by notice to the Administrative Agent (whereupon the Administrative Agent shall promptly deliver a copy to each of the Lenders), request to replace all or a portion of a Revolving Credit Facility with a new revolving credit facility under this Agreement (the “</w:t>
      </w:r>
      <w:r>
        <w:rPr>
          <w:rFonts w:ascii="Arial" w:cs="Arial" w:eastAsia="Arial" w:hAnsi="Arial"/>
          <w:sz w:val="19"/>
          <w:szCs w:val="19"/>
          <w:u w:val="single" w:color="auto"/>
          <w:color w:val="auto"/>
        </w:rPr>
        <w:t>Replacement Revolving Facility</w:t>
      </w:r>
      <w:r>
        <w:rPr>
          <w:rFonts w:ascii="Arial" w:cs="Arial" w:eastAsia="Arial" w:hAnsi="Arial"/>
          <w:sz w:val="19"/>
          <w:szCs w:val="19"/>
          <w:color w:val="auto"/>
        </w:rPr>
        <w:t>”; each such replacement facility, a “</w:t>
      </w:r>
      <w:r>
        <w:rPr>
          <w:rFonts w:ascii="Arial" w:cs="Arial" w:eastAsia="Arial" w:hAnsi="Arial"/>
          <w:sz w:val="19"/>
          <w:szCs w:val="19"/>
          <w:u w:val="single" w:color="auto"/>
          <w:color w:val="auto"/>
        </w:rPr>
        <w:t>Replacement Facility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 w:lineRule="exact"/>
        <w:rPr>
          <w:rFonts w:ascii="Arial" w:cs="Arial" w:eastAsia="Arial" w:hAnsi="Arial"/>
          <w:sz w:val="19"/>
          <w:szCs w:val="19"/>
          <w:color w:val="auto"/>
        </w:rPr>
      </w:pPr>
    </w:p>
    <w:p>
      <w:pPr>
        <w:ind w:left="300" w:hanging="292"/>
        <w:spacing w:after="0"/>
        <w:tabs>
          <w:tab w:leader="none" w:pos="30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at the time of each such request and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28" w:right="339" w:bottom="1440" w:gutter="0" w:footer="0" w:header="0"/>
        </w:sectPr>
      </w:pPr>
    </w:p>
    <w:bookmarkStart w:id="185" w:name="page186"/>
    <w:bookmarkEnd w:id="185"/>
    <w:p>
      <w:pPr>
        <w:jc w:val="both"/>
        <w:spacing w:after="0" w:line="265" w:lineRule="auto"/>
        <w:rPr>
          <w:sz w:val="20"/>
          <w:szCs w:val="20"/>
          <w:color w:val="auto"/>
        </w:rPr>
      </w:pPr>
      <w:r>
        <w:rPr>
          <w:rFonts w:ascii="Arial" w:cs="Arial" w:eastAsia="Arial" w:hAnsi="Arial"/>
          <w:sz w:val="21"/>
          <w:szCs w:val="21"/>
          <w:color w:val="auto"/>
        </w:rPr>
        <w:t>effectiveness of each Replacement Facility Amendment no Default or Event of Default has occurred and is continuing or shall result therefrom and (b) the Administrative Agent has consented (such consent not to be unreasonably withheld, delayed or conditioned) in writing to the incurrence of such Replacement Facility. The amount of each Replacement Revolving Credit Facility shall not exceed the amount of the Revolving Credit Facility being replaced.</w:t>
      </w:r>
    </w:p>
    <w:p>
      <w:pPr>
        <w:spacing w:after="0" w:line="175" w:lineRule="exact"/>
        <w:rPr>
          <w:sz w:val="20"/>
          <w:szCs w:val="20"/>
          <w:color w:val="auto"/>
        </w:rPr>
      </w:pPr>
    </w:p>
    <w:p>
      <w:pPr>
        <w:jc w:val="both"/>
        <w:ind w:firstLine="1304"/>
        <w:spacing w:after="0" w:line="287" w:lineRule="auto"/>
        <w:tabs>
          <w:tab w:leader="none" w:pos="1939"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principal of and interest on any outstanding Revolving Credit Loans and Swing Line Loans under any replaced Revolving Credit Facility, together with all fees owed by the Borrower under such Revolving Credit Facility, shall be paid in full and all outstanding Letters of Credit will be replaced or continued on terms reasonably satisfactory to the Lenders under such Revolving Credit Facility, in each case on the Replacement Facility Closing Date for such Facility. Any Replacement Revolving Facility shall be on the terms and pursuant to the documentation applicable to the Revolving Credit Commitments (other than maturity date and pricing (interest rate, fees, funding discounts and prepayment premiums)) or on such other terms acceptable to the Administrative Agent and the Borrower, as set forth in the relevant Replacement Facility Amendment. In addition, the terms and conditions applicable to any Replacement Facility may provide for additional or different covenants or other provisions that are agreed between the Borrower and the Lenders under such Replacement Facility and applicable only during periods after the then latest Revolving Credit Maturity Date that is in effect on the date such Replacement Facility is issued, incurred or obtained or the date on which all non-replaced Obligations are Discharged in Full.</w:t>
      </w:r>
    </w:p>
    <w:p>
      <w:pPr>
        <w:spacing w:after="0" w:line="163" w:lineRule="exact"/>
        <w:rPr>
          <w:rFonts w:ascii="Arial" w:cs="Arial" w:eastAsia="Arial" w:hAnsi="Arial"/>
          <w:sz w:val="19"/>
          <w:szCs w:val="19"/>
          <w:color w:val="auto"/>
        </w:rPr>
      </w:pPr>
    </w:p>
    <w:p>
      <w:pPr>
        <w:jc w:val="both"/>
        <w:ind w:firstLine="1304"/>
        <w:spacing w:after="0" w:line="285" w:lineRule="auto"/>
        <w:tabs>
          <w:tab w:leader="none" w:pos="1941"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Each notice from the Borrower pursuant to this Section shall set forth the requested amount and proposed terms of the relevant Replacement Revolving Facility. Any Additional Lender that elects to extend commitments under a Replacement Revolving Facility shall be reasonably satisfactory to the Borrower and (unless such Additional Lender is already a Lender or an Affiliate of a Lender) the Administrative Agent, and, if not already a Lender, shall become a Lender under this Agreement pursuant to a Replacement Facility Amendment. Each Replacement Facility shall become effective pursuant to an amendment (each, a “</w:t>
      </w:r>
      <w:r>
        <w:rPr>
          <w:rFonts w:ascii="Arial" w:cs="Arial" w:eastAsia="Arial" w:hAnsi="Arial"/>
          <w:sz w:val="19"/>
          <w:szCs w:val="19"/>
          <w:u w:val="single" w:color="auto"/>
          <w:color w:val="auto"/>
        </w:rPr>
        <w:t>Replacement Facility Amendment</w:t>
      </w:r>
      <w:r>
        <w:rPr>
          <w:rFonts w:ascii="Arial" w:cs="Arial" w:eastAsia="Arial" w:hAnsi="Arial"/>
          <w:sz w:val="19"/>
          <w:szCs w:val="19"/>
          <w:color w:val="auto"/>
        </w:rPr>
        <w:t>”) to this Agreement and, as appropriate, the other Loan Documents, executed by the Borrower, such Additional Lender or Additional Lenders and the Administrative Agent. No Replacement Facility Amendment shall require the consent of any Lenders or any other Person other than the Borrower, the Administrative Agent and the Additional Lenders with respect to such Replacement Facility Amendment. No Lender shall be obligated to provide any commitment for any Replacement Revolving Facility, unless it so agrees. Commitments in respect of any Replacement Revolving Facility (the “</w:t>
      </w:r>
      <w:r>
        <w:rPr>
          <w:rFonts w:ascii="Arial" w:cs="Arial" w:eastAsia="Arial" w:hAnsi="Arial"/>
          <w:sz w:val="19"/>
          <w:szCs w:val="19"/>
          <w:u w:val="single" w:color="auto"/>
          <w:color w:val="auto"/>
        </w:rPr>
        <w:t>Replacement Revolving Commitments</w:t>
      </w:r>
      <w:r>
        <w:rPr>
          <w:rFonts w:ascii="Arial" w:cs="Arial" w:eastAsia="Arial" w:hAnsi="Arial"/>
          <w:sz w:val="19"/>
          <w:szCs w:val="19"/>
          <w:u w:val="single" w:color="auto"/>
          <w:color w:val="0000FF"/>
        </w:rPr>
        <w:t>”</w:t>
      </w:r>
      <w:r>
        <w:rPr>
          <w:rFonts w:ascii="Arial" w:cs="Arial" w:eastAsia="Arial" w:hAnsi="Arial"/>
          <w:sz w:val="19"/>
          <w:szCs w:val="19"/>
          <w:color w:val="auto"/>
        </w:rPr>
        <w:t xml:space="preserve">) shall become Commitments under this Agreement. A Replacement Facility Amendment may, without the consent of any other Lenders or any other Person, effect such amendments to any Loan Documents as may be necessary or appropriate, in the opinion of the Administrative Agent and the Borrower, to effect the provisions of this Section (including to provide for class voting provisions applicable to the Additional Lenders on terms comparable to the provisions of </w:t>
      </w:r>
      <w:r>
        <w:rPr>
          <w:rFonts w:ascii="Arial" w:cs="Arial" w:eastAsia="Arial" w:hAnsi="Arial"/>
          <w:sz w:val="19"/>
          <w:szCs w:val="19"/>
          <w:u w:val="single" w:color="auto"/>
          <w:color w:val="auto"/>
        </w:rPr>
        <w:t>Section 10.1</w:t>
      </w:r>
      <w:r>
        <w:rPr>
          <w:rFonts w:ascii="Arial" w:cs="Arial" w:eastAsia="Arial" w:hAnsi="Arial"/>
          <w:sz w:val="19"/>
          <w:szCs w:val="19"/>
          <w:color w:val="auto"/>
        </w:rPr>
        <w:t>). The effectiveness of any Replacement Facility Amendment shall, unless otherwise agreed to by the Administrative Agent and the Additional Lenders party thereto, be subject to the satisfaction or waiver on the date thereof (each, a “</w:t>
      </w:r>
      <w:r>
        <w:rPr>
          <w:rFonts w:ascii="Arial" w:cs="Arial" w:eastAsia="Arial" w:hAnsi="Arial"/>
          <w:sz w:val="19"/>
          <w:szCs w:val="19"/>
          <w:u w:val="single" w:color="auto"/>
          <w:color w:val="auto"/>
        </w:rPr>
        <w:t>Replacement Facility Closing Date</w:t>
      </w:r>
      <w:r>
        <w:rPr>
          <w:rFonts w:ascii="Arial" w:cs="Arial" w:eastAsia="Arial" w:hAnsi="Arial"/>
          <w:sz w:val="19"/>
          <w:szCs w:val="19"/>
          <w:color w:val="auto"/>
        </w:rPr>
        <w:t xml:space="preserve">”) of each of the conditions set forth in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(it being understood that all references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40"/>
          </w:cols>
          <w:pgMar w:left="320" w:top="1428" w:right="339" w:bottom="1440" w:gutter="0" w:footer="0" w:header="0"/>
        </w:sectPr>
      </w:pPr>
    </w:p>
    <w:bookmarkStart w:id="186" w:name="page187"/>
    <w:bookmarkEnd w:id="186"/>
    <w:p>
      <w:pPr>
        <w:jc w:val="both"/>
        <w:spacing w:after="0" w:line="259" w:lineRule="auto"/>
        <w:rPr>
          <w:sz w:val="20"/>
          <w:szCs w:val="20"/>
          <w:color w:val="auto"/>
        </w:rPr>
      </w:pPr>
      <w:r>
        <w:rPr>
          <w:rFonts w:ascii="Arial" w:cs="Arial" w:eastAsia="Arial" w:hAnsi="Arial"/>
          <w:sz w:val="21"/>
          <w:szCs w:val="21"/>
          <w:color w:val="auto"/>
        </w:rPr>
        <w:t xml:space="preserve">the date of making any extension of credit in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shall be deemed to refer to the Replacement Facility Closing Date). To the extent reasonably requested by the Administrative Agent, the effectiveness of a Replacement Facility Amendment may be conditioned on the Administrative Agent’s receipt of customary legal opinions with respect thereto, board resolutions and officers’ certificates and/or reaffirmation agreements consistent with those delivered on the Closing Date under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with respect to the Borrower and the Loan Parties. No Replacement Revolving Credit Facility may be implemented unless such Facility has provisions satisfactory to the Administrative Agent with respect to Letters of Credit and Swing Line Loans then outstanding under the Revolving Credit Facility being replaced. The Administrative Agent and the Lenders hereby agree that the minimum borrowing, pro rata borrowing and pro rata payment requirements contained elsewhere in this Agreement shall not apply to any of the transactions effected pursuant to this </w:t>
      </w:r>
      <w:r>
        <w:rPr>
          <w:rFonts w:ascii="Arial" w:cs="Arial" w:eastAsia="Arial" w:hAnsi="Arial"/>
          <w:sz w:val="21"/>
          <w:szCs w:val="21"/>
          <w:u w:val="single" w:color="auto"/>
          <w:color w:val="auto"/>
        </w:rPr>
        <w:t>Section 2.28</w:t>
      </w:r>
      <w:r>
        <w:rPr>
          <w:rFonts w:ascii="Arial" w:cs="Arial" w:eastAsia="Arial" w:hAnsi="Arial"/>
          <w:sz w:val="21"/>
          <w:szCs w:val="21"/>
          <w:color w:val="auto"/>
        </w:rPr>
        <w:t>.</w:t>
      </w:r>
    </w:p>
    <w:p>
      <w:pPr>
        <w:spacing w:after="0" w:line="179"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SECTION 3. LETTERS OF CREDIT</w:t>
      </w:r>
    </w:p>
    <w:p>
      <w:pPr>
        <w:spacing w:after="0" w:line="220" w:lineRule="exact"/>
        <w:rPr>
          <w:sz w:val="20"/>
          <w:szCs w:val="20"/>
          <w:color w:val="auto"/>
        </w:rPr>
      </w:pPr>
    </w:p>
    <w:p>
      <w:pPr>
        <w:ind w:firstLine="1296"/>
        <w:spacing w:after="0" w:line="28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L/C Commitment</w:t>
      </w:r>
      <w:r>
        <w:rPr>
          <w:rFonts w:ascii="Arial" w:cs="Arial" w:eastAsia="Arial" w:hAnsi="Arial"/>
          <w:sz w:val="19"/>
          <w:szCs w:val="19"/>
          <w:color w:val="auto"/>
        </w:rPr>
        <w:t xml:space="preserve">. (a) Subject to the terms and conditions hereof, each Issuing Lender, in reliance on the agreements of the other Revolving Credit Lenders set forth in </w:t>
      </w:r>
      <w:r>
        <w:rPr>
          <w:rFonts w:ascii="Arial" w:cs="Arial" w:eastAsia="Arial" w:hAnsi="Arial"/>
          <w:sz w:val="19"/>
          <w:szCs w:val="19"/>
          <w:u w:val="single" w:color="auto"/>
          <w:color w:val="auto"/>
        </w:rPr>
        <w:t>Section 3.4</w:t>
      </w:r>
      <w:r>
        <w:rPr>
          <w:rFonts w:ascii="Arial" w:cs="Arial" w:eastAsia="Arial" w:hAnsi="Arial"/>
          <w:sz w:val="19"/>
          <w:szCs w:val="19"/>
          <w:color w:val="auto"/>
        </w:rPr>
        <w:t>, agrees to issue letters of credit (the “</w:t>
      </w:r>
      <w:r>
        <w:rPr>
          <w:rFonts w:ascii="Arial" w:cs="Arial" w:eastAsia="Arial" w:hAnsi="Arial"/>
          <w:sz w:val="19"/>
          <w:szCs w:val="19"/>
          <w:u w:val="single" w:color="auto"/>
          <w:color w:val="auto"/>
        </w:rPr>
        <w:t>Letters of Credit</w:t>
      </w:r>
      <w:r>
        <w:rPr>
          <w:rFonts w:ascii="Arial" w:cs="Arial" w:eastAsia="Arial" w:hAnsi="Arial"/>
          <w:sz w:val="19"/>
          <w:szCs w:val="19"/>
          <w:color w:val="auto"/>
        </w:rPr>
        <w:t xml:space="preserve">”) for the account of the Borrower on any Business Day during the Revolving Credit Commitment Period in such form as may be approved from time to time by such Issuing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Issuing Lender shall have any obligation to issue any Letter of Credit if, after giving effect to such issuance, (i) the L/C Obligations would exceed the L/C Commitment or (ii) the aggregate amount of the Available Revolving Credit Commitments would be less than zero. Each Letter of Credit shall (i) be denominated in Dollars and (ii) expire no later than the earlier of (x) the first anniversary of its date of issuance and (y) the date which is five Business Days prior to the latest then applicable Revolving Credit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Letter of Credit with a one-year term may provide for the renewal thereof for additional one-year periods (which shall in no event extend beyond the date referred to in </w:t>
      </w:r>
      <w:r>
        <w:rPr>
          <w:rFonts w:ascii="Arial" w:cs="Arial" w:eastAsia="Arial" w:hAnsi="Arial"/>
          <w:sz w:val="19"/>
          <w:szCs w:val="19"/>
          <w:u w:val="single" w:color="auto"/>
          <w:color w:val="auto"/>
        </w:rPr>
        <w:t>clause (y)</w:t>
      </w:r>
      <w:r>
        <w:rPr>
          <w:rFonts w:ascii="Arial" w:cs="Arial" w:eastAsia="Arial" w:hAnsi="Arial"/>
          <w:sz w:val="19"/>
          <w:szCs w:val="19"/>
          <w:color w:val="auto"/>
        </w:rPr>
        <w:t xml:space="preserve"> above). Unless the context shall otherwise require, on and after the Closing Date, Letters of Credit (as defined in and issued under the Existing Credit Agreement) shall be deemed Letters of Credit issued hereunder.</w:t>
      </w:r>
    </w:p>
    <w:p>
      <w:pPr>
        <w:spacing w:after="0" w:line="163" w:lineRule="exact"/>
        <w:rPr>
          <w:sz w:val="20"/>
          <w:szCs w:val="20"/>
          <w:color w:val="auto"/>
        </w:rPr>
      </w:pPr>
    </w:p>
    <w:p>
      <w:pPr>
        <w:jc w:val="both"/>
        <w:ind w:firstLine="1304"/>
        <w:spacing w:after="0" w:line="253" w:lineRule="auto"/>
        <w:tabs>
          <w:tab w:leader="none" w:pos="1939" w:val="left"/>
        </w:tabs>
        <w:numPr>
          <w:ilvl w:val="0"/>
          <w:numId w:val="130"/>
        </w:numPr>
        <w:rPr>
          <w:rFonts w:ascii="Arial" w:cs="Arial" w:eastAsia="Arial" w:hAnsi="Arial"/>
          <w:sz w:val="22"/>
          <w:szCs w:val="22"/>
          <w:u w:val="single" w:color="auto"/>
          <w:color w:val="0000FF"/>
        </w:rPr>
      </w:pPr>
      <w:r>
        <w:rPr>
          <w:rFonts w:ascii="Arial" w:cs="Arial" w:eastAsia="Arial" w:hAnsi="Arial"/>
          <w:sz w:val="22"/>
          <w:szCs w:val="22"/>
          <w:color w:val="FF0000"/>
          <w:strike w:val="1"/>
        </w:rPr>
        <w:t>(a)</w:t>
      </w:r>
      <w:r>
        <w:rPr>
          <w:rFonts w:ascii="Arial" w:cs="Arial" w:eastAsia="Arial" w:hAnsi="Arial"/>
          <w:sz w:val="22"/>
          <w:szCs w:val="22"/>
          <w:color w:val="FF0000"/>
        </w:rPr>
        <w:t xml:space="preserve"> </w:t>
      </w:r>
      <w:r>
        <w:rPr>
          <w:rFonts w:ascii="Arial" w:cs="Arial" w:eastAsia="Arial" w:hAnsi="Arial"/>
          <w:sz w:val="22"/>
          <w:szCs w:val="22"/>
          <w:color w:val="000000"/>
        </w:rPr>
        <w:t>No Issuing Lender shall at any time be obligated to issue any Letter of Credit hereunder if such</w:t>
      </w:r>
      <w:r>
        <w:rPr>
          <w:rFonts w:ascii="Arial" w:cs="Arial" w:eastAsia="Arial" w:hAnsi="Arial"/>
          <w:sz w:val="22"/>
          <w:szCs w:val="22"/>
          <w:color w:val="FF0000"/>
        </w:rPr>
        <w:t xml:space="preserve"> </w:t>
      </w:r>
      <w:r>
        <w:rPr>
          <w:rFonts w:ascii="Arial" w:cs="Arial" w:eastAsia="Arial" w:hAnsi="Arial"/>
          <w:sz w:val="22"/>
          <w:szCs w:val="22"/>
          <w:color w:val="000000"/>
        </w:rPr>
        <w:t>issuance would conflict with, or cause such Issuing Lender or any L/C Participant to exceed any limits imposed by, any applicable Requirement of Law.</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Procedure for Issuance of Letter of Credit</w:t>
      </w:r>
      <w:r>
        <w:rPr>
          <w:rFonts w:ascii="Arial" w:cs="Arial" w:eastAsia="Arial" w:hAnsi="Arial"/>
          <w:sz w:val="21"/>
          <w:szCs w:val="21"/>
          <w:color w:val="auto"/>
        </w:rPr>
        <w:t>. The Borrower may from time to time request that an Issuing Lender issue a Letter of Credit by delivering to such Issuing Lender at its address for notices specified herein an Application therefor, completed to the satisfaction of such Issuing Lender, and such other certificates, documents and other papers and information as such Issuing Lender may reasonably request. Concurrently with the delivery of an Application to an Issuing Lender, the Borrower shall deliver a copy thereof to the Administrative Agent. Upon receipt of any Application, an Issuing Lender will process such Application and the certificates, documents and other papers and information delivered to it in connection therewith in accordance with its customary procedures and shall promptly issue the Letter of Credit requested thereby by issuing the original of such Letter of Credit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28" w:right="339" w:bottom="1440" w:gutter="0" w:footer="0" w:header="0"/>
        </w:sectPr>
      </w:pPr>
    </w:p>
    <w:bookmarkStart w:id="187" w:name="page188"/>
    <w:bookmarkEnd w:id="187"/>
    <w:p>
      <w:pPr>
        <w:jc w:val="both"/>
        <w:spacing w:after="0" w:line="260" w:lineRule="auto"/>
        <w:rPr>
          <w:sz w:val="20"/>
          <w:szCs w:val="20"/>
          <w:color w:val="auto"/>
        </w:rPr>
      </w:pPr>
      <w:r>
        <w:rPr>
          <w:rFonts w:ascii="Arial" w:cs="Arial" w:eastAsia="Arial" w:hAnsi="Arial"/>
          <w:sz w:val="21"/>
          <w:szCs w:val="21"/>
          <w:color w:val="auto"/>
        </w:rPr>
        <w:t>beneficiary thereof or as otherwise may be agreed to by such Issuing Lender and the Borrower (but in no event shall any Issuing Lender be required to issue any Letter of Credit earlier than three Business Days after its receipt of the Application therefor and all such other certificates, documents and other papers and information relating thereto). Promptly after issuance by an Issuing Lender of a Letter of Credit, such Issuing Lender shall furnish a copy of such Letter of Credit to the Borrower. Each Issuing Lender shall promptly give notice to the Administrative Agent of the issuance of each Letter of Credit issued by such Issuing Lender (including the face amount thereof), and shall provide a copy of such Letter of Credit to the Administrative Agent as soon as possible after the date of issuance.</w:t>
      </w:r>
    </w:p>
    <w:p>
      <w:pPr>
        <w:spacing w:after="0" w:line="180"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Fees and Other Charges</w:t>
      </w:r>
      <w:r>
        <w:rPr>
          <w:rFonts w:ascii="Arial" w:cs="Arial" w:eastAsia="Arial" w:hAnsi="Arial"/>
          <w:sz w:val="19"/>
          <w:szCs w:val="19"/>
          <w:color w:val="auto"/>
        </w:rPr>
        <w:t>. (a) The Borrower will pay a fee on the aggregate drawable amount of all outstanding Letters of Credit at a per annum rate equal to the Applicable Margin then in effect with respect to Eurodollar Loans under the Revolving Credit Facility, shared ratably among the Revolving Credit Lenders in accordance with their respective Revolving Credit Percentages of the Revolving Credit Facility and payable quarterly in arrears on each L/C Fee Payment Date after the issuance date. In addition, the Borrower shall pay to the relevant Issuing Lender for its own account a fronting fee on the aggregate drawable amount of all outstanding Letters of Credit issued by it at a rate per annum equal to 0.125% on the face amount of each Letter of Credit, payable quarterly in arrears on each L/C Fee Payment Date after the issuance date.</w:t>
      </w:r>
    </w:p>
    <w:p>
      <w:pPr>
        <w:spacing w:after="0" w:line="151" w:lineRule="exact"/>
        <w:rPr>
          <w:sz w:val="20"/>
          <w:szCs w:val="20"/>
          <w:color w:val="auto"/>
        </w:rPr>
      </w:pPr>
    </w:p>
    <w:p>
      <w:pPr>
        <w:jc w:val="both"/>
        <w:ind w:firstLine="1304"/>
        <w:spacing w:after="0" w:line="253" w:lineRule="auto"/>
        <w:tabs>
          <w:tab w:leader="none" w:pos="1939" w:val="left"/>
        </w:tabs>
        <w:numPr>
          <w:ilvl w:val="0"/>
          <w:numId w:val="131"/>
        </w:numPr>
        <w:rPr>
          <w:rFonts w:ascii="Arial" w:cs="Arial" w:eastAsia="Arial" w:hAnsi="Arial"/>
          <w:sz w:val="22"/>
          <w:szCs w:val="22"/>
          <w:u w:val="single" w:color="auto"/>
          <w:color w:val="0000FF"/>
        </w:rPr>
      </w:pPr>
      <w:r>
        <w:rPr>
          <w:rFonts w:ascii="Arial" w:cs="Arial" w:eastAsia="Arial" w:hAnsi="Arial"/>
          <w:sz w:val="22"/>
          <w:szCs w:val="22"/>
          <w:color w:val="FF0000"/>
          <w:strike w:val="1"/>
        </w:rPr>
        <w:t>(a)</w:t>
      </w:r>
      <w:r>
        <w:rPr>
          <w:rFonts w:ascii="Arial" w:cs="Arial" w:eastAsia="Arial" w:hAnsi="Arial"/>
          <w:sz w:val="22"/>
          <w:szCs w:val="22"/>
          <w:color w:val="FF0000"/>
        </w:rPr>
        <w:t xml:space="preserve"> </w:t>
      </w:r>
      <w:r>
        <w:rPr>
          <w:rFonts w:ascii="Arial" w:cs="Arial" w:eastAsia="Arial" w:hAnsi="Arial"/>
          <w:sz w:val="22"/>
          <w:szCs w:val="22"/>
          <w:color w:val="000000"/>
        </w:rPr>
        <w:t>In addition to the foregoing fees, the Borrower shall pay or reimburse each Issuing Lender for such</w:t>
      </w:r>
      <w:r>
        <w:rPr>
          <w:rFonts w:ascii="Arial" w:cs="Arial" w:eastAsia="Arial" w:hAnsi="Arial"/>
          <w:sz w:val="22"/>
          <w:szCs w:val="22"/>
          <w:color w:val="FF0000"/>
        </w:rPr>
        <w:t xml:space="preserve"> </w:t>
      </w:r>
      <w:r>
        <w:rPr>
          <w:rFonts w:ascii="Arial" w:cs="Arial" w:eastAsia="Arial" w:hAnsi="Arial"/>
          <w:sz w:val="22"/>
          <w:szCs w:val="22"/>
          <w:color w:val="000000"/>
        </w:rPr>
        <w:t>normal and customary costs and expenses as are incurred or charged by such Issuing Lender in issuing, negotiating, effecting payment under, amending or otherwise administering any Letter of Credit.</w:t>
      </w:r>
    </w:p>
    <w:p>
      <w:pPr>
        <w:spacing w:after="0" w:line="18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L/C Participations</w:t>
      </w:r>
      <w:r>
        <w:rPr>
          <w:rFonts w:ascii="Arial" w:cs="Arial" w:eastAsia="Arial" w:hAnsi="Arial"/>
          <w:sz w:val="19"/>
          <w:szCs w:val="19"/>
          <w:color w:val="auto"/>
        </w:rPr>
        <w:t>. (a) 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Revolving Credit Percentage in each Issuing Lender’s obligations and rights under each Letter of Credit issued by such Issuing Lender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Borrower in accordance with the terms of this Agreement, such L/C Participant shall pay to the Administrative Agent for the account of such Issuing Lender upon demand at such Issuing Lender’s address for notices specified herein (and thereafter the Administrative Agent shall promptly pay to such Issuing Lender) an amount equal to such L/C Participant’s Revolving Credit Percentage of the amount of such draft, or any part thereof, that is not so reimbursed. Each L/C Participant’s obligation to pay such amount shall be absolute and unconditional and shall not be affected by any circumstance, including (i) any setoff, counterclaim, recoupment, defense or other right that such L/C Participant may have against the Issuing Lender, the Borrower or any other Person for any reason whatsoever, (ii) the occurrence or continuance of a Default or an Event of Default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240"/>
          </w:cols>
          <w:pgMar w:left="320" w:top="1428" w:right="339" w:bottom="1440" w:gutter="0" w:footer="0" w:header="0"/>
        </w:sectPr>
      </w:pPr>
    </w:p>
    <w:bookmarkStart w:id="188" w:name="page189"/>
    <w:bookmarkEnd w:id="188"/>
    <w:p>
      <w:pPr>
        <w:jc w:val="both"/>
        <w:spacing w:after="0" w:line="250" w:lineRule="auto"/>
        <w:rPr>
          <w:sz w:val="20"/>
          <w:szCs w:val="20"/>
          <w:color w:val="auto"/>
        </w:rPr>
      </w:pPr>
      <w:r>
        <w:rPr>
          <w:rFonts w:ascii="Arial" w:cs="Arial" w:eastAsia="Arial" w:hAnsi="Arial"/>
          <w:sz w:val="22"/>
          <w:szCs w:val="22"/>
          <w:color w:val="auto"/>
        </w:rPr>
        <w:t xml:space="preserve">failure to satisfy any of the other conditions specified in </w:t>
      </w:r>
      <w:r>
        <w:rPr>
          <w:rFonts w:ascii="Arial" w:cs="Arial" w:eastAsia="Arial" w:hAnsi="Arial"/>
          <w:sz w:val="22"/>
          <w:szCs w:val="22"/>
          <w:u w:val="single" w:color="auto"/>
          <w:color w:val="auto"/>
        </w:rPr>
        <w:t>Section 5</w:t>
      </w:r>
      <w:r>
        <w:rPr>
          <w:rFonts w:ascii="Arial" w:cs="Arial" w:eastAsia="Arial" w:hAnsi="Arial"/>
          <w:sz w:val="22"/>
          <w:szCs w:val="22"/>
          <w:color w:val="auto"/>
        </w:rPr>
        <w:t>, (iii) any adverse change in the condition (financial or otherwise) of the Borrower, (iv) any breach of this Agreement or any other Loan Document by the Borrower, any other Loan Party or any other L/C Participant or (v) any other circumstance, happening or event whatsoever, whether or not similar to any of the foregoing.</w:t>
      </w:r>
    </w:p>
    <w:p>
      <w:pPr>
        <w:spacing w:after="0" w:line="188" w:lineRule="exact"/>
        <w:rPr>
          <w:sz w:val="20"/>
          <w:szCs w:val="20"/>
          <w:color w:val="auto"/>
        </w:rPr>
      </w:pPr>
    </w:p>
    <w:p>
      <w:pPr>
        <w:jc w:val="both"/>
        <w:ind w:firstLine="1304"/>
        <w:spacing w:after="0" w:line="286" w:lineRule="auto"/>
        <w:tabs>
          <w:tab w:leader="none" w:pos="1941"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If any amount (a “</w:t>
      </w:r>
      <w:r>
        <w:rPr>
          <w:rFonts w:ascii="Arial" w:cs="Arial" w:eastAsia="Arial" w:hAnsi="Arial"/>
          <w:sz w:val="19"/>
          <w:szCs w:val="19"/>
          <w:u w:val="single" w:color="auto"/>
          <w:color w:val="auto"/>
        </w:rPr>
        <w:t>Participation Amount</w:t>
      </w:r>
      <w:r>
        <w:rPr>
          <w:rFonts w:ascii="Arial" w:cs="Arial" w:eastAsia="Arial" w:hAnsi="Arial"/>
          <w:sz w:val="19"/>
          <w:szCs w:val="19"/>
          <w:color w:val="auto"/>
        </w:rPr>
        <w:t xml:space="preserve">”) required to be paid by any L/C Participant to an Issuing Lender pursuant to </w:t>
      </w:r>
      <w:r>
        <w:rPr>
          <w:rFonts w:ascii="Arial" w:cs="Arial" w:eastAsia="Arial" w:hAnsi="Arial"/>
          <w:sz w:val="19"/>
          <w:szCs w:val="19"/>
          <w:u w:val="single" w:color="auto"/>
          <w:color w:val="auto"/>
        </w:rPr>
        <w:t>Section 3.4(</w:t>
      </w:r>
      <w:r>
        <w:rPr>
          <w:rFonts w:ascii="Arial" w:cs="Arial" w:eastAsia="Arial" w:hAnsi="Arial"/>
          <w:sz w:val="19"/>
          <w:szCs w:val="19"/>
          <w:u w:val="single" w:color="auto"/>
          <w:color w:val="FF0000"/>
          <w:strike w:val="1"/>
        </w:rPr>
        <w:t>a</w:t>
      </w:r>
      <w:r>
        <w:rPr>
          <w:rFonts w:ascii="Arial" w:cs="Arial" w:eastAsia="Arial" w:hAnsi="Arial"/>
          <w:sz w:val="19"/>
          <w:szCs w:val="19"/>
          <w:u w:val="single" w:color="auto"/>
          <w:color w:val="0000FF"/>
        </w:rPr>
        <w:t>b</w:t>
      </w:r>
      <w:r>
        <w:rPr>
          <w:rFonts w:ascii="Arial" w:cs="Arial" w:eastAsia="Arial" w:hAnsi="Arial"/>
          <w:sz w:val="19"/>
          <w:szCs w:val="19"/>
          <w:u w:val="single" w:color="auto"/>
          <w:color w:val="auto"/>
        </w:rPr>
        <w:t>)</w:t>
      </w:r>
      <w:r>
        <w:rPr>
          <w:rFonts w:ascii="Arial" w:cs="Arial" w:eastAsia="Arial" w:hAnsi="Arial"/>
          <w:sz w:val="19"/>
          <w:szCs w:val="19"/>
          <w:color w:val="auto"/>
        </w:rPr>
        <w:t xml:space="preserve"> in respect of any unreimbursed portion of any payment made by such Issuing Lender under any Letter of Credit is paid to such Issuing Lender within three Business Days after the date such payment is due, such Issuing Lender shall so notify the Administrative Agent, which shall promptly notify the L/C Participants, and each L/C Participant shall pay to the Administrative Agent, for the account of such Issuing Lender, on demand (and thereafter the Administrative Agent shall promptly pay to such Issuing Lender) an amount equal to the product of (i) such Participation Amount, times (ii) the daily average Federal Funds Effective Rate during the period from and including the date such payment is required to the date on which such payment is immediately available to such Issuing Lender, times (iii) a fraction the numerator of which is the number of days that elapse during such period and the denominator of which is 360. If any Participation Amount required to be paid by any L/C Participant pursuant to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is not made available to the Administrative Agent for the account of the relevant Issuing Lender by such L/C Participant within three Business Days after the date such payment is due, the Administrative Agent on behalf of such Issuing Lender shall be entitled to recover from such L/C Participant, on demand, such Participation Amount with interest thereon calculated from such due date at the rate per annum applicable to Base Rate Loans under the Revolving Facility. A certificate of the Administrative Agent submitted on behalf of an Issuing Lender to any L/C Participant with respect to any amounts owing under this Section shall be conclusive in the absence of manifest error.</w:t>
      </w:r>
    </w:p>
    <w:p>
      <w:pPr>
        <w:spacing w:after="0" w:line="158" w:lineRule="exact"/>
        <w:rPr>
          <w:rFonts w:ascii="Arial" w:cs="Arial" w:eastAsia="Arial" w:hAnsi="Arial"/>
          <w:sz w:val="19"/>
          <w:szCs w:val="19"/>
          <w:color w:val="auto"/>
        </w:rPr>
      </w:pPr>
    </w:p>
    <w:p>
      <w:pPr>
        <w:jc w:val="both"/>
        <w:ind w:firstLine="1304"/>
        <w:spacing w:after="0" w:line="289" w:lineRule="auto"/>
        <w:tabs>
          <w:tab w:leader="none" w:pos="193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Whenever, at any time after an Issuing Lender has made payment under any Letter of Credit and has received from the Administrative Agent any L/C Participant’s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such payment in accordance with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such Issuing Lender receives any payment related to such Letter of Credit (whether directly from the Borrower or otherwise, including proceeds of collateral applied thereto by such Issuing Lender), or any payment of interest on account thereof, such Issuing Lender will distribute to the Administrative Agent for the account of such L/C Participant (and thereafter the Administrative Agent will promptly distribute to such L/C Participant) its pro rata share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any such payment received by such Issuing Lender shall be required to be returned by such Issuing Lender, such L/C Participant shall return to the Administrative Agent for the account of such Issuing Lender (and thereafter the Administrative Agent shall promptly return to such Issuing Lender) the portion thereof previously distributed by such Issuing Lender.</w:t>
      </w:r>
    </w:p>
    <w:p>
      <w:pPr>
        <w:spacing w:after="0" w:line="157"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Reimbursement Obligation of the Borrower</w:t>
      </w:r>
      <w:r>
        <w:rPr>
          <w:rFonts w:ascii="Arial" w:cs="Arial" w:eastAsia="Arial" w:hAnsi="Arial"/>
          <w:sz w:val="19"/>
          <w:szCs w:val="19"/>
          <w:color w:val="auto"/>
        </w:rPr>
        <w:t>. The Issuing Lender shall notify the Borrower of the date and amount of a draft presented under any Letter of Credit and paid by such Issuing Lender. The Borrower shall reimburse the Issuing Lender (x) on the same Business Day if demand is made by the Issuing Lender on or prior to 10:00 a.m., New York 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428" w:right="339" w:bottom="1440" w:gutter="0" w:footer="0" w:header="0"/>
        </w:sectPr>
      </w:pPr>
    </w:p>
    <w:bookmarkStart w:id="189" w:name="page190"/>
    <w:bookmarkEnd w:id="189"/>
    <w:p>
      <w:pPr>
        <w:jc w:val="both"/>
        <w:spacing w:after="0" w:line="285" w:lineRule="auto"/>
        <w:rPr>
          <w:sz w:val="20"/>
          <w:szCs w:val="20"/>
          <w:color w:val="auto"/>
        </w:rPr>
      </w:pPr>
      <w:r>
        <w:rPr>
          <w:rFonts w:ascii="Arial" w:cs="Arial" w:eastAsia="Arial" w:hAnsi="Arial"/>
          <w:sz w:val="19"/>
          <w:szCs w:val="19"/>
          <w:color w:val="auto"/>
        </w:rPr>
        <w:t xml:space="preserve">time and (y) on the next Business Day if demand is made by the Issuing Lender after 10:00 a.m., New York City time, for the amount of (a) such draft so paid and (b) any Taxes, fees, charges or other out-of-pocket costs or expenses incurred by such Issuing Lender in connection with such payment, other than Taxes (i) based upon net income or (ii) payable pursuant to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(the amounts described in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in respect of any drawing, collectively, the “</w:t>
      </w:r>
      <w:r>
        <w:rPr>
          <w:rFonts w:ascii="Arial" w:cs="Arial" w:eastAsia="Arial" w:hAnsi="Arial"/>
          <w:sz w:val="19"/>
          <w:szCs w:val="19"/>
          <w:u w:val="single" w:color="auto"/>
          <w:color w:val="auto"/>
        </w:rPr>
        <w:t>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Each such payment shall be made to such Issuing Lender at its address for notices specified herein in lawful money of the United States of America and in immediately available funds. Interest shall be payable on each Payment Amount from the date of the applicable drawing until payment in full at the rate set forth in (i) until the second Business Day following the date of the applicable drawing, </w:t>
      </w:r>
      <w:r>
        <w:rPr>
          <w:rFonts w:ascii="Arial" w:cs="Arial" w:eastAsia="Arial" w:hAnsi="Arial"/>
          <w:sz w:val="19"/>
          <w:szCs w:val="19"/>
          <w:u w:val="single" w:color="auto"/>
          <w:color w:val="auto"/>
        </w:rPr>
        <w:t>Section 2.15(a)</w:t>
      </w:r>
      <w:r>
        <w:rPr>
          <w:rFonts w:ascii="Arial" w:cs="Arial" w:eastAsia="Arial" w:hAnsi="Arial"/>
          <w:sz w:val="19"/>
          <w:szCs w:val="19"/>
          <w:color w:val="auto"/>
        </w:rPr>
        <w:t xml:space="preserve"> and (ii) thereafter, </w:t>
      </w:r>
      <w:r>
        <w:rPr>
          <w:rFonts w:ascii="Arial" w:cs="Arial" w:eastAsia="Arial" w:hAnsi="Arial"/>
          <w:sz w:val="19"/>
          <w:szCs w:val="19"/>
          <w:u w:val="single" w:color="auto"/>
          <w:color w:val="auto"/>
        </w:rPr>
        <w:t>Section 2.15(</w:t>
      </w:r>
      <w:r>
        <w:rPr>
          <w:rFonts w:ascii="Arial" w:cs="Arial" w:eastAsia="Arial" w:hAnsi="Arial"/>
          <w:sz w:val="19"/>
          <w:szCs w:val="19"/>
          <w:u w:val="single" w:color="auto"/>
          <w:color w:val="FF0000"/>
          <w:strike w:val="1"/>
        </w:rPr>
        <w:t>b</w:t>
      </w:r>
      <w:r>
        <w:rPr>
          <w:rFonts w:ascii="Arial" w:cs="Arial" w:eastAsia="Arial" w:hAnsi="Arial"/>
          <w:sz w:val="19"/>
          <w:szCs w:val="19"/>
          <w:u w:val="single" w:color="auto"/>
          <w:color w:val="0000FF"/>
        </w:rPr>
        <w:t>c</w:t>
      </w:r>
      <w:r>
        <w:rPr>
          <w:rFonts w:ascii="Arial" w:cs="Arial" w:eastAsia="Arial" w:hAnsi="Arial"/>
          <w:sz w:val="19"/>
          <w:szCs w:val="19"/>
          <w:u w:val="single" w:color="auto"/>
          <w:color w:val="auto"/>
        </w:rPr>
        <w:t>)</w:t>
      </w:r>
      <w:r>
        <w:rPr>
          <w:rFonts w:ascii="Arial" w:cs="Arial" w:eastAsia="Arial" w:hAnsi="Arial"/>
          <w:sz w:val="19"/>
          <w:szCs w:val="19"/>
          <w:color w:val="auto"/>
        </w:rPr>
        <w:t xml:space="preserve">. Each drawing under any Letter of Credit shall (unless an event of the type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(ii) of </w:t>
      </w:r>
      <w:r>
        <w:rPr>
          <w:rFonts w:ascii="Arial" w:cs="Arial" w:eastAsia="Arial" w:hAnsi="Arial"/>
          <w:sz w:val="19"/>
          <w:szCs w:val="19"/>
          <w:u w:val="single" w:color="auto"/>
          <w:color w:val="auto"/>
        </w:rPr>
        <w:t>Section 8(f)</w:t>
      </w:r>
      <w:r>
        <w:rPr>
          <w:rFonts w:ascii="Arial" w:cs="Arial" w:eastAsia="Arial" w:hAnsi="Arial"/>
          <w:sz w:val="19"/>
          <w:szCs w:val="19"/>
          <w:color w:val="auto"/>
        </w:rPr>
        <w:t xml:space="preserve"> shall have occurred and be continuing with respect to the Borrower, in which case the procedures specified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for funding by L/C Participants shall apply) constitute a request by the Borrower to the Administrative Agent for a borrowing pursuant to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of Base Rate Loans (or, at the option of the Administrative Agent and the Swing Line Lender in their sole discretion, a borrowing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of Swing Line Loans) in the amount of such drawing. The Borrowing Date with respect to such borrowing shall be the first date on which a borrowing of Revolving Credit Loans (or, if applicable, Swing Line Loans) could be made, pursuant to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(or, if applicable, </w:t>
      </w:r>
      <w:r>
        <w:rPr>
          <w:rFonts w:ascii="Arial" w:cs="Arial" w:eastAsia="Arial" w:hAnsi="Arial"/>
          <w:sz w:val="19"/>
          <w:szCs w:val="19"/>
          <w:u w:val="single" w:color="auto"/>
          <w:color w:val="auto"/>
        </w:rPr>
        <w:t>Section 2.7</w:t>
      </w:r>
      <w:r>
        <w:rPr>
          <w:rFonts w:ascii="Arial" w:cs="Arial" w:eastAsia="Arial" w:hAnsi="Arial"/>
          <w:sz w:val="19"/>
          <w:szCs w:val="19"/>
          <w:color w:val="auto"/>
        </w:rPr>
        <w:t>), if the Administrative Agent had received a notice of such borrowing at the time the Administrative Agent receives notice from the relevant Issuing Lender of such drawing under such Letter of Credit.</w:t>
      </w:r>
    </w:p>
    <w:p>
      <w:pPr>
        <w:spacing w:after="0" w:line="169"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obligations under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shall be absolute and unconditional under any and all circumstances and irrespective of any setoff, counterclaim or defense to payment that the Borrower may have or have had against any Issuing Lender, any beneficiary of a Letter of Credit or any other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shall constitute a waiver of any remedies of the Borrower in connection with the Letters of Credit. The Borrower also agrees with each Issuing Lender that such Issuing Lender shall not be responsible for, and the Borrower’s Reimbursement Obligations under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No Issuing Lender shall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such Issuing Lender. The Borrower agrees that any action taken or omitted by an Issuing Lender under or in connection with any Letter of Credit issued by it or the related drafts or documents, if done in the absence of gross negligence or willful misconduct and in accordance with the standards of care specified in the Uniform Commercial Code of the State of New York, shall be binding on the Borrower and shall not result in any liability of such Issuing Lender to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28" w:right="339" w:bottom="1440" w:gutter="0" w:footer="0" w:header="0"/>
        </w:sectPr>
      </w:pPr>
    </w:p>
    <w:bookmarkStart w:id="190" w:name="page191"/>
    <w:bookmarkEnd w:id="190"/>
    <w:p>
      <w:pPr>
        <w:jc w:val="both"/>
        <w:ind w:firstLine="1296"/>
        <w:spacing w:after="0" w:line="261" w:lineRule="auto"/>
        <w:rPr>
          <w:sz w:val="20"/>
          <w:szCs w:val="20"/>
          <w:color w:val="auto"/>
        </w:rPr>
      </w:pPr>
      <w:r>
        <w:rPr>
          <w:rFonts w:ascii="Arial" w:cs="Arial" w:eastAsia="Arial" w:hAnsi="Arial"/>
          <w:sz w:val="21"/>
          <w:szCs w:val="21"/>
          <w:color w:val="auto"/>
        </w:rPr>
        <w:t xml:space="preserve">3.7 </w:t>
      </w:r>
      <w:r>
        <w:rPr>
          <w:rFonts w:ascii="Arial" w:cs="Arial" w:eastAsia="Arial" w:hAnsi="Arial"/>
          <w:sz w:val="21"/>
          <w:szCs w:val="21"/>
          <w:u w:val="single" w:color="auto"/>
          <w:color w:val="auto"/>
        </w:rPr>
        <w:t>Letter of Credit Payments</w:t>
      </w:r>
      <w:r>
        <w:rPr>
          <w:rFonts w:ascii="Arial" w:cs="Arial" w:eastAsia="Arial" w:hAnsi="Arial"/>
          <w:sz w:val="21"/>
          <w:szCs w:val="21"/>
          <w:color w:val="auto"/>
        </w:rPr>
        <w:t>. If any draft shall be presented for payment under any Letter of Credit, the relevant Issuing Lender shall promptly notify the Borrower and the Administrative Agent of the date and amount thereof. The responsibility of the relevant Issuing Lender to the Borrower in connection with any draft presented for payment under any Letter of Credit, in addition to any payment obligation expressly provided for in such Letter of Credit issued by such Issuing Lender, shall be limited to determining that the documents (including each draft) delivered under such Letter of Credit in connection with such presentment appear on their face to be in conformity with such Letter of Credit.</w:t>
      </w:r>
    </w:p>
    <w:p>
      <w:pPr>
        <w:spacing w:after="0" w:line="17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 xml:space="preserve">3.8 </w:t>
      </w:r>
      <w:r>
        <w:rPr>
          <w:rFonts w:ascii="Arial" w:cs="Arial" w:eastAsia="Arial" w:hAnsi="Arial"/>
          <w:sz w:val="21"/>
          <w:szCs w:val="21"/>
          <w:u w:val="single" w:color="auto"/>
          <w:color w:val="auto"/>
        </w:rPr>
        <w:t>Applications</w:t>
      </w:r>
      <w:r>
        <w:rPr>
          <w:rFonts w:ascii="Arial" w:cs="Arial" w:eastAsia="Arial" w:hAnsi="Arial"/>
          <w:sz w:val="21"/>
          <w:szCs w:val="21"/>
          <w:color w:val="auto"/>
        </w:rPr>
        <w:t xml:space="preserve">. To the extent that any provision of any Application related to any Letter of Credit is inconsistent with the provisions of </w:t>
      </w:r>
      <w:r>
        <w:rPr>
          <w:rFonts w:ascii="Arial" w:cs="Arial" w:eastAsia="Arial" w:hAnsi="Arial"/>
          <w:sz w:val="21"/>
          <w:szCs w:val="21"/>
          <w:u w:val="single" w:color="auto"/>
          <w:color w:val="auto"/>
        </w:rPr>
        <w:t>Sections 3</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8</w:t>
      </w:r>
      <w:r>
        <w:rPr>
          <w:rFonts w:ascii="Arial" w:cs="Arial" w:eastAsia="Arial" w:hAnsi="Arial"/>
          <w:sz w:val="21"/>
          <w:szCs w:val="21"/>
          <w:color w:val="auto"/>
        </w:rPr>
        <w:t xml:space="preserve"> of this Agreement, the provisions of this Agreement shall apply.</w:t>
      </w:r>
    </w:p>
    <w:p>
      <w:pPr>
        <w:spacing w:after="0" w:line="151"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SECTION 4. REPRESENTATIONS AND WARRANTIES</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To induce the Administrative Agent and the Lenders to enter into this Agreement and to make the Loans and issue or participate in the Letters of Credit the Borrower hereby represents and warrants to the Administrative Agent and each Lender that:</w:t>
      </w:r>
    </w:p>
    <w:p>
      <w:pPr>
        <w:spacing w:after="0" w:line="18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Financial Condition</w:t>
      </w:r>
      <w:r>
        <w:rPr>
          <w:rFonts w:ascii="Arial" w:cs="Arial" w:eastAsia="Arial" w:hAnsi="Arial"/>
          <w:sz w:val="19"/>
          <w:szCs w:val="19"/>
          <w:color w:val="auto"/>
        </w:rPr>
        <w:t>.</w:t>
      </w:r>
    </w:p>
    <w:p>
      <w:pPr>
        <w:spacing w:after="0" w:line="220" w:lineRule="exact"/>
        <w:rPr>
          <w:sz w:val="20"/>
          <w:szCs w:val="20"/>
          <w:color w:val="auto"/>
        </w:rPr>
      </w:pPr>
    </w:p>
    <w:p>
      <w:pPr>
        <w:ind w:left="1600" w:hanging="296"/>
        <w:spacing w:after="0"/>
        <w:tabs>
          <w:tab w:leader="none" w:pos="160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59" w:lineRule="auto"/>
        <w:tabs>
          <w:tab w:leader="none" w:pos="1939" w:val="left"/>
        </w:tabs>
        <w:numPr>
          <w:ilvl w:val="0"/>
          <w:numId w:val="133"/>
        </w:numPr>
        <w:rPr>
          <w:rFonts w:ascii="Arial" w:cs="Arial" w:eastAsia="Arial" w:hAnsi="Arial"/>
          <w:sz w:val="21"/>
          <w:szCs w:val="21"/>
          <w:u w:val="single" w:color="auto"/>
          <w:color w:val="0000FF"/>
        </w:rPr>
      </w:pPr>
      <w:r>
        <w:rPr>
          <w:rFonts w:ascii="Arial" w:cs="Arial" w:eastAsia="Arial" w:hAnsi="Arial"/>
          <w:sz w:val="21"/>
          <w:szCs w:val="21"/>
          <w:color w:val="FF0000"/>
          <w:strike w:val="1"/>
        </w:rPr>
        <w:t>(a)</w:t>
      </w:r>
      <w:r>
        <w:rPr>
          <w:rFonts w:ascii="Arial" w:cs="Arial" w:eastAsia="Arial" w:hAnsi="Arial"/>
          <w:sz w:val="21"/>
          <w:szCs w:val="21"/>
          <w:color w:val="FF0000"/>
        </w:rPr>
        <w:t xml:space="preserve"> </w:t>
      </w:r>
      <w:r>
        <w:rPr>
          <w:rFonts w:ascii="Arial" w:cs="Arial" w:eastAsia="Arial" w:hAnsi="Arial"/>
          <w:sz w:val="21"/>
          <w:szCs w:val="21"/>
          <w:color w:val="000000"/>
        </w:rPr>
        <w:t>The audited consolidated balance sheets of the Borrower as of December 31, 2017, and the related</w:t>
      </w:r>
      <w:r>
        <w:rPr>
          <w:rFonts w:ascii="Arial" w:cs="Arial" w:eastAsia="Arial" w:hAnsi="Arial"/>
          <w:sz w:val="21"/>
          <w:szCs w:val="21"/>
          <w:color w:val="FF0000"/>
        </w:rPr>
        <w:t xml:space="preserve"> </w:t>
      </w:r>
      <w:r>
        <w:rPr>
          <w:rFonts w:ascii="Arial" w:cs="Arial" w:eastAsia="Arial" w:hAnsi="Arial"/>
          <w:sz w:val="21"/>
          <w:szCs w:val="21"/>
          <w:color w:val="000000"/>
        </w:rPr>
        <w:t>consolidated statements of operations, members’ equity and of cash flows for the twelve month periods ended on such dates, reported on by and accompanied by a report from Deloitte &amp; Touche LLP, copies of which have heretofore been furnished to the Administrative Agent, present fairly, in all material respects, the consolidated financial position of the Borrower and its consolidated Subsidiaries as of such dates, and the consolidated results of its operations and its consolidated cash flows for the period covered thereby. All such financial statements, including the related schedules and notes thereto, have been prepared in accordance with GAAP applied consistently throughout the periods involved (except as approved by the aforementioned firm of accountants and disclosed therein).</w:t>
      </w:r>
    </w:p>
    <w:p>
      <w:pPr>
        <w:spacing w:after="0" w:line="18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No Change</w:t>
      </w:r>
      <w:r>
        <w:rPr>
          <w:rFonts w:ascii="Arial" w:cs="Arial" w:eastAsia="Arial" w:hAnsi="Arial"/>
          <w:sz w:val="22"/>
          <w:szCs w:val="22"/>
          <w:color w:val="auto"/>
        </w:rPr>
        <w:t>. Since December 31, 2017 there has been no development or event that has had or would reasonably be expected to have a Material Adverse Effect.</w:t>
      </w:r>
    </w:p>
    <w:p>
      <w:pPr>
        <w:spacing w:after="0" w:line="175"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Corporate Existence; Compliance with Law</w:t>
      </w:r>
      <w:r>
        <w:rPr>
          <w:rFonts w:ascii="Arial" w:cs="Arial" w:eastAsia="Arial" w:hAnsi="Arial"/>
          <w:sz w:val="19"/>
          <w:szCs w:val="19"/>
          <w:color w:val="auto"/>
        </w:rPr>
        <w:t xml:space="preserve">. Each of the Borrower and its Subsidiaries (a) is duly organized, validly existing and in good standing under the laws of the jurisdiction of its organization, (b) has the limited liability company or other organizational power and authority, and the legal right, to own and operate its Property, to lease the Property it operates as lessee and to conduct the business in which it is currently engaged, (c) is duly qualified as a foreign limited liability company or other organization and in good standing under the laws of each jurisdiction where its ownership, lease or operation of Property or the conduct of its business requires such qualification except, with respect to this </w:t>
      </w:r>
      <w:r>
        <w:rPr>
          <w:rFonts w:ascii="Arial" w:cs="Arial" w:eastAsia="Arial" w:hAnsi="Arial"/>
          <w:sz w:val="19"/>
          <w:szCs w:val="19"/>
          <w:u w:val="single" w:color="auto"/>
          <w:color w:val="auto"/>
        </w:rPr>
        <w:t>clause (c)</w:t>
      </w:r>
      <w:r>
        <w:rPr>
          <w:rFonts w:ascii="Arial" w:cs="Arial" w:eastAsia="Arial" w:hAnsi="Arial"/>
          <w:sz w:val="19"/>
          <w:szCs w:val="19"/>
          <w:color w:val="auto"/>
        </w:rPr>
        <w:t>, where the failure to be so qualified or in good standing would not reasonably be expected to result in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28" w:right="339" w:bottom="1440" w:gutter="0" w:footer="0" w:header="0"/>
        </w:sectPr>
      </w:pPr>
    </w:p>
    <w:bookmarkStart w:id="191" w:name="page192"/>
    <w:bookmarkEnd w:id="191"/>
    <w:p>
      <w:pPr>
        <w:jc w:val="both"/>
        <w:spacing w:after="0" w:line="263" w:lineRule="auto"/>
        <w:rPr>
          <w:sz w:val="20"/>
          <w:szCs w:val="20"/>
          <w:color w:val="auto"/>
        </w:rPr>
      </w:pPr>
      <w:r>
        <w:rPr>
          <w:rFonts w:ascii="Arial" w:cs="Arial" w:eastAsia="Arial" w:hAnsi="Arial"/>
          <w:sz w:val="22"/>
          <w:szCs w:val="22"/>
          <w:color w:val="auto"/>
        </w:rPr>
        <w:t>Adverse Effect and (d) is in compliance with all Requirements of Law except to the extent that the failure to comply therewith would not, in the aggregate, reasonably be expected to have a Material Adverse Effect.</w:t>
      </w:r>
    </w:p>
    <w:p>
      <w:pPr>
        <w:spacing w:after="0" w:line="17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Power; Authorization; Enforceable Obligations</w:t>
      </w:r>
      <w:r>
        <w:rPr>
          <w:rFonts w:ascii="Arial" w:cs="Arial" w:eastAsia="Arial" w:hAnsi="Arial"/>
          <w:sz w:val="19"/>
          <w:szCs w:val="19"/>
          <w:color w:val="auto"/>
        </w:rPr>
        <w:t xml:space="preserve">. Each Loan Party has the limited liability company or other organizational power and authority, and the legal right, to make, deliver and perform its obligations under the Loan Documents to which it is a party and, in the case of the Borrower, to borrow hereunder. Each Loan Party has taken all necessary limited liability company or other action to authorize the execution, delivery and performance of the Loan Documents to which it is a party and, in the case of the Borrower, to authorize the borrowings on the terms and conditions of this Agreement. No consent or authorization of, filing with, notice to or other act by, any Governmental Authority or any other Person is required on the part of or in respect of any Loan Party in connection with the borrowings hereunder or the execution, delivery and performance by the Loan Parties party thereto of this Agreement or any of the other Loan Documents, except (i) such consents, authorizations, filings and notices as have been obtained or made and are in full force and effect, (ii) the Borrowing Notices and any other notices required to be delivered by the Borrower under the Loan Documents, (iii) the filings referred to in </w:t>
      </w:r>
      <w:r>
        <w:rPr>
          <w:rFonts w:ascii="Arial" w:cs="Arial" w:eastAsia="Arial" w:hAnsi="Arial"/>
          <w:sz w:val="19"/>
          <w:szCs w:val="19"/>
          <w:u w:val="single" w:color="auto"/>
          <w:color w:val="auto"/>
        </w:rPr>
        <w:t>Section 4.19</w:t>
      </w:r>
      <w:r>
        <w:rPr>
          <w:rFonts w:ascii="Arial" w:cs="Arial" w:eastAsia="Arial" w:hAnsi="Arial"/>
          <w:sz w:val="19"/>
          <w:szCs w:val="19"/>
          <w:color w:val="auto"/>
        </w:rPr>
        <w:t xml:space="preserve"> and any other filings necessary to perfect the Liens and security interests under the Security Documents, (iv) ordinary course of business filing of reports with the SEC pursuant to generally applicable securities laws and (v) those consents, authorizations, filings, notices or actions, the failure of which to obtain or make, would not reasonably be expected to have a Material Adverse Effect. Each existing Loan Document has been duly executed and delivered on behalf of each Loan Party that is a party thereto. This Agreement constitutes, and each other Loan Document upon execution will constitute, a legal, valid and binding obligation of each Loan Party that is a party thereto, enforceable against each such Loan Party in accordance with its terms, except as enforceability may be limited by applicable Debtor Relief Laws and by general equitable principles (whether enforcement is sought by proceedings in equity or at law).</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No Legal Bar</w:t>
      </w:r>
      <w:r>
        <w:rPr>
          <w:rFonts w:ascii="Arial" w:cs="Arial" w:eastAsia="Arial" w:hAnsi="Arial"/>
          <w:sz w:val="21"/>
          <w:szCs w:val="21"/>
          <w:color w:val="auto"/>
        </w:rPr>
        <w:t xml:space="preserve">. The execution, delivery and performance of this Agreement and the other Loan Documents by the Loan Parties thereto, the issuance of Letters of Credit, the borrowings hereunder and the use of the proceeds thereof will not (i) violate any Requirement of Law of the Borrower or any of its Subsidiaries, as such may be applicable to or binding on each except, to the extent any such violations, individually or in the aggregate, would not reasonably be expected to result in a Material Adverse Effect, (ii) constitute a default under any Contractual Obligations of the Borrower or any of its Subsidiaries, as such may be applicable to or binding on each, except to the extent such default could not reasonably be expected to result in a Material Adverse Effect, and (iii) will not result in, or require, the creation or imposition of any Lien on any of their respective properties or revenues pursuant to any such Requirement of Law or any such Contractual Obligation (other than the Liens permitted by </w:t>
      </w:r>
      <w:r>
        <w:rPr>
          <w:rFonts w:ascii="Arial" w:cs="Arial" w:eastAsia="Arial" w:hAnsi="Arial"/>
          <w:sz w:val="21"/>
          <w:szCs w:val="21"/>
          <w:u w:val="single" w:color="auto"/>
          <w:color w:val="auto"/>
        </w:rPr>
        <w:t>Section 7.3</w:t>
      </w:r>
      <w:r>
        <w:rPr>
          <w:rFonts w:ascii="Arial" w:cs="Arial" w:eastAsia="Arial" w:hAnsi="Arial"/>
          <w:sz w:val="21"/>
          <w:szCs w:val="21"/>
          <w:color w:val="auto"/>
        </w:rPr>
        <w:t>).</w:t>
      </w:r>
    </w:p>
    <w:p>
      <w:pPr>
        <w:spacing w:after="0" w:line="17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No Material Litigation</w:t>
      </w:r>
      <w:r>
        <w:rPr>
          <w:rFonts w:ascii="Arial" w:cs="Arial" w:eastAsia="Arial" w:hAnsi="Arial"/>
          <w:sz w:val="22"/>
          <w:szCs w:val="22"/>
          <w:color w:val="auto"/>
        </w:rPr>
        <w:t>. No litigation, proceeding or, to the knowledge of the Borrower, investigation, of or before any arbitrator or Governmental Authority is pending or, to the knowledge of a Responsible Officer, threatened in writing by or against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28" w:right="339" w:bottom="1440" w:gutter="0" w:footer="0" w:header="0"/>
        </w:sectPr>
      </w:pPr>
    </w:p>
    <w:bookmarkStart w:id="192" w:name="page193"/>
    <w:bookmarkEnd w:id="192"/>
    <w:p>
      <w:pPr>
        <w:jc w:val="both"/>
        <w:spacing w:after="0" w:line="253" w:lineRule="auto"/>
        <w:rPr>
          <w:sz w:val="20"/>
          <w:szCs w:val="20"/>
          <w:color w:val="auto"/>
        </w:rPr>
      </w:pPr>
      <w:r>
        <w:rPr>
          <w:rFonts w:ascii="Arial" w:cs="Arial" w:eastAsia="Arial" w:hAnsi="Arial"/>
          <w:sz w:val="22"/>
          <w:szCs w:val="22"/>
          <w:color w:val="auto"/>
        </w:rPr>
        <w:t>any of its Subsidiaries or against any of their respective properties or revenues (a) with respect to any of the Loan Documents or any of the transactions contemplated hereby or thereby, or (b) that would reasonably be expected to have a Material Adverse Effect.</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No Default</w:t>
      </w:r>
      <w:r>
        <w:rPr>
          <w:rFonts w:ascii="Arial" w:cs="Arial" w:eastAsia="Arial" w:hAnsi="Arial"/>
          <w:sz w:val="22"/>
          <w:szCs w:val="22"/>
          <w:color w:val="auto"/>
        </w:rPr>
        <w:t>. Neither the Borrower nor any of its Subsidiaries is in default under or with respect to any of its Contractual Obligations in any respect that would reasonably be expected to have a Material Adverse Effect. No Default or Event of Default has occurred and is continuing.</w:t>
      </w:r>
    </w:p>
    <w:p>
      <w:pPr>
        <w:spacing w:after="0" w:line="18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Ownership of Property; Liens</w:t>
      </w:r>
      <w:r>
        <w:rPr>
          <w:rFonts w:ascii="Arial" w:cs="Arial" w:eastAsia="Arial" w:hAnsi="Arial"/>
          <w:sz w:val="22"/>
          <w:szCs w:val="22"/>
          <w:color w:val="auto"/>
        </w:rPr>
        <w:t xml:space="preserve">. Each of the Borrower and its Subsidiaries has title in fee simple to, or a valid leasehold interest in, all its material real property necessary in the ordinary conduct of its business, and good title to, or a valid leasehold interest in, license of or right to use all its other material Property necessary in the ordinary conduct of its business, except (i) for minor defects in title that do not materially interfere with its ability to conduct its business or to utilize such assets for their intended purposes and (ii) to the extent failure to have such title or valid leasehold interest in, license of or right to use such material real property or material Property would not reasonably be expected to have a Material Adverse Effect. None of the Collateral or other material Property of the Borrower or any Subsidiary is subject to any Lien except as permitted by </w:t>
      </w:r>
      <w:r>
        <w:rPr>
          <w:rFonts w:ascii="Arial" w:cs="Arial" w:eastAsia="Arial" w:hAnsi="Arial"/>
          <w:sz w:val="22"/>
          <w:szCs w:val="22"/>
          <w:u w:val="single" w:color="auto"/>
          <w:color w:val="auto"/>
        </w:rPr>
        <w:t>Section 7.3</w:t>
      </w:r>
      <w:r>
        <w:rPr>
          <w:rFonts w:ascii="Arial" w:cs="Arial" w:eastAsia="Arial" w:hAnsi="Arial"/>
          <w:sz w:val="22"/>
          <w:szCs w:val="22"/>
          <w:color w:val="auto"/>
        </w:rPr>
        <w:t>.</w:t>
      </w:r>
    </w:p>
    <w:p>
      <w:pPr>
        <w:spacing w:after="0" w:line="19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4.9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Except as could not reasonably be expected to have a Material Adverse Effect, the Borrower and each of its Subsidiaries owns, or is licensed to use, or, to the knowledge of the Borrower, can acquire or license on reasonable terms, all Intellectual Property necessary for the conduct of its business as currently conducted. No claim that is likely to result in an adverse determination against the Borrower and, if adversely determined, would reasonably be expected to have a Material Adverse Effect has been asserted in writing and is pending against the Borrower or any of its Subsidiaries by any Person alleging an infringement by the Borrower of such Person’s Intellectual Property or the validity of the Borrower’s right to use any of such Person’s Intellectual Property, nor does the Borrower know of any valid basis for any such claim. To the knowledge of the Borrower, the use of such Intellectual Property by the Borrower and its Subsidiaries does not infringe on the Intellectual Property rights of any Person in any material respect, except for any such infringements that, individually or in the aggregate, would not reasonably be expected to result in a Material Adverse Effect.</w:t>
      </w:r>
    </w:p>
    <w:p>
      <w:pPr>
        <w:spacing w:after="0" w:line="159"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4.10 </w:t>
      </w:r>
      <w:r>
        <w:rPr>
          <w:rFonts w:ascii="Arial" w:cs="Arial" w:eastAsia="Arial" w:hAnsi="Arial"/>
          <w:sz w:val="21"/>
          <w:szCs w:val="21"/>
          <w:u w:val="single" w:color="auto"/>
          <w:color w:val="auto"/>
        </w:rPr>
        <w:t>Taxes</w:t>
      </w:r>
      <w:r>
        <w:rPr>
          <w:rFonts w:ascii="Arial" w:cs="Arial" w:eastAsia="Arial" w:hAnsi="Arial"/>
          <w:sz w:val="21"/>
          <w:szCs w:val="21"/>
          <w:color w:val="auto"/>
        </w:rPr>
        <w:t>. The Borrower and each of its Subsidiaries has filed or caused to be filed all Federal and other material tax returns that are required to be filed by it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Borrower or its Subsidiaries, as the case may be, or to the extent the failure to file or pay would not reasonably be expected to have a Material Adverse Effect). As of the Closing Date, no tax Lien has been filed against the Borrower or any Subsidiary or their assets that could reasonably be expected to have a Material Adverse Effect. To the knowledge of the Borrower, no claim is being asserted,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28" w:right="339" w:bottom="1440" w:gutter="0" w:footer="0" w:header="0"/>
        </w:sectPr>
      </w:pPr>
    </w:p>
    <w:bookmarkStart w:id="193" w:name="page194"/>
    <w:bookmarkEnd w:id="193"/>
    <w:p>
      <w:pPr>
        <w:spacing w:after="0"/>
        <w:rPr>
          <w:sz w:val="20"/>
          <w:szCs w:val="20"/>
          <w:color w:val="auto"/>
        </w:rPr>
      </w:pPr>
      <w:r>
        <w:rPr>
          <w:rFonts w:ascii="Arial" w:cs="Arial" w:eastAsia="Arial" w:hAnsi="Arial"/>
          <w:sz w:val="19"/>
          <w:szCs w:val="19"/>
          <w:color w:val="auto"/>
        </w:rPr>
        <w:t>any such Tax, fee or other charge that, if adversely determined, could reasonably be expected to have a Material Adverse Effect.</w:t>
      </w:r>
    </w:p>
    <w:p>
      <w:pPr>
        <w:spacing w:after="0" w:line="254"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Federal Regulations</w:t>
      </w:r>
      <w:r>
        <w:rPr>
          <w:rFonts w:ascii="Arial" w:cs="Arial" w:eastAsia="Arial" w:hAnsi="Arial"/>
          <w:sz w:val="19"/>
          <w:szCs w:val="19"/>
          <w:color w:val="auto"/>
        </w:rPr>
        <w:t>. No part of the proceeds of any Loans, and no other extensions of credit hereunder, will be used for “purchasing” or “carrying” any “margin stock”. The Borrower is not engaged and will not engage, principally or as one of its important activities, in the business of purchasing or carrying margin stock, or extending credit for the purpose of purchasing or carrying margin stock within the meanings of each such term under Regulation U as now and from time to time hereafter in effect or for any purpose that violates the provisions of regulations T, U or X of the Board. Following the application of the proceeds of each borrowing hereunder or drawing under each Letter of Credit, not more than 25% of the value of the assets (either of Borrower or of Borrower and its Subsidiaries on a consolidated basis) will be margin stock.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5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Labor Matters</w:t>
      </w:r>
      <w:r>
        <w:rPr>
          <w:rFonts w:ascii="Arial" w:cs="Arial" w:eastAsia="Arial" w:hAnsi="Arial"/>
          <w:sz w:val="19"/>
          <w:szCs w:val="19"/>
          <w:color w:val="auto"/>
        </w:rPr>
        <w:t>. There are no strikes or other labor disputes against the Borrower or any of its Subsidiaries pending or, to the knowledge of the Borrower, threatened in writing that (individually or in the aggregate) would reasonably be expected to have a Material Adverse Effect. Hours worked by and payment made to employees of the Borrower and its Subsidiaries have not been in violation of the Fair Labor Standards Act or any other applicable Requirement of Law dealing with such matters that (individually or in the aggregate) would reasonably be expected to have a Material Adverse Effect. All payments due from the Borrower or any of its Subsidiaries on account of employee health and welfare insurance that (individually or in the aggregate) would reasonably be expected to have a Material Adverse Effect if not paid have been paid or accrued as a liability on the books of the Borrower or the relevant Subsidiary.</w:t>
      </w:r>
    </w:p>
    <w:p>
      <w:pPr>
        <w:spacing w:after="0" w:line="15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4.13 </w:t>
      </w:r>
      <w:r>
        <w:rPr>
          <w:rFonts w:ascii="Arial" w:cs="Arial" w:eastAsia="Arial" w:hAnsi="Arial"/>
          <w:sz w:val="19"/>
          <w:szCs w:val="19"/>
          <w:u w:val="single" w:color="auto"/>
          <w:color w:val="auto"/>
        </w:rPr>
        <w:t>ERISA</w:t>
      </w:r>
      <w:r>
        <w:rPr>
          <w:rFonts w:ascii="Arial" w:cs="Arial" w:eastAsia="Arial" w:hAnsi="Arial"/>
          <w:sz w:val="19"/>
          <w:szCs w:val="19"/>
          <w:color w:val="auto"/>
        </w:rPr>
        <w:t>. Except as could not reasonably be expected, either individually or in the aggregate, to cause a Material Adverse Effect: (i) no ERISA Event has occurred or is reasonably expected to occur, (ii) each Plan has complied in all respects with the applicable provisions of ERISA and the Code, And (iii)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by a material amount. Neither the Borrower nor any Commonly Controlled Entity would become subject to any withdrawal liability under ERISA that would reasonably be expected to have a Material Adverse Effect if the Borrower or any such Commonly Controlled Entity were to withdraw completely from all Multiemployer Plans as of the valuation date most closely preceding the date on which this representation is made or deemed made.</w:t>
      </w:r>
    </w:p>
    <w:p>
      <w:pPr>
        <w:spacing w:after="0" w:line="15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4.14 </w:t>
      </w:r>
      <w:r>
        <w:rPr>
          <w:rFonts w:ascii="Arial" w:cs="Arial" w:eastAsia="Arial" w:hAnsi="Arial"/>
          <w:sz w:val="22"/>
          <w:szCs w:val="22"/>
          <w:u w:val="single" w:color="auto"/>
          <w:color w:val="auto"/>
        </w:rPr>
        <w:t>Investment Company Act; Other Regulations</w:t>
      </w:r>
      <w:r>
        <w:rPr>
          <w:rFonts w:ascii="Arial" w:cs="Arial" w:eastAsia="Arial" w:hAnsi="Arial"/>
          <w:sz w:val="22"/>
          <w:szCs w:val="22"/>
          <w:color w:val="auto"/>
        </w:rPr>
        <w:t>. No Loan Party is an “investment company”, or a company “controlled” by an “investment company”, within the meaning of the Investment Company Act of 1940, as amended. No Loan Party is subject to regulation under any Requirement of Law (other than Regulation X of the Board) that limits its ability to incur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28" w:right="339" w:bottom="1440" w:gutter="0" w:footer="0" w:header="0"/>
        </w:sectPr>
      </w:pPr>
    </w:p>
    <w:bookmarkStart w:id="194" w:name="page195"/>
    <w:bookmarkEnd w:id="194"/>
    <w:p>
      <w:pPr>
        <w:ind w:left="1300"/>
        <w:spacing w:after="0"/>
        <w:tabs>
          <w:tab w:leader="none" w:pos="194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u w:val="single" w:color="auto"/>
          <w:color w:val="auto"/>
        </w:rPr>
        <w:t>Subsidiaries</w:t>
      </w:r>
      <w:r>
        <w:rPr>
          <w:rFonts w:ascii="Arial" w:cs="Arial" w:eastAsia="Arial" w:hAnsi="Arial"/>
          <w:sz w:val="19"/>
          <w:szCs w:val="19"/>
          <w:color w:val="auto"/>
        </w:rPr>
        <w:t>. As of the Closing Date, the Borrower has no Subsidiaries.</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4.16 </w:t>
      </w:r>
      <w:r>
        <w:rPr>
          <w:rFonts w:ascii="Arial" w:cs="Arial" w:eastAsia="Arial" w:hAnsi="Arial"/>
          <w:sz w:val="22"/>
          <w:szCs w:val="22"/>
          <w:u w:val="single" w:color="auto"/>
          <w:color w:val="auto"/>
        </w:rPr>
        <w:t>Use of Proceeds</w:t>
      </w:r>
      <w:r>
        <w:rPr>
          <w:rFonts w:ascii="Arial" w:cs="Arial" w:eastAsia="Arial" w:hAnsi="Arial"/>
          <w:sz w:val="22"/>
          <w:szCs w:val="22"/>
          <w:color w:val="auto"/>
        </w:rPr>
        <w:t>. The proceeds of the Term Loans and the Revolving Credit Loans shall be used for the purposes set forth in the recitals hereof. The proceeds of the Swing Line Loans and the Letters of Credit, shall be used for working capital and general corporate purposes.</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4.17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 Other than exceptions to any of the following clauses (a)-(f) that would not, individually or in the aggregate, reasonably be expected to have a Material Adverse Effect:</w:t>
      </w:r>
    </w:p>
    <w:p>
      <w:pPr>
        <w:spacing w:after="0" w:line="175" w:lineRule="exact"/>
        <w:rPr>
          <w:sz w:val="20"/>
          <w:szCs w:val="20"/>
          <w:color w:val="auto"/>
        </w:rPr>
      </w:pPr>
    </w:p>
    <w:p>
      <w:pPr>
        <w:jc w:val="both"/>
        <w:ind w:firstLine="1304"/>
        <w:spacing w:after="0" w:line="292" w:lineRule="auto"/>
        <w:tabs>
          <w:tab w:leader="none" w:pos="1941"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Borrower and its Subsidiaries: (i) are, and within the period of all applicable statutes of limitation have been, in compliance with all applicable Environmental Laws; (ii) hold all Environmental Permits (each of which is in full force and effect) required for any of their operations or for any property owned, leased, or otherwise operated by any of them; (iii) are, and within the period of all applicable statutes of limitation have been, in compliance with all of their Environmental Permits; and (iv) reasonably believe that: each of their Environmental Permits will be timely renewed and complied with; any additional Environmental Permits that are required of any of them will be timely obtained and complied with; and compliance with any Environmental Law that is applicable to any of them will be timely attained and maintained.</w:t>
      </w:r>
    </w:p>
    <w:p>
      <w:pPr>
        <w:spacing w:after="0" w:line="150" w:lineRule="exact"/>
        <w:rPr>
          <w:rFonts w:ascii="Arial" w:cs="Arial" w:eastAsia="Arial" w:hAnsi="Arial"/>
          <w:sz w:val="19"/>
          <w:szCs w:val="19"/>
          <w:color w:val="auto"/>
        </w:rPr>
      </w:pPr>
    </w:p>
    <w:p>
      <w:pPr>
        <w:jc w:val="both"/>
        <w:ind w:firstLine="1304"/>
        <w:spacing w:after="0" w:line="260" w:lineRule="auto"/>
        <w:tabs>
          <w:tab w:leader="none" w:pos="1939" w:val="left"/>
        </w:tabs>
        <w:numPr>
          <w:ilvl w:val="0"/>
          <w:numId w:val="134"/>
        </w:numPr>
        <w:rPr>
          <w:rFonts w:ascii="Arial" w:cs="Arial" w:eastAsia="Arial" w:hAnsi="Arial"/>
          <w:sz w:val="21"/>
          <w:szCs w:val="21"/>
          <w:color w:val="auto"/>
        </w:rPr>
      </w:pPr>
      <w:r>
        <w:rPr>
          <w:rFonts w:ascii="Arial" w:cs="Arial" w:eastAsia="Arial" w:hAnsi="Arial"/>
          <w:sz w:val="21"/>
          <w:szCs w:val="21"/>
          <w:color w:val="auto"/>
        </w:rPr>
        <w:t>Materials of Environmental Concern are not present at, on, under, in, or about any real property now or formerly owned, leased or operated by the Borrower or any of its Subsidiaries, or at any other location (including, without limitation, any location to which Materials of Environmental Concern have been sent for re-use or recycling or for treatment, storage, or disposal) which would reasonably be expected to (i) give rise to liability of the Borrower or any of its Subsidiaries under any applicable Environmental Law or otherwise result in costs to the Borrower or any of its Subsidiaries, or (ii) interfere with the Borrower’s or any of its Subsidiaries’ continued operations, or (iii) impair the fair saleable value of any real property owned or leased by the Borrower or any of its Subsidiaries.</w:t>
      </w:r>
    </w:p>
    <w:p>
      <w:pPr>
        <w:spacing w:after="0" w:line="180" w:lineRule="exact"/>
        <w:rPr>
          <w:rFonts w:ascii="Arial" w:cs="Arial" w:eastAsia="Arial" w:hAnsi="Arial"/>
          <w:sz w:val="21"/>
          <w:szCs w:val="21"/>
          <w:color w:val="auto"/>
        </w:rPr>
      </w:pPr>
    </w:p>
    <w:p>
      <w:pPr>
        <w:jc w:val="both"/>
        <w:ind w:firstLine="1304"/>
        <w:spacing w:after="0" w:line="250" w:lineRule="auto"/>
        <w:tabs>
          <w:tab w:leader="none" w:pos="194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There is no judicial, administrative, or arbitral proceeding (including any notice of violation or alleged violation) under or relating to any Environmental Law to which the Borrower or any of its Subsidiaries is, or to the knowledge of the Borrower or any of its Subsidiaries will be, named as a party that is pending or, to the knowledge of the Borrower or any of its Subsidiaries, threatened in writing.</w:t>
      </w:r>
    </w:p>
    <w:p>
      <w:pPr>
        <w:spacing w:after="0" w:line="187"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Neither the Borrower nor any of its Subsidiaries has received any written request for information, or been notified that it is a potentially responsible party, in each case under or relating to the federal Comprehensive Environmental Response, Compensation, and Liability Act or any similar Environmental Law, or with respect to any Materials of Environmental Concern.</w:t>
      </w:r>
    </w:p>
    <w:p>
      <w:pPr>
        <w:spacing w:after="0" w:line="187" w:lineRule="exact"/>
        <w:rPr>
          <w:rFonts w:ascii="Arial" w:cs="Arial" w:eastAsia="Arial" w:hAnsi="Arial"/>
          <w:sz w:val="22"/>
          <w:szCs w:val="22"/>
          <w:color w:val="auto"/>
        </w:rPr>
      </w:pPr>
    </w:p>
    <w:p>
      <w:pPr>
        <w:ind w:firstLine="1304"/>
        <w:spacing w:after="0" w:line="263" w:lineRule="auto"/>
        <w:tabs>
          <w:tab w:leader="none" w:pos="194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Neither the Borrower nor any of its Subsidiaries has entered into or agreed to any consent decree, order, or settlement or other agreement, or is subject to any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428" w:right="339" w:bottom="1440" w:gutter="0" w:footer="0" w:header="0"/>
        </w:sectPr>
      </w:pPr>
    </w:p>
    <w:bookmarkStart w:id="195" w:name="page196"/>
    <w:bookmarkEnd w:id="195"/>
    <w:p>
      <w:pPr>
        <w:spacing w:after="0" w:line="263" w:lineRule="auto"/>
        <w:rPr>
          <w:sz w:val="20"/>
          <w:szCs w:val="20"/>
          <w:color w:val="auto"/>
        </w:rPr>
      </w:pPr>
      <w:r>
        <w:rPr>
          <w:rFonts w:ascii="Arial" w:cs="Arial" w:eastAsia="Arial" w:hAnsi="Arial"/>
          <w:sz w:val="22"/>
          <w:szCs w:val="22"/>
          <w:color w:val="auto"/>
        </w:rPr>
        <w:t>decree, or order or other agreement, in any judicial, administrative, arbitral, or other forum for dispute resolution, relating to compliance with or liability under any Environmental Law.</w:t>
      </w:r>
    </w:p>
    <w:p>
      <w:pPr>
        <w:spacing w:after="0" w:line="175" w:lineRule="exact"/>
        <w:rPr>
          <w:sz w:val="20"/>
          <w:szCs w:val="20"/>
          <w:color w:val="auto"/>
        </w:rPr>
      </w:pPr>
    </w:p>
    <w:p>
      <w:pPr>
        <w:jc w:val="both"/>
        <w:ind w:firstLine="1304"/>
        <w:spacing w:after="0" w:line="253" w:lineRule="auto"/>
        <w:tabs>
          <w:tab w:leader="none" w:pos="194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Neither the Borrower nor any of its Subsidiaries has assumed or retained, by contract or operation of law, any liabilities of any kind, fixed or contingent, known or unknown, under any Environmental Law or with respect to any Material of Environmental Concern.</w:t>
      </w:r>
    </w:p>
    <w:p>
      <w:pPr>
        <w:spacing w:after="0" w:line="18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4.18 </w:t>
      </w:r>
      <w:r>
        <w:rPr>
          <w:rFonts w:ascii="Arial" w:cs="Arial" w:eastAsia="Arial" w:hAnsi="Arial"/>
          <w:sz w:val="21"/>
          <w:szCs w:val="21"/>
          <w:u w:val="single" w:color="auto"/>
          <w:color w:val="auto"/>
        </w:rPr>
        <w:t>Accuracy of Information, etc.</w:t>
      </w:r>
      <w:r>
        <w:rPr>
          <w:rFonts w:ascii="Arial" w:cs="Arial" w:eastAsia="Arial" w:hAnsi="Arial"/>
          <w:sz w:val="21"/>
          <w:szCs w:val="21"/>
          <w:color w:val="auto"/>
        </w:rPr>
        <w:t xml:space="preserve">. (a) All material information (other than projections, general market, industry or economic data) contained in this Agreement, any other Loan Document or any other document, certificate or written statement furnished to the Administrative Agent or the Lenders or any of them, by or on behalf of any Loan Party for use in connection with the transactions contemplated by this Agreement or the other Loan Documents, when taken as a whole and in light of the circumstances under which they were made, did not contain as of the date such statement, information, document or certificate was made or so furnished, any untrue statement of a material fact or omitted to state a material fact necessary in order to make the statements contained herein or therein not misleading. The projections and </w:t>
      </w:r>
      <w:r>
        <w:rPr>
          <w:rFonts w:ascii="Arial" w:cs="Arial" w:eastAsia="Arial" w:hAnsi="Arial"/>
          <w:sz w:val="21"/>
          <w:szCs w:val="21"/>
          <w:u w:val="single" w:color="auto"/>
          <w:color w:val="auto"/>
        </w:rPr>
        <w:t>pro forma</w:t>
      </w:r>
      <w:r>
        <w:rPr>
          <w:rFonts w:ascii="Arial" w:cs="Arial" w:eastAsia="Arial" w:hAnsi="Arial"/>
          <w:sz w:val="21"/>
          <w:szCs w:val="21"/>
          <w:color w:val="auto"/>
        </w:rPr>
        <w:t xml:space="preserve"> financial information contained in the materials referenced above are based upon estimates and assumptions believed by the Borrower in good faith to be reasonable at the time made, it being recognized by the Lenders that such financial information as it relates to future events is not to be viewed as fact, that projections by their nature are inherently uncertain, that actual results during the period or periods covered by such financial information may differ from the projected results set forth therein and such differences may be material.</w:t>
      </w:r>
    </w:p>
    <w:p>
      <w:pPr>
        <w:spacing w:after="0" w:line="191" w:lineRule="exact"/>
        <w:rPr>
          <w:sz w:val="20"/>
          <w:szCs w:val="20"/>
          <w:color w:val="auto"/>
        </w:rPr>
      </w:pPr>
    </w:p>
    <w:p>
      <w:pPr>
        <w:jc w:val="both"/>
        <w:ind w:firstLine="1304"/>
        <w:spacing w:after="0" w:line="253" w:lineRule="auto"/>
        <w:tabs>
          <w:tab w:leader="none" w:pos="1939" w:val="left"/>
        </w:tabs>
        <w:numPr>
          <w:ilvl w:val="0"/>
          <w:numId w:val="136"/>
        </w:numPr>
        <w:rPr>
          <w:rFonts w:ascii="Arial" w:cs="Arial" w:eastAsia="Arial" w:hAnsi="Arial"/>
          <w:sz w:val="22"/>
          <w:szCs w:val="22"/>
          <w:u w:val="single" w:color="auto"/>
          <w:color w:val="0000FF"/>
        </w:rPr>
      </w:pPr>
      <w:r>
        <w:rPr>
          <w:rFonts w:ascii="Arial" w:cs="Arial" w:eastAsia="Arial" w:hAnsi="Arial"/>
          <w:sz w:val="22"/>
          <w:szCs w:val="22"/>
          <w:color w:val="FF0000"/>
          <w:strike w:val="1"/>
        </w:rPr>
        <w:t>(a)</w:t>
      </w:r>
      <w:r>
        <w:rPr>
          <w:rFonts w:ascii="Arial" w:cs="Arial" w:eastAsia="Arial" w:hAnsi="Arial"/>
          <w:sz w:val="22"/>
          <w:szCs w:val="22"/>
          <w:color w:val="FF0000"/>
        </w:rPr>
        <w:t xml:space="preserve"> </w:t>
      </w:r>
      <w:r>
        <w:rPr>
          <w:rFonts w:ascii="Arial" w:cs="Arial" w:eastAsia="Arial" w:hAnsi="Arial"/>
          <w:sz w:val="22"/>
          <w:szCs w:val="22"/>
          <w:color w:val="000000"/>
        </w:rPr>
        <w:t>As of the Closing Date, to the knowledge of the Borrower, the information included in the Beneficial</w:t>
      </w:r>
      <w:r>
        <w:rPr>
          <w:rFonts w:ascii="Arial" w:cs="Arial" w:eastAsia="Arial" w:hAnsi="Arial"/>
          <w:sz w:val="22"/>
          <w:szCs w:val="22"/>
          <w:color w:val="FF0000"/>
        </w:rPr>
        <w:t xml:space="preserve"> </w:t>
      </w:r>
      <w:r>
        <w:rPr>
          <w:rFonts w:ascii="Arial" w:cs="Arial" w:eastAsia="Arial" w:hAnsi="Arial"/>
          <w:sz w:val="22"/>
          <w:szCs w:val="22"/>
          <w:color w:val="000000"/>
        </w:rPr>
        <w:t>Ownership Certification provided on or prior to the Closing Date to any Lender in connection with this Agreement is true and correct in all material respects.</w:t>
      </w:r>
    </w:p>
    <w:p>
      <w:pPr>
        <w:spacing w:after="0" w:line="18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4.19 </w:t>
      </w:r>
      <w:r>
        <w:rPr>
          <w:rFonts w:ascii="Arial" w:cs="Arial" w:eastAsia="Arial" w:hAnsi="Arial"/>
          <w:sz w:val="21"/>
          <w:szCs w:val="21"/>
          <w:u w:val="single" w:color="auto"/>
          <w:color w:val="auto"/>
        </w:rPr>
        <w:t>Security Documents</w:t>
      </w:r>
      <w:r>
        <w:rPr>
          <w:rFonts w:ascii="Arial" w:cs="Arial" w:eastAsia="Arial" w:hAnsi="Arial"/>
          <w:sz w:val="21"/>
          <w:szCs w:val="21"/>
          <w:color w:val="auto"/>
        </w:rPr>
        <w:t xml:space="preserve">. (a) The Guarantee and Collateral Agreement is effective to create in favor of the Administrative Agent, for the benefit of the Secured Parties, a legal, valid and enforceable security interest in the Collateral described therein and proceeds thereof. In the case of any Pledged Stock required to be pledged pursuant to the Guarantee and Collateral Agreement in which a security interest may be perfected only by possession or control (within the meanings assigned to such terms in the applicable Uniform Commercial Code), when any stock certificates representing such Pledged Stock are delivered to the Administrative Agent, and in the case of the other Collateral described in the Guarantee and Collateral Agreement with respect to which perfection is governed by filing of a financing statement, when financing statements in appropriate form are filed in the offices specified on </w:t>
      </w:r>
      <w:r>
        <w:rPr>
          <w:rFonts w:ascii="Arial" w:cs="Arial" w:eastAsia="Arial" w:hAnsi="Arial"/>
          <w:sz w:val="21"/>
          <w:szCs w:val="21"/>
          <w:u w:val="single" w:color="auto"/>
          <w:color w:val="auto"/>
        </w:rPr>
        <w:t>Schedule 4.19(a)(i)</w:t>
      </w:r>
      <w:r>
        <w:rPr>
          <w:rFonts w:ascii="Arial" w:cs="Arial" w:eastAsia="Arial" w:hAnsi="Arial"/>
          <w:sz w:val="21"/>
          <w:szCs w:val="21"/>
          <w:color w:val="auto"/>
        </w:rPr>
        <w:t xml:space="preserve"> (which financing statements have been duly completed and delivered to the Administrative Agent) and such other filings as are specified on Schedule 3 to the Guarantee and Collateral Agreement have been completed, the Guarantee and Collateral Agreement shall constitute a fully perfected security interest in (and, if applicable, Lien on), all right, title and interest of the Loan Parties in such Collateral and the proceeds thereof, as security for the Obligations (as defined in the Guarantee and Collateral Agreement) to the extent such security interest can be perfected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28" w:right="339" w:bottom="1440" w:gutter="0" w:footer="0" w:header="0"/>
        </w:sectPr>
      </w:pPr>
    </w:p>
    <w:bookmarkStart w:id="196" w:name="page197"/>
    <w:bookmarkEnd w:id="196"/>
    <w:p>
      <w:pPr>
        <w:jc w:val="both"/>
        <w:spacing w:after="0" w:line="246" w:lineRule="auto"/>
        <w:rPr>
          <w:sz w:val="20"/>
          <w:szCs w:val="20"/>
          <w:color w:val="auto"/>
        </w:rPr>
      </w:pPr>
      <w:r>
        <w:rPr>
          <w:rFonts w:ascii="Arial" w:cs="Arial" w:eastAsia="Arial" w:hAnsi="Arial"/>
          <w:sz w:val="22"/>
          <w:szCs w:val="22"/>
          <w:color w:val="auto"/>
        </w:rPr>
        <w:t xml:space="preserve">filing of a financing statement pursuant to the applicable Uniform Commercial Code or by possession or control by the Administrative Agent under the applicable Uniform Commercial Code, in each case prior and superior in right to any other Person (except, in the case of Collateral other than Pledged Stock, Liens permitted by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and, in the case of Pledged Stock, (i) Liens permitted by </w:t>
      </w:r>
      <w:r>
        <w:rPr>
          <w:rFonts w:ascii="Arial" w:cs="Arial" w:eastAsia="Arial" w:hAnsi="Arial"/>
          <w:sz w:val="22"/>
          <w:szCs w:val="22"/>
          <w:u w:val="single" w:color="auto"/>
          <w:color w:val="auto"/>
        </w:rPr>
        <w:t>Section 7.3(s)</w:t>
      </w:r>
      <w:r>
        <w:rPr>
          <w:rFonts w:ascii="Arial" w:cs="Arial" w:eastAsia="Arial" w:hAnsi="Arial"/>
          <w:sz w:val="22"/>
          <w:szCs w:val="22"/>
          <w:color w:val="auto"/>
        </w:rPr>
        <w:t xml:space="preserve"> and (ii) Liens permitted by </w:t>
      </w:r>
      <w:r>
        <w:rPr>
          <w:rFonts w:ascii="Arial" w:cs="Arial" w:eastAsia="Arial" w:hAnsi="Arial"/>
          <w:sz w:val="22"/>
          <w:szCs w:val="22"/>
          <w:u w:val="single" w:color="auto"/>
          <w:color w:val="auto"/>
        </w:rPr>
        <w:t>Section 7.3(a)</w:t>
      </w:r>
      <w:r>
        <w:rPr>
          <w:rFonts w:ascii="Arial" w:cs="Arial" w:eastAsia="Arial" w:hAnsi="Arial"/>
          <w:sz w:val="22"/>
          <w:szCs w:val="22"/>
          <w:color w:val="auto"/>
        </w:rPr>
        <w:t xml:space="preserve"> to the extent such Liens are prior and superior to the Liens granted under the Security Documents by operation of law). </w:t>
      </w:r>
      <w:r>
        <w:rPr>
          <w:rFonts w:ascii="Arial" w:cs="Arial" w:eastAsia="Arial" w:hAnsi="Arial"/>
          <w:sz w:val="22"/>
          <w:szCs w:val="22"/>
          <w:u w:val="single" w:color="auto"/>
          <w:color w:val="auto"/>
        </w:rPr>
        <w:t>Schedule 4.19(a)(ii)</w:t>
      </w:r>
      <w:r>
        <w:rPr>
          <w:rFonts w:ascii="Arial" w:cs="Arial" w:eastAsia="Arial" w:hAnsi="Arial"/>
          <w:sz w:val="22"/>
          <w:szCs w:val="22"/>
          <w:color w:val="auto"/>
        </w:rPr>
        <w:t xml:space="preserve"> lists each UCC Financing Statement that (i) names any Loan Party as debtor and (ii) will remain on file after the Closing Date. </w:t>
      </w:r>
      <w:r>
        <w:rPr>
          <w:rFonts w:ascii="Arial" w:cs="Arial" w:eastAsia="Arial" w:hAnsi="Arial"/>
          <w:sz w:val="22"/>
          <w:szCs w:val="22"/>
          <w:u w:val="single" w:color="auto"/>
          <w:color w:val="auto"/>
        </w:rPr>
        <w:t>Schedule 4.19(a)(iii)</w:t>
      </w:r>
      <w:r>
        <w:rPr>
          <w:rFonts w:ascii="Arial" w:cs="Arial" w:eastAsia="Arial" w:hAnsi="Arial"/>
          <w:sz w:val="22"/>
          <w:szCs w:val="22"/>
          <w:color w:val="auto"/>
        </w:rPr>
        <w:t xml:space="preserve"> lists each UCC Financing Statement that (i) names any Loan Party as debtor and (ii) will be terminated on or prior to the Closing Date.</w:t>
      </w:r>
    </w:p>
    <w:p>
      <w:pPr>
        <w:spacing w:after="0" w:line="194" w:lineRule="exact"/>
        <w:rPr>
          <w:sz w:val="20"/>
          <w:szCs w:val="20"/>
          <w:color w:val="auto"/>
        </w:rPr>
      </w:pPr>
    </w:p>
    <w:p>
      <w:pPr>
        <w:ind w:left="1940" w:hanging="636"/>
        <w:spacing w:after="0"/>
        <w:tabs>
          <w:tab w:leader="none" w:pos="1940" w:val="left"/>
        </w:tabs>
        <w:numPr>
          <w:ilvl w:val="0"/>
          <w:numId w:val="137"/>
        </w:numPr>
        <w:rPr>
          <w:rFonts w:ascii="Arial" w:cs="Arial" w:eastAsia="Arial" w:hAnsi="Arial"/>
          <w:sz w:val="21"/>
          <w:szCs w:val="21"/>
          <w:u w:val="single" w:color="auto"/>
          <w:color w:val="0000FF"/>
        </w:rPr>
      </w:pPr>
      <w:r>
        <w:rPr>
          <w:rFonts w:ascii="Arial" w:cs="Arial" w:eastAsia="Arial" w:hAnsi="Arial"/>
          <w:sz w:val="21"/>
          <w:szCs w:val="21"/>
          <w:color w:val="FF0000"/>
          <w:strike w:val="1"/>
        </w:rPr>
        <w:t>(a)</w:t>
      </w:r>
      <w:r>
        <w:rPr>
          <w:rFonts w:ascii="Arial" w:cs="Arial" w:eastAsia="Arial" w:hAnsi="Arial"/>
          <w:sz w:val="21"/>
          <w:szCs w:val="21"/>
          <w:color w:val="FF0000"/>
        </w:rPr>
        <w:t xml:space="preserve"> </w:t>
      </w:r>
      <w:r>
        <w:rPr>
          <w:rFonts w:ascii="Arial" w:cs="Arial" w:eastAsia="Arial" w:hAnsi="Arial"/>
          <w:sz w:val="21"/>
          <w:szCs w:val="21"/>
          <w:color w:val="000000"/>
        </w:rPr>
        <w:t>As of the Closing Date, neither the Borrower nor any of its Subsidiaries owns any real property.</w:t>
      </w:r>
    </w:p>
    <w:p>
      <w:pPr>
        <w:spacing w:after="0" w:line="23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4.20 </w:t>
      </w:r>
      <w:r>
        <w:rPr>
          <w:rFonts w:ascii="Arial" w:cs="Arial" w:eastAsia="Arial" w:hAnsi="Arial"/>
          <w:sz w:val="22"/>
          <w:szCs w:val="22"/>
          <w:u w:val="single" w:color="auto"/>
          <w:color w:val="auto"/>
        </w:rPr>
        <w:t>Solvency</w:t>
      </w:r>
      <w:r>
        <w:rPr>
          <w:rFonts w:ascii="Arial" w:cs="Arial" w:eastAsia="Arial" w:hAnsi="Arial"/>
          <w:sz w:val="22"/>
          <w:szCs w:val="22"/>
          <w:color w:val="auto"/>
        </w:rPr>
        <w:t>. The Loan Parties, on a consolidated basis and after giving effect to the Transaction and the incurrence of all Indebtedness and obligations being incurred in connection herewith and therewith are, and on each Borrowing Date thereafter will be, Solvent.</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4.21 </w:t>
      </w:r>
      <w:r>
        <w:rPr>
          <w:rFonts w:ascii="Arial" w:cs="Arial" w:eastAsia="Arial" w:hAnsi="Arial"/>
          <w:sz w:val="22"/>
          <w:szCs w:val="22"/>
          <w:u w:val="single" w:color="auto"/>
          <w:color w:val="auto"/>
        </w:rPr>
        <w:t>Certain Documents</w:t>
      </w:r>
      <w:r>
        <w:rPr>
          <w:rFonts w:ascii="Arial" w:cs="Arial" w:eastAsia="Arial" w:hAnsi="Arial"/>
          <w:sz w:val="22"/>
          <w:szCs w:val="22"/>
          <w:color w:val="auto"/>
        </w:rPr>
        <w:t>. The Borrower has delivered to the Administrative Agent, or has filed publicly, a complete and correct copy of the ESAs, the Management Agreement and the Tax Receivable Agreement as in effect on the Closing Date, including any material amendments, supplements or modifications with respect to any of the foregoing through the Closing Date.</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4.22</w:t>
      </w:r>
      <w:r>
        <w:rPr>
          <w:sz w:val="20"/>
          <w:szCs w:val="20"/>
          <w:color w:val="auto"/>
        </w:rPr>
        <w:tab/>
      </w:r>
      <w:r>
        <w:rPr>
          <w:rFonts w:ascii="Arial" w:cs="Arial" w:eastAsia="Arial" w:hAnsi="Arial"/>
          <w:sz w:val="19"/>
          <w:szCs w:val="19"/>
          <w:u w:val="single" w:color="auto"/>
          <w:color w:val="auto"/>
        </w:rPr>
        <w:t>Anti-Corruption Laws; Anti-Money Laundering Laws; Sanctions</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53" w:lineRule="auto"/>
        <w:tabs>
          <w:tab w:leader="none" w:pos="1833"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Anti-Money Laundering Laws</w:t>
      </w:r>
      <w:r>
        <w:rPr>
          <w:rFonts w:ascii="Arial" w:cs="Arial" w:eastAsia="Arial" w:hAnsi="Arial"/>
          <w:sz w:val="22"/>
          <w:szCs w:val="22"/>
          <w:color w:val="auto"/>
        </w:rPr>
        <w:t>. Each of the Borrower and its Subsidiaries is in compliance in all material respects with applicable laws or regulations relating to money laundering or terrorism financing, including, without limitation, the Bank Secrecy Act, as amended by the PATRIOT Act.</w:t>
      </w:r>
    </w:p>
    <w:p>
      <w:pPr>
        <w:spacing w:after="0" w:line="185" w:lineRule="exact"/>
        <w:rPr>
          <w:rFonts w:ascii="Arial" w:cs="Arial" w:eastAsia="Arial" w:hAnsi="Arial"/>
          <w:sz w:val="22"/>
          <w:szCs w:val="22"/>
          <w:color w:val="auto"/>
        </w:rPr>
      </w:pPr>
    </w:p>
    <w:p>
      <w:pPr>
        <w:jc w:val="both"/>
        <w:ind w:firstLine="1304"/>
        <w:spacing w:after="0" w:line="294" w:lineRule="auto"/>
        <w:tabs>
          <w:tab w:leader="none" w:pos="1872"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Anti-Corruption Laws</w:t>
      </w:r>
      <w:r>
        <w:rPr>
          <w:rFonts w:ascii="Arial" w:cs="Arial" w:eastAsia="Arial" w:hAnsi="Arial"/>
          <w:sz w:val="19"/>
          <w:szCs w:val="19"/>
          <w:color w:val="auto"/>
        </w:rPr>
        <w:t>. None of the Borrower or any of its Subsidiaries or any director or officer of the Borrower of any of its Subsidiaries or, to the knowledge of the Borrower, any employee, agent or Affiliate of the Borrower or any of its Subsidiaries has, in the past five (5) years, taken any action, directly or indirectly, that would constitute or give rise to a violation of applicable laws or regulations relating to corruption or bribery, including, without limitation, the U.S. Foreign Corrupt Practices Act of 1977, as amended (the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The Borrower will not, directly or indirectly, use the proceeds of the Loans in any manner that would constitute or give rise to violation of Anti-Corruption Laws</w:t>
      </w:r>
    </w:p>
    <w:p>
      <w:pPr>
        <w:spacing w:after="0" w:line="149" w:lineRule="exact"/>
        <w:rPr>
          <w:rFonts w:ascii="Arial" w:cs="Arial" w:eastAsia="Arial" w:hAnsi="Arial"/>
          <w:sz w:val="19"/>
          <w:szCs w:val="19"/>
          <w:color w:val="auto"/>
        </w:rPr>
      </w:pPr>
    </w:p>
    <w:p>
      <w:pPr>
        <w:jc w:val="both"/>
        <w:ind w:firstLine="1304"/>
        <w:spacing w:after="0" w:line="248" w:lineRule="auto"/>
        <w:tabs>
          <w:tab w:leader="none" w:pos="190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Sanctioned Persons</w:t>
      </w:r>
      <w:r>
        <w:rPr>
          <w:rFonts w:ascii="Arial" w:cs="Arial" w:eastAsia="Arial" w:hAnsi="Arial"/>
          <w:sz w:val="22"/>
          <w:szCs w:val="22"/>
          <w:color w:val="auto"/>
        </w:rPr>
        <w:t>. None of the Borrower or any of its Subsidiaries or any director or officer of the Borrower of any of its Subsidiaries or, to the knowledge of the Borrower, any employee, agent or Affiliate of the Borrower or any of its Subsidiaries is a Person that is, or is owned or controlled by one or more Persons that are: (i) the subject or target of any economic or financial sanctions or trade embargoes administered or enforced by the U.S. government (including the Office of Foreign Assets Control of the U.S. Department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428" w:right="339" w:bottom="1440" w:gutter="0" w:footer="0" w:header="0"/>
        </w:sectPr>
      </w:pPr>
    </w:p>
    <w:bookmarkStart w:id="197" w:name="page198"/>
    <w:bookmarkEnd w:id="197"/>
    <w:p>
      <w:pPr>
        <w:jc w:val="both"/>
        <w:spacing w:after="0" w:line="285" w:lineRule="auto"/>
        <w:rPr>
          <w:sz w:val="20"/>
          <w:szCs w:val="20"/>
          <w:color w:val="auto"/>
        </w:rPr>
      </w:pPr>
      <w:r>
        <w:rPr>
          <w:rFonts w:ascii="Arial" w:cs="Arial" w:eastAsia="Arial" w:hAnsi="Arial"/>
          <w:sz w:val="19"/>
          <w:szCs w:val="19"/>
          <w:color w:val="auto"/>
        </w:rPr>
        <w:t>Treasury (“</w:t>
      </w:r>
      <w:r>
        <w:rPr>
          <w:rFonts w:ascii="Arial" w:cs="Arial" w:eastAsia="Arial" w:hAnsi="Arial"/>
          <w:sz w:val="19"/>
          <w:szCs w:val="19"/>
          <w:u w:val="single" w:color="auto"/>
          <w:color w:val="auto"/>
        </w:rPr>
        <w:t>OFAC</w:t>
      </w:r>
      <w:r>
        <w:rPr>
          <w:rFonts w:ascii="Arial" w:cs="Arial" w:eastAsia="Arial" w:hAnsi="Arial"/>
          <w:sz w:val="19"/>
          <w:szCs w:val="19"/>
          <w:color w:val="auto"/>
        </w:rPr>
        <w:t>”) and the U.S. Department of State), the United Nations Security Council, the European Union, the United Kingdom (including Her Majesty’s Treasury) or other relevant governmental authority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or (ii) domiciled, organized or resident in a country or territory that is, or whose government is, the subject of comprehensive Sanctions (as of the date hereof, Cuba, Iran, North Korea, Syria and the Crimea region of Ukraine) (each, a “</w:t>
      </w:r>
      <w:r>
        <w:rPr>
          <w:rFonts w:ascii="Arial" w:cs="Arial" w:eastAsia="Arial" w:hAnsi="Arial"/>
          <w:sz w:val="19"/>
          <w:szCs w:val="19"/>
          <w:u w:val="single" w:color="auto"/>
          <w:color w:val="auto"/>
        </w:rPr>
        <w:t>Sanctioned Country</w:t>
      </w:r>
      <w:r>
        <w:rPr>
          <w:rFonts w:ascii="Arial" w:cs="Arial" w:eastAsia="Arial" w:hAnsi="Arial"/>
          <w:sz w:val="19"/>
          <w:szCs w:val="19"/>
          <w:color w:val="auto"/>
        </w:rPr>
        <w:t>”). The Borrower will not, directly or indirectly, use the proceeds of the Loans or otherwise make available such proceeds to any Person</w:t>
      </w:r>
    </w:p>
    <w:p>
      <w:pPr>
        <w:spacing w:after="0" w:line="3" w:lineRule="exact"/>
        <w:rPr>
          <w:sz w:val="20"/>
          <w:szCs w:val="20"/>
          <w:color w:val="auto"/>
        </w:rPr>
      </w:pPr>
    </w:p>
    <w:p>
      <w:pPr>
        <w:ind w:left="380" w:hanging="372"/>
        <w:spacing w:after="0"/>
        <w:tabs>
          <w:tab w:leader="none" w:pos="38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to fund or facilitate any activities or business of, with or involving any Person that is the subject or target of any Sanctions</w:t>
      </w:r>
    </w:p>
    <w:p>
      <w:pPr>
        <w:spacing w:after="0" w:line="38" w:lineRule="exact"/>
        <w:rPr>
          <w:rFonts w:ascii="Arial" w:cs="Arial" w:eastAsia="Arial" w:hAnsi="Arial"/>
          <w:sz w:val="19"/>
          <w:szCs w:val="19"/>
          <w:color w:val="auto"/>
        </w:rPr>
      </w:pPr>
    </w:p>
    <w:p>
      <w:pPr>
        <w:ind w:firstLine="8"/>
        <w:spacing w:after="0" w:line="246" w:lineRule="auto"/>
        <w:tabs>
          <w:tab w:leader="none" w:pos="35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to fund or facilitate any activities or business in or involving any Sanctioned Country or (C) in any other manner that would constitute or give rise to violation of Sanctions by any Person, including any Lender.</w:t>
      </w:r>
    </w:p>
    <w:p>
      <w:pPr>
        <w:spacing w:after="0" w:line="19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4.23</w:t>
      </w:r>
      <w:r>
        <w:rPr>
          <w:sz w:val="20"/>
          <w:szCs w:val="20"/>
          <w:color w:val="auto"/>
        </w:rPr>
        <w:tab/>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No Loan Party is an EEA Financial Institution.</w:t>
      </w:r>
    </w:p>
    <w:p>
      <w:pPr>
        <w:spacing w:after="0" w:line="22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SECTION 5. CONDITIONS PRECEDENT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Conditions to Initial Extension of Credit</w:t>
      </w:r>
      <w:r>
        <w:rPr>
          <w:rFonts w:ascii="Arial" w:cs="Arial" w:eastAsia="Arial" w:hAnsi="Arial"/>
          <w:sz w:val="22"/>
          <w:szCs w:val="22"/>
          <w:color w:val="auto"/>
        </w:rPr>
        <w:t>. The agreement of each Lender to make the initial extension of credit requested to be made by it hereunder is subject to the satisfaction, prior to or concurrently with the making of such extension of credit on the Closing Date of the Conditions to Effectiveness set forth below:</w:t>
      </w:r>
    </w:p>
    <w:p>
      <w:pPr>
        <w:spacing w:after="0" w:line="185" w:lineRule="exact"/>
        <w:rPr>
          <w:sz w:val="20"/>
          <w:szCs w:val="20"/>
          <w:color w:val="auto"/>
        </w:rPr>
      </w:pPr>
    </w:p>
    <w:p>
      <w:pPr>
        <w:jc w:val="both"/>
        <w:ind w:firstLine="1304"/>
        <w:spacing w:after="0" w:line="250" w:lineRule="auto"/>
        <w:tabs>
          <w:tab w:leader="none" w:pos="194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 from each party hereto either (i) a counterpart of this Agreement signed on behalf of such party or (ii) written evidence satisfactory to the Administrative Agent (which may include telecopy or electronic transmission of a signed signature page of this Agreement) that such party has signed a counterpart of this Agreement.</w:t>
      </w:r>
    </w:p>
    <w:p>
      <w:pPr>
        <w:spacing w:after="0" w:line="187" w:lineRule="exact"/>
        <w:rPr>
          <w:rFonts w:ascii="Arial" w:cs="Arial" w:eastAsia="Arial" w:hAnsi="Arial"/>
          <w:sz w:val="22"/>
          <w:szCs w:val="22"/>
          <w:color w:val="auto"/>
        </w:rPr>
      </w:pPr>
    </w:p>
    <w:p>
      <w:pPr>
        <w:ind w:firstLine="1304"/>
        <w:spacing w:after="0" w:line="287" w:lineRule="auto"/>
        <w:tabs>
          <w:tab w:leader="none" w:pos="1939"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Administrative Agent shall have received a favorable written opinion (addressed to the Administrative Agent and the Lenders and dated the Closing Date) of Hogan Lovells US LLP, counsel for the Borrower.</w:t>
      </w:r>
    </w:p>
    <w:p>
      <w:pPr>
        <w:spacing w:after="0" w:line="151" w:lineRule="exact"/>
        <w:rPr>
          <w:rFonts w:ascii="Arial" w:cs="Arial" w:eastAsia="Arial" w:hAnsi="Arial"/>
          <w:sz w:val="21"/>
          <w:szCs w:val="21"/>
          <w:color w:val="auto"/>
        </w:rPr>
      </w:pPr>
    </w:p>
    <w:p>
      <w:pPr>
        <w:jc w:val="both"/>
        <w:ind w:firstLine="1304"/>
        <w:spacing w:after="0" w:line="312" w:lineRule="auto"/>
        <w:tabs>
          <w:tab w:leader="none" w:pos="194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documents and certificates as the Administrative Agent or its counsel may reasonably request relating to the organization, existence and good standing of the Borrower and the legal authorization of the Transactions, all in form and substance reasonably satisfactory to the Administrative Agent and its counsel.</w:t>
      </w:r>
    </w:p>
    <w:p>
      <w:pPr>
        <w:spacing w:after="0" w:line="133"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Administrative Agent shall have received a certificate, dated the Closing Date and signed by a Responsible Officer of the Borrower, confirming compliance with the conditions set forth in paragraphs (a) and (b) of Section 5.2.</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1941"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Administrative Agent shall have received all fees and other amounts due and payable on or prior to the Closing Date, including, to the extent invoiced at least three (3) Business Days Prior to the date hereof, reimbursement or payment of all out of all reasonable and documented out-of-pocket expenses required to be reimbursed or paid by the Borrower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240"/>
          </w:cols>
          <w:pgMar w:left="320" w:top="1428" w:right="339" w:bottom="1440" w:gutter="0" w:footer="0" w:header="0"/>
        </w:sectPr>
      </w:pPr>
    </w:p>
    <w:bookmarkStart w:id="198" w:name="page199"/>
    <w:bookmarkEnd w:id="198"/>
    <w:p>
      <w:pPr>
        <w:jc w:val="both"/>
        <w:ind w:firstLine="1304"/>
        <w:spacing w:after="0" w:line="259" w:lineRule="auto"/>
        <w:tabs>
          <w:tab w:leader="none" w:pos="2015" w:val="left"/>
        </w:tabs>
        <w:numPr>
          <w:ilvl w:val="0"/>
          <w:numId w:val="141"/>
        </w:numPr>
        <w:rPr>
          <w:rFonts w:ascii="Arial" w:cs="Arial" w:eastAsia="Arial" w:hAnsi="Arial"/>
          <w:sz w:val="21"/>
          <w:szCs w:val="21"/>
          <w:color w:val="auto"/>
        </w:rPr>
      </w:pPr>
      <w:r>
        <w:rPr>
          <w:rFonts w:ascii="Arial" w:cs="Arial" w:eastAsia="Arial" w:hAnsi="Arial"/>
          <w:sz w:val="21"/>
          <w:szCs w:val="21"/>
          <w:color w:val="auto"/>
        </w:rPr>
        <w:t>(i) The Administrative Agent shall have received all documentation and other information regarding the Borrower requested in connection with applicable “know your customer” and anti-money laundering rules and regulations, including the PATRIOT Act, to the extent requested in writing of the Borrower at least 10 Business Days prior to the Closing Date and (ii) to the extent the Borrower qualifies as a “legal entity customer” under the Beneficial Ownership Regulation, any Lender that has requested, in a written notice to the Borrower at least 10 Business Days prior to the Closing Date, a Beneficial Ownership Certification in relation to the Borrower, shall have received such Beneficial Ownership Certification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upon the execution and delivery of such Lender of its signature page to this Agreement, the condition set forth in this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shall be deemed to be satisfied).</w:t>
      </w:r>
    </w:p>
    <w:p>
      <w:pPr>
        <w:spacing w:after="0" w:line="18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Conditions to Each Extension of Credit</w:t>
      </w:r>
      <w:r>
        <w:rPr>
          <w:rFonts w:ascii="Arial" w:cs="Arial" w:eastAsia="Arial" w:hAnsi="Arial"/>
          <w:sz w:val="22"/>
          <w:szCs w:val="22"/>
          <w:color w:val="auto"/>
        </w:rPr>
        <w:t>. The agreement of each Lender to make any extension of credit requested to be made by it hereunder on any date (including, without limitation, its initial extension of credit on the Closing Date</w:t>
      </w:r>
      <w:r>
        <w:rPr>
          <w:rFonts w:ascii="Arial" w:cs="Arial" w:eastAsia="Arial" w:hAnsi="Arial"/>
          <w:sz w:val="22"/>
          <w:szCs w:val="22"/>
          <w:u w:val="single" w:color="auto"/>
          <w:color w:val="0000FF"/>
        </w:rPr>
        <w:t>,</w:t>
      </w:r>
      <w:r>
        <w:rPr>
          <w:rFonts w:ascii="Arial" w:cs="Arial" w:eastAsia="Arial" w:hAnsi="Arial"/>
          <w:sz w:val="22"/>
          <w:szCs w:val="22"/>
          <w:color w:val="auto"/>
        </w:rPr>
        <w:t xml:space="preserve"> </w:t>
      </w:r>
      <w:r>
        <w:rPr>
          <w:rFonts w:ascii="Arial" w:cs="Arial" w:eastAsia="Arial" w:hAnsi="Arial"/>
          <w:sz w:val="22"/>
          <w:szCs w:val="22"/>
          <w:u w:val="single" w:color="auto"/>
          <w:color w:val="0000FF"/>
        </w:rPr>
        <w:t>but excluding extensions of credit with respect to New Incremental Loans</w:t>
      </w:r>
      <w:r>
        <w:rPr>
          <w:rFonts w:ascii="Arial" w:cs="Arial" w:eastAsia="Arial" w:hAnsi="Arial"/>
          <w:sz w:val="22"/>
          <w:szCs w:val="22"/>
          <w:color w:val="000000"/>
        </w:rPr>
        <w:t>) is subject to the satisfaction of the following</w:t>
      </w:r>
      <w:r>
        <w:rPr>
          <w:rFonts w:ascii="Arial" w:cs="Arial" w:eastAsia="Arial" w:hAnsi="Arial"/>
          <w:sz w:val="22"/>
          <w:szCs w:val="22"/>
          <w:color w:val="0000FF"/>
        </w:rPr>
        <w:t xml:space="preserve"> </w:t>
      </w:r>
      <w:r>
        <w:rPr>
          <w:rFonts w:ascii="Arial" w:cs="Arial" w:eastAsia="Arial" w:hAnsi="Arial"/>
          <w:sz w:val="22"/>
          <w:szCs w:val="22"/>
          <w:color w:val="000000"/>
        </w:rPr>
        <w:t xml:space="preserve">conditions precedent, subject, in the case of any Loan in connection with a Limited Condition Transaction, to the provisions of </w:t>
      </w:r>
      <w:r>
        <w:rPr>
          <w:rFonts w:ascii="Arial" w:cs="Arial" w:eastAsia="Arial" w:hAnsi="Arial"/>
          <w:sz w:val="22"/>
          <w:szCs w:val="22"/>
          <w:u w:val="single" w:color="auto"/>
          <w:color w:val="000000"/>
        </w:rPr>
        <w:t>Section 2.25(</w:t>
      </w:r>
      <w:r>
        <w:rPr>
          <w:rFonts w:ascii="Arial" w:cs="Arial" w:eastAsia="Arial" w:hAnsi="Arial"/>
          <w:sz w:val="22"/>
          <w:szCs w:val="22"/>
          <w:u w:val="single" w:color="auto"/>
          <w:color w:val="FF0000"/>
          <w:strike w:val="1"/>
        </w:rPr>
        <w:t>e)</w:t>
      </w:r>
      <w:r>
        <w:rPr>
          <w:rFonts w:ascii="Arial" w:cs="Arial" w:eastAsia="Arial" w:hAnsi="Arial"/>
          <w:sz w:val="22"/>
          <w:szCs w:val="22"/>
          <w:color w:val="000000"/>
        </w:rPr>
        <w:t xml:space="preserve"> </w:t>
      </w:r>
      <w:r>
        <w:rPr>
          <w:rFonts w:ascii="Arial" w:cs="Arial" w:eastAsia="Arial" w:hAnsi="Arial"/>
          <w:sz w:val="22"/>
          <w:szCs w:val="22"/>
          <w:color w:val="FF0000"/>
          <w:strike w:val="1"/>
        </w:rPr>
        <w:t>and</w:t>
      </w:r>
      <w:r>
        <w:rPr>
          <w:rFonts w:ascii="Arial" w:cs="Arial" w:eastAsia="Arial" w:hAnsi="Arial"/>
          <w:sz w:val="22"/>
          <w:szCs w:val="22"/>
          <w:color w:val="000000"/>
        </w:rPr>
        <w:t xml:space="preserve"> </w:t>
      </w:r>
      <w:r>
        <w:rPr>
          <w:rFonts w:ascii="Arial" w:cs="Arial" w:eastAsia="Arial" w:hAnsi="Arial"/>
          <w:sz w:val="22"/>
          <w:szCs w:val="22"/>
          <w:u w:val="single" w:color="auto"/>
          <w:color w:val="FF0000"/>
          <w:strike w:val="1"/>
        </w:rPr>
        <w:t>Section 2.26(d</w:t>
      </w:r>
      <w:r>
        <w:rPr>
          <w:rFonts w:ascii="Arial" w:cs="Arial" w:eastAsia="Arial" w:hAnsi="Arial"/>
          <w:sz w:val="22"/>
          <w:szCs w:val="22"/>
          <w:u w:val="single" w:color="auto"/>
          <w:color w:val="0000FF"/>
        </w:rPr>
        <w:t>f</w:t>
      </w:r>
      <w:r>
        <w:rPr>
          <w:rFonts w:ascii="Arial" w:cs="Arial" w:eastAsia="Arial" w:hAnsi="Arial"/>
          <w:sz w:val="22"/>
          <w:szCs w:val="22"/>
          <w:u w:val="single" w:color="auto"/>
          <w:color w:val="000000"/>
        </w:rPr>
        <w:t>)</w:t>
      </w:r>
      <w:r>
        <w:rPr>
          <w:rFonts w:ascii="Arial" w:cs="Arial" w:eastAsia="Arial" w:hAnsi="Arial"/>
          <w:sz w:val="22"/>
          <w:szCs w:val="22"/>
          <w:color w:val="000000"/>
        </w:rPr>
        <w:t>:</w:t>
      </w:r>
    </w:p>
    <w:p>
      <w:pPr>
        <w:spacing w:after="0" w:line="192" w:lineRule="exact"/>
        <w:rPr>
          <w:sz w:val="20"/>
          <w:szCs w:val="20"/>
          <w:color w:val="auto"/>
        </w:rPr>
      </w:pPr>
    </w:p>
    <w:p>
      <w:pPr>
        <w:jc w:val="both"/>
        <w:ind w:firstLine="1304"/>
        <w:spacing w:after="0" w:line="247" w:lineRule="auto"/>
        <w:tabs>
          <w:tab w:leader="none" w:pos="1941"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of the representations and warranties made by any Loan Party in or pursuant to the Loan Documents shall be true and correct in all material respects (or, in the case of any such representation or warranty already qualified by materiality, in all respects) on and as of such date as if made on and as of such date, except to the extent such representations and warranties relate to an earlier date, in which case such representations and warranties shall have been true and correct in all material respects (or, in the case of any such representation or warranty already qualified by materiality, in all respects) as of such earlier date.</w:t>
      </w:r>
    </w:p>
    <w:p>
      <w:pPr>
        <w:spacing w:after="0" w:line="192" w:lineRule="exact"/>
        <w:rPr>
          <w:rFonts w:ascii="Arial" w:cs="Arial" w:eastAsia="Arial" w:hAnsi="Arial"/>
          <w:sz w:val="22"/>
          <w:szCs w:val="22"/>
          <w:color w:val="auto"/>
        </w:rPr>
      </w:pPr>
    </w:p>
    <w:p>
      <w:pPr>
        <w:ind w:firstLine="1304"/>
        <w:spacing w:after="0" w:line="263" w:lineRule="auto"/>
        <w:tabs>
          <w:tab w:leader="none" w:pos="1939"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No Default</w:t>
      </w:r>
      <w:r>
        <w:rPr>
          <w:rFonts w:ascii="Arial" w:cs="Arial" w:eastAsia="Arial" w:hAnsi="Arial"/>
          <w:sz w:val="22"/>
          <w:szCs w:val="22"/>
          <w:color w:val="auto"/>
        </w:rPr>
        <w:t>. No Default or Event of Default shall have occurred and be continuing on such date or after giving effect to the extensions of credit requested to be made on such date.</w:t>
      </w:r>
    </w:p>
    <w:p>
      <w:pPr>
        <w:spacing w:after="0" w:line="175" w:lineRule="exact"/>
        <w:rPr>
          <w:sz w:val="20"/>
          <w:szCs w:val="20"/>
          <w:color w:val="auto"/>
        </w:rPr>
      </w:pPr>
    </w:p>
    <w:p>
      <w:pPr>
        <w:jc w:val="both"/>
        <w:ind w:right="620" w:firstLine="1296"/>
        <w:spacing w:after="0" w:line="253" w:lineRule="auto"/>
        <w:rPr>
          <w:sz w:val="20"/>
          <w:szCs w:val="20"/>
          <w:color w:val="auto"/>
        </w:rPr>
      </w:pPr>
      <w:r>
        <w:rPr>
          <w:rFonts w:ascii="Arial" w:cs="Arial" w:eastAsia="Arial" w:hAnsi="Arial"/>
          <w:sz w:val="22"/>
          <w:szCs w:val="22"/>
          <w:color w:val="auto"/>
        </w:rPr>
        <w:t xml:space="preserve">Each borrowing by and issuance of a Letter of Credit on behalf of the Borrower hereunder shall constitute a representation and warranty by the Borrower as of the date of such extension of credit that the conditions contained in this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have been satisfied.</w:t>
      </w:r>
    </w:p>
    <w:p>
      <w:pPr>
        <w:spacing w:after="0" w:line="18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u w:val="single" w:color="auto"/>
          <w:color w:val="0000FF"/>
        </w:rPr>
        <w:t>5.3 Conditions to New Incremental Loans. The agreement of each New Incremental Loan Lender to provide the New Incremental Loans is subject solely to the conditions set forth below:</w:t>
      </w:r>
    </w:p>
    <w:p>
      <w:pPr>
        <w:spacing w:after="0" w:line="175" w:lineRule="exact"/>
        <w:rPr>
          <w:sz w:val="20"/>
          <w:szCs w:val="20"/>
          <w:color w:val="auto"/>
        </w:rPr>
      </w:pPr>
    </w:p>
    <w:p>
      <w:pPr>
        <w:jc w:val="both"/>
        <w:ind w:right="460" w:firstLine="1304"/>
        <w:spacing w:after="0" w:line="253" w:lineRule="auto"/>
        <w:tabs>
          <w:tab w:leader="none" w:pos="1941" w:val="left"/>
        </w:tabs>
        <w:numPr>
          <w:ilvl w:val="0"/>
          <w:numId w:val="143"/>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Borrowing Notice. The Borrower shall have delivered to the Administrative Agent a borrowing notice setting forth the location and number of the Borrower’s account to which funds are to be disbursed (which the parties hereto agree was delivered prior Amendment No. 2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428" w:right="339" w:bottom="1440" w:gutter="0" w:footer="0" w:header="0"/>
        </w:sectPr>
      </w:pPr>
    </w:p>
    <w:bookmarkStart w:id="199" w:name="page200"/>
    <w:bookmarkEnd w:id="199"/>
    <w:p>
      <w:pPr>
        <w:ind w:firstLine="1304"/>
        <w:spacing w:after="0" w:line="263" w:lineRule="auto"/>
        <w:tabs>
          <w:tab w:leader="none" w:pos="1939" w:val="left"/>
        </w:tabs>
        <w:numPr>
          <w:ilvl w:val="0"/>
          <w:numId w:val="144"/>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No Event of Default. No Event of Default shall have occurred and be continuing on such date or after giving effect to the extensions of credit requested to be made on such date.</w:t>
      </w:r>
    </w:p>
    <w:p>
      <w:pPr>
        <w:spacing w:after="0" w:line="174" w:lineRule="exact"/>
        <w:rPr>
          <w:rFonts w:ascii="Arial" w:cs="Arial" w:eastAsia="Arial" w:hAnsi="Arial"/>
          <w:sz w:val="22"/>
          <w:szCs w:val="22"/>
          <w:u w:val="single" w:color="auto"/>
          <w:color w:val="0000FF"/>
        </w:rPr>
      </w:pPr>
    </w:p>
    <w:p>
      <w:pPr>
        <w:jc w:val="both"/>
        <w:ind w:firstLine="1304"/>
        <w:spacing w:after="0" w:line="250" w:lineRule="auto"/>
        <w:tabs>
          <w:tab w:leader="none" w:pos="1941" w:val="left"/>
        </w:tabs>
        <w:numPr>
          <w:ilvl w:val="0"/>
          <w:numId w:val="144"/>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Fees. The Borrower shall have paid on the New Incremental Loan Funding Date, in full in cash all reasonable out-of-pocket fees and expenses payable to Gibson, Dunn &amp; Crutcher LLP, in connection with the syndication, negotiation, documentation and execution and delivery of Amendment No. 2 (</w:t>
      </w:r>
      <w:r>
        <w:rPr>
          <w:rFonts w:ascii="Arial" w:cs="Arial" w:eastAsia="Arial" w:hAnsi="Arial"/>
          <w:sz w:val="22"/>
          <w:szCs w:val="22"/>
          <w:u w:val="single" w:color="auto"/>
          <w:color w:val="008000"/>
        </w:rPr>
        <w:t>in each case, to the extent</w:t>
      </w:r>
      <w:r>
        <w:rPr>
          <w:rFonts w:ascii="Arial" w:cs="Arial" w:eastAsia="Arial" w:hAnsi="Arial"/>
          <w:sz w:val="22"/>
          <w:szCs w:val="22"/>
          <w:u w:val="single" w:color="auto"/>
          <w:color w:val="0000FF"/>
        </w:rPr>
        <w:t xml:space="preserve"> invoiced on or prior to March 5, 2021).</w:t>
      </w:r>
    </w:p>
    <w:p>
      <w:pPr>
        <w:spacing w:after="0" w:line="188" w:lineRule="exact"/>
        <w:rPr>
          <w:sz w:val="20"/>
          <w:szCs w:val="20"/>
          <w:color w:val="auto"/>
        </w:rPr>
      </w:pPr>
    </w:p>
    <w:p>
      <w:pPr>
        <w:ind w:right="20" w:firstLine="1296"/>
        <w:spacing w:after="0" w:line="246" w:lineRule="auto"/>
        <w:rPr>
          <w:sz w:val="20"/>
          <w:szCs w:val="20"/>
          <w:color w:val="auto"/>
        </w:rPr>
      </w:pPr>
      <w:r>
        <w:rPr>
          <w:rFonts w:ascii="Arial" w:cs="Arial" w:eastAsia="Arial" w:hAnsi="Arial"/>
          <w:sz w:val="22"/>
          <w:szCs w:val="22"/>
          <w:u w:val="single" w:color="auto"/>
          <w:color w:val="0000FF"/>
        </w:rPr>
        <w:t xml:space="preserve">The borrowing of the New Incremental Loans shall constitute a representation and warranty by the Borrower as of the date of such extension of credit that each of the representations and warranties made by the Borrower in or pursuant to the Loan Documents </w:t>
      </w:r>
      <w:r>
        <w:rPr>
          <w:rFonts w:ascii="Arial" w:cs="Arial" w:eastAsia="Arial" w:hAnsi="Arial"/>
          <w:sz w:val="22"/>
          <w:szCs w:val="22"/>
          <w:u w:val="single" w:color="auto"/>
          <w:color w:val="008000"/>
        </w:rPr>
        <w:t>shall be true and correct in all material respects</w:t>
      </w:r>
      <w:r>
        <w:rPr>
          <w:rFonts w:ascii="Arial" w:cs="Arial" w:eastAsia="Arial" w:hAnsi="Arial"/>
          <w:sz w:val="22"/>
          <w:szCs w:val="22"/>
          <w:u w:val="single" w:color="auto"/>
          <w:color w:val="0000FF"/>
        </w:rPr>
        <w:t xml:space="preserve"> (or, in the case of any such representation or warranty already qualified by materiality, in all respects) on and as of such date as if made on and as of such date, except to the extent such representations and warranties relate to an earlier date, in which case such representations and warranties shall have been </w:t>
      </w:r>
      <w:r>
        <w:rPr>
          <w:rFonts w:ascii="Arial" w:cs="Arial" w:eastAsia="Arial" w:hAnsi="Arial"/>
          <w:sz w:val="22"/>
          <w:szCs w:val="22"/>
          <w:u w:val="single" w:color="auto"/>
          <w:color w:val="008000"/>
        </w:rPr>
        <w:t>true and</w:t>
      </w:r>
      <w:r>
        <w:rPr>
          <w:rFonts w:ascii="Arial" w:cs="Arial" w:eastAsia="Arial" w:hAnsi="Arial"/>
          <w:sz w:val="22"/>
          <w:szCs w:val="22"/>
          <w:u w:val="single" w:color="auto"/>
          <w:color w:val="0000FF"/>
        </w:rPr>
        <w:t xml:space="preserve"> </w:t>
      </w:r>
      <w:r>
        <w:rPr>
          <w:rFonts w:ascii="Arial" w:cs="Arial" w:eastAsia="Arial" w:hAnsi="Arial"/>
          <w:sz w:val="22"/>
          <w:szCs w:val="22"/>
          <w:u w:val="single" w:color="auto"/>
          <w:color w:val="008000"/>
        </w:rPr>
        <w:t xml:space="preserve">correct in all material respects </w:t>
      </w:r>
      <w:r>
        <w:rPr>
          <w:rFonts w:ascii="Arial" w:cs="Arial" w:eastAsia="Arial" w:hAnsi="Arial"/>
          <w:sz w:val="22"/>
          <w:szCs w:val="22"/>
          <w:u w:val="single" w:color="auto"/>
          <w:color w:val="0000FF"/>
        </w:rPr>
        <w:t>(or, in the case of any such representation or warranty already qualified by materiality, in all</w:t>
      </w:r>
      <w:r>
        <w:rPr>
          <w:rFonts w:ascii="Arial" w:cs="Arial" w:eastAsia="Arial" w:hAnsi="Arial"/>
          <w:sz w:val="22"/>
          <w:szCs w:val="22"/>
          <w:u w:val="single" w:color="auto"/>
          <w:color w:val="008000"/>
        </w:rPr>
        <w:t xml:space="preserve"> </w:t>
      </w:r>
      <w:r>
        <w:rPr>
          <w:rFonts w:ascii="Arial" w:cs="Arial" w:eastAsia="Arial" w:hAnsi="Arial"/>
          <w:sz w:val="22"/>
          <w:szCs w:val="22"/>
          <w:u w:val="single" w:color="auto"/>
          <w:color w:val="0000FF"/>
        </w:rPr>
        <w:t>respects) as of such earlier date.</w:t>
      </w:r>
    </w:p>
    <w:p>
      <w:pPr>
        <w:spacing w:after="0" w:line="196"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SECTION 6. AFFIRMATIVE COVENANTS</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The Borrower hereby agrees that, until the Obligations have been Discharged in Full, the Borrower shall and shall cause each of its Subsidiaries to:</w:t>
      </w:r>
    </w:p>
    <w:p>
      <w:pPr>
        <w:spacing w:after="0" w:line="175" w:lineRule="exact"/>
        <w:rPr>
          <w:sz w:val="20"/>
          <w:szCs w:val="20"/>
          <w:color w:val="auto"/>
        </w:rPr>
      </w:pPr>
    </w:p>
    <w:p>
      <w:pPr>
        <w:jc w:val="center"/>
        <w:ind w:right="40"/>
        <w:spacing w:after="0"/>
        <w:tabs>
          <w:tab w:leader="none" w:pos="3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Financial Statements</w:t>
      </w:r>
      <w:r>
        <w:rPr>
          <w:rFonts w:ascii="Arial" w:cs="Arial" w:eastAsia="Arial" w:hAnsi="Arial"/>
          <w:sz w:val="19"/>
          <w:szCs w:val="19"/>
          <w:color w:val="auto"/>
        </w:rPr>
        <w:t>. Furnish to the Administrative Agent (for distribution to each Lender):</w:t>
      </w:r>
    </w:p>
    <w:p>
      <w:pPr>
        <w:spacing w:after="0" w:line="220" w:lineRule="exact"/>
        <w:rPr>
          <w:sz w:val="20"/>
          <w:szCs w:val="20"/>
          <w:color w:val="auto"/>
        </w:rPr>
      </w:pPr>
    </w:p>
    <w:p>
      <w:pPr>
        <w:jc w:val="both"/>
        <w:ind w:firstLine="1304"/>
        <w:spacing w:after="0" w:line="257" w:lineRule="auto"/>
        <w:tabs>
          <w:tab w:leader="none" w:pos="1941" w:val="left"/>
        </w:tabs>
        <w:numPr>
          <w:ilvl w:val="0"/>
          <w:numId w:val="145"/>
        </w:numPr>
        <w:rPr>
          <w:rFonts w:ascii="Arial" w:cs="Arial" w:eastAsia="Arial" w:hAnsi="Arial"/>
          <w:sz w:val="21"/>
          <w:szCs w:val="21"/>
          <w:color w:val="auto"/>
        </w:rPr>
      </w:pPr>
      <w:r>
        <w:rPr>
          <w:rFonts w:ascii="Arial" w:cs="Arial" w:eastAsia="Arial" w:hAnsi="Arial"/>
          <w:sz w:val="21"/>
          <w:szCs w:val="21"/>
          <w:color w:val="auto"/>
        </w:rPr>
        <w:t>as soon as available, but in any event within 120 days after the end of each fiscal year of the Borrower, a copy of the audited consolidated balance sheet of the Borrower and its consolidated Subsidiaries as at the end of such fiscal year and the related audited consolidated statements of income and of cash flows for such fiscal year, setting forth in each case in comparative form the figures as of the end of and for the previous fiscal year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comparative information shall be required for the audited financial statements delivered for the fiscal year ending December 2018), reported on without a “going concern” or like qualification or exception (except </w:t>
      </w:r>
      <w:r>
        <w:rPr>
          <w:rFonts w:ascii="Arial" w:cs="Arial" w:eastAsia="Arial" w:hAnsi="Arial"/>
          <w:sz w:val="21"/>
          <w:szCs w:val="21"/>
          <w:u w:val="single" w:color="auto"/>
          <w:color w:val="0000FF"/>
        </w:rPr>
        <w:t>in respect of the financial statements delivered (or to be delivered) for</w:t>
      </w:r>
      <w:r>
        <w:rPr>
          <w:rFonts w:ascii="Arial" w:cs="Arial" w:eastAsia="Arial" w:hAnsi="Arial"/>
          <w:sz w:val="21"/>
          <w:szCs w:val="21"/>
          <w:color w:val="auto"/>
        </w:rPr>
        <w:t xml:space="preserve"> </w:t>
      </w:r>
      <w:r>
        <w:rPr>
          <w:rFonts w:ascii="Arial" w:cs="Arial" w:eastAsia="Arial" w:hAnsi="Arial"/>
          <w:sz w:val="21"/>
          <w:szCs w:val="21"/>
          <w:u w:val="single" w:color="auto"/>
          <w:color w:val="0000FF"/>
        </w:rPr>
        <w:t>the fiscal year ended (on or around) December 31, 2020, and except</w:t>
      </w:r>
      <w:r>
        <w:rPr>
          <w:rFonts w:ascii="Arial" w:cs="Arial" w:eastAsia="Arial" w:hAnsi="Arial"/>
          <w:sz w:val="21"/>
          <w:szCs w:val="21"/>
          <w:color w:val="0000FF"/>
        </w:rPr>
        <w:t xml:space="preserve"> </w:t>
      </w:r>
      <w:r>
        <w:rPr>
          <w:rFonts w:ascii="Arial" w:cs="Arial" w:eastAsia="Arial" w:hAnsi="Arial"/>
          <w:sz w:val="21"/>
          <w:szCs w:val="21"/>
          <w:color w:val="000000"/>
        </w:rPr>
        <w:t>for a going concern qualification arising solely from the</w:t>
      </w:r>
      <w:r>
        <w:rPr>
          <w:rFonts w:ascii="Arial" w:cs="Arial" w:eastAsia="Arial" w:hAnsi="Arial"/>
          <w:sz w:val="21"/>
          <w:szCs w:val="21"/>
          <w:color w:val="0000FF"/>
        </w:rPr>
        <w:t xml:space="preserve"> </w:t>
      </w:r>
      <w:r>
        <w:rPr>
          <w:rFonts w:ascii="Arial" w:cs="Arial" w:eastAsia="Arial" w:hAnsi="Arial"/>
          <w:sz w:val="21"/>
          <w:szCs w:val="21"/>
          <w:color w:val="000000"/>
        </w:rPr>
        <w:t xml:space="preserve">current scheduled maturity of the Loans occurring within one year from the time such opinion is delivered), or qualification arising out of the scope of the audit, by Deloitte &amp; Touche LLP or other independent certified public accountants of nationally recognized standing;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such financial statements and reports set forth in this </w:t>
      </w:r>
      <w:r>
        <w:rPr>
          <w:rFonts w:ascii="Arial" w:cs="Arial" w:eastAsia="Arial" w:hAnsi="Arial"/>
          <w:sz w:val="21"/>
          <w:szCs w:val="21"/>
          <w:u w:val="single" w:color="auto"/>
          <w:color w:val="000000"/>
        </w:rPr>
        <w:t>Section 6.1(a)</w:t>
      </w:r>
      <w:r>
        <w:rPr>
          <w:rFonts w:ascii="Arial" w:cs="Arial" w:eastAsia="Arial" w:hAnsi="Arial"/>
          <w:sz w:val="21"/>
          <w:szCs w:val="21"/>
          <w:color w:val="000000"/>
        </w:rPr>
        <w:t xml:space="preserve"> shall be deemed to be delivered upon the filing with the SEC of the </w:t>
      </w:r>
      <w:r>
        <w:rPr>
          <w:rFonts w:ascii="Arial" w:cs="Arial" w:eastAsia="Arial" w:hAnsi="Arial"/>
          <w:sz w:val="21"/>
          <w:szCs w:val="21"/>
          <w:color w:val="FF0000"/>
          <w:strike w:val="1"/>
        </w:rPr>
        <w:t>Company’s</w:t>
      </w:r>
      <w:r>
        <w:rPr>
          <w:rFonts w:ascii="Arial" w:cs="Arial" w:eastAsia="Arial" w:hAnsi="Arial"/>
          <w:sz w:val="21"/>
          <w:szCs w:val="21"/>
          <w:u w:val="single" w:color="auto"/>
          <w:color w:val="0000FF"/>
        </w:rPr>
        <w:t>Borrower’s</w:t>
      </w:r>
      <w:r>
        <w:rPr>
          <w:rFonts w:ascii="Arial" w:cs="Arial" w:eastAsia="Arial" w:hAnsi="Arial"/>
          <w:sz w:val="21"/>
          <w:szCs w:val="21"/>
          <w:color w:val="000000"/>
        </w:rPr>
        <w:t xml:space="preserve"> or Holding’s, as applicable, form 10-K for the relevant fiscal year; and</w:t>
      </w:r>
    </w:p>
    <w:p>
      <w:pPr>
        <w:spacing w:after="0" w:line="190" w:lineRule="exact"/>
        <w:rPr>
          <w:rFonts w:ascii="Arial" w:cs="Arial" w:eastAsia="Arial" w:hAnsi="Arial"/>
          <w:sz w:val="21"/>
          <w:szCs w:val="21"/>
          <w:color w:val="auto"/>
        </w:rPr>
      </w:pPr>
    </w:p>
    <w:p>
      <w:pPr>
        <w:ind w:firstLine="1304"/>
        <w:spacing w:after="0" w:line="263" w:lineRule="auto"/>
        <w:tabs>
          <w:tab w:leader="none" w:pos="193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as soon as available, but in any event not later than 60 days after the end of each of the first three quarterly periods of each fiscal year of the Borrower, the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240"/>
          </w:cols>
          <w:pgMar w:left="320" w:top="1428" w:right="339" w:bottom="1440" w:gutter="0" w:footer="0" w:header="0"/>
        </w:sectPr>
      </w:pPr>
    </w:p>
    <w:bookmarkStart w:id="200" w:name="page201"/>
    <w:bookmarkEnd w:id="200"/>
    <w:p>
      <w:pPr>
        <w:jc w:val="both"/>
        <w:spacing w:after="0" w:line="290" w:lineRule="auto"/>
        <w:rPr>
          <w:sz w:val="20"/>
          <w:szCs w:val="20"/>
          <w:color w:val="auto"/>
        </w:rPr>
      </w:pPr>
      <w:r>
        <w:rPr>
          <w:rFonts w:ascii="Arial" w:cs="Arial" w:eastAsia="Arial" w:hAnsi="Arial"/>
          <w:sz w:val="19"/>
          <w:szCs w:val="19"/>
          <w:color w:val="auto"/>
        </w:rPr>
        <w:t>consolidated balance sheet of the Borrower and its consolidated Subsidiaries as at the end of such quarter and the related unaudited consolidated statements of income and of cash flows for such quarter and the portion of the fiscal year through the end of such quarter, setting forth in each case in comparative form the figures as of the end of and for the corresponding period in the previous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comparative information shall be required for the financial statements delivered for any fiscal quarter in the fiscal year ending December 2018), certified by a Responsible Officer as being fairly stated in all material respects (subject to normal year-end audit adjustments and the absence of footnotes);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financial statements and reports set forth in this </w:t>
      </w:r>
      <w:r>
        <w:rPr>
          <w:rFonts w:ascii="Arial" w:cs="Arial" w:eastAsia="Arial" w:hAnsi="Arial"/>
          <w:sz w:val="19"/>
          <w:szCs w:val="19"/>
          <w:u w:val="single" w:color="auto"/>
          <w:color w:val="auto"/>
        </w:rPr>
        <w:t>Section 6.1(b)</w:t>
      </w:r>
      <w:r>
        <w:rPr>
          <w:rFonts w:ascii="Arial" w:cs="Arial" w:eastAsia="Arial" w:hAnsi="Arial"/>
          <w:sz w:val="19"/>
          <w:szCs w:val="19"/>
          <w:color w:val="auto"/>
        </w:rPr>
        <w:t xml:space="preserve"> shall be deemed to be delivered upon the filing with the SEC of the </w:t>
      </w:r>
      <w:r>
        <w:rPr>
          <w:rFonts w:ascii="Arial" w:cs="Arial" w:eastAsia="Arial" w:hAnsi="Arial"/>
          <w:sz w:val="19"/>
          <w:szCs w:val="19"/>
          <w:color w:val="FF0000"/>
          <w:strike w:val="1"/>
        </w:rPr>
        <w:t>Company’s</w:t>
      </w:r>
      <w:r>
        <w:rPr>
          <w:rFonts w:ascii="Arial" w:cs="Arial" w:eastAsia="Arial" w:hAnsi="Arial"/>
          <w:sz w:val="19"/>
          <w:szCs w:val="19"/>
          <w:u w:val="single" w:color="auto"/>
          <w:color w:val="0000FF"/>
        </w:rPr>
        <w:t>Borrower’s</w:t>
      </w:r>
      <w:r>
        <w:rPr>
          <w:rFonts w:ascii="Arial" w:cs="Arial" w:eastAsia="Arial" w:hAnsi="Arial"/>
          <w:sz w:val="19"/>
          <w:szCs w:val="19"/>
          <w:color w:val="auto"/>
        </w:rPr>
        <w:t xml:space="preserve"> or Holding’s, as applicable, form 10-Q for the relevant fiscal year;</w:t>
      </w:r>
    </w:p>
    <w:p>
      <w:pPr>
        <w:spacing w:after="0" w:line="15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all such financial statements shall be prepared in reasonable detail and in accordance with GAAP applied consistently throughout the periods reflected therein (except as approved by such accountants or officer, as the case may be, and disclosed therein).</w:t>
      </w:r>
    </w:p>
    <w:p>
      <w:pPr>
        <w:spacing w:after="0" w:line="10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Certificates; Other Information</w:t>
      </w:r>
      <w:r>
        <w:rPr>
          <w:rFonts w:ascii="Arial" w:cs="Arial" w:eastAsia="Arial" w:hAnsi="Arial"/>
          <w:sz w:val="22"/>
          <w:szCs w:val="22"/>
          <w:color w:val="auto"/>
        </w:rPr>
        <w:t xml:space="preserve">. Furnish to the Administrative Agent (for distribution to each Lender), or, in the case of </w:t>
      </w:r>
      <w:r>
        <w:rPr>
          <w:rFonts w:ascii="Arial" w:cs="Arial" w:eastAsia="Arial" w:hAnsi="Arial"/>
          <w:sz w:val="22"/>
          <w:szCs w:val="22"/>
          <w:u w:val="single" w:color="auto"/>
          <w:color w:val="auto"/>
        </w:rPr>
        <w:t>clause (e)</w:t>
      </w:r>
      <w:r>
        <w:rPr>
          <w:rFonts w:ascii="Arial" w:cs="Arial" w:eastAsia="Arial" w:hAnsi="Arial"/>
          <w:sz w:val="22"/>
          <w:szCs w:val="22"/>
          <w:color w:val="auto"/>
        </w:rPr>
        <w:t>, to the relevant Lender:</w:t>
      </w:r>
    </w:p>
    <w:p>
      <w:pPr>
        <w:spacing w:after="0" w:line="175" w:lineRule="exact"/>
        <w:rPr>
          <w:sz w:val="20"/>
          <w:szCs w:val="20"/>
          <w:color w:val="auto"/>
        </w:rPr>
      </w:pPr>
    </w:p>
    <w:p>
      <w:pPr>
        <w:jc w:val="both"/>
        <w:ind w:firstLine="1304"/>
        <w:spacing w:after="0" w:line="286" w:lineRule="auto"/>
        <w:tabs>
          <w:tab w:leader="none" w:pos="1941"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concurrently with the delivery of any financial statements pursuant to </w:t>
      </w:r>
      <w:r>
        <w:rPr>
          <w:rFonts w:ascii="Arial" w:cs="Arial" w:eastAsia="Arial" w:hAnsi="Arial"/>
          <w:sz w:val="19"/>
          <w:szCs w:val="19"/>
          <w:u w:val="single" w:color="auto"/>
          <w:color w:val="auto"/>
        </w:rPr>
        <w:t>Section 6.1</w:t>
      </w:r>
      <w:r>
        <w:rPr>
          <w:rFonts w:ascii="Arial" w:cs="Arial" w:eastAsia="Arial" w:hAnsi="Arial"/>
          <w:sz w:val="19"/>
          <w:szCs w:val="19"/>
          <w:color w:val="auto"/>
        </w:rPr>
        <w:t>, (i) a certificate of a Responsible Officer stating that, (x) such financial statements fairly present in all material respects the financial position, results of operations and cash flows of the Borrower and its consolidated Subsidiaries in accordance with GAAP applied consistently throughout the periods reflected therein (except for the absence of footnotes and subject to year-end audit adjustments) and</w:t>
      </w:r>
    </w:p>
    <w:p>
      <w:pPr>
        <w:spacing w:after="0" w:line="2" w:lineRule="exact"/>
        <w:rPr>
          <w:rFonts w:ascii="Arial" w:cs="Arial" w:eastAsia="Arial" w:hAnsi="Arial"/>
          <w:sz w:val="19"/>
          <w:szCs w:val="19"/>
          <w:color w:val="auto"/>
        </w:rPr>
      </w:pPr>
    </w:p>
    <w:p>
      <w:pPr>
        <w:jc w:val="both"/>
        <w:ind w:firstLine="8"/>
        <w:spacing w:after="0" w:line="244" w:lineRule="auto"/>
        <w:tabs>
          <w:tab w:leader="none" w:pos="347"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that such Responsible Officer has obtained no knowledge of any Default or Event of Default that has occurred and is continuing except as specified in such certificate and (ii) in the case of quarterly or annual financial statements, a Compliance Certificate containing all information and calculations necessary for determining compliance by the Borrower and its Subsidiaries with the provisions of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of this Agreement as of the last day of the fiscal quarter or fiscal year of the Borrower, as the case may be;</w:t>
      </w:r>
    </w:p>
    <w:p>
      <w:pPr>
        <w:spacing w:after="0" w:line="194" w:lineRule="exact"/>
        <w:rPr>
          <w:rFonts w:ascii="Arial" w:cs="Arial" w:eastAsia="Arial" w:hAnsi="Arial"/>
          <w:sz w:val="22"/>
          <w:szCs w:val="22"/>
          <w:color w:val="auto"/>
        </w:rPr>
      </w:pPr>
    </w:p>
    <w:p>
      <w:pPr>
        <w:jc w:val="both"/>
        <w:ind w:firstLine="1304"/>
        <w:spacing w:after="0" w:line="290" w:lineRule="auto"/>
        <w:tabs>
          <w:tab w:leader="none" w:pos="1939" w:val="left"/>
        </w:tabs>
        <w:numPr>
          <w:ilvl w:val="1"/>
          <w:numId w:val="147"/>
        </w:numPr>
        <w:rPr>
          <w:rFonts w:ascii="Arial" w:cs="Arial" w:eastAsia="Arial" w:hAnsi="Arial"/>
          <w:sz w:val="19"/>
          <w:szCs w:val="19"/>
          <w:color w:val="auto"/>
        </w:rPr>
      </w:pPr>
      <w:r>
        <w:rPr>
          <w:rFonts w:ascii="Arial" w:cs="Arial" w:eastAsia="Arial" w:hAnsi="Arial"/>
          <w:sz w:val="19"/>
          <w:szCs w:val="19"/>
          <w:color w:val="auto"/>
        </w:rPr>
        <w:t>as soon as available, and in any event no later than 60 days after the end of each fiscal year of the Borrower, a detailed consolidated budget for the following fiscal year (including a projected consolidated balance sheet of the Borrower and its Subsidiaries as of the end of the following fiscal year, and the related consolidated statements of projected cash flow and projected income and a description of the underlying assumptions applicable thereto) (collectively, the “</w:t>
      </w:r>
      <w:r>
        <w:rPr>
          <w:rFonts w:ascii="Arial" w:cs="Arial" w:eastAsia="Arial" w:hAnsi="Arial"/>
          <w:sz w:val="19"/>
          <w:szCs w:val="19"/>
          <w:u w:val="single" w:color="auto"/>
          <w:color w:val="auto"/>
        </w:rPr>
        <w:t>Projections</w:t>
      </w:r>
      <w:r>
        <w:rPr>
          <w:rFonts w:ascii="Arial" w:cs="Arial" w:eastAsia="Arial" w:hAnsi="Arial"/>
          <w:sz w:val="19"/>
          <w:szCs w:val="19"/>
          <w:color w:val="auto"/>
        </w:rPr>
        <w:t>”), which Projections shall in each case be accompanied by a certificate of a Responsible Officer stating that such Projections are based upon assumptions which, in light of the circumstances under which they were made, are believed by the Borrower in good faith to be reasonable at the time made (it being understood that such projections by their nature are inherently uncertain and that actual results may differ from the projected results by a material amount);</w:t>
      </w:r>
    </w:p>
    <w:p>
      <w:pPr>
        <w:spacing w:after="0" w:line="155" w:lineRule="exact"/>
        <w:rPr>
          <w:rFonts w:ascii="Arial" w:cs="Arial" w:eastAsia="Arial" w:hAnsi="Arial"/>
          <w:sz w:val="19"/>
          <w:szCs w:val="19"/>
          <w:color w:val="auto"/>
        </w:rPr>
      </w:pPr>
    </w:p>
    <w:p>
      <w:pPr>
        <w:jc w:val="both"/>
        <w:ind w:firstLine="1304"/>
        <w:spacing w:after="0" w:line="253" w:lineRule="auto"/>
        <w:tabs>
          <w:tab w:leader="none" w:pos="1941" w:val="left"/>
        </w:tabs>
        <w:numPr>
          <w:ilvl w:val="1"/>
          <w:numId w:val="147"/>
        </w:numPr>
        <w:rPr>
          <w:rFonts w:ascii="Arial" w:cs="Arial" w:eastAsia="Arial" w:hAnsi="Arial"/>
          <w:sz w:val="22"/>
          <w:szCs w:val="22"/>
          <w:color w:val="auto"/>
        </w:rPr>
      </w:pPr>
      <w:r>
        <w:rPr>
          <w:rFonts w:ascii="Arial" w:cs="Arial" w:eastAsia="Arial" w:hAnsi="Arial"/>
          <w:sz w:val="22"/>
          <w:szCs w:val="22"/>
          <w:color w:val="auto"/>
        </w:rPr>
        <w:t>within 60 days after the end of each of the first three quarterly periods of each fiscal year of the Borrower and within 120 days after the end of the fourth quarterly period of each fiscal year of the Borrower, a narrative discussion and analysis of the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1428" w:right="339" w:bottom="1440" w:gutter="0" w:footer="0" w:header="0"/>
        </w:sectPr>
      </w:pPr>
    </w:p>
    <w:bookmarkStart w:id="201" w:name="page202"/>
    <w:bookmarkEnd w:id="201"/>
    <w:p>
      <w:pPr>
        <w:jc w:val="both"/>
        <w:spacing w:after="0" w:line="294" w:lineRule="auto"/>
        <w:rPr>
          <w:sz w:val="20"/>
          <w:szCs w:val="20"/>
          <w:color w:val="auto"/>
        </w:rPr>
      </w:pPr>
      <w:r>
        <w:rPr>
          <w:rFonts w:ascii="Arial" w:cs="Arial" w:eastAsia="Arial" w:hAnsi="Arial"/>
          <w:sz w:val="19"/>
          <w:szCs w:val="19"/>
          <w:color w:val="auto"/>
        </w:rPr>
        <w:t>and results of operations of the Borrower and its Subsidiaries for such fiscal quarter and for the period from the beginning of the then current fiscal year to the end of such fiscal quarter, as compared to the portion of the Projections covering such periods and to the comparable periods of the previous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comparative information shall be required for any Projections covering the fiscal year ending December 2018 or any fiscal quarter in the fiscal year ending December 2018);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information required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shall be deemed to have been delivered to the Administrative Agent on the date on which the Borrower or Holdings, as applicable, files reports containing such information with the SEC;</w:t>
      </w:r>
    </w:p>
    <w:p>
      <w:pPr>
        <w:spacing w:after="0" w:line="149" w:lineRule="exact"/>
        <w:rPr>
          <w:sz w:val="20"/>
          <w:szCs w:val="20"/>
          <w:color w:val="auto"/>
        </w:rPr>
      </w:pPr>
    </w:p>
    <w:p>
      <w:pPr>
        <w:jc w:val="both"/>
        <w:ind w:firstLine="1304"/>
        <w:spacing w:after="0" w:line="250" w:lineRule="auto"/>
        <w:tabs>
          <w:tab w:leader="none" w:pos="193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within five Business Days after the same are sent, copies of all financial statements and reports that the Borrower sends to the holders of any class of its debt securities or public equity securities and, within five Business Days after the same are filed, copies of all financial statements and reports that the Borrower may make to, or file with, the SEC and not otherwise required to be delivered to the Administrative Agent hereunder; </w:t>
      </w:r>
      <w:r>
        <w:rPr>
          <w:rFonts w:ascii="Arial" w:cs="Arial" w:eastAsia="Arial" w:hAnsi="Arial"/>
          <w:sz w:val="22"/>
          <w:szCs w:val="22"/>
          <w:color w:val="FF0000"/>
        </w:rPr>
        <w:t>and</w:t>
      </w:r>
    </w:p>
    <w:p>
      <w:pPr>
        <w:spacing w:after="0" w:line="187" w:lineRule="exact"/>
        <w:rPr>
          <w:rFonts w:ascii="Arial" w:cs="Arial" w:eastAsia="Arial" w:hAnsi="Arial"/>
          <w:sz w:val="22"/>
          <w:szCs w:val="22"/>
          <w:color w:val="auto"/>
        </w:rPr>
      </w:pPr>
    </w:p>
    <w:p>
      <w:pPr>
        <w:jc w:val="both"/>
        <w:ind w:right="20" w:firstLine="1304"/>
        <w:spacing w:after="0" w:line="253" w:lineRule="auto"/>
        <w:tabs>
          <w:tab w:leader="none" w:pos="1941"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promptly, such additional financial and other information as any Lender may from time to time reasonably request;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the Borrower or any Subsidiary be required to provide any documentation subject to attorney-client privilege, work product doctrine or other applicable legal privileges</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44" w:val="left"/>
        </w:tabs>
        <w:numPr>
          <w:ilvl w:val="0"/>
          <w:numId w:val="148"/>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promptly after the end of each fiscal month (commencing with the first fiscal month ending after the Amendment No. 2 Effective Date), the Monthly Reporting Package for such fiscal month, which shall be posted solely to the “private” side of the Platform; and</w:t>
      </w:r>
    </w:p>
    <w:p>
      <w:pPr>
        <w:spacing w:after="0" w:line="185" w:lineRule="exact"/>
        <w:rPr>
          <w:rFonts w:ascii="Arial" w:cs="Arial" w:eastAsia="Arial" w:hAnsi="Arial"/>
          <w:sz w:val="22"/>
          <w:szCs w:val="22"/>
          <w:u w:val="single" w:color="auto"/>
          <w:color w:val="0000FF"/>
        </w:rPr>
      </w:pPr>
    </w:p>
    <w:p>
      <w:pPr>
        <w:jc w:val="both"/>
        <w:ind w:firstLine="1304"/>
        <w:spacing w:after="0" w:line="297" w:lineRule="auto"/>
        <w:tabs>
          <w:tab w:leader="none" w:pos="1939" w:val="left"/>
        </w:tabs>
        <w:numPr>
          <w:ilvl w:val="0"/>
          <w:numId w:val="148"/>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no later than three days following the last day of each fiscal month of the Borrower, until and including the Q3 End Date, a certificate of a Responsible Officer certifying as to compliance with the Minimum Liquidity Requirement and specifying the amount of Available Revolving Credit Commitments and Unrestricted Cash on hand that is held in an Approved Deposit Account (which, subject to the Deposit Account Grace Period, shall be subject to a Control Agreement), in each case as of the date of the last day of such fiscal month for which such certificate is being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-2318385</wp:posOffset>
            </wp:positionV>
            <wp:extent cx="2324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127"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To the extent not otherwise prohibited hereunder or prohibited by the subordination or intercreditor provisions thereof, pay, discharge or otherwise satisfy at or before maturity or, if later, before they become delinquent, all its obligations of whatever nature, except where the amount or validity thereof is currently being contested in good faith by appropriate proceedings and reserves in conformity with GAAP with respect thereto have been provided on the books of the Borrower or its Subsidiaries, as the case may be, or to the extent failure to pay, discharge or satisfy such obligations would not reasonably be expected to have, individually or in the aggregate, a Material Adverse Effect.</w:t>
      </w:r>
    </w:p>
    <w:p>
      <w:pPr>
        <w:spacing w:after="0" w:line="149"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Conduct of Business and Maintenance of Existence; Compliance</w:t>
      </w:r>
      <w:r>
        <w:rPr>
          <w:rFonts w:ascii="Arial" w:cs="Arial" w:eastAsia="Arial" w:hAnsi="Arial"/>
          <w:sz w:val="21"/>
          <w:szCs w:val="21"/>
          <w:color w:val="auto"/>
        </w:rPr>
        <w:t xml:space="preserve">. (a)(i) Preserve, renew and keep in full force and effect its organizational existence and (ii) take all reasonable action to maintain all rights, privileges and franchises necessary or desirable in the normal conduct of its business, except, in each case, as otherwise permitted by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and except, in the case of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above, to the extent that failure to do so would not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28" w:right="339" w:bottom="1440" w:gutter="0" w:footer="0" w:header="0"/>
        </w:sectPr>
      </w:pPr>
    </w:p>
    <w:bookmarkStart w:id="202" w:name="page203"/>
    <w:bookmarkEnd w:id="202"/>
    <w:p>
      <w:pPr>
        <w:jc w:val="both"/>
        <w:spacing w:after="0" w:line="312" w:lineRule="auto"/>
        <w:rPr>
          <w:sz w:val="20"/>
          <w:szCs w:val="20"/>
          <w:color w:val="auto"/>
        </w:rPr>
      </w:pPr>
      <w:r>
        <w:rPr>
          <w:rFonts w:ascii="Arial" w:cs="Arial" w:eastAsia="Arial" w:hAnsi="Arial"/>
          <w:sz w:val="19"/>
          <w:szCs w:val="19"/>
          <w:color w:val="auto"/>
        </w:rPr>
        <w:t>expected to have a Material Adverse Effect; and (b) comply with all Requirements of Law applicable to it or to its business or Property (including, without limitation, the PATRIOT Act, OFAC and Anti-Corruption Laws), except to the extent that failure to comply therewith would not, in the aggregate, reasonably be expected to have a Material Adverse Effect.</w:t>
      </w:r>
    </w:p>
    <w:p>
      <w:pPr>
        <w:spacing w:after="0" w:line="13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Maintenance of Property; Insurance</w:t>
      </w:r>
      <w:r>
        <w:rPr>
          <w:rFonts w:ascii="Arial" w:cs="Arial" w:eastAsia="Arial" w:hAnsi="Arial"/>
          <w:sz w:val="19"/>
          <w:szCs w:val="19"/>
          <w:color w:val="auto"/>
        </w:rPr>
        <w:t>.</w:t>
      </w:r>
    </w:p>
    <w:p>
      <w:pPr>
        <w:spacing w:after="0" w:line="220" w:lineRule="exact"/>
        <w:rPr>
          <w:sz w:val="20"/>
          <w:szCs w:val="20"/>
          <w:color w:val="auto"/>
        </w:rPr>
      </w:pPr>
    </w:p>
    <w:p>
      <w:pPr>
        <w:ind w:firstLine="1304"/>
        <w:spacing w:after="0" w:line="343" w:lineRule="auto"/>
        <w:tabs>
          <w:tab w:leader="none" w:pos="160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Except as could not reasonably be expected to have a Material Adverse Effect, keep all Property and systems necessary in its business in good working order and condition, ordinary wear and tear and casualty events excepted;</w:t>
      </w:r>
    </w:p>
    <w:p>
      <w:pPr>
        <w:spacing w:after="0" w:line="104" w:lineRule="exact"/>
        <w:rPr>
          <w:rFonts w:ascii="Arial" w:cs="Arial" w:eastAsia="Arial" w:hAnsi="Arial"/>
          <w:sz w:val="19"/>
          <w:szCs w:val="19"/>
          <w:color w:val="auto"/>
        </w:rPr>
      </w:pPr>
    </w:p>
    <w:p>
      <w:pPr>
        <w:jc w:val="both"/>
        <w:ind w:firstLine="1304"/>
        <w:spacing w:after="0" w:line="286" w:lineRule="auto"/>
        <w:tabs>
          <w:tab w:leader="none" w:pos="161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maintain with financially sound and reputable insurance companies insurance on all its material Property in at least such amounts and against at least such risks (but including in any event to the extent obtainable on commercially reasonable terms public liability, product liability and business interruption) as the Borrower deems adequate for its business in its reasonable business judgment; and (c) with respect to each property subject to a Mortgage that is located in an area identified by the Federal Emergency Management Agency (or any successor agency) as a “special flood hazard area” with respect to which flood insurance has been made available under Flood Insurance Laws, the applicable Loan Party (i) has obtained and will maintain, with financially sound and reputable insurance companies (except to the extent that any insurance company insuring the property subject to Mortgage of the Loan Party ceases to be financially sound and reputable after the Closing Date, in which case, the applicable Loan Party shall promptly replace such insurance company with a financially sound and reputable insurance company), such flood insurance in such reasonable total amount as the Administrative Agent and the Lenders may from time to time reasonably require, and otherwise sufficient to comply in all material respects with all applicable rules and regulations promulgated pursuant to the Flood Insurance Laws and (ii) promptly upon request of the Administrative Agent or any Lender, will deliver to the Administrative Agent or such Lender, as applicable, evidence of such compliance in form and substance reasonably acceptable to the Administrative Agent or such Lender, including, without limitation, evidence of annual renewals of such insurance.</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Inspection of Property; Books and Records; Discussions</w:t>
      </w:r>
      <w:r>
        <w:rPr>
          <w:rFonts w:ascii="Arial" w:cs="Arial" w:eastAsia="Arial" w:hAnsi="Arial"/>
          <w:sz w:val="19"/>
          <w:szCs w:val="19"/>
          <w:color w:val="auto"/>
        </w:rPr>
        <w:t xml:space="preserve">. (a) Keep proper books of records and account in which full, true and correct (in all material respects) entries in conformity with GAAP shall be made of all dealings and transactions in relation to its business and activities and (b) permit representatives of the Administrative Agent or any Lender, at reasonable times during its business hours at reasonable intervals and upon reasonable advance notice, to (i) visit and inspect any of its properties, (ii) examine and make abstracts from any of its books and records and (iii) to discuss the business, operations, properties and financial and other condition of the Borrower and its Subsidiaries with officers of the Borrower and its Subsidiaries and with its independent certified public accountants;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so long as no Event of Default has occurred and is continuing, only the Administrative Agent as representative of the Lenders may exercise rights of the Administrative Agent and the Lenders pursuant to this </w:t>
      </w:r>
      <w:r>
        <w:rPr>
          <w:rFonts w:ascii="Arial" w:cs="Arial" w:eastAsia="Arial" w:hAnsi="Arial"/>
          <w:sz w:val="19"/>
          <w:szCs w:val="19"/>
          <w:u w:val="single" w:color="auto"/>
          <w:color w:val="auto"/>
        </w:rPr>
        <w:t>Section 6.6</w:t>
      </w:r>
      <w:r>
        <w:rPr>
          <w:rFonts w:ascii="Arial" w:cs="Arial" w:eastAsia="Arial" w:hAnsi="Arial"/>
          <w:sz w:val="19"/>
          <w:szCs w:val="19"/>
          <w:color w:val="auto"/>
        </w:rPr>
        <w:t xml:space="preserve"> and the Administrative Agent shall not exercise such rights more often than one time during any calendar year each of which shall be at the expense of the Administrative Agent and the Lenders and (y) at any time when an Event of Default has occurred and is continuing,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28" w:right="339" w:bottom="1440" w:gutter="0" w:footer="0" w:header="0"/>
        </w:sectPr>
      </w:pPr>
    </w:p>
    <w:bookmarkStart w:id="203" w:name="page204"/>
    <w:bookmarkEnd w:id="203"/>
    <w:p>
      <w:pPr>
        <w:jc w:val="both"/>
        <w:spacing w:after="0" w:line="297" w:lineRule="auto"/>
        <w:rPr>
          <w:sz w:val="20"/>
          <w:szCs w:val="20"/>
          <w:color w:val="auto"/>
        </w:rPr>
      </w:pPr>
      <w:r>
        <w:rPr>
          <w:rFonts w:ascii="Arial" w:cs="Arial" w:eastAsia="Arial" w:hAnsi="Arial"/>
          <w:sz w:val="19"/>
          <w:szCs w:val="19"/>
          <w:color w:val="auto"/>
        </w:rPr>
        <w:t>Administrative Agent or any Lender (or any of their respective representatives)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public accountants. In no event shall the Borrower or any Subsidiary be required to discuss, provide or otherwise make available for review, examination or inspection or copying any documentation subject to attorney-client privilege or work product doctrine.</w:t>
      </w:r>
    </w:p>
    <w:p>
      <w:pPr>
        <w:spacing w:after="0" w:line="147"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Notices</w:t>
      </w:r>
      <w:r>
        <w:rPr>
          <w:rFonts w:ascii="Arial" w:cs="Arial" w:eastAsia="Arial" w:hAnsi="Arial"/>
          <w:sz w:val="22"/>
          <w:szCs w:val="22"/>
          <w:color w:val="auto"/>
        </w:rPr>
        <w:t>. Promptly give notice to the Administrative Agent (to be distributed by the Administrative Agent to each Lender):</w:t>
      </w:r>
    </w:p>
    <w:p>
      <w:pPr>
        <w:spacing w:after="0" w:line="175" w:lineRule="exact"/>
        <w:rPr>
          <w:sz w:val="20"/>
          <w:szCs w:val="20"/>
          <w:color w:val="auto"/>
        </w:rPr>
      </w:pPr>
    </w:p>
    <w:p>
      <w:pPr>
        <w:ind w:firstLine="1304"/>
        <w:spacing w:after="0" w:line="263" w:lineRule="auto"/>
        <w:tabs>
          <w:tab w:leader="none" w:pos="194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within five Business Days after a Responsible Officer of the Borrower knows of the occurrence of any Default or Event of Default that has not been cured within such five Business Day period;</w:t>
      </w:r>
    </w:p>
    <w:p>
      <w:pPr>
        <w:spacing w:after="0" w:line="174" w:lineRule="exact"/>
        <w:rPr>
          <w:rFonts w:ascii="Arial" w:cs="Arial" w:eastAsia="Arial" w:hAnsi="Arial"/>
          <w:sz w:val="22"/>
          <w:szCs w:val="22"/>
          <w:color w:val="auto"/>
        </w:rPr>
      </w:pPr>
    </w:p>
    <w:p>
      <w:pPr>
        <w:jc w:val="both"/>
        <w:ind w:firstLine="1304"/>
        <w:spacing w:after="0" w:line="302" w:lineRule="auto"/>
        <w:tabs>
          <w:tab w:leader="none" w:pos="193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within five Business Days after a Responsible Officer of the Borrower knows of any (i) default or event of default under any Contractual Obligation of the Borrower or any of its Subsidiaries or (ii) litigation, investigation or proceeding which may exist at any time between the Borrower or any of its Subsidiaries and any Governmental Authority, that in either case, if not cured or if adversely determined, as the case may be, would reasonably be expected to have a Material Adverse Effect;</w:t>
      </w:r>
    </w:p>
    <w:p>
      <w:pPr>
        <w:spacing w:after="0" w:line="142" w:lineRule="exact"/>
        <w:rPr>
          <w:rFonts w:ascii="Arial" w:cs="Arial" w:eastAsia="Arial" w:hAnsi="Arial"/>
          <w:sz w:val="19"/>
          <w:szCs w:val="19"/>
          <w:color w:val="auto"/>
        </w:rPr>
      </w:pPr>
    </w:p>
    <w:p>
      <w:pPr>
        <w:jc w:val="both"/>
        <w:ind w:firstLine="1304"/>
        <w:spacing w:after="0" w:line="253" w:lineRule="auto"/>
        <w:tabs>
          <w:tab w:leader="none" w:pos="194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within five Business Days after a Responsible Officer of the Borrower knows of any litigation or proceeding affecting the Borrower or any of its Subsidiaries, which (i) if adversely determined would reasonably be expected to have a Material Adverse Effect or (ii) relates to any Loan Document;</w:t>
      </w:r>
    </w:p>
    <w:p>
      <w:pPr>
        <w:spacing w:after="0" w:line="185" w:lineRule="exact"/>
        <w:rPr>
          <w:rFonts w:ascii="Arial" w:cs="Arial" w:eastAsia="Arial" w:hAnsi="Arial"/>
          <w:sz w:val="22"/>
          <w:szCs w:val="22"/>
          <w:color w:val="auto"/>
        </w:rPr>
      </w:pPr>
    </w:p>
    <w:p>
      <w:pPr>
        <w:jc w:val="both"/>
        <w:ind w:firstLine="1304"/>
        <w:spacing w:after="0" w:line="246" w:lineRule="auto"/>
        <w:tabs>
          <w:tab w:leader="none" w:pos="193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following events to the extent such events could reasonably be expected to have a Material Adverse Effect, as soon as possible and in any event within 30 days after a Responsible Officer of the Borrower knows thereof (i) the occurrence of any Reportable Event with respect to any Plan, a failure to make any required contribution to a Plan, the creation of any Lien in favor of the PBGC or a Plan or any withdrawal from, or the termination, Reorganization or Insolvency of, any Multiemployer Plan or (ii) the institution of proceedings or the taking of any other action by the PBGC or the Borrower or any Commonly Controlled Entity or any Multiemployer Plan with respect to the withdrawal from, or the termination, Reorganization or Insolvency of, any Plan;</w:t>
      </w:r>
    </w:p>
    <w:p>
      <w:pPr>
        <w:spacing w:after="0" w:line="196" w:lineRule="exact"/>
        <w:rPr>
          <w:rFonts w:ascii="Arial" w:cs="Arial" w:eastAsia="Arial" w:hAnsi="Arial"/>
          <w:sz w:val="22"/>
          <w:szCs w:val="22"/>
          <w:color w:val="auto"/>
        </w:rPr>
      </w:pPr>
    </w:p>
    <w:p>
      <w:pPr>
        <w:jc w:val="both"/>
        <w:ind w:firstLine="1304"/>
        <w:spacing w:after="0" w:line="250" w:lineRule="auto"/>
        <w:tabs>
          <w:tab w:leader="none" w:pos="194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 within five Business Days after a Responsible Officer of the Borrower knows of any development, event or condition that has had a Material Adverse Effect and (ii) within five Business Days after a determination by a Responsible Officer that a development, event or condition has occurred that would reasonably be expected to have a Material Adverse Effect; and</w:t>
      </w:r>
    </w:p>
    <w:p>
      <w:pPr>
        <w:spacing w:after="0" w:line="187" w:lineRule="exact"/>
        <w:rPr>
          <w:rFonts w:ascii="Arial" w:cs="Arial" w:eastAsia="Arial" w:hAnsi="Arial"/>
          <w:sz w:val="22"/>
          <w:szCs w:val="22"/>
          <w:color w:val="auto"/>
        </w:rPr>
      </w:pPr>
    </w:p>
    <w:p>
      <w:pPr>
        <w:ind w:firstLine="1304"/>
        <w:spacing w:after="0" w:line="263" w:lineRule="auto"/>
        <w:tabs>
          <w:tab w:leader="none" w:pos="1944"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within five Business Days after a Responsible Officer of the Borrower knows of any change in the information provided in the Beneficial Ownership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240"/>
          </w:cols>
          <w:pgMar w:left="320" w:top="1428" w:right="3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delivered to any Lender that would result in a change to the list of beneficial owners identified in such certification.</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Each notice pursuant to this Section shall be accompanied by a statement of a Responsible Officer setting forth details of the occurrence referred to therein and stating what action the Borrower or the relevant Subsidiary proposes to take with respect thereto.</w:t>
      </w:r>
    </w:p>
    <w:p>
      <w:pPr>
        <w:spacing w:after="0" w:line="185"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u w:val="single" w:color="auto"/>
          <w:color w:val="auto"/>
        </w:rPr>
        <w:t>Environmental Laws</w:t>
      </w:r>
      <w:r>
        <w:rPr>
          <w:rFonts w:ascii="Arial" w:cs="Arial" w:eastAsia="Arial" w:hAnsi="Arial"/>
          <w:sz w:val="19"/>
          <w:szCs w:val="19"/>
          <w:color w:val="auto"/>
        </w:rPr>
        <w:t>. Except, in each case, to the extent that the failure to do so would not reasonably be expected to have, individually or in the aggregate, a Material Adverse Effect, (a) comply with, and use commercially reasonable efforts to cause compliance by all tenants and subtenants, if any, with, all applicable Environmental Laws, (b) obtain, comply with and maintain, and use commercially reasonable efforts to ensure that all tenants and subtenants obtain, comply with and maintain, any and all applicable Environmental Permits, and (c) conduct and complete all investigations, studies, sampling and testing, and all remedial, removal and other actions, required under Environmental Laws and promptly comply with all lawful orders and directives of all Governmental Authorities regarding Environmental Laws.</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u w:val="single" w:color="auto"/>
          <w:color w:val="auto"/>
        </w:rPr>
        <w:t>Additional Collateral, Further Assurances, etc</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82" w:lineRule="auto"/>
        <w:tabs>
          <w:tab w:leader="none" w:pos="1941" w:val="left"/>
        </w:tabs>
        <w:numPr>
          <w:ilvl w:val="1"/>
          <w:numId w:val="151"/>
        </w:numPr>
        <w:rPr>
          <w:rFonts w:ascii="Arial" w:cs="Arial" w:eastAsia="Arial" w:hAnsi="Arial"/>
          <w:sz w:val="19"/>
          <w:szCs w:val="19"/>
          <w:color w:val="auto"/>
        </w:rPr>
      </w:pPr>
      <w:r>
        <w:rPr>
          <w:rFonts w:ascii="Arial" w:cs="Arial" w:eastAsia="Arial" w:hAnsi="Arial"/>
          <w:sz w:val="19"/>
          <w:szCs w:val="19"/>
          <w:color w:val="auto"/>
        </w:rPr>
        <w:t xml:space="preserve">With respect to any fee interest in any Material Real Estate acquired after the Closing Date by the Borrower or any Subsidiary Guarantor (other than any such real property owned by any Foreign Subsidiary or subject to a Lien expressly permitted by </w:t>
      </w:r>
      <w:r>
        <w:rPr>
          <w:rFonts w:ascii="Arial" w:cs="Arial" w:eastAsia="Arial" w:hAnsi="Arial"/>
          <w:sz w:val="19"/>
          <w:szCs w:val="19"/>
          <w:u w:val="single" w:color="auto"/>
          <w:color w:val="auto"/>
        </w:rPr>
        <w:t>Section 7.3(g)</w:t>
      </w:r>
      <w:r>
        <w:rPr>
          <w:rFonts w:ascii="Arial" w:cs="Arial" w:eastAsia="Arial" w:hAnsi="Arial"/>
          <w:sz w:val="19"/>
          <w:szCs w:val="19"/>
          <w:color w:val="auto"/>
        </w:rPr>
        <w:t xml:space="preserve">), promptly notify the Administrative Agent thereof, and, if reasonably requested by the Administrative Agent or the Required Lenders, within 120 days of such request (or such longer period as the Administrative Agent shall permit in its sole discretion): (i) execute and deliver a Mortgage in favor of the Administrative Agent, for the benefit of the Secured Parties, covering such real property, in each case prior and superior in right to any other Person (except Liens permitted by </w:t>
      </w:r>
      <w:r>
        <w:rPr>
          <w:rFonts w:ascii="Arial" w:cs="Arial" w:eastAsia="Arial" w:hAnsi="Arial"/>
          <w:sz w:val="19"/>
          <w:szCs w:val="19"/>
          <w:u w:val="single" w:color="auto"/>
          <w:color w:val="auto"/>
        </w:rPr>
        <w:t>Section 7.3</w:t>
      </w:r>
      <w:r>
        <w:rPr>
          <w:rFonts w:ascii="Arial" w:cs="Arial" w:eastAsia="Arial" w:hAnsi="Arial"/>
          <w:sz w:val="19"/>
          <w:szCs w:val="19"/>
          <w:color w:val="auto"/>
        </w:rPr>
        <w:t>), (ii) if reasonably requested by the Administrative Agent, provide the Lenders with (x) title and extended coverage insurance covering such real property in an amount at least equal to the purchase price of such real property (or such other amount as shall be reasonably specified by the Administrative Agent) as well as a current ALTA survey thereof, together with a surveyor’s certificate and (y) any consents or estoppels reasonably deemed necessary by the Administrative Agent in connection with such Mortgage, each of the foregoing in form and substance reasonably satisfactory to the Administrative Agent and (iii) if reasonably requested by the Administrative Agent, deliver to the Administrative Agent legal opinions relating to the matters described above, which opinions shall be in form and substance, and from counsel, reasonably satisfactory to the Administrative Agent. Notwithstanding the foregoing, the Administrative Agent shall not enter into any Mortgage in respect of any real property acquired by the Borrower or any other Loan Party after the Closing Date until the date that is 45 days after the Administrative Agent has delivered to the Lenders (which may be delivered electronically) the following documents in respect of such real property: (i) completed “Life of Loan” Federal Emergency Management Agency standard flood hazard determination(s) with respect to such real property and related documents with respect to such real property reasonably requested by any Lender;</w:t>
      </w:r>
    </w:p>
    <w:p>
      <w:pPr>
        <w:spacing w:after="0" w:line="13" w:lineRule="exact"/>
        <w:rPr>
          <w:rFonts w:ascii="Arial" w:cs="Arial" w:eastAsia="Arial" w:hAnsi="Arial"/>
          <w:sz w:val="19"/>
          <w:szCs w:val="19"/>
          <w:color w:val="auto"/>
        </w:rPr>
      </w:pPr>
    </w:p>
    <w:p>
      <w:pPr>
        <w:ind w:left="320" w:hanging="312"/>
        <w:spacing w:after="0"/>
        <w:tabs>
          <w:tab w:leader="none" w:pos="32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if such real property is located in a “special flood hazard area”, a notification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28" w:right="339" w:bottom="1440" w:gutter="0" w:footer="0" w:header="0"/>
        </w:sectPr>
      </w:pPr>
    </w:p>
    <w:bookmarkStart w:id="205" w:name="page206"/>
    <w:bookmarkEnd w:id="205"/>
    <w:p>
      <w:pPr>
        <w:jc w:val="both"/>
        <w:spacing w:after="0" w:line="297" w:lineRule="auto"/>
        <w:rPr>
          <w:sz w:val="20"/>
          <w:szCs w:val="20"/>
          <w:color w:val="auto"/>
        </w:rPr>
      </w:pPr>
      <w:r>
        <w:rPr>
          <w:rFonts w:ascii="Arial" w:cs="Arial" w:eastAsia="Arial" w:hAnsi="Arial"/>
          <w:sz w:val="19"/>
          <w:szCs w:val="19"/>
          <w:color w:val="auto"/>
        </w:rPr>
        <w:t>each Borrower (and applicable Loan Party) of that fact and notification to each Borrower (and applicable Loan Party) stating whether flood insurance coverage is available, and evidence that each Borrower (or other Loan Party) to which a notice was sent, has signed and returned the notice; and (iii) if such notice is required to be provided to the Borrower (or applicable Loan Party) and flood insurance is available in the community in which such real property is located, a copy of the policy, or declaration evidencing such required flood insurance in an amount and with terms required by the Flood Insurance Laws.</w:t>
      </w:r>
    </w:p>
    <w:p>
      <w:pPr>
        <w:spacing w:after="0" w:line="147" w:lineRule="exact"/>
        <w:rPr>
          <w:sz w:val="20"/>
          <w:szCs w:val="20"/>
          <w:color w:val="auto"/>
        </w:rPr>
      </w:pPr>
    </w:p>
    <w:p>
      <w:pPr>
        <w:jc w:val="both"/>
        <w:ind w:firstLine="1304"/>
        <w:spacing w:after="0" w:line="285" w:lineRule="auto"/>
        <w:tabs>
          <w:tab w:leader="none" w:pos="1939"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With respect to any new Material </w:t>
      </w:r>
      <w:r>
        <w:rPr>
          <w:rFonts w:ascii="Arial" w:cs="Arial" w:eastAsia="Arial" w:hAnsi="Arial"/>
          <w:sz w:val="19"/>
          <w:szCs w:val="19"/>
          <w:color w:val="FF0000"/>
          <w:strike w:val="1"/>
        </w:rPr>
        <w:t>Wholly Owned Domestic</w:t>
      </w:r>
      <w:r>
        <w:rPr>
          <w:rFonts w:ascii="Arial" w:cs="Arial" w:eastAsia="Arial" w:hAnsi="Arial"/>
          <w:sz w:val="19"/>
          <w:szCs w:val="19"/>
          <w:color w:val="auto"/>
        </w:rPr>
        <w:t xml:space="preserve"> Subsidiary created or acquired after the </w:t>
      </w:r>
      <w:r>
        <w:rPr>
          <w:rFonts w:ascii="Arial" w:cs="Arial" w:eastAsia="Arial" w:hAnsi="Arial"/>
          <w:sz w:val="19"/>
          <w:szCs w:val="19"/>
          <w:color w:val="FF0000"/>
          <w:strike w:val="1"/>
        </w:rPr>
        <w:t>Closing</w:t>
      </w:r>
      <w:r>
        <w:rPr>
          <w:rFonts w:ascii="Arial" w:cs="Arial" w:eastAsia="Arial" w:hAnsi="Arial"/>
          <w:sz w:val="19"/>
          <w:szCs w:val="19"/>
          <w:u w:val="single" w:color="auto"/>
          <w:color w:val="0000FF"/>
        </w:rPr>
        <w:t>Amendment No. 2 Effective</w:t>
      </w:r>
      <w:r>
        <w:rPr>
          <w:rFonts w:ascii="Arial" w:cs="Arial" w:eastAsia="Arial" w:hAnsi="Arial"/>
          <w:sz w:val="19"/>
          <w:szCs w:val="19"/>
          <w:color w:val="FF0000"/>
        </w:rPr>
        <w:t xml:space="preserve"> </w:t>
      </w:r>
      <w:r>
        <w:rPr>
          <w:rFonts w:ascii="Arial" w:cs="Arial" w:eastAsia="Arial" w:hAnsi="Arial"/>
          <w:sz w:val="19"/>
          <w:szCs w:val="19"/>
          <w:color w:val="000000"/>
        </w:rPr>
        <w:t>Date, by the Borrower or any of its</w:t>
      </w:r>
      <w:r>
        <w:rPr>
          <w:rFonts w:ascii="Arial" w:cs="Arial" w:eastAsia="Arial" w:hAnsi="Arial"/>
          <w:sz w:val="19"/>
          <w:szCs w:val="19"/>
          <w:color w:val="FF0000"/>
        </w:rPr>
        <w:t xml:space="preserve"> </w:t>
      </w:r>
      <w:r>
        <w:rPr>
          <w:rFonts w:ascii="Arial" w:cs="Arial" w:eastAsia="Arial" w:hAnsi="Arial"/>
          <w:sz w:val="19"/>
          <w:szCs w:val="19"/>
          <w:color w:val="FF0000"/>
          <w:strike w:val="1"/>
        </w:rPr>
        <w:t>Domestic</w:t>
      </w:r>
      <w:r>
        <w:rPr>
          <w:rFonts w:ascii="Arial" w:cs="Arial" w:eastAsia="Arial" w:hAnsi="Arial"/>
          <w:sz w:val="19"/>
          <w:szCs w:val="19"/>
          <w:color w:val="FF0000"/>
        </w:rPr>
        <w:t xml:space="preserve"> </w:t>
      </w:r>
      <w:r>
        <w:rPr>
          <w:rFonts w:ascii="Arial" w:cs="Arial" w:eastAsia="Arial" w:hAnsi="Arial"/>
          <w:sz w:val="19"/>
          <w:szCs w:val="19"/>
          <w:color w:val="000000"/>
        </w:rPr>
        <w:t>Subsidiaries</w:t>
      </w:r>
      <w:r>
        <w:rPr>
          <w:rFonts w:ascii="Arial" w:cs="Arial" w:eastAsia="Arial" w:hAnsi="Arial"/>
          <w:sz w:val="19"/>
          <w:szCs w:val="19"/>
          <w:color w:val="FF0000"/>
        </w:rPr>
        <w:t xml:space="preserve"> </w:t>
      </w:r>
      <w:r>
        <w:rPr>
          <w:rFonts w:ascii="Arial" w:cs="Arial" w:eastAsia="Arial" w:hAnsi="Arial"/>
          <w:sz w:val="19"/>
          <w:szCs w:val="19"/>
          <w:color w:val="0000FF"/>
        </w:rPr>
        <w:t>(or, from and after the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Amendment No. 2 Effective Date, if a Subsidiary that has previously been created or acquired becomes a Material Subsidiary)</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color w:val="000000"/>
        </w:rPr>
        <w:t xml:space="preserve">promptly (and in any event within </w:t>
      </w:r>
      <w:r>
        <w:rPr>
          <w:rFonts w:ascii="Arial" w:cs="Arial" w:eastAsia="Arial" w:hAnsi="Arial"/>
          <w:sz w:val="19"/>
          <w:szCs w:val="19"/>
          <w:color w:val="FF0000"/>
          <w:strike w:val="1"/>
        </w:rPr>
        <w:t>60</w:t>
      </w:r>
      <w:r>
        <w:rPr>
          <w:rFonts w:ascii="Arial" w:cs="Arial" w:eastAsia="Arial" w:hAnsi="Arial"/>
          <w:sz w:val="19"/>
          <w:szCs w:val="19"/>
          <w:u w:val="single" w:color="auto"/>
          <w:color w:val="0000FF"/>
        </w:rPr>
        <w:t>45</w:t>
      </w:r>
      <w:r>
        <w:rPr>
          <w:rFonts w:ascii="Arial" w:cs="Arial" w:eastAsia="Arial" w:hAnsi="Arial"/>
          <w:sz w:val="19"/>
          <w:szCs w:val="19"/>
          <w:color w:val="000000"/>
        </w:rPr>
        <w:t xml:space="preserve"> days or such longer period as the Administrative Agent shall permit in its sole discretion </w:t>
      </w:r>
      <w:r>
        <w:rPr>
          <w:rFonts w:ascii="Arial" w:cs="Arial" w:eastAsia="Arial" w:hAnsi="Arial"/>
          <w:sz w:val="19"/>
          <w:szCs w:val="19"/>
          <w:u w:val="single" w:color="auto"/>
          <w:color w:val="0000FF"/>
        </w:rPr>
        <w:t>(such longer period not to exceed 30 days)</w:t>
      </w:r>
      <w:r>
        <w:rPr>
          <w:rFonts w:ascii="Arial" w:cs="Arial" w:eastAsia="Arial" w:hAnsi="Arial"/>
          <w:sz w:val="19"/>
          <w:szCs w:val="19"/>
          <w:color w:val="000000"/>
        </w:rPr>
        <w:t>): (i) execute and deliver to the Administrative Agent such amendments to the</w:t>
      </w:r>
      <w:r>
        <w:rPr>
          <w:rFonts w:ascii="Arial" w:cs="Arial" w:eastAsia="Arial" w:hAnsi="Arial"/>
          <w:sz w:val="19"/>
          <w:szCs w:val="19"/>
          <w:color w:val="0000FF"/>
        </w:rPr>
        <w:t xml:space="preserve"> </w:t>
      </w:r>
      <w:r>
        <w:rPr>
          <w:rFonts w:ascii="Arial" w:cs="Arial" w:eastAsia="Arial" w:hAnsi="Arial"/>
          <w:sz w:val="19"/>
          <w:szCs w:val="19"/>
          <w:color w:val="000000"/>
        </w:rPr>
        <w:t xml:space="preserve">Guarantee and Collateral Agreement as the Administrative Agent deems necessary to grant to the Administrative Agent, for the benefit of the Secured Parties, a perfected first priority security interest in the Capital Stock of such new Subsidiary that is owned by the Borrower or any of its </w:t>
      </w:r>
      <w:r>
        <w:rPr>
          <w:rFonts w:ascii="Arial" w:cs="Arial" w:eastAsia="Arial" w:hAnsi="Arial"/>
          <w:sz w:val="19"/>
          <w:szCs w:val="19"/>
          <w:color w:val="FF0000"/>
          <w:strike w:val="1"/>
        </w:rPr>
        <w:t>Domestic</w:t>
      </w:r>
      <w:r>
        <w:rPr>
          <w:rFonts w:ascii="Arial" w:cs="Arial" w:eastAsia="Arial" w:hAnsi="Arial"/>
          <w:sz w:val="19"/>
          <w:szCs w:val="19"/>
          <w:color w:val="000000"/>
        </w:rPr>
        <w:t xml:space="preserve"> Subsidiaries, (ii) deliver to the Administrative Agent the certificates, if any, representing such Capital Stock, together with undated stock powers, in blank, executed and delivered by a duly authorized officer of the Borrower or such Subsidiary, as the case may be, (iii) cause such new Subsidiary (A) to become a party to the Guarantee and Collateral Agreement and (B) to take such actions necessary to grant to the Administrative Agent for the benefit of the Secured Parties a perfected security interest in the Collateral described in the Guarantee and Collateral Agreement with respect to such new Subsidiary in each case prior and superior in right to any other Person (except, in the case of Collateral other than Pledged Stock, Liens permitted by </w:t>
      </w:r>
      <w:r>
        <w:rPr>
          <w:rFonts w:ascii="Arial" w:cs="Arial" w:eastAsia="Arial" w:hAnsi="Arial"/>
          <w:sz w:val="19"/>
          <w:szCs w:val="19"/>
          <w:u w:val="single" w:color="auto"/>
          <w:color w:val="000000"/>
        </w:rPr>
        <w:t>Section 7.3</w:t>
      </w:r>
      <w:r>
        <w:rPr>
          <w:rFonts w:ascii="Arial" w:cs="Arial" w:eastAsia="Arial" w:hAnsi="Arial"/>
          <w:sz w:val="19"/>
          <w:szCs w:val="19"/>
          <w:color w:val="000000"/>
        </w:rPr>
        <w:t xml:space="preserve">, and, in the case of Pledged Stock, (i) Liens permitted by </w:t>
      </w:r>
      <w:r>
        <w:rPr>
          <w:rFonts w:ascii="Arial" w:cs="Arial" w:eastAsia="Arial" w:hAnsi="Arial"/>
          <w:sz w:val="19"/>
          <w:szCs w:val="19"/>
          <w:u w:val="single" w:color="auto"/>
          <w:color w:val="000000"/>
        </w:rPr>
        <w:t>Section 7.3(s)</w:t>
      </w:r>
      <w:r>
        <w:rPr>
          <w:rFonts w:ascii="Arial" w:cs="Arial" w:eastAsia="Arial" w:hAnsi="Arial"/>
          <w:sz w:val="19"/>
          <w:szCs w:val="19"/>
          <w:color w:val="000000"/>
        </w:rPr>
        <w:t xml:space="preserve"> and (ii) Liens permitted by </w:t>
      </w:r>
      <w:r>
        <w:rPr>
          <w:rFonts w:ascii="Arial" w:cs="Arial" w:eastAsia="Arial" w:hAnsi="Arial"/>
          <w:sz w:val="19"/>
          <w:szCs w:val="19"/>
          <w:u w:val="single" w:color="auto"/>
          <w:color w:val="000000"/>
        </w:rPr>
        <w:t>Section 7.3(a)</w:t>
      </w:r>
      <w:r>
        <w:rPr>
          <w:rFonts w:ascii="Arial" w:cs="Arial" w:eastAsia="Arial" w:hAnsi="Arial"/>
          <w:sz w:val="19"/>
          <w:szCs w:val="19"/>
          <w:color w:val="000000"/>
        </w:rPr>
        <w:t xml:space="preserve"> to the extent such Liens are prior and superior to the Liens granted under the Security Documents by operation of law), including, without limitation, the filing of Uniform Commercial Code financing statements in such jurisdictions as may be required by the Guarantee and Collateral Agreement or by law or as may be requested by the Administrative Agent, and (iv)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304"/>
        <w:spacing w:after="0" w:line="246" w:lineRule="auto"/>
        <w:tabs>
          <w:tab w:leader="none" w:pos="194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From time to time execute and deliver, or cause to be executed and delivered, such additional instruments, certificates or documents, and take such actions, as the Administrative Agent may reasonably request for the purposes of implementing or effectuating the provisions of this Agreement relating to the Collateral and the provisions of the Security Documents, or of more fully perfecting or renewing the rights of the Administrative Agent and the Lenders with respect to the Collateral (or with respect to any additions thereto or replacements or proceeds thereof or with respect to any other property or assets hereafter acquired by the Borrower or any Subsidiary which may be deemed to be part of the Collateral), in each case, to the extent required pursuant hereto or thereto. Upon the exercise by the Administrative Agent or any Lender of any power, right, privilege or remedy pursuant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-4406265</wp:posOffset>
            </wp:positionV>
            <wp:extent cx="14408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428" w:right="339" w:bottom="1440" w:gutter="0" w:footer="0" w:header="0"/>
        </w:sectPr>
      </w:pPr>
    </w:p>
    <w:bookmarkStart w:id="206" w:name="page207"/>
    <w:bookmarkEnd w:id="206"/>
    <w:p>
      <w:pPr>
        <w:jc w:val="both"/>
        <w:spacing w:after="0" w:line="292" w:lineRule="auto"/>
        <w:rPr>
          <w:sz w:val="20"/>
          <w:szCs w:val="20"/>
          <w:color w:val="auto"/>
        </w:rPr>
      </w:pPr>
      <w:r>
        <w:rPr>
          <w:rFonts w:ascii="Arial" w:cs="Arial" w:eastAsia="Arial" w:hAnsi="Arial"/>
          <w:sz w:val="19"/>
          <w:szCs w:val="19"/>
          <w:color w:val="auto"/>
        </w:rPr>
        <w:t>Agreement or the other Loan Documents which requires any consent, approval, recording, qualification or authorization of any Governmental Authority, the Borrower will execute and deliver, or will cause the execution and delivery of, all applications, certifications, instruments and other documents and papers that the Administrative Agent or such Lender may be required to obtain from the Borrower or any of its Subsidiaries for such governmental consent, approval, recording, qualification or authorization. In addition, the Borrower agrees promptly to provide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or in any other Loan Document, (i) the Administrative Agent shall not require the taking of a Lien on, or require the perfection of any Lien granted in, those assets as to which the cost of obtaining or perfecting such Lien (including any mortgage, stamp, intangibles or other tax or expenses relating to such Lien) is excessive in relation to the benefit to the Lenders of the security afforded thereby as reasonably determined by the Borrower and the Administrative Agent </w:t>
      </w:r>
      <w:r>
        <w:rPr>
          <w:rFonts w:ascii="Arial" w:cs="Arial" w:eastAsia="Arial" w:hAnsi="Arial"/>
          <w:sz w:val="19"/>
          <w:szCs w:val="19"/>
          <w:color w:val="FF0000"/>
          <w:strike w:val="1"/>
        </w:rPr>
        <w:t>in writing, (ii) no actions outside of the United States</w:t>
      </w:r>
      <w:r>
        <w:rPr>
          <w:rFonts w:ascii="Arial" w:cs="Arial" w:eastAsia="Arial" w:hAnsi="Arial"/>
          <w:sz w:val="19"/>
          <w:szCs w:val="19"/>
          <w:color w:val="auto"/>
        </w:rPr>
        <w:t xml:space="preserve"> </w:t>
      </w:r>
      <w:r>
        <w:rPr>
          <w:rFonts w:ascii="Arial" w:cs="Arial" w:eastAsia="Arial" w:hAnsi="Arial"/>
          <w:sz w:val="19"/>
          <w:szCs w:val="19"/>
          <w:color w:val="008000"/>
          <w:strike w:val="1"/>
        </w:rPr>
        <w:t>shall be required to be</w:t>
      </w:r>
      <w:r>
        <w:rPr>
          <w:rFonts w:ascii="Arial" w:cs="Arial" w:eastAsia="Arial" w:hAnsi="Arial"/>
          <w:sz w:val="19"/>
          <w:szCs w:val="19"/>
          <w:color w:val="auto"/>
        </w:rPr>
        <w:t xml:space="preserve"> </w:t>
      </w:r>
      <w:r>
        <w:rPr>
          <w:rFonts w:ascii="Arial" w:cs="Arial" w:eastAsia="Arial" w:hAnsi="Arial"/>
          <w:sz w:val="19"/>
          <w:szCs w:val="19"/>
          <w:color w:val="FF0000"/>
          <w:strike w:val="1"/>
        </w:rPr>
        <w:t>taken in order to create or</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grant any </w:t>
      </w:r>
      <w:r>
        <w:rPr>
          <w:rFonts w:ascii="Arial" w:cs="Arial" w:eastAsia="Arial" w:hAnsi="Arial"/>
          <w:sz w:val="19"/>
          <w:szCs w:val="19"/>
          <w:color w:val="008000"/>
          <w:strike w:val="1"/>
        </w:rPr>
        <w:t>security interest in any</w:t>
      </w:r>
      <w:r>
        <w:rPr>
          <w:rFonts w:ascii="Arial" w:cs="Arial" w:eastAsia="Arial" w:hAnsi="Arial"/>
          <w:sz w:val="19"/>
          <w:szCs w:val="19"/>
          <w:color w:val="FF0000"/>
          <w:strike w:val="1"/>
        </w:rPr>
        <w:t xml:space="preserve"> assets located outside of the United States and no foreign law security or pledge agreements shall be required, (iii) no</w:t>
      </w:r>
      <w:r>
        <w:rPr>
          <w:rFonts w:ascii="Arial" w:cs="Arial" w:eastAsia="Arial" w:hAnsi="Arial"/>
          <w:sz w:val="19"/>
          <w:szCs w:val="19"/>
          <w:u w:val="single" w:color="auto"/>
          <w:color w:val="0000FF"/>
          <w:strike w:val="1"/>
        </w:rPr>
        <w:t>as directed by the Required Lenders, (ii) no</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landlord, lien waiver, bailee, customs broker or other similar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agreements will be required </w:t>
      </w:r>
      <w:r>
        <w:rPr>
          <w:rFonts w:ascii="Arial" w:cs="Arial" w:eastAsia="Arial" w:hAnsi="Arial"/>
          <w:sz w:val="19"/>
          <w:szCs w:val="19"/>
          <w:u w:val="single" w:color="auto"/>
          <w:color w:val="0000FF"/>
          <w:strike w:val="1"/>
        </w:rPr>
        <w:t>unless required by the Required Lenders after the occurrence of a Default</w:t>
      </w:r>
      <w:r>
        <w:rPr>
          <w:rFonts w:ascii="Arial" w:cs="Arial" w:eastAsia="Arial" w:hAnsi="Arial"/>
          <w:sz w:val="19"/>
          <w:szCs w:val="19"/>
          <w:color w:val="000000"/>
          <w:strike w:val="1"/>
        </w:rPr>
        <w:t>, (</w:t>
      </w:r>
      <w:r>
        <w:rPr>
          <w:rFonts w:ascii="Arial" w:cs="Arial" w:eastAsia="Arial" w:hAnsi="Arial"/>
          <w:sz w:val="19"/>
          <w:szCs w:val="19"/>
          <w:color w:val="FF0000"/>
          <w:strike w:val="1"/>
        </w:rPr>
        <w:t>iv</w:t>
      </w:r>
      <w:r>
        <w:rPr>
          <w:rFonts w:ascii="Arial" w:cs="Arial" w:eastAsia="Arial" w:hAnsi="Arial"/>
          <w:sz w:val="19"/>
          <w:szCs w:val="19"/>
          <w:u w:val="single" w:color="auto"/>
          <w:color w:val="0000FF"/>
          <w:strike w:val="1"/>
        </w:rPr>
        <w:t>iii</w:t>
      </w:r>
      <w:r>
        <w:rPr>
          <w:rFonts w:ascii="Arial" w:cs="Arial" w:eastAsia="Arial" w:hAnsi="Arial"/>
          <w:sz w:val="19"/>
          <w:szCs w:val="19"/>
          <w:color w:val="000000"/>
          <w:strike w:val="1"/>
        </w:rPr>
        <w:t>) the Loan Parties shall not be required to take any action or incur any costs with respect to any real property constituting a leasehold property</w:t>
      </w:r>
      <w:r>
        <w:rPr>
          <w:rFonts w:ascii="Arial" w:cs="Arial" w:eastAsia="Arial" w:hAnsi="Arial"/>
          <w:sz w:val="19"/>
          <w:szCs w:val="19"/>
          <w:color w:val="FF0000"/>
          <w:strike w:val="1"/>
        </w:rPr>
        <w:t>,</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00FF"/>
          <w:strike w:val="1"/>
        </w:rPr>
        <w:t>and</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v</w:t>
      </w:r>
      <w:r>
        <w:rPr>
          <w:rFonts w:ascii="Arial" w:cs="Arial" w:eastAsia="Arial" w:hAnsi="Arial"/>
          <w:sz w:val="19"/>
          <w:szCs w:val="19"/>
          <w:u w:val="single" w:color="auto"/>
          <w:color w:val="0000FF"/>
          <w:strike w:val="1"/>
        </w:rPr>
        <w:t>iv</w:t>
      </w:r>
      <w:r>
        <w:rPr>
          <w:rFonts w:ascii="Arial" w:cs="Arial" w:eastAsia="Arial" w:hAnsi="Arial"/>
          <w:sz w:val="19"/>
          <w:szCs w:val="19"/>
          <w:color w:val="000000"/>
          <w:strike w:val="1"/>
        </w:rPr>
        <w:t>) the Loan Parties shall not be required, nor shall the Administrative Agent be authorized</w:t>
      </w:r>
      <w:r>
        <w:rPr>
          <w:rFonts w:ascii="Arial" w:cs="Arial" w:eastAsia="Arial" w:hAnsi="Arial"/>
          <w:sz w:val="19"/>
          <w:szCs w:val="19"/>
          <w:u w:val="single" w:color="auto"/>
          <w:color w:val="0000FF"/>
          <w:strike w:val="1"/>
        </w:rPr>
        <w:t>,</w:t>
      </w:r>
      <w:r>
        <w:rPr>
          <w:rFonts w:ascii="Arial" w:cs="Arial" w:eastAsia="Arial" w:hAnsi="Arial"/>
          <w:sz w:val="19"/>
          <w:szCs w:val="19"/>
          <w:color w:val="000000"/>
          <w:strike w:val="1"/>
        </w:rPr>
        <w:t xml:space="preserve"> to </w:t>
      </w:r>
      <w:r>
        <w:rPr>
          <w:rFonts w:ascii="Arial" w:cs="Arial" w:eastAsia="Arial" w:hAnsi="Arial"/>
          <w:sz w:val="19"/>
          <w:szCs w:val="19"/>
          <w:color w:val="FF0000"/>
          <w:strike w:val="1"/>
        </w:rPr>
        <w:t>record or to perfect the</w:t>
      </w:r>
      <w:r>
        <w:rPr>
          <w:rFonts w:ascii="Arial" w:cs="Arial" w:eastAsia="Arial" w:hAnsi="Arial"/>
          <w:sz w:val="19"/>
          <w:szCs w:val="19"/>
          <w:color w:val="000000"/>
          <w:strike w:val="1"/>
        </w:rPr>
        <w:t xml:space="preserve"> </w:t>
      </w:r>
      <w:r>
        <w:rPr>
          <w:rFonts w:ascii="Arial" w:cs="Arial" w:eastAsia="Arial" w:hAnsi="Arial"/>
          <w:sz w:val="19"/>
          <w:szCs w:val="19"/>
          <w:color w:val="FF0000"/>
          <w:strike w:val="1"/>
        </w:rPr>
        <w:t xml:space="preserve">Administrative Agent’s Lien in any property other </w:t>
      </w:r>
      <w:r>
        <w:rPr>
          <w:rFonts w:ascii="Arial" w:cs="Arial" w:eastAsia="Arial" w:hAnsi="Arial"/>
          <w:sz w:val="19"/>
          <w:szCs w:val="19"/>
          <w:u w:val="single" w:color="auto"/>
          <w:color w:val="008000"/>
          <w:strike w:val="1"/>
        </w:rPr>
        <w:t>send notices to insurers, account debtors or other contractual third parties prior</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8000"/>
          <w:strike w:val="1"/>
        </w:rPr>
        <w:t xml:space="preserve">to the occurrence and continuance of an </w:t>
      </w:r>
      <w:r>
        <w:rPr>
          <w:rFonts w:ascii="Arial" w:cs="Arial" w:eastAsia="Arial" w:hAnsi="Arial"/>
          <w:sz w:val="19"/>
          <w:szCs w:val="19"/>
          <w:u w:val="single" w:color="auto"/>
          <w:color w:val="0000FF"/>
          <w:strike w:val="1"/>
        </w:rPr>
        <w:t>Event of Default.</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u w:val="single" w:color="auto"/>
          <w:color w:val="0000FF"/>
        </w:rPr>
        <w:t>Other</w:t>
      </w:r>
      <w:r>
        <w:rPr>
          <w:rFonts w:ascii="Arial" w:cs="Arial" w:eastAsia="Arial" w:hAnsi="Arial"/>
          <w:sz w:val="21"/>
          <w:szCs w:val="21"/>
          <w:color w:val="0000FF"/>
        </w:rPr>
        <w:t xml:space="preserve"> </w:t>
      </w:r>
      <w:r>
        <w:rPr>
          <w:rFonts w:ascii="Arial" w:cs="Arial" w:eastAsia="Arial" w:hAnsi="Arial"/>
          <w:sz w:val="21"/>
          <w:szCs w:val="21"/>
          <w:color w:val="000000"/>
        </w:rPr>
        <w:t>than</w:t>
      </w:r>
      <w:r>
        <w:rPr>
          <w:rFonts w:ascii="Arial" w:cs="Arial" w:eastAsia="Arial" w:hAnsi="Arial"/>
          <w:sz w:val="21"/>
          <w:szCs w:val="21"/>
          <w:color w:val="0000FF"/>
        </w:rPr>
        <w:t xml:space="preserve"> </w:t>
      </w:r>
      <w:r>
        <w:rPr>
          <w:rFonts w:ascii="Arial" w:cs="Arial" w:eastAsia="Arial" w:hAnsi="Arial"/>
          <w:sz w:val="21"/>
          <w:szCs w:val="21"/>
          <w:color w:val="FF0000"/>
          <w:strike w:val="1"/>
        </w:rPr>
        <w:t>(w</w:t>
      </w:r>
      <w:r>
        <w:rPr>
          <w:rFonts w:ascii="Arial" w:cs="Arial" w:eastAsia="Arial" w:hAnsi="Arial"/>
          <w:sz w:val="21"/>
          <w:szCs w:val="21"/>
          <w:u w:val="single" w:color="auto"/>
          <w:color w:val="0000FF"/>
        </w:rPr>
        <w:t>Liens that may be created or perfected by (A) entry into Control Agreements to the extent otherwise required</w:t>
      </w:r>
      <w:r>
        <w:rPr>
          <w:rFonts w:ascii="Arial" w:cs="Arial" w:eastAsia="Arial" w:hAnsi="Arial"/>
          <w:sz w:val="21"/>
          <w:szCs w:val="21"/>
          <w:color w:val="0000FF"/>
        </w:rPr>
        <w:t xml:space="preserve"> </w:t>
      </w:r>
      <w:r>
        <w:rPr>
          <w:rFonts w:ascii="Arial" w:cs="Arial" w:eastAsia="Arial" w:hAnsi="Arial"/>
          <w:sz w:val="21"/>
          <w:szCs w:val="21"/>
          <w:u w:val="single" w:color="auto"/>
          <w:color w:val="0000FF"/>
        </w:rPr>
        <w:t>pursuant to the terms of this Agreement, (B</w:t>
      </w:r>
      <w:r>
        <w:rPr>
          <w:rFonts w:ascii="Arial" w:cs="Arial" w:eastAsia="Arial" w:hAnsi="Arial"/>
          <w:sz w:val="21"/>
          <w:szCs w:val="21"/>
          <w:color w:val="000000"/>
        </w:rPr>
        <w:t>) recording of mortgages against real property and fixtures with respect to any</w:t>
      </w:r>
      <w:r>
        <w:rPr>
          <w:rFonts w:ascii="Arial" w:cs="Arial" w:eastAsia="Arial" w:hAnsi="Arial"/>
          <w:sz w:val="21"/>
          <w:szCs w:val="21"/>
          <w:color w:val="0000FF"/>
        </w:rPr>
        <w:t xml:space="preserve"> </w:t>
      </w:r>
      <w:r>
        <w:rPr>
          <w:rFonts w:ascii="Arial" w:cs="Arial" w:eastAsia="Arial" w:hAnsi="Arial"/>
          <w:sz w:val="21"/>
          <w:szCs w:val="21"/>
          <w:color w:val="000000"/>
        </w:rPr>
        <w:t>Material Real Estate Assets, (</w:t>
      </w:r>
      <w:r>
        <w:rPr>
          <w:rFonts w:ascii="Arial" w:cs="Arial" w:eastAsia="Arial" w:hAnsi="Arial"/>
          <w:sz w:val="21"/>
          <w:szCs w:val="21"/>
          <w:color w:val="FF0000"/>
          <w:strike w:val="1"/>
        </w:rPr>
        <w:t>x</w:t>
      </w:r>
      <w:r>
        <w:rPr>
          <w:rFonts w:ascii="Arial" w:cs="Arial" w:eastAsia="Arial" w:hAnsi="Arial"/>
          <w:sz w:val="21"/>
          <w:szCs w:val="21"/>
          <w:u w:val="single" w:color="auto"/>
          <w:color w:val="0000FF"/>
        </w:rPr>
        <w:t>C</w:t>
      </w:r>
      <w:r>
        <w:rPr>
          <w:rFonts w:ascii="Arial" w:cs="Arial" w:eastAsia="Arial" w:hAnsi="Arial"/>
          <w:sz w:val="21"/>
          <w:szCs w:val="21"/>
          <w:color w:val="000000"/>
        </w:rPr>
        <w:t>) the filing of appropriate UCC financing statements, (</w:t>
      </w:r>
      <w:r>
        <w:rPr>
          <w:rFonts w:ascii="Arial" w:cs="Arial" w:eastAsia="Arial" w:hAnsi="Arial"/>
          <w:sz w:val="21"/>
          <w:szCs w:val="21"/>
          <w:color w:val="FF0000"/>
          <w:strike w:val="1"/>
        </w:rPr>
        <w:t>y</w:t>
      </w:r>
      <w:r>
        <w:rPr>
          <w:rFonts w:ascii="Arial" w:cs="Arial" w:eastAsia="Arial" w:hAnsi="Arial"/>
          <w:sz w:val="21"/>
          <w:szCs w:val="21"/>
          <w:u w:val="single" w:color="auto"/>
          <w:color w:val="0000FF"/>
        </w:rPr>
        <w:t>D</w:t>
      </w:r>
      <w:r>
        <w:rPr>
          <w:rFonts w:ascii="Arial" w:cs="Arial" w:eastAsia="Arial" w:hAnsi="Arial"/>
          <w:sz w:val="21"/>
          <w:szCs w:val="21"/>
          <w:color w:val="000000"/>
        </w:rPr>
        <w:t xml:space="preserve">) the filing of documents effecting the recordation of security interests in the United States Copyright Office or United States Patent and Trademark Office with regard to United States intellectual property rights as expressly required by the Loan Documents, </w:t>
      </w:r>
      <w:r>
        <w:rPr>
          <w:rFonts w:ascii="Arial" w:cs="Arial" w:eastAsia="Arial" w:hAnsi="Arial"/>
          <w:sz w:val="21"/>
          <w:szCs w:val="21"/>
          <w:color w:val="FF0000"/>
          <w:strike w:val="1"/>
        </w:rPr>
        <w:t>and</w:t>
      </w:r>
      <w:r>
        <w:rPr>
          <w:rFonts w:ascii="Arial" w:cs="Arial" w:eastAsia="Arial" w:hAnsi="Arial"/>
          <w:sz w:val="21"/>
          <w:szCs w:val="21"/>
          <w:color w:val="000000"/>
        </w:rPr>
        <w:t xml:space="preserve"> (</w:t>
      </w:r>
      <w:r>
        <w:rPr>
          <w:rFonts w:ascii="Arial" w:cs="Arial" w:eastAsia="Arial" w:hAnsi="Arial"/>
          <w:sz w:val="21"/>
          <w:szCs w:val="21"/>
          <w:color w:val="FF0000"/>
          <w:strike w:val="1"/>
        </w:rPr>
        <w:t>z</w:t>
      </w:r>
      <w:r>
        <w:rPr>
          <w:rFonts w:ascii="Arial" w:cs="Arial" w:eastAsia="Arial" w:hAnsi="Arial"/>
          <w:sz w:val="21"/>
          <w:szCs w:val="21"/>
          <w:u w:val="single" w:color="auto"/>
          <w:color w:val="0000FF"/>
        </w:rPr>
        <w:t>E</w:t>
      </w:r>
      <w:r>
        <w:rPr>
          <w:rFonts w:ascii="Arial" w:cs="Arial" w:eastAsia="Arial" w:hAnsi="Arial"/>
          <w:sz w:val="21"/>
          <w:szCs w:val="21"/>
          <w:color w:val="000000"/>
        </w:rPr>
        <w:t xml:space="preserve">) delivery to the Administrative Agent to be held in its possession of Collateral consisting of intercompany notes, stock certificates of the Borrower and other Subsidiaries and other instruments required to be delivered hereunder or in any other Loan Document </w:t>
      </w:r>
      <w:r>
        <w:rPr>
          <w:rFonts w:ascii="Arial" w:cs="Arial" w:eastAsia="Arial" w:hAnsi="Arial"/>
          <w:sz w:val="21"/>
          <w:szCs w:val="21"/>
          <w:color w:val="008000"/>
          <w:strike w:val="1"/>
        </w:rPr>
        <w:t>(but excluding, for the</w:t>
      </w:r>
      <w:r>
        <w:rPr>
          <w:rFonts w:ascii="Arial" w:cs="Arial" w:eastAsia="Arial" w:hAnsi="Arial"/>
          <w:sz w:val="21"/>
          <w:szCs w:val="21"/>
          <w:color w:val="000000"/>
        </w:rPr>
        <w:t xml:space="preserve"> </w:t>
      </w:r>
      <w:r>
        <w:rPr>
          <w:rFonts w:ascii="Arial" w:cs="Arial" w:eastAsia="Arial" w:hAnsi="Arial"/>
          <w:sz w:val="21"/>
          <w:szCs w:val="21"/>
          <w:color w:val="008000"/>
          <w:strike w:val="1"/>
        </w:rPr>
        <w:t xml:space="preserve">avoidance of doubt, </w:t>
      </w:r>
      <w:r>
        <w:rPr>
          <w:rFonts w:ascii="Arial" w:cs="Arial" w:eastAsia="Arial" w:hAnsi="Arial"/>
          <w:sz w:val="21"/>
          <w:szCs w:val="21"/>
          <w:color w:val="FF0000"/>
          <w:strike w:val="1"/>
        </w:rPr>
        <w:t>delivery of collateral or perfection actions related to motor vehicles, airplanes and other assets subject to</w:t>
      </w:r>
      <w:r>
        <w:rPr>
          <w:rFonts w:ascii="Arial" w:cs="Arial" w:eastAsia="Arial" w:hAnsi="Arial"/>
          <w:sz w:val="21"/>
          <w:szCs w:val="21"/>
          <w:color w:val="008000"/>
          <w:strike w:val="1"/>
        </w:rPr>
        <w:t xml:space="preserve"> </w:t>
      </w:r>
      <w:r>
        <w:rPr>
          <w:rFonts w:ascii="Arial" w:cs="Arial" w:eastAsia="Arial" w:hAnsi="Arial"/>
          <w:sz w:val="21"/>
          <w:szCs w:val="21"/>
          <w:color w:val="FF0000"/>
          <w:strike w:val="1"/>
        </w:rPr>
        <w:t>certificates of title, letter of credit rights, commercial tort claims or government receivables (except to the extent perfected through the</w:t>
      </w:r>
      <w:r>
        <w:rPr>
          <w:rFonts w:ascii="Arial" w:cs="Arial" w:eastAsia="Arial" w:hAnsi="Arial"/>
          <w:sz w:val="21"/>
          <w:szCs w:val="21"/>
          <w:u w:val="single" w:color="auto"/>
          <w:color w:val="0000FF"/>
          <w:strike w:val="1"/>
        </w:rPr>
        <w:t>and (F)</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filing of UCC financing statements</w:t>
      </w:r>
      <w:r>
        <w:rPr>
          <w:rFonts w:ascii="Arial" w:cs="Arial" w:eastAsia="Arial" w:hAnsi="Arial"/>
          <w:sz w:val="21"/>
          <w:szCs w:val="21"/>
          <w:color w:val="FF0000"/>
          <w:strike w:val="1"/>
        </w:rPr>
        <w:t>))</w:t>
      </w:r>
      <w:r>
        <w:rPr>
          <w:rFonts w:ascii="Arial" w:cs="Arial" w:eastAsia="Arial" w:hAnsi="Arial"/>
          <w:sz w:val="21"/>
          <w:szCs w:val="21"/>
          <w:color w:val="000000"/>
          <w:strike w:val="1"/>
        </w:rPr>
        <w:t>,</w:t>
      </w:r>
      <w:r>
        <w:rPr>
          <w:rFonts w:ascii="Arial" w:cs="Arial" w:eastAsia="Arial" w:hAnsi="Arial"/>
          <w:sz w:val="21"/>
          <w:szCs w:val="21"/>
          <w:color w:val="FF0000"/>
          <w:strike w:val="1"/>
        </w:rPr>
        <w:t xml:space="preserve"> and (vi)</w:t>
      </w:r>
      <w:r>
        <w:rPr>
          <w:rFonts w:ascii="Arial" w:cs="Arial" w:eastAsia="Arial" w:hAnsi="Arial"/>
          <w:sz w:val="21"/>
          <w:szCs w:val="21"/>
          <w:u w:val="single" w:color="auto"/>
          <w:color w:val="0000FF"/>
          <w:strike w:val="1"/>
        </w:rPr>
        <w:t>the failure by</w:t>
      </w:r>
      <w:r>
        <w:rPr>
          <w:rFonts w:ascii="Arial" w:cs="Arial" w:eastAsia="Arial" w:hAnsi="Arial"/>
          <w:sz w:val="21"/>
          <w:szCs w:val="21"/>
          <w:color w:val="FF0000"/>
          <w:strike w:val="1"/>
        </w:rPr>
        <w:t xml:space="preserve"> </w:t>
      </w:r>
      <w:r>
        <w:rPr>
          <w:rFonts w:ascii="Arial" w:cs="Arial" w:eastAsia="Arial" w:hAnsi="Arial"/>
          <w:sz w:val="21"/>
          <w:szCs w:val="21"/>
          <w:color w:val="000000"/>
          <w:strike w:val="1"/>
        </w:rPr>
        <w:t>the Loan Parties</w:t>
      </w:r>
      <w:r>
        <w:rPr>
          <w:rFonts w:ascii="Arial" w:cs="Arial" w:eastAsia="Arial" w:hAnsi="Arial"/>
          <w:sz w:val="21"/>
          <w:szCs w:val="21"/>
          <w:color w:val="FF0000"/>
          <w:strike w:val="1"/>
        </w:rPr>
        <w:t xml:space="preserve"> shall not be required, nor shall the Administrative Agent be authorized, to </w:t>
      </w:r>
      <w:r>
        <w:rPr>
          <w:rFonts w:ascii="Arial" w:cs="Arial" w:eastAsia="Arial" w:hAnsi="Arial"/>
          <w:sz w:val="21"/>
          <w:szCs w:val="21"/>
          <w:color w:val="008000"/>
          <w:strike w:val="1"/>
        </w:rPr>
        <w:t>send notices to insurers, account debtors or other contractual third parties prior to the</w:t>
      </w:r>
      <w:r>
        <w:rPr>
          <w:rFonts w:ascii="Arial" w:cs="Arial" w:eastAsia="Arial" w:hAnsi="Arial"/>
          <w:sz w:val="21"/>
          <w:szCs w:val="21"/>
          <w:color w:val="FF0000"/>
          <w:strike w:val="1"/>
        </w:rPr>
        <w:t xml:space="preserve"> </w:t>
      </w:r>
      <w:r>
        <w:rPr>
          <w:rFonts w:ascii="Arial" w:cs="Arial" w:eastAsia="Arial" w:hAnsi="Arial"/>
          <w:sz w:val="21"/>
          <w:szCs w:val="21"/>
          <w:color w:val="008000"/>
          <w:strike w:val="1"/>
        </w:rPr>
        <w:t xml:space="preserve">occurrence and continuance of an </w:t>
      </w:r>
      <w:r>
        <w:rPr>
          <w:rFonts w:ascii="Arial" w:cs="Arial" w:eastAsia="Arial" w:hAnsi="Arial"/>
          <w:sz w:val="21"/>
          <w:szCs w:val="21"/>
          <w:u w:val="single" w:color="auto"/>
          <w:color w:val="0000FF"/>
          <w:strike w:val="1"/>
        </w:rPr>
        <w:t>to create or perfect a Lien otherwise required to be created or perfected under the Loan</w:t>
      </w:r>
      <w:r>
        <w:rPr>
          <w:rFonts w:ascii="Arial" w:cs="Arial" w:eastAsia="Arial" w:hAnsi="Arial"/>
          <w:sz w:val="21"/>
          <w:szCs w:val="21"/>
          <w:color w:val="008000"/>
          <w:strike w:val="1"/>
        </w:rPr>
        <w:t xml:space="preserve"> </w:t>
      </w:r>
      <w:r>
        <w:rPr>
          <w:rFonts w:ascii="Arial" w:cs="Arial" w:eastAsia="Arial" w:hAnsi="Arial"/>
          <w:sz w:val="21"/>
          <w:szCs w:val="21"/>
          <w:u w:val="single" w:color="auto"/>
          <w:color w:val="0000FF"/>
          <w:strike w:val="1"/>
        </w:rPr>
        <w:t>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28" w:right="339" w:bottom="1440" w:gutter="0" w:footer="0" w:header="0"/>
        </w:sectPr>
      </w:pPr>
    </w:p>
    <w:bookmarkStart w:id="207" w:name="page208"/>
    <w:bookmarkEnd w:id="207"/>
    <w:p>
      <w:pPr>
        <w:spacing w:after="0"/>
        <w:rPr>
          <w:sz w:val="20"/>
          <w:szCs w:val="20"/>
          <w:color w:val="auto"/>
        </w:rPr>
      </w:pPr>
      <w:r>
        <w:rPr>
          <w:rFonts w:ascii="Arial" w:cs="Arial" w:eastAsia="Arial" w:hAnsi="Arial"/>
          <w:sz w:val="19"/>
          <w:szCs w:val="19"/>
          <w:u w:val="single" w:color="auto"/>
          <w:color w:val="0000FF"/>
        </w:rPr>
        <w:t>on any assets having an aggregate value not in excess of $500,000 at any time shall not constitute a Default or</w:t>
      </w:r>
      <w:r>
        <w:rPr>
          <w:rFonts w:ascii="Arial" w:cs="Arial" w:eastAsia="Arial" w:hAnsi="Arial"/>
          <w:sz w:val="19"/>
          <w:szCs w:val="19"/>
          <w:color w:val="0000FF"/>
        </w:rPr>
        <w:t xml:space="preserve"> </w:t>
      </w:r>
      <w:r>
        <w:rPr>
          <w:rFonts w:ascii="Arial" w:cs="Arial" w:eastAsia="Arial" w:hAnsi="Arial"/>
          <w:sz w:val="19"/>
          <w:szCs w:val="19"/>
          <w:color w:val="000000"/>
        </w:rPr>
        <w:t>Event of Default.</w:t>
      </w:r>
    </w:p>
    <w:p>
      <w:pPr>
        <w:spacing w:after="0" w:line="28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u w:val="single" w:color="auto"/>
          <w:color w:val="0000FF"/>
        </w:rPr>
        <w:t>6.11</w:t>
      </w:r>
      <w:r>
        <w:rPr>
          <w:sz w:val="20"/>
          <w:szCs w:val="20"/>
          <w:color w:val="auto"/>
        </w:rPr>
        <w:tab/>
      </w:r>
      <w:r>
        <w:rPr>
          <w:rFonts w:ascii="Arial" w:cs="Arial" w:eastAsia="Arial" w:hAnsi="Arial"/>
          <w:sz w:val="19"/>
          <w:szCs w:val="19"/>
          <w:u w:val="single" w:color="auto"/>
          <w:color w:val="0000FF"/>
        </w:rPr>
        <w:t>Approved Deposit Accounts; Control Agreements.</w:t>
      </w:r>
    </w:p>
    <w:p>
      <w:pPr>
        <w:spacing w:after="0" w:line="220" w:lineRule="exact"/>
        <w:rPr>
          <w:sz w:val="20"/>
          <w:szCs w:val="20"/>
          <w:color w:val="auto"/>
        </w:rPr>
      </w:pPr>
    </w:p>
    <w:p>
      <w:pPr>
        <w:jc w:val="both"/>
        <w:ind w:firstLine="1304"/>
        <w:spacing w:after="0" w:line="248" w:lineRule="auto"/>
        <w:tabs>
          <w:tab w:leader="none" w:pos="1611" w:val="left"/>
        </w:tabs>
        <w:numPr>
          <w:ilvl w:val="0"/>
          <w:numId w:val="154"/>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Set forth on Schedule 6.11 is a list of each deposit account and securities account of each Loan Party or its Subsidiaries as of the Amendment No. 2 Effective Date. The Loan Parties shall promptly following the Amendment No. 2 Effective Date (but in no event later than 30 days thereafter), deposit all available cash (that is not deposited in an Excluded Account) in a deposit account maintained by any of the Loan Parties with an Approved Deposit Bank (each an “Approved Deposit Account”).</w:t>
      </w:r>
    </w:p>
    <w:p>
      <w:pPr>
        <w:spacing w:after="0" w:line="191" w:lineRule="exact"/>
        <w:rPr>
          <w:rFonts w:ascii="Arial" w:cs="Arial" w:eastAsia="Arial" w:hAnsi="Arial"/>
          <w:sz w:val="22"/>
          <w:szCs w:val="22"/>
          <w:u w:val="single" w:color="auto"/>
          <w:color w:val="0000FF"/>
        </w:rPr>
      </w:pPr>
    </w:p>
    <w:p>
      <w:pPr>
        <w:jc w:val="both"/>
        <w:ind w:firstLine="1304"/>
        <w:spacing w:after="0" w:line="289" w:lineRule="auto"/>
        <w:tabs>
          <w:tab w:leader="none" w:pos="1633" w:val="left"/>
        </w:tabs>
        <w:numPr>
          <w:ilvl w:val="0"/>
          <w:numId w:val="15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Within (i) 45 days of the Amendment No. 2 Effective Date (with respect to deposit accounts or securities accounts of the Loan Parties in existence on such date (other than Excluded Accounts)) or (ii) ten Business Days of establishing a deposit account or securities account (with respect to deposit accounts or securities accounts of the Loan Parties established after the Amendment No. 2 Effective Date (other than Excluded Accounts)) (in each case of (i) and/or (ii), or such longer period as the Administrative Agent may agree in its reasonable discretion (such longer period not to exceed 30 days)) (the “Deposit Account Grace Period”), the applicable Loan Party maintaining such deposit account or securities account (other than an Excluded Account) shall (i) until the Q3 End Date, ensure that all deposit accounts and securities accounts are held at an Approved Deposit Bank and (ii) enter into a Control Agreement that is reasonably satisfactory to the Administrative Agent establishing the Collateral Agent’s “springing” Control (as defined in the UCC) of such deposit account and/or securities account).</w:t>
      </w:r>
    </w:p>
    <w:p>
      <w:pPr>
        <w:spacing w:after="0" w:line="156" w:lineRule="exact"/>
        <w:rPr>
          <w:rFonts w:ascii="Arial" w:cs="Arial" w:eastAsia="Arial" w:hAnsi="Arial"/>
          <w:sz w:val="19"/>
          <w:szCs w:val="19"/>
          <w:u w:val="single" w:color="auto"/>
          <w:color w:val="0000FF"/>
        </w:rPr>
      </w:pPr>
    </w:p>
    <w:p>
      <w:pPr>
        <w:jc w:val="both"/>
        <w:ind w:firstLine="1304"/>
        <w:spacing w:after="0" w:line="294" w:lineRule="auto"/>
        <w:tabs>
          <w:tab w:leader="none" w:pos="1633" w:val="left"/>
        </w:tabs>
        <w:numPr>
          <w:ilvl w:val="0"/>
          <w:numId w:val="154"/>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 xml:space="preserve">On or after January 1, 2023, the Borrower may deliver a written certificate to the Administrative Agent certifying that no Default or Event of Default exists </w:t>
      </w:r>
      <w:r>
        <w:rPr>
          <w:rFonts w:ascii="Arial" w:cs="Arial" w:eastAsia="Arial" w:hAnsi="Arial"/>
          <w:sz w:val="19"/>
          <w:szCs w:val="19"/>
          <w:u w:val="single" w:color="auto"/>
          <w:color w:val="008000"/>
        </w:rPr>
        <w:t>as of the date</w:t>
      </w:r>
      <w:r>
        <w:rPr>
          <w:rFonts w:ascii="Arial" w:cs="Arial" w:eastAsia="Arial" w:hAnsi="Arial"/>
          <w:sz w:val="19"/>
          <w:szCs w:val="19"/>
          <w:u w:val="single" w:color="auto"/>
          <w:color w:val="0000FF"/>
        </w:rPr>
        <w:t xml:space="preserve"> of such certificate and that the Borrower has been in compliance with the financial covenants in Section 7.1 for two consecutive fiscal quarters. After receipt of such certificate, the Administrative Agent shall, at the Borrower’s sole expense, promptly execute any agreements, notices, or releases prepared by the Borrower and reasonably necessary to evidence the termination of any Control Agreements. On and after the date of delivery of such certificate, the Loan Parties shall no longer be required to comply with the provisions of Sections 6.11(a) and (b).</w:t>
      </w:r>
    </w:p>
    <w:p>
      <w:pPr>
        <w:spacing w:after="0" w:line="149"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u w:val="single" w:color="auto"/>
          <w:color w:val="0000FF"/>
        </w:rPr>
        <w:t xml:space="preserve">6.13 Ratings. No later than 15 Business Days following the Amendment No. 2 Effective </w:t>
      </w:r>
      <w:r>
        <w:rPr>
          <w:rFonts w:ascii="Arial" w:cs="Arial" w:eastAsia="Arial" w:hAnsi="Arial"/>
          <w:sz w:val="22"/>
          <w:szCs w:val="22"/>
          <w:u w:val="single" w:color="auto"/>
          <w:color w:val="008000"/>
        </w:rPr>
        <w:t>Date, the Borrower</w:t>
      </w:r>
      <w:r>
        <w:rPr>
          <w:rFonts w:ascii="Arial" w:cs="Arial" w:eastAsia="Arial" w:hAnsi="Arial"/>
          <w:sz w:val="22"/>
          <w:szCs w:val="22"/>
          <w:u w:val="single" w:color="auto"/>
          <w:color w:val="0000FF"/>
        </w:rPr>
        <w:t xml:space="preserve"> </w:t>
      </w:r>
      <w:r>
        <w:rPr>
          <w:rFonts w:ascii="Arial" w:cs="Arial" w:eastAsia="Arial" w:hAnsi="Arial"/>
          <w:sz w:val="22"/>
          <w:szCs w:val="22"/>
          <w:u w:val="single" w:color="auto"/>
          <w:color w:val="008000"/>
        </w:rPr>
        <w:t xml:space="preserve">shall </w:t>
      </w:r>
      <w:r>
        <w:rPr>
          <w:rFonts w:ascii="Arial" w:cs="Arial" w:eastAsia="Arial" w:hAnsi="Arial"/>
          <w:sz w:val="22"/>
          <w:szCs w:val="22"/>
          <w:u w:val="single" w:color="auto"/>
          <w:color w:val="0000FF"/>
        </w:rPr>
        <w:t>have used commercially reasonable efforts to obtain, and to thereafter use commercially reasonable efforts to maintain, a</w:t>
      </w:r>
      <w:r>
        <w:rPr>
          <w:rFonts w:ascii="Arial" w:cs="Arial" w:eastAsia="Arial" w:hAnsi="Arial"/>
          <w:sz w:val="22"/>
          <w:szCs w:val="22"/>
          <w:u w:val="single" w:color="auto"/>
          <w:color w:val="008000"/>
        </w:rPr>
        <w:t xml:space="preserve"> </w:t>
      </w:r>
      <w:r>
        <w:rPr>
          <w:rFonts w:ascii="Arial" w:cs="Arial" w:eastAsia="Arial" w:hAnsi="Arial"/>
          <w:sz w:val="22"/>
          <w:szCs w:val="22"/>
          <w:u w:val="single" w:color="auto"/>
          <w:color w:val="0000FF"/>
        </w:rPr>
        <w:t>public corporate credit rating and corporate family rating (but, in each case, not to obtain a particular rating) from Moody’s and S&amp;P in respect of the Borrower.</w:t>
      </w:r>
    </w:p>
    <w:p>
      <w:pPr>
        <w:spacing w:after="0" w:line="188"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u w:val="single" w:color="auto"/>
          <w:color w:val="0000FF"/>
        </w:rPr>
        <w:t>6.13 Conference Calls. Following the Amendment No. 2 Effective Date, until and including the Q3 End Date, the Borrower shall hold one (1) conference call or teleconference per fiscal month (which may be attended solely by Lenders, the Administrative Agent and, at their sole expense (which shall not be subject to any reimbursement or indemnity hereunder), their advisors) at a time (which shall be on a Business Day during customary business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428" w:right="339" w:bottom="1440" w:gutter="0" w:footer="0" w:header="0"/>
        </w:sectPr>
      </w:pPr>
    </w:p>
    <w:bookmarkStart w:id="208" w:name="page209"/>
    <w:bookmarkEnd w:id="208"/>
    <w:p>
      <w:pPr>
        <w:jc w:val="both"/>
        <w:spacing w:after="0" w:line="302" w:lineRule="auto"/>
        <w:rPr>
          <w:sz w:val="20"/>
          <w:szCs w:val="20"/>
          <w:color w:val="auto"/>
        </w:rPr>
      </w:pPr>
      <w:r>
        <w:rPr>
          <w:rFonts w:ascii="Arial" w:cs="Arial" w:eastAsia="Arial" w:hAnsi="Arial"/>
          <w:sz w:val="19"/>
          <w:szCs w:val="19"/>
          <w:u w:val="single" w:color="auto"/>
          <w:color w:val="0000FF"/>
        </w:rPr>
        <w:t xml:space="preserve">selected by the Company (on reasonable notice to the Administrative Agent, who shall forward such notice to the Platform), to review the financial results of the Borrower and its Subsidiaries for such period; provided that after the Q3 End Date, such conference call or teleconference </w:t>
      </w:r>
      <w:r>
        <w:rPr>
          <w:rFonts w:ascii="Arial" w:cs="Arial" w:eastAsia="Arial" w:hAnsi="Arial"/>
          <w:sz w:val="19"/>
          <w:szCs w:val="19"/>
          <w:u w:val="single" w:color="auto"/>
          <w:color w:val="008000"/>
        </w:rPr>
        <w:t>shall be required to be</w:t>
      </w:r>
      <w:r>
        <w:rPr>
          <w:rFonts w:ascii="Arial" w:cs="Arial" w:eastAsia="Arial" w:hAnsi="Arial"/>
          <w:sz w:val="19"/>
          <w:szCs w:val="19"/>
          <w:u w:val="single" w:color="auto"/>
          <w:color w:val="0000FF"/>
        </w:rPr>
        <w:t xml:space="preserve"> held no more than one (1) time per fiscal quarter, and shall only be required to be held to the extent requested by the Administrative Agent (acting at the direction of the Required Lenders).</w:t>
      </w:r>
    </w:p>
    <w:p>
      <w:pPr>
        <w:spacing w:after="0" w:line="142"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u w:val="single" w:color="auto"/>
          <w:color w:val="0000FF"/>
        </w:rPr>
        <w:t>6.14 No “Unrestricted Subsidiaries.”. The parties hereto agree that no provision hereof or any other Loan Document may be amended or added to allow for the designation of an “Unrestricted Subsidiary” and/or incorporate necessary corresponding changes throughout this Agreement to effectuate the addition of such concept without the consent of all Lenders.</w:t>
      </w:r>
    </w:p>
    <w:p>
      <w:pPr>
        <w:spacing w:after="0" w:line="133"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SECTION 7. NEGATIVE COVENANTS</w:t>
      </w:r>
    </w:p>
    <w:p>
      <w:pPr>
        <w:spacing w:after="0" w:line="22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The Borrower hereby agrees that, until the Obligations have been Discharged in Full, the Borrower shall not, and shall not permit any of its Subsidiaries to, directly or indirectly:</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Financial Condition Covenant</w:t>
      </w:r>
      <w:r>
        <w:rPr>
          <w:rFonts w:ascii="Arial" w:cs="Arial" w:eastAsia="Arial" w:hAnsi="Arial"/>
          <w:sz w:val="19"/>
          <w:szCs w:val="19"/>
          <w:color w:val="auto"/>
        </w:rPr>
        <w:t>.</w:t>
      </w:r>
    </w:p>
    <w:p>
      <w:pPr>
        <w:spacing w:after="0" w:line="220" w:lineRule="exact"/>
        <w:rPr>
          <w:sz w:val="20"/>
          <w:szCs w:val="20"/>
          <w:color w:val="auto"/>
        </w:rPr>
      </w:pPr>
    </w:p>
    <w:p>
      <w:pPr>
        <w:jc w:val="both"/>
        <w:ind w:firstLine="1304"/>
        <w:spacing w:after="0" w:line="248" w:lineRule="auto"/>
        <w:tabs>
          <w:tab w:leader="none" w:pos="194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With respect to the Term Loan Facility and the Revolving Credit Facility, as of the last day of each fiscal quarter of the Borrower (commencing with the fiscal quarter ending </w:t>
      </w:r>
      <w:r>
        <w:rPr>
          <w:rFonts w:ascii="Arial" w:cs="Arial" w:eastAsia="Arial" w:hAnsi="Arial"/>
          <w:sz w:val="22"/>
          <w:szCs w:val="22"/>
          <w:u w:val="single" w:color="auto"/>
          <w:color w:val="0000FF"/>
        </w:rPr>
        <w:t>on or about</w:t>
      </w:r>
      <w:r>
        <w:rPr>
          <w:rFonts w:ascii="Arial" w:cs="Arial" w:eastAsia="Arial" w:hAnsi="Arial"/>
          <w:sz w:val="22"/>
          <w:szCs w:val="22"/>
          <w:color w:val="auto"/>
        </w:rPr>
        <w:t xml:space="preserve"> September </w:t>
      </w:r>
      <w:r>
        <w:rPr>
          <w:rFonts w:ascii="Arial" w:cs="Arial" w:eastAsia="Arial" w:hAnsi="Arial"/>
          <w:sz w:val="22"/>
          <w:szCs w:val="22"/>
          <w:color w:val="FF0000"/>
          <w:strike w:val="1"/>
        </w:rPr>
        <w:t>30</w:t>
      </w:r>
      <w:r>
        <w:rPr>
          <w:rFonts w:ascii="Arial" w:cs="Arial" w:eastAsia="Arial" w:hAnsi="Arial"/>
          <w:sz w:val="22"/>
          <w:szCs w:val="22"/>
          <w:u w:val="single" w:color="auto"/>
          <w:color w:val="0000FF"/>
        </w:rPr>
        <w:t>29</w:t>
      </w:r>
      <w:r>
        <w:rPr>
          <w:rFonts w:ascii="Arial" w:cs="Arial" w:eastAsia="Arial" w:hAnsi="Arial"/>
          <w:sz w:val="22"/>
          <w:szCs w:val="22"/>
          <w:color w:val="auto"/>
        </w:rPr>
        <w:t xml:space="preserve">, </w:t>
      </w:r>
      <w:r>
        <w:rPr>
          <w:rFonts w:ascii="Arial" w:cs="Arial" w:eastAsia="Arial" w:hAnsi="Arial"/>
          <w:sz w:val="22"/>
          <w:szCs w:val="22"/>
          <w:color w:val="FF0000"/>
          <w:strike w:val="1"/>
        </w:rPr>
        <w:t>2018</w:t>
      </w:r>
      <w:r>
        <w:rPr>
          <w:rFonts w:ascii="Arial" w:cs="Arial" w:eastAsia="Arial" w:hAnsi="Arial"/>
          <w:sz w:val="22"/>
          <w:szCs w:val="22"/>
          <w:u w:val="single" w:color="auto"/>
          <w:color w:val="0000FF"/>
        </w:rPr>
        <w:t>2022</w:t>
      </w:r>
      <w:r>
        <w:rPr>
          <w:rFonts w:ascii="Arial" w:cs="Arial" w:eastAsia="Arial" w:hAnsi="Arial"/>
          <w:sz w:val="22"/>
          <w:szCs w:val="22"/>
          <w:color w:val="auto"/>
        </w:rPr>
        <w:t xml:space="preserve">), permit the Consolidated Total Leverage Ratio as of </w:t>
      </w:r>
      <w:r>
        <w:rPr>
          <w:rFonts w:ascii="Arial" w:cs="Arial" w:eastAsia="Arial" w:hAnsi="Arial"/>
          <w:sz w:val="22"/>
          <w:szCs w:val="22"/>
          <w:u w:val="single" w:color="auto"/>
          <w:color w:val="0000FF"/>
        </w:rPr>
        <w:t>(i)</w:t>
      </w:r>
      <w:r>
        <w:rPr>
          <w:rFonts w:ascii="Arial" w:cs="Arial" w:eastAsia="Arial" w:hAnsi="Arial"/>
          <w:sz w:val="22"/>
          <w:szCs w:val="22"/>
          <w:color w:val="auto"/>
        </w:rPr>
        <w:t xml:space="preserve"> the </w:t>
      </w:r>
      <w:r>
        <w:rPr>
          <w:rFonts w:ascii="Arial" w:cs="Arial" w:eastAsia="Arial" w:hAnsi="Arial"/>
          <w:sz w:val="22"/>
          <w:szCs w:val="22"/>
          <w:color w:val="FF0000"/>
          <w:strike w:val="1"/>
        </w:rPr>
        <w:t>end</w:t>
      </w:r>
      <w:r>
        <w:rPr>
          <w:rFonts w:ascii="Arial" w:cs="Arial" w:eastAsia="Arial" w:hAnsi="Arial"/>
          <w:sz w:val="22"/>
          <w:szCs w:val="22"/>
          <w:u w:val="single" w:color="auto"/>
          <w:color w:val="0000FF"/>
        </w:rPr>
        <w:t>last day</w:t>
      </w:r>
      <w:r>
        <w:rPr>
          <w:rFonts w:ascii="Arial" w:cs="Arial" w:eastAsia="Arial" w:hAnsi="Arial"/>
          <w:sz w:val="22"/>
          <w:szCs w:val="22"/>
          <w:color w:val="auto"/>
        </w:rPr>
        <w:t xml:space="preserve"> of </w:t>
      </w:r>
      <w:r>
        <w:rPr>
          <w:rFonts w:ascii="Arial" w:cs="Arial" w:eastAsia="Arial" w:hAnsi="Arial"/>
          <w:sz w:val="22"/>
          <w:szCs w:val="22"/>
          <w:color w:val="FF0000"/>
          <w:strike w:val="1"/>
        </w:rPr>
        <w:t>such</w:t>
      </w:r>
      <w:r>
        <w:rPr>
          <w:rFonts w:ascii="Arial" w:cs="Arial" w:eastAsia="Arial" w:hAnsi="Arial"/>
          <w:sz w:val="22"/>
          <w:szCs w:val="22"/>
          <w:u w:val="single" w:color="auto"/>
          <w:color w:val="0000FF"/>
        </w:rPr>
        <w:t>the</w:t>
      </w:r>
      <w:r>
        <w:rPr>
          <w:rFonts w:ascii="Arial" w:cs="Arial" w:eastAsia="Arial" w:hAnsi="Arial"/>
          <w:sz w:val="22"/>
          <w:szCs w:val="22"/>
          <w:color w:val="auto"/>
        </w:rPr>
        <w:t xml:space="preserve"> fiscal quarter </w:t>
      </w:r>
      <w:r>
        <w:rPr>
          <w:rFonts w:ascii="Arial" w:cs="Arial" w:eastAsia="Arial" w:hAnsi="Arial"/>
          <w:sz w:val="22"/>
          <w:szCs w:val="22"/>
          <w:u w:val="single" w:color="auto"/>
          <w:color w:val="0000FF"/>
        </w:rPr>
        <w:t>ending on or about September 29, 2022 to</w:t>
      </w:r>
      <w:r>
        <w:rPr>
          <w:rFonts w:ascii="Arial" w:cs="Arial" w:eastAsia="Arial" w:hAnsi="Arial"/>
          <w:sz w:val="22"/>
          <w:szCs w:val="22"/>
          <w:color w:val="auto"/>
        </w:rPr>
        <w:t xml:space="preserve"> </w:t>
      </w:r>
      <w:r>
        <w:rPr>
          <w:rFonts w:ascii="Arial" w:cs="Arial" w:eastAsia="Arial" w:hAnsi="Arial"/>
          <w:sz w:val="22"/>
          <w:szCs w:val="22"/>
          <w:u w:val="single" w:color="auto"/>
          <w:color w:val="0000FF"/>
        </w:rPr>
        <w:t>exceed 6.75 to 1.00 and (ii) the last day of the fiscal quarter ending on or about December 31, 2022 and each fiscal quarter ending thereafter</w:t>
      </w:r>
      <w:r>
        <w:rPr>
          <w:rFonts w:ascii="Arial" w:cs="Arial" w:eastAsia="Arial" w:hAnsi="Arial"/>
          <w:sz w:val="22"/>
          <w:szCs w:val="22"/>
          <w:color w:val="0000FF"/>
        </w:rPr>
        <w:t xml:space="preserve"> </w:t>
      </w:r>
      <w:r>
        <w:rPr>
          <w:rFonts w:ascii="Arial" w:cs="Arial" w:eastAsia="Arial" w:hAnsi="Arial"/>
          <w:sz w:val="22"/>
          <w:szCs w:val="22"/>
          <w:color w:val="000000"/>
        </w:rPr>
        <w:t>to exceed 6.25 to 1.00.</w:t>
      </w:r>
    </w:p>
    <w:p>
      <w:pPr>
        <w:spacing w:after="0" w:line="191" w:lineRule="exact"/>
        <w:rPr>
          <w:rFonts w:ascii="Arial" w:cs="Arial" w:eastAsia="Arial" w:hAnsi="Arial"/>
          <w:sz w:val="22"/>
          <w:szCs w:val="22"/>
          <w:color w:val="auto"/>
        </w:rPr>
      </w:pPr>
    </w:p>
    <w:p>
      <w:pPr>
        <w:jc w:val="both"/>
        <w:ind w:firstLine="1304"/>
        <w:spacing w:after="0" w:line="292" w:lineRule="auto"/>
        <w:tabs>
          <w:tab w:leader="none" w:pos="1939"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With respect to the Revolving Credit Facility only, as of the last day of each fiscal quarter of the Borrower (commencing </w:t>
      </w:r>
      <w:r>
        <w:rPr>
          <w:rFonts w:ascii="Arial" w:cs="Arial" w:eastAsia="Arial" w:hAnsi="Arial"/>
          <w:sz w:val="19"/>
          <w:szCs w:val="19"/>
          <w:color w:val="FF0000"/>
          <w:strike w:val="1"/>
        </w:rPr>
        <w:t>at</w:t>
      </w:r>
      <w:r>
        <w:rPr>
          <w:rFonts w:ascii="Arial" w:cs="Arial" w:eastAsia="Arial" w:hAnsi="Arial"/>
          <w:sz w:val="19"/>
          <w:szCs w:val="19"/>
          <w:u w:val="single" w:color="auto"/>
          <w:color w:val="0000FF"/>
        </w:rPr>
        <w:t>with</w:t>
      </w:r>
      <w:r>
        <w:rPr>
          <w:rFonts w:ascii="Arial" w:cs="Arial" w:eastAsia="Arial" w:hAnsi="Arial"/>
          <w:sz w:val="19"/>
          <w:szCs w:val="19"/>
          <w:color w:val="auto"/>
        </w:rPr>
        <w:t xml:space="preserve"> the </w:t>
      </w:r>
      <w:r>
        <w:rPr>
          <w:rFonts w:ascii="Arial" w:cs="Arial" w:eastAsia="Arial" w:hAnsi="Arial"/>
          <w:sz w:val="19"/>
          <w:szCs w:val="19"/>
          <w:color w:val="FF0000"/>
          <w:strike w:val="1"/>
        </w:rPr>
        <w:t>end of the first</w:t>
      </w:r>
      <w:r>
        <w:rPr>
          <w:rFonts w:ascii="Arial" w:cs="Arial" w:eastAsia="Arial" w:hAnsi="Arial"/>
          <w:sz w:val="19"/>
          <w:szCs w:val="19"/>
          <w:color w:val="auto"/>
        </w:rPr>
        <w:t xml:space="preserve"> fiscal quarter </w:t>
      </w:r>
      <w:r>
        <w:rPr>
          <w:rFonts w:ascii="Arial" w:cs="Arial" w:eastAsia="Arial" w:hAnsi="Arial"/>
          <w:sz w:val="19"/>
          <w:szCs w:val="19"/>
          <w:color w:val="FF0000"/>
          <w:strike w:val="1"/>
        </w:rPr>
        <w:t>during which the Borrower makes the first drawing under the Revolving</w:t>
      </w:r>
      <w:r>
        <w:rPr>
          <w:rFonts w:ascii="Arial" w:cs="Arial" w:eastAsia="Arial" w:hAnsi="Arial"/>
          <w:sz w:val="19"/>
          <w:szCs w:val="19"/>
          <w:color w:val="auto"/>
        </w:rPr>
        <w:t xml:space="preserve"> </w:t>
      </w:r>
      <w:r>
        <w:rPr>
          <w:rFonts w:ascii="Arial" w:cs="Arial" w:eastAsia="Arial" w:hAnsi="Arial"/>
          <w:sz w:val="19"/>
          <w:szCs w:val="19"/>
          <w:color w:val="FF0000"/>
          <w:strike w:val="1"/>
        </w:rPr>
        <w:t>Credit Facility</w:t>
      </w:r>
      <w:r>
        <w:rPr>
          <w:rFonts w:ascii="Arial" w:cs="Arial" w:eastAsia="Arial" w:hAnsi="Arial"/>
          <w:sz w:val="19"/>
          <w:szCs w:val="19"/>
          <w:u w:val="single" w:color="auto"/>
          <w:color w:val="0000FF"/>
        </w:rPr>
        <w:t>ending on or about September 29, 2022</w:t>
      </w:r>
      <w:r>
        <w:rPr>
          <w:rFonts w:ascii="Arial" w:cs="Arial" w:eastAsia="Arial" w:hAnsi="Arial"/>
          <w:sz w:val="19"/>
          <w:szCs w:val="19"/>
          <w:color w:val="000000"/>
        </w:rPr>
        <w:t>), permit the Consolidated Net Senior Secured Leverage Ratio</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as of (i) the</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 xml:space="preserve">last day of </w:t>
      </w:r>
      <w:r>
        <w:rPr>
          <w:rFonts w:ascii="Arial" w:cs="Arial" w:eastAsia="Arial" w:hAnsi="Arial"/>
          <w:sz w:val="19"/>
          <w:szCs w:val="19"/>
          <w:u w:val="single" w:color="auto"/>
          <w:color w:val="008000"/>
        </w:rPr>
        <w:t>the fiscal quarter ending</w:t>
      </w:r>
      <w:r>
        <w:rPr>
          <w:rFonts w:ascii="Arial" w:cs="Arial" w:eastAsia="Arial" w:hAnsi="Arial"/>
          <w:sz w:val="19"/>
          <w:szCs w:val="19"/>
          <w:u w:val="single" w:color="auto"/>
          <w:color w:val="0000FF"/>
        </w:rPr>
        <w:t xml:space="preserve"> on or about September 29, 2022 to exceed 5.50 to 1.00 and (ii) the last day of the fiscal quarter ending on or about December 31, 2022 and each fiscal quarter ending thereafter</w:t>
      </w:r>
      <w:r>
        <w:rPr>
          <w:rFonts w:ascii="Arial" w:cs="Arial" w:eastAsia="Arial" w:hAnsi="Arial"/>
          <w:sz w:val="19"/>
          <w:szCs w:val="19"/>
          <w:color w:val="0000FF"/>
        </w:rPr>
        <w:t xml:space="preserve"> </w:t>
      </w:r>
      <w:r>
        <w:rPr>
          <w:rFonts w:ascii="Arial" w:cs="Arial" w:eastAsia="Arial" w:hAnsi="Arial"/>
          <w:sz w:val="19"/>
          <w:szCs w:val="19"/>
          <w:color w:val="000000"/>
        </w:rPr>
        <w:t>to exceed 4.50 to 1.00</w:t>
      </w:r>
      <w:r>
        <w:rPr>
          <w:rFonts w:ascii="Arial" w:cs="Arial" w:eastAsia="Arial" w:hAnsi="Arial"/>
          <w:sz w:val="19"/>
          <w:szCs w:val="19"/>
          <w:color w:val="0000FF"/>
        </w:rPr>
        <w:t xml:space="preserve"> </w:t>
      </w:r>
      <w:r>
        <w:rPr>
          <w:rFonts w:ascii="Arial" w:cs="Arial" w:eastAsia="Arial" w:hAnsi="Arial"/>
          <w:sz w:val="19"/>
          <w:szCs w:val="19"/>
          <w:color w:val="FF0000"/>
        </w:rPr>
        <w:t>as of the end of</w:t>
      </w:r>
      <w:r>
        <w:rPr>
          <w:rFonts w:ascii="Arial" w:cs="Arial" w:eastAsia="Arial" w:hAnsi="Arial"/>
          <w:sz w:val="19"/>
          <w:szCs w:val="19"/>
          <w:color w:val="0000FF"/>
        </w:rPr>
        <w:t xml:space="preserve"> </w:t>
      </w:r>
      <w:r>
        <w:rPr>
          <w:rFonts w:ascii="Arial" w:cs="Arial" w:eastAsia="Arial" w:hAnsi="Arial"/>
          <w:sz w:val="19"/>
          <w:szCs w:val="19"/>
          <w:color w:val="FF0000"/>
          <w:strike w:val="1"/>
        </w:rPr>
        <w:t>any</w:t>
      </w:r>
      <w:r>
        <w:rPr>
          <w:rFonts w:ascii="Arial" w:cs="Arial" w:eastAsia="Arial" w:hAnsi="Arial"/>
          <w:sz w:val="19"/>
          <w:szCs w:val="19"/>
          <w:u w:val="single" w:color="auto"/>
          <w:color w:val="0000FF"/>
        </w:rPr>
        <w:t>, in each case, to be tested in respect of any such</w:t>
      </w:r>
      <w:r>
        <w:rPr>
          <w:rFonts w:ascii="Arial" w:cs="Arial" w:eastAsia="Arial" w:hAnsi="Arial"/>
          <w:sz w:val="19"/>
          <w:szCs w:val="19"/>
          <w:color w:val="FF0000"/>
        </w:rPr>
        <w:t xml:space="preserve"> </w:t>
      </w:r>
      <w:r>
        <w:rPr>
          <w:rFonts w:ascii="Arial" w:cs="Arial" w:eastAsia="Arial" w:hAnsi="Arial"/>
          <w:sz w:val="19"/>
          <w:szCs w:val="19"/>
          <w:color w:val="000000"/>
        </w:rPr>
        <w:t>fiscal quarter</w:t>
      </w:r>
      <w:r>
        <w:rPr>
          <w:rFonts w:ascii="Arial" w:cs="Arial" w:eastAsia="Arial" w:hAnsi="Arial"/>
          <w:sz w:val="19"/>
          <w:szCs w:val="19"/>
          <w:color w:val="FF0000"/>
        </w:rPr>
        <w:t xml:space="preserve"> </w:t>
      </w:r>
      <w:r>
        <w:rPr>
          <w:rFonts w:ascii="Arial" w:cs="Arial" w:eastAsia="Arial" w:hAnsi="Arial"/>
          <w:sz w:val="19"/>
          <w:szCs w:val="19"/>
          <w:color w:val="FF0000"/>
          <w:strike w:val="1"/>
        </w:rPr>
        <w:t>of the Borrower for so long as</w:t>
      </w:r>
      <w:r>
        <w:rPr>
          <w:rFonts w:ascii="Arial" w:cs="Arial" w:eastAsia="Arial" w:hAnsi="Arial"/>
          <w:sz w:val="19"/>
          <w:szCs w:val="19"/>
          <w:u w:val="single" w:color="auto"/>
          <w:color w:val="0000FF"/>
        </w:rPr>
        <w:t>only if</w:t>
      </w:r>
      <w:r>
        <w:rPr>
          <w:rFonts w:ascii="Arial" w:cs="Arial" w:eastAsia="Arial" w:hAnsi="Arial"/>
          <w:sz w:val="19"/>
          <w:szCs w:val="19"/>
          <w:color w:val="FF0000"/>
        </w:rPr>
        <w:t xml:space="preserve"> </w:t>
      </w:r>
      <w:r>
        <w:rPr>
          <w:rFonts w:ascii="Arial" w:cs="Arial" w:eastAsia="Arial" w:hAnsi="Arial"/>
          <w:sz w:val="19"/>
          <w:szCs w:val="19"/>
          <w:color w:val="000000"/>
        </w:rPr>
        <w:t>there remains any</w:t>
      </w:r>
      <w:r>
        <w:rPr>
          <w:rFonts w:ascii="Arial" w:cs="Arial" w:eastAsia="Arial" w:hAnsi="Arial"/>
          <w:sz w:val="19"/>
          <w:szCs w:val="19"/>
          <w:color w:val="FF0000"/>
        </w:rPr>
        <w:t xml:space="preserve"> </w:t>
      </w:r>
      <w:r>
        <w:rPr>
          <w:rFonts w:ascii="Arial" w:cs="Arial" w:eastAsia="Arial" w:hAnsi="Arial"/>
          <w:sz w:val="19"/>
          <w:szCs w:val="19"/>
          <w:color w:val="000000"/>
        </w:rPr>
        <w:t xml:space="preserve">outstanding Revolving Credit Loans </w:t>
      </w:r>
      <w:r>
        <w:rPr>
          <w:rFonts w:ascii="Arial" w:cs="Arial" w:eastAsia="Arial" w:hAnsi="Arial"/>
          <w:sz w:val="19"/>
          <w:szCs w:val="19"/>
          <w:color w:val="0000FF"/>
        </w:rPr>
        <w:t>as of the last day of such fiscal quarter</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6210935</wp:posOffset>
            </wp:positionH>
            <wp:positionV relativeFrom="paragraph">
              <wp:posOffset>-438785</wp:posOffset>
            </wp:positionV>
            <wp:extent cx="9226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922655" cy="8255"/>
                    </a:xfrm>
                    <a:prstGeom prst="rect">
                      <a:avLst/>
                    </a:prstGeom>
                    <a:noFill/>
                  </pic:spPr>
                </pic:pic>
              </a:graphicData>
            </a:graphic>
          </wp:anchor>
        </w:drawing>
        <w:drawing>
          <wp:anchor simplePos="0" relativeHeight="251657728" behindDoc="1" locked="0" layoutInCell="0" allowOverlap="1">
            <wp:simplePos x="0" y="0"/>
            <wp:positionH relativeFrom="column">
              <wp:posOffset>1997710</wp:posOffset>
            </wp:positionH>
            <wp:positionV relativeFrom="paragraph">
              <wp:posOffset>-61595</wp:posOffset>
            </wp:positionV>
            <wp:extent cx="21443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13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u w:val="single" w:color="auto"/>
          <w:color w:val="FF0000"/>
          <w:strike w:val="1"/>
        </w:rPr>
        <w:t>provided</w:t>
      </w:r>
      <w:r>
        <w:rPr>
          <w:rFonts w:ascii="Arial" w:cs="Arial" w:eastAsia="Arial" w:hAnsi="Arial"/>
          <w:sz w:val="20"/>
          <w:szCs w:val="20"/>
          <w:color w:val="FF0000"/>
        </w:rPr>
        <w:t xml:space="preserve"> </w:t>
      </w:r>
      <w:r>
        <w:rPr>
          <w:rFonts w:ascii="Arial" w:cs="Arial" w:eastAsia="Arial" w:hAnsi="Arial"/>
          <w:sz w:val="20"/>
          <w:szCs w:val="20"/>
          <w:color w:val="FF0000"/>
          <w:strike w:val="1"/>
        </w:rPr>
        <w:t>that</w:t>
      </w:r>
      <w:r>
        <w:rPr>
          <w:rFonts w:ascii="Arial" w:cs="Arial" w:eastAsia="Arial" w:hAnsi="Arial"/>
          <w:sz w:val="21"/>
          <w:szCs w:val="21"/>
          <w:u w:val="single" w:color="auto"/>
          <w:color w:val="0000FF"/>
        </w:rPr>
        <w:t>Notwithstanding the foregoing</w:t>
      </w:r>
      <w:r>
        <w:rPr>
          <w:rFonts w:ascii="Arial" w:cs="Arial" w:eastAsia="Arial" w:hAnsi="Arial"/>
          <w:sz w:val="21"/>
          <w:szCs w:val="21"/>
          <w:color w:val="000000"/>
        </w:rPr>
        <w:t>, failure to comply with any of the financial covenants set forth above</w:t>
      </w:r>
      <w:r>
        <w:rPr>
          <w:rFonts w:ascii="Arial" w:cs="Arial" w:eastAsia="Arial" w:hAnsi="Arial"/>
          <w:sz w:val="20"/>
          <w:szCs w:val="20"/>
          <w:color w:val="FF0000"/>
        </w:rPr>
        <w:t xml:space="preserve"> </w:t>
      </w:r>
      <w:r>
        <w:rPr>
          <w:rFonts w:ascii="Arial" w:cs="Arial" w:eastAsia="Arial" w:hAnsi="Arial"/>
          <w:sz w:val="21"/>
          <w:szCs w:val="21"/>
          <w:color w:val="000000"/>
        </w:rPr>
        <w:t xml:space="preserve">shall be automatically and without any further action of the parties hereto waived </w:t>
      </w:r>
      <w:r>
        <w:rPr>
          <w:rFonts w:ascii="Arial" w:cs="Arial" w:eastAsia="Arial" w:hAnsi="Arial"/>
          <w:sz w:val="21"/>
          <w:szCs w:val="21"/>
          <w:u w:val="single" w:color="auto"/>
          <w:color w:val="0000FF"/>
        </w:rPr>
        <w:t>for those periods</w:t>
      </w:r>
      <w:r>
        <w:rPr>
          <w:rFonts w:ascii="Arial" w:cs="Arial" w:eastAsia="Arial" w:hAnsi="Arial"/>
          <w:sz w:val="21"/>
          <w:szCs w:val="21"/>
          <w:color w:val="000000"/>
        </w:rPr>
        <w:t xml:space="preserve"> from </w:t>
      </w:r>
      <w:r>
        <w:rPr>
          <w:rFonts w:ascii="Arial" w:cs="Arial" w:eastAsia="Arial" w:hAnsi="Arial"/>
          <w:sz w:val="21"/>
          <w:szCs w:val="21"/>
          <w:u w:val="single" w:color="auto"/>
          <w:color w:val="0000FF"/>
        </w:rPr>
        <w:t>(and including)</w:t>
      </w:r>
      <w:r>
        <w:rPr>
          <w:rFonts w:ascii="Arial" w:cs="Arial" w:eastAsia="Arial" w:hAnsi="Arial"/>
          <w:sz w:val="21"/>
          <w:szCs w:val="21"/>
          <w:color w:val="000000"/>
        </w:rPr>
        <w:t xml:space="preserve"> the quarter ended </w:t>
      </w:r>
      <w:r>
        <w:rPr>
          <w:rFonts w:ascii="Arial" w:cs="Arial" w:eastAsia="Arial" w:hAnsi="Arial"/>
          <w:sz w:val="21"/>
          <w:szCs w:val="21"/>
          <w:u w:val="single" w:color="auto"/>
          <w:color w:val="0000FF"/>
        </w:rPr>
        <w:t>on or about</w:t>
      </w:r>
      <w:r>
        <w:rPr>
          <w:rFonts w:ascii="Arial" w:cs="Arial" w:eastAsia="Arial" w:hAnsi="Arial"/>
          <w:sz w:val="21"/>
          <w:szCs w:val="21"/>
          <w:color w:val="000000"/>
        </w:rPr>
        <w:t xml:space="preserve"> June </w:t>
      </w:r>
      <w:r>
        <w:rPr>
          <w:rFonts w:ascii="Arial" w:cs="Arial" w:eastAsia="Arial" w:hAnsi="Arial"/>
          <w:sz w:val="19"/>
          <w:szCs w:val="19"/>
          <w:color w:val="FF0000"/>
          <w:strike w:val="1"/>
        </w:rPr>
        <w:t>25</w:t>
      </w:r>
      <w:r>
        <w:rPr>
          <w:rFonts w:ascii="Arial" w:cs="Arial" w:eastAsia="Arial" w:hAnsi="Arial"/>
          <w:sz w:val="21"/>
          <w:szCs w:val="21"/>
          <w:u w:val="single" w:color="auto"/>
          <w:color w:val="0000FF"/>
        </w:rPr>
        <w:t>30</w:t>
      </w:r>
      <w:r>
        <w:rPr>
          <w:rFonts w:ascii="Arial" w:cs="Arial" w:eastAsia="Arial" w:hAnsi="Arial"/>
          <w:sz w:val="21"/>
          <w:szCs w:val="21"/>
          <w:color w:val="000000"/>
        </w:rPr>
        <w:t xml:space="preserve">, 2020 </w:t>
      </w:r>
      <w:r>
        <w:rPr>
          <w:rFonts w:ascii="Arial" w:cs="Arial" w:eastAsia="Arial" w:hAnsi="Arial"/>
          <w:sz w:val="19"/>
          <w:szCs w:val="19"/>
          <w:color w:val="FF0000"/>
          <w:strike w:val="1"/>
        </w:rPr>
        <w:t>until</w:t>
      </w:r>
      <w:r>
        <w:rPr>
          <w:rFonts w:ascii="Arial" w:cs="Arial" w:eastAsia="Arial" w:hAnsi="Arial"/>
          <w:sz w:val="21"/>
          <w:szCs w:val="21"/>
          <w:u w:val="single" w:color="auto"/>
          <w:color w:val="0000FF"/>
        </w:rPr>
        <w:t>through</w:t>
      </w:r>
      <w:r>
        <w:rPr>
          <w:rFonts w:ascii="Arial" w:cs="Arial" w:eastAsia="Arial" w:hAnsi="Arial"/>
          <w:sz w:val="21"/>
          <w:szCs w:val="21"/>
          <w:color w:val="000000"/>
        </w:rPr>
        <w:t xml:space="preserve"> and including the quarter </w:t>
      </w:r>
      <w:r>
        <w:rPr>
          <w:rFonts w:ascii="Arial" w:cs="Arial" w:eastAsia="Arial" w:hAnsi="Arial"/>
          <w:sz w:val="19"/>
          <w:szCs w:val="19"/>
          <w:color w:val="FF0000"/>
          <w:strike w:val="1"/>
        </w:rPr>
        <w:t>ended July 1, 2021</w:t>
      </w:r>
      <w:r>
        <w:rPr>
          <w:rFonts w:ascii="Arial" w:cs="Arial" w:eastAsia="Arial" w:hAnsi="Arial"/>
          <w:sz w:val="21"/>
          <w:szCs w:val="21"/>
          <w:u w:val="single" w:color="auto"/>
          <w:color w:val="0000FF"/>
        </w:rPr>
        <w:t>ending on or about June 30,</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2022</w:t>
      </w:r>
      <w:r>
        <w:rPr>
          <w:rFonts w:ascii="Arial" w:cs="Arial" w:eastAsia="Arial" w:hAnsi="Arial"/>
          <w:sz w:val="21"/>
          <w:szCs w:val="21"/>
          <w:color w:val="0000FF"/>
        </w:rPr>
        <w:t xml:space="preserve"> </w:t>
      </w:r>
      <w:r>
        <w:rPr>
          <w:rFonts w:ascii="Arial" w:cs="Arial" w:eastAsia="Arial" w:hAnsi="Arial"/>
          <w:sz w:val="21"/>
          <w:szCs w:val="21"/>
          <w:color w:val="000000"/>
        </w:rPr>
        <w:t>(such period, the “</w:t>
      </w:r>
      <w:r>
        <w:rPr>
          <w:rFonts w:ascii="Arial" w:cs="Arial" w:eastAsia="Arial" w:hAnsi="Arial"/>
          <w:sz w:val="21"/>
          <w:szCs w:val="21"/>
          <w:u w:val="single" w:color="auto"/>
          <w:color w:val="000000"/>
        </w:rPr>
        <w:t>Covenant Holiday Period</w:t>
      </w:r>
      <w:r>
        <w:rPr>
          <w:rFonts w:ascii="Arial" w:cs="Arial" w:eastAsia="Arial" w:hAnsi="Arial"/>
          <w:sz w:val="21"/>
          <w:szCs w:val="21"/>
          <w:color w:val="000000"/>
        </w:rPr>
        <w:t>”), and no non-compliance or potential non-compliance under</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clauses (a)</w:t>
      </w:r>
      <w:r>
        <w:rPr>
          <w:rFonts w:ascii="Arial" w:cs="Arial" w:eastAsia="Arial" w:hAnsi="Arial"/>
          <w:sz w:val="21"/>
          <w:szCs w:val="21"/>
          <w:color w:val="0000FF"/>
        </w:rPr>
        <w:t xml:space="preserve"> </w:t>
      </w:r>
      <w:r>
        <w:rPr>
          <w:rFonts w:ascii="Arial" w:cs="Arial" w:eastAsia="Arial" w:hAnsi="Arial"/>
          <w:sz w:val="21"/>
          <w:szCs w:val="21"/>
          <w:color w:val="000000"/>
        </w:rPr>
        <w:t>or</w:t>
      </w:r>
      <w:r>
        <w:rPr>
          <w:rFonts w:ascii="Arial" w:cs="Arial" w:eastAsia="Arial" w:hAnsi="Arial"/>
          <w:sz w:val="21"/>
          <w:szCs w:val="21"/>
          <w:color w:val="0000FF"/>
        </w:rPr>
        <w:t xml:space="preserve"> </w:t>
      </w:r>
      <w:r>
        <w:rPr>
          <w:rFonts w:ascii="Arial" w:cs="Arial" w:eastAsia="Arial" w:hAnsi="Arial"/>
          <w:sz w:val="21"/>
          <w:szCs w:val="21"/>
          <w:u w:val="single" w:color="auto"/>
          <w:color w:val="000000"/>
        </w:rPr>
        <w:t>(b)</w:t>
      </w:r>
      <w:r>
        <w:rPr>
          <w:rFonts w:ascii="Arial" w:cs="Arial" w:eastAsia="Arial" w:hAnsi="Arial"/>
          <w:sz w:val="21"/>
          <w:szCs w:val="21"/>
          <w:color w:val="0000FF"/>
        </w:rPr>
        <w:t xml:space="preserve"> </w:t>
      </w:r>
      <w:r>
        <w:rPr>
          <w:rFonts w:ascii="Arial" w:cs="Arial" w:eastAsia="Arial" w:hAnsi="Arial"/>
          <w:sz w:val="21"/>
          <w:szCs w:val="21"/>
          <w:color w:val="000000"/>
        </w:rPr>
        <w:t xml:space="preserve">of this </w:t>
      </w:r>
      <w:r>
        <w:rPr>
          <w:rFonts w:ascii="Arial" w:cs="Arial" w:eastAsia="Arial" w:hAnsi="Arial"/>
          <w:sz w:val="21"/>
          <w:szCs w:val="21"/>
          <w:u w:val="single" w:color="auto"/>
          <w:color w:val="000000"/>
        </w:rPr>
        <w:t>Section 7.1</w:t>
      </w:r>
      <w:r>
        <w:rPr>
          <w:rFonts w:ascii="Arial" w:cs="Arial" w:eastAsia="Arial" w:hAnsi="Arial"/>
          <w:sz w:val="21"/>
          <w:szCs w:val="21"/>
          <w:color w:val="000000"/>
        </w:rPr>
        <w:t xml:space="preserve"> (or notices required in connection therewith) during </w:t>
      </w:r>
      <w:r>
        <w:rPr>
          <w:rFonts w:ascii="Arial" w:cs="Arial" w:eastAsia="Arial" w:hAnsi="Arial"/>
          <w:sz w:val="21"/>
          <w:szCs w:val="21"/>
          <w:u w:val="single" w:color="auto"/>
          <w:color w:val="0000FF"/>
        </w:rPr>
        <w:t>(or with respect to)</w:t>
      </w:r>
      <w:r>
        <w:rPr>
          <w:rFonts w:ascii="Arial" w:cs="Arial" w:eastAsia="Arial" w:hAnsi="Arial"/>
          <w:sz w:val="21"/>
          <w:szCs w:val="21"/>
          <w:color w:val="000000"/>
        </w:rPr>
        <w:t xml:space="preserve"> the Covenant Holiday Period shall be a Default or Event of Default hereunder. </w:t>
      </w:r>
      <w:r>
        <w:rPr>
          <w:rFonts w:ascii="Arial" w:cs="Arial" w:eastAsia="Arial" w:hAnsi="Arial"/>
          <w:sz w:val="21"/>
          <w:szCs w:val="21"/>
          <w:color w:val="0000FF"/>
        </w:rPr>
        <w:t>For the avoidance of doubt, the provisions of Section 7.1 of this Agreement prior to</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giving effect to Amendment No. 2 are no longer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-205740</wp:posOffset>
            </wp:positionV>
            <wp:extent cx="4834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4834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240"/>
          </w:cols>
          <w:pgMar w:left="320" w:top="1428" w:right="339" w:bottom="1440" w:gutter="0" w:footer="0" w:header="0"/>
        </w:sectPr>
      </w:pPr>
    </w:p>
    <w:bookmarkStart w:id="209" w:name="page210"/>
    <w:bookmarkEnd w:id="209"/>
    <w:p>
      <w:pPr>
        <w:jc w:val="center"/>
        <w:ind w:right="-79"/>
        <w:spacing w:after="0"/>
        <w:tabs>
          <w:tab w:leader="none" w:pos="36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Limitation on Indebtedness</w:t>
      </w:r>
      <w:r>
        <w:rPr>
          <w:rFonts w:ascii="Arial" w:cs="Arial" w:eastAsia="Arial" w:hAnsi="Arial"/>
          <w:sz w:val="19"/>
          <w:szCs w:val="19"/>
          <w:color w:val="auto"/>
        </w:rPr>
        <w:t>. Create, incur, assume or suffer to exist any Indebtedness, except:</w:t>
      </w:r>
    </w:p>
    <w:p>
      <w:pPr>
        <w:spacing w:after="0" w:line="220" w:lineRule="exact"/>
        <w:rPr>
          <w:sz w:val="20"/>
          <w:szCs w:val="20"/>
          <w:color w:val="auto"/>
        </w:rPr>
      </w:pPr>
    </w:p>
    <w:p>
      <w:pPr>
        <w:ind w:left="1300" w:hanging="644"/>
        <w:spacing w:after="0"/>
        <w:tabs>
          <w:tab w:leader="none" w:pos="1300" w:val="left"/>
        </w:tabs>
        <w:numPr>
          <w:ilvl w:val="0"/>
          <w:numId w:val="156"/>
        </w:numPr>
        <w:rPr>
          <w:rFonts w:ascii="Arial" w:cs="Arial" w:eastAsia="Arial" w:hAnsi="Arial"/>
          <w:sz w:val="22"/>
          <w:szCs w:val="22"/>
          <w:u w:val="single" w:color="auto"/>
          <w:color w:val="0000FF"/>
        </w:rPr>
      </w:pPr>
      <w:r>
        <w:rPr>
          <w:rFonts w:ascii="Arial" w:cs="Arial" w:eastAsia="Arial" w:hAnsi="Arial"/>
          <w:sz w:val="22"/>
          <w:szCs w:val="22"/>
          <w:color w:val="FF0000"/>
          <w:strike w:val="1"/>
        </w:rPr>
        <w:t>(a)</w:t>
      </w:r>
      <w:r>
        <w:rPr>
          <w:rFonts w:ascii="Arial" w:cs="Arial" w:eastAsia="Arial" w:hAnsi="Arial"/>
          <w:sz w:val="22"/>
          <w:szCs w:val="22"/>
          <w:color w:val="FF0000"/>
        </w:rPr>
        <w:t xml:space="preserve"> </w:t>
      </w:r>
      <w:r>
        <w:rPr>
          <w:rFonts w:ascii="Arial" w:cs="Arial" w:eastAsia="Arial" w:hAnsi="Arial"/>
          <w:sz w:val="22"/>
          <w:szCs w:val="22"/>
          <w:color w:val="000000"/>
        </w:rPr>
        <w:t>Indebtedness of any Loan Party pursuant to any Loan Document;</w:t>
      </w:r>
    </w:p>
    <w:p>
      <w:pPr>
        <w:spacing w:after="0" w:line="219" w:lineRule="exact"/>
        <w:rPr>
          <w:rFonts w:ascii="Arial" w:cs="Arial" w:eastAsia="Arial" w:hAnsi="Arial"/>
          <w:sz w:val="22"/>
          <w:szCs w:val="22"/>
          <w:u w:val="single" w:color="auto"/>
          <w:color w:val="0000FF"/>
        </w:rPr>
      </w:pPr>
    </w:p>
    <w:p>
      <w:pPr>
        <w:jc w:val="both"/>
        <w:ind w:firstLine="656"/>
        <w:spacing w:after="0" w:line="259" w:lineRule="auto"/>
        <w:tabs>
          <w:tab w:leader="none" w:pos="1291" w:val="left"/>
        </w:tabs>
        <w:numPr>
          <w:ilvl w:val="0"/>
          <w:numId w:val="156"/>
        </w:numPr>
        <w:rPr>
          <w:rFonts w:ascii="Arial" w:cs="Arial" w:eastAsia="Arial" w:hAnsi="Arial"/>
          <w:sz w:val="21"/>
          <w:szCs w:val="21"/>
          <w:u w:val="single" w:color="auto"/>
          <w:color w:val="0000FF"/>
        </w:rPr>
      </w:pPr>
      <w:r>
        <w:rPr>
          <w:rFonts w:ascii="Arial" w:cs="Arial" w:eastAsia="Arial" w:hAnsi="Arial"/>
          <w:sz w:val="21"/>
          <w:szCs w:val="21"/>
          <w:color w:val="FF0000"/>
          <w:strike w:val="1"/>
        </w:rPr>
        <w:t>(b)</w:t>
      </w:r>
      <w:r>
        <w:rPr>
          <w:rFonts w:ascii="Arial" w:cs="Arial" w:eastAsia="Arial" w:hAnsi="Arial"/>
          <w:sz w:val="21"/>
          <w:szCs w:val="21"/>
          <w:color w:val="FF0000"/>
        </w:rPr>
        <w:t xml:space="preserve"> </w:t>
      </w:r>
      <w:r>
        <w:rPr>
          <w:rFonts w:ascii="Arial" w:cs="Arial" w:eastAsia="Arial" w:hAnsi="Arial"/>
          <w:sz w:val="21"/>
          <w:szCs w:val="21"/>
          <w:color w:val="000000"/>
        </w:rPr>
        <w:t>Indebtedness (i) of the Borrower to any Subsidiary, (ii) of any Subsidiary Guarantor to the Borrower or any</w:t>
      </w:r>
      <w:r>
        <w:rPr>
          <w:rFonts w:ascii="Arial" w:cs="Arial" w:eastAsia="Arial" w:hAnsi="Arial"/>
          <w:sz w:val="21"/>
          <w:szCs w:val="21"/>
          <w:color w:val="FF0000"/>
        </w:rPr>
        <w:t xml:space="preserve"> </w:t>
      </w:r>
      <w:r>
        <w:rPr>
          <w:rFonts w:ascii="Arial" w:cs="Arial" w:eastAsia="Arial" w:hAnsi="Arial"/>
          <w:sz w:val="21"/>
          <w:szCs w:val="21"/>
          <w:color w:val="000000"/>
        </w:rPr>
        <w:t xml:space="preserve">other Subsidiary </w:t>
      </w:r>
      <w:r>
        <w:rPr>
          <w:rFonts w:ascii="Arial" w:cs="Arial" w:eastAsia="Arial" w:hAnsi="Arial"/>
          <w:sz w:val="21"/>
          <w:szCs w:val="21"/>
          <w:color w:val="FF0000"/>
        </w:rPr>
        <w:t>or</w:t>
      </w:r>
      <w:r>
        <w:rPr>
          <w:rFonts w:ascii="Arial" w:cs="Arial" w:eastAsia="Arial" w:hAnsi="Arial"/>
          <w:sz w:val="21"/>
          <w:szCs w:val="21"/>
          <w:u w:val="single" w:color="auto"/>
          <w:color w:val="0000FF"/>
        </w:rPr>
        <w:t>,</w:t>
      </w:r>
      <w:r>
        <w:rPr>
          <w:rFonts w:ascii="Arial" w:cs="Arial" w:eastAsia="Arial" w:hAnsi="Arial"/>
          <w:sz w:val="21"/>
          <w:szCs w:val="21"/>
          <w:color w:val="000000"/>
        </w:rPr>
        <w:t xml:space="preserve"> (iii</w:t>
      </w:r>
      <w:r>
        <w:rPr>
          <w:rFonts w:ascii="Arial" w:cs="Arial" w:eastAsia="Arial" w:hAnsi="Arial"/>
          <w:sz w:val="21"/>
          <w:szCs w:val="21"/>
          <w:u w:val="single" w:color="auto"/>
          <w:color w:val="0000FF"/>
        </w:rPr>
        <w:t>) of any Subsidiary to the Borrower or any Subsidiary Guarantor (so long as such extension of credit was</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a permitted Investment) or (iv</w:t>
      </w:r>
      <w:r>
        <w:rPr>
          <w:rFonts w:ascii="Arial" w:cs="Arial" w:eastAsia="Arial" w:hAnsi="Arial"/>
          <w:sz w:val="21"/>
          <w:szCs w:val="21"/>
          <w:color w:val="000000"/>
        </w:rPr>
        <w:t>) of any Subsidiary that is not a Subsidiary Guarantor to any other Subsidiary that is not a</w:t>
      </w:r>
      <w:r>
        <w:rPr>
          <w:rFonts w:ascii="Arial" w:cs="Arial" w:eastAsia="Arial" w:hAnsi="Arial"/>
          <w:sz w:val="21"/>
          <w:szCs w:val="21"/>
          <w:color w:val="0000FF"/>
        </w:rPr>
        <w:t xml:space="preserve"> </w:t>
      </w:r>
      <w:r>
        <w:rPr>
          <w:rFonts w:ascii="Arial" w:cs="Arial" w:eastAsia="Arial" w:hAnsi="Arial"/>
          <w:sz w:val="21"/>
          <w:szCs w:val="21"/>
          <w:color w:val="000000"/>
        </w:rPr>
        <w:t xml:space="preserve">Subsidiary Guarantor; </w:t>
      </w:r>
      <w:r>
        <w:rPr>
          <w:rFonts w:ascii="Arial" w:cs="Arial" w:eastAsia="Arial" w:hAnsi="Arial"/>
          <w:sz w:val="21"/>
          <w:szCs w:val="21"/>
          <w:u w:val="single" w:color="auto"/>
          <w:color w:val="0000FF"/>
        </w:rPr>
        <w:t>provided that any such Indebtedness owing to a Subsidiary that is not a Loan Party is subordinated in right</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of payment to the Obligations pursuant to customary subordination terms in form and substance reasonably acceptable to the Administrative Agent; provided, further, that any subsequent issuance or transfer of any Capital Stock (or any other event) which results in any such Subsidiary ceasing to be a Subsidiary or any other subsequent transfer of any such Indebtedness (except to another Borrower or another Subsidiary) shall be deemed, in each case to be an incurrence of such Indebtedness not permitted by this clause (b);</w:t>
      </w:r>
    </w:p>
    <w:p>
      <w:pPr>
        <w:spacing w:after="0" w:line="179" w:lineRule="exact"/>
        <w:rPr>
          <w:rFonts w:ascii="Arial" w:cs="Arial" w:eastAsia="Arial" w:hAnsi="Arial"/>
          <w:sz w:val="21"/>
          <w:szCs w:val="21"/>
          <w:u w:val="single" w:color="auto"/>
          <w:color w:val="0000FF"/>
        </w:rPr>
      </w:pPr>
    </w:p>
    <w:p>
      <w:pPr>
        <w:jc w:val="both"/>
        <w:ind w:firstLine="656"/>
        <w:spacing w:after="0" w:line="259" w:lineRule="auto"/>
        <w:tabs>
          <w:tab w:leader="none" w:pos="1293" w:val="left"/>
        </w:tabs>
        <w:numPr>
          <w:ilvl w:val="0"/>
          <w:numId w:val="156"/>
        </w:numPr>
        <w:rPr>
          <w:rFonts w:ascii="Arial" w:cs="Arial" w:eastAsia="Arial" w:hAnsi="Arial"/>
          <w:sz w:val="21"/>
          <w:szCs w:val="21"/>
          <w:u w:val="single" w:color="auto"/>
          <w:color w:val="0000FF"/>
        </w:rPr>
      </w:pPr>
      <w:r>
        <w:rPr>
          <w:rFonts w:ascii="Arial" w:cs="Arial" w:eastAsia="Arial" w:hAnsi="Arial"/>
          <w:sz w:val="21"/>
          <w:szCs w:val="21"/>
          <w:color w:val="FF0000"/>
          <w:strike w:val="1"/>
        </w:rPr>
        <w:t>(c)</w:t>
      </w:r>
      <w:r>
        <w:rPr>
          <w:rFonts w:ascii="Arial" w:cs="Arial" w:eastAsia="Arial" w:hAnsi="Arial"/>
          <w:sz w:val="21"/>
          <w:szCs w:val="21"/>
          <w:color w:val="FF0000"/>
        </w:rPr>
        <w:t xml:space="preserve"> </w:t>
      </w:r>
      <w:r>
        <w:rPr>
          <w:rFonts w:ascii="Arial" w:cs="Arial" w:eastAsia="Arial" w:hAnsi="Arial"/>
          <w:sz w:val="21"/>
          <w:szCs w:val="21"/>
          <w:color w:val="000000"/>
        </w:rPr>
        <w:t>Indebtedness (including, without limitation, Capital Lease Obligations)</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(A)</w:t>
      </w:r>
      <w:r>
        <w:rPr>
          <w:rFonts w:ascii="Arial" w:cs="Arial" w:eastAsia="Arial" w:hAnsi="Arial"/>
          <w:sz w:val="21"/>
          <w:szCs w:val="21"/>
          <w:color w:val="FF0000"/>
        </w:rPr>
        <w:t xml:space="preserve"> </w:t>
      </w:r>
      <w:r>
        <w:rPr>
          <w:rFonts w:ascii="Arial" w:cs="Arial" w:eastAsia="Arial" w:hAnsi="Arial"/>
          <w:sz w:val="21"/>
          <w:szCs w:val="21"/>
          <w:color w:val="000000"/>
        </w:rPr>
        <w:t>secured by Liens permitted by</w:t>
      </w:r>
      <w:r>
        <w:rPr>
          <w:rFonts w:ascii="Arial" w:cs="Arial" w:eastAsia="Arial" w:hAnsi="Arial"/>
          <w:sz w:val="21"/>
          <w:szCs w:val="21"/>
          <w:color w:val="FF0000"/>
        </w:rPr>
        <w:t xml:space="preserve"> </w:t>
      </w:r>
      <w:r>
        <w:rPr>
          <w:rFonts w:ascii="Arial" w:cs="Arial" w:eastAsia="Arial" w:hAnsi="Arial"/>
          <w:sz w:val="21"/>
          <w:szCs w:val="21"/>
          <w:u w:val="single" w:color="auto"/>
          <w:color w:val="000000"/>
        </w:rPr>
        <w:t>Section 7.3(g)</w:t>
      </w:r>
      <w:r>
        <w:rPr>
          <w:rFonts w:ascii="Arial" w:cs="Arial" w:eastAsia="Arial" w:hAnsi="Arial"/>
          <w:sz w:val="21"/>
          <w:szCs w:val="21"/>
          <w:color w:val="000000"/>
        </w:rPr>
        <w:t xml:space="preserve"> in an aggregate principal amount not to exceed </w:t>
      </w:r>
      <w:r>
        <w:rPr>
          <w:rFonts w:ascii="Arial" w:cs="Arial" w:eastAsia="Arial" w:hAnsi="Arial"/>
          <w:sz w:val="21"/>
          <w:szCs w:val="21"/>
          <w:color w:val="FF0000"/>
          <w:strike w:val="1"/>
        </w:rPr>
        <w:t>the greater of (i) $30,000,000 and (y) 12.5% of Adjusted EBITDA</w:t>
      </w:r>
      <w:r>
        <w:rPr>
          <w:rFonts w:ascii="Arial" w:cs="Arial" w:eastAsia="Arial" w:hAnsi="Arial"/>
          <w:sz w:val="21"/>
          <w:szCs w:val="21"/>
          <w:color w:val="000000"/>
        </w:rPr>
        <w:t xml:space="preserve"> </w:t>
      </w:r>
      <w:r>
        <w:rPr>
          <w:rFonts w:ascii="Arial" w:cs="Arial" w:eastAsia="Arial" w:hAnsi="Arial"/>
          <w:sz w:val="21"/>
          <w:szCs w:val="21"/>
          <w:color w:val="FF0000"/>
          <w:strike w:val="1"/>
        </w:rPr>
        <w:t xml:space="preserve">(calculated as of the most recent date for </w:t>
      </w:r>
      <w:r>
        <w:rPr>
          <w:rFonts w:ascii="Arial" w:cs="Arial" w:eastAsia="Arial" w:hAnsi="Arial"/>
          <w:sz w:val="21"/>
          <w:szCs w:val="21"/>
          <w:color w:val="008000"/>
          <w:strike w:val="1"/>
        </w:rPr>
        <w:t>which financial statements have been</w:t>
      </w:r>
      <w:r>
        <w:rPr>
          <w:rFonts w:ascii="Arial" w:cs="Arial" w:eastAsia="Arial" w:hAnsi="Arial"/>
          <w:sz w:val="21"/>
          <w:szCs w:val="21"/>
          <w:color w:val="FF0000"/>
          <w:strike w:val="1"/>
        </w:rPr>
        <w:t xml:space="preserve"> delivered pursuant to Sections 6.1(a) or (b), at the time made),</w:t>
      </w:r>
      <w:r>
        <w:rPr>
          <w:rFonts w:ascii="Arial" w:cs="Arial" w:eastAsia="Arial" w:hAnsi="Arial"/>
          <w:sz w:val="21"/>
          <w:szCs w:val="21"/>
          <w:u w:val="single" w:color="auto"/>
          <w:color w:val="0000FF"/>
          <w:strike w:val="1"/>
        </w:rPr>
        <w:t>$15,000,000 (of which an aggregate principal amount of up to $7,500,000 may be incurred by Subsidiaries that are</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strike w:val="1"/>
        </w:rPr>
        <w:t>not Loan Parties and outstanding with respect thereto at any time) (provided, that from the Amendment No. 2 Effective Date until and including the Q3 End Date, the amount that may be incurred during such period is reduced to an aggregate principal amount of up to $7,500,000 in respect of the Loan Parties and an aggregate principal amount of up to $5,000,000 in respect of Subsidiaries that are not Loan Parties), in each case</w:t>
      </w:r>
      <w:r>
        <w:rPr>
          <w:rFonts w:ascii="Arial" w:cs="Arial" w:eastAsia="Arial" w:hAnsi="Arial"/>
          <w:sz w:val="21"/>
          <w:szCs w:val="21"/>
          <w:color w:val="0000FF"/>
          <w:strike w:val="1"/>
        </w:rPr>
        <w:t xml:space="preserve"> </w:t>
      </w:r>
      <w:r>
        <w:rPr>
          <w:rFonts w:ascii="Arial" w:cs="Arial" w:eastAsia="Arial" w:hAnsi="Arial"/>
          <w:sz w:val="21"/>
          <w:szCs w:val="21"/>
          <w:color w:val="000000"/>
          <w:strike w:val="1"/>
        </w:rPr>
        <w:t>at any one time outstanding, and</w:t>
      </w:r>
      <w:r>
        <w:rPr>
          <w:rFonts w:ascii="Arial" w:cs="Arial" w:eastAsia="Arial" w:hAnsi="Arial"/>
          <w:sz w:val="21"/>
          <w:szCs w:val="21"/>
          <w:color w:val="0000FF"/>
          <w:strike w:val="1"/>
        </w:rPr>
        <w:t xml:space="preserve"> </w:t>
      </w:r>
      <w:r>
        <w:rPr>
          <w:rFonts w:ascii="Arial" w:cs="Arial" w:eastAsia="Arial" w:hAnsi="Arial"/>
          <w:sz w:val="21"/>
          <w:szCs w:val="21"/>
          <w:u w:val="single" w:color="auto"/>
          <w:color w:val="0000FF"/>
          <w:strike w:val="1"/>
        </w:rPr>
        <w:t>(B)</w:t>
      </w:r>
      <w:r>
        <w:rPr>
          <w:rFonts w:ascii="Arial" w:cs="Arial" w:eastAsia="Arial" w:hAnsi="Arial"/>
          <w:sz w:val="21"/>
          <w:szCs w:val="21"/>
          <w:color w:val="0000FF"/>
          <w:strike w:val="1"/>
        </w:rPr>
        <w:t xml:space="preserve"> </w:t>
      </w:r>
      <w:r>
        <w:rPr>
          <w:rFonts w:ascii="Arial" w:cs="Arial" w:eastAsia="Arial" w:hAnsi="Arial"/>
          <w:sz w:val="21"/>
          <w:szCs w:val="21"/>
          <w:color w:val="000000"/>
          <w:strike w:val="1"/>
        </w:rPr>
        <w:t>Permitted Refinancings in respect</w:t>
      </w:r>
      <w:r>
        <w:rPr>
          <w:rFonts w:ascii="Arial" w:cs="Arial" w:eastAsia="Arial" w:hAnsi="Arial"/>
          <w:sz w:val="21"/>
          <w:szCs w:val="21"/>
          <w:color w:val="0000FF"/>
          <w:strike w:val="1"/>
        </w:rPr>
        <w:t xml:space="preserve"> </w:t>
      </w:r>
      <w:r>
        <w:rPr>
          <w:rFonts w:ascii="Arial" w:cs="Arial" w:eastAsia="Arial" w:hAnsi="Arial"/>
          <w:sz w:val="21"/>
          <w:szCs w:val="21"/>
          <w:color w:val="FF0000"/>
          <w:strike w:val="1"/>
        </w:rPr>
        <w:t>thereof</w:t>
      </w:r>
      <w:r>
        <w:rPr>
          <w:rFonts w:ascii="Arial" w:cs="Arial" w:eastAsia="Arial" w:hAnsi="Arial"/>
          <w:sz w:val="21"/>
          <w:szCs w:val="21"/>
          <w:u w:val="single" w:color="auto"/>
          <w:color w:val="0000FF"/>
          <w:strike w:val="1"/>
        </w:rPr>
        <w:t>of Indebtedness under clause (A)</w:t>
      </w:r>
      <w:r>
        <w:rPr>
          <w:rFonts w:ascii="Arial" w:cs="Arial" w:eastAsia="Arial" w:hAnsi="Arial"/>
          <w:sz w:val="21"/>
          <w:szCs w:val="21"/>
          <w:color w:val="000000"/>
          <w:strike w:val="1"/>
        </w:rPr>
        <w:t>;</w:t>
      </w:r>
    </w:p>
    <w:p>
      <w:pPr>
        <w:spacing w:after="0" w:line="179" w:lineRule="exact"/>
        <w:rPr>
          <w:rFonts w:ascii="Arial" w:cs="Arial" w:eastAsia="Arial" w:hAnsi="Arial"/>
          <w:sz w:val="21"/>
          <w:szCs w:val="21"/>
          <w:u w:val="single" w:color="auto"/>
          <w:color w:val="0000FF"/>
        </w:rPr>
      </w:pPr>
    </w:p>
    <w:p>
      <w:pPr>
        <w:jc w:val="both"/>
        <w:ind w:firstLine="656"/>
        <w:spacing w:after="0" w:line="292" w:lineRule="auto"/>
        <w:tabs>
          <w:tab w:leader="none" w:pos="1291" w:val="left"/>
        </w:tabs>
        <w:numPr>
          <w:ilvl w:val="0"/>
          <w:numId w:val="156"/>
        </w:numPr>
        <w:rPr>
          <w:rFonts w:ascii="Arial" w:cs="Arial" w:eastAsia="Arial" w:hAnsi="Arial"/>
          <w:sz w:val="19"/>
          <w:szCs w:val="19"/>
          <w:u w:val="single" w:color="auto"/>
          <w:color w:val="0000FF"/>
        </w:rPr>
      </w:pPr>
      <w:r>
        <w:rPr>
          <w:rFonts w:ascii="Arial" w:cs="Arial" w:eastAsia="Arial" w:hAnsi="Arial"/>
          <w:sz w:val="19"/>
          <w:szCs w:val="19"/>
          <w:color w:val="FF0000"/>
          <w:strike w:val="1"/>
        </w:rPr>
        <w:t>(d) The</w:t>
      </w:r>
      <w:r>
        <w:rPr>
          <w:rFonts w:ascii="Arial" w:cs="Arial" w:eastAsia="Arial" w:hAnsi="Arial"/>
          <w:sz w:val="19"/>
          <w:szCs w:val="19"/>
          <w:u w:val="single" w:color="auto"/>
          <w:color w:val="0000FF"/>
        </w:rPr>
        <w:t>Indebtedness of the Loan Parties under the</w:t>
      </w:r>
      <w:r>
        <w:rPr>
          <w:rFonts w:ascii="Arial" w:cs="Arial" w:eastAsia="Arial" w:hAnsi="Arial"/>
          <w:sz w:val="19"/>
          <w:szCs w:val="19"/>
          <w:color w:val="FF0000"/>
        </w:rPr>
        <w:t xml:space="preserve"> </w:t>
      </w:r>
      <w:r>
        <w:rPr>
          <w:rFonts w:ascii="Arial" w:cs="Arial" w:eastAsia="Arial" w:hAnsi="Arial"/>
          <w:sz w:val="19"/>
          <w:szCs w:val="19"/>
          <w:color w:val="000000"/>
        </w:rPr>
        <w:t>Senior Secured</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2028</w:t>
      </w:r>
      <w:r>
        <w:rPr>
          <w:rFonts w:ascii="Arial" w:cs="Arial" w:eastAsia="Arial" w:hAnsi="Arial"/>
          <w:sz w:val="19"/>
          <w:szCs w:val="19"/>
          <w:color w:val="FF0000"/>
        </w:rPr>
        <w:t xml:space="preserve"> </w:t>
      </w:r>
      <w:r>
        <w:rPr>
          <w:rFonts w:ascii="Arial" w:cs="Arial" w:eastAsia="Arial" w:hAnsi="Arial"/>
          <w:sz w:val="19"/>
          <w:szCs w:val="19"/>
          <w:color w:val="000000"/>
        </w:rPr>
        <w:t>Notes, the Senior Unsecured Notes</w:t>
      </w:r>
      <w:r>
        <w:rPr>
          <w:rFonts w:ascii="Arial" w:cs="Arial" w:eastAsia="Arial" w:hAnsi="Arial"/>
          <w:sz w:val="19"/>
          <w:szCs w:val="19"/>
          <w:color w:val="FF0000"/>
          <w:strike w:val="1"/>
        </w:rPr>
        <w:t>,</w:t>
      </w:r>
      <w:r>
        <w:rPr>
          <w:rFonts w:ascii="Arial" w:cs="Arial" w:eastAsia="Arial" w:hAnsi="Arial"/>
          <w:sz w:val="19"/>
          <w:szCs w:val="19"/>
          <w:color w:val="FF0000"/>
        </w:rPr>
        <w:t xml:space="preserve"> </w:t>
      </w:r>
      <w:r>
        <w:rPr>
          <w:rFonts w:ascii="Arial" w:cs="Arial" w:eastAsia="Arial" w:hAnsi="Arial"/>
          <w:sz w:val="19"/>
          <w:szCs w:val="19"/>
          <w:color w:val="000000"/>
        </w:rPr>
        <w:t>and</w:t>
      </w:r>
      <w:r>
        <w:rPr>
          <w:rFonts w:ascii="Arial" w:cs="Arial" w:eastAsia="Arial" w:hAnsi="Arial"/>
          <w:sz w:val="19"/>
          <w:szCs w:val="19"/>
          <w:color w:val="FF0000"/>
        </w:rPr>
        <w:t xml:space="preserve"> </w:t>
      </w:r>
      <w:r>
        <w:rPr>
          <w:rFonts w:ascii="Arial" w:cs="Arial" w:eastAsia="Arial" w:hAnsi="Arial"/>
          <w:sz w:val="19"/>
          <w:szCs w:val="19"/>
          <w:color w:val="000000"/>
        </w:rPr>
        <w:t xml:space="preserve">any </w:t>
      </w:r>
      <w:r>
        <w:rPr>
          <w:rFonts w:ascii="Arial" w:cs="Arial" w:eastAsia="Arial" w:hAnsi="Arial"/>
          <w:sz w:val="19"/>
          <w:szCs w:val="19"/>
          <w:color w:val="FF0000"/>
          <w:strike w:val="1"/>
        </w:rPr>
        <w:t>other</w:t>
      </w:r>
      <w:r>
        <w:rPr>
          <w:rFonts w:ascii="Arial" w:cs="Arial" w:eastAsia="Arial" w:hAnsi="Arial"/>
          <w:sz w:val="19"/>
          <w:szCs w:val="19"/>
          <w:color w:val="000000"/>
        </w:rPr>
        <w:t xml:space="preserve"> Indebtedness outstanding on the </w:t>
      </w:r>
      <w:r>
        <w:rPr>
          <w:rFonts w:ascii="Arial" w:cs="Arial" w:eastAsia="Arial" w:hAnsi="Arial"/>
          <w:sz w:val="19"/>
          <w:szCs w:val="19"/>
          <w:color w:val="FF0000"/>
          <w:strike w:val="1"/>
        </w:rPr>
        <w:t>Closing</w:t>
      </w:r>
      <w:r>
        <w:rPr>
          <w:rFonts w:ascii="Arial" w:cs="Arial" w:eastAsia="Arial" w:hAnsi="Arial"/>
          <w:sz w:val="19"/>
          <w:szCs w:val="19"/>
          <w:u w:val="single" w:color="auto"/>
          <w:color w:val="0000FF"/>
        </w:rPr>
        <w:t>Amendment No. 2 Effective</w:t>
      </w:r>
      <w:r>
        <w:rPr>
          <w:rFonts w:ascii="Arial" w:cs="Arial" w:eastAsia="Arial" w:hAnsi="Arial"/>
          <w:sz w:val="19"/>
          <w:szCs w:val="19"/>
          <w:color w:val="000000"/>
        </w:rPr>
        <w:t xml:space="preserve"> Date and </w:t>
      </w:r>
      <w:r>
        <w:rPr>
          <w:rFonts w:ascii="Arial" w:cs="Arial" w:eastAsia="Arial" w:hAnsi="Arial"/>
          <w:sz w:val="19"/>
          <w:szCs w:val="19"/>
          <w:color w:val="FF0000"/>
          <w:strike w:val="1"/>
        </w:rPr>
        <w:t>listed</w:t>
      </w:r>
      <w:r>
        <w:rPr>
          <w:rFonts w:ascii="Arial" w:cs="Arial" w:eastAsia="Arial" w:hAnsi="Arial"/>
          <w:sz w:val="19"/>
          <w:szCs w:val="19"/>
          <w:u w:val="single" w:color="auto"/>
          <w:color w:val="0000FF"/>
        </w:rPr>
        <w:t>described</w:t>
      </w:r>
      <w:r>
        <w:rPr>
          <w:rFonts w:ascii="Arial" w:cs="Arial" w:eastAsia="Arial" w:hAnsi="Arial"/>
          <w:sz w:val="19"/>
          <w:szCs w:val="19"/>
          <w:color w:val="000000"/>
        </w:rPr>
        <w:t xml:space="preserve"> on Schedule 7.2(d) </w:t>
      </w:r>
      <w:r>
        <w:rPr>
          <w:rFonts w:ascii="Arial" w:cs="Arial" w:eastAsia="Arial" w:hAnsi="Arial"/>
          <w:sz w:val="19"/>
          <w:szCs w:val="19"/>
          <w:color w:val="FF0000"/>
          <w:strike w:val="1"/>
        </w:rPr>
        <w:t>and</w:t>
      </w:r>
      <w:r>
        <w:rPr>
          <w:rFonts w:ascii="Arial" w:cs="Arial" w:eastAsia="Arial" w:hAnsi="Arial"/>
          <w:sz w:val="19"/>
          <w:szCs w:val="19"/>
          <w:color w:val="000000"/>
        </w:rPr>
        <w:t xml:space="preserve"> </w:t>
      </w:r>
      <w:r>
        <w:rPr>
          <w:rFonts w:ascii="Arial" w:cs="Arial" w:eastAsia="Arial" w:hAnsi="Arial"/>
          <w:sz w:val="19"/>
          <w:szCs w:val="19"/>
          <w:color w:val="FF0000"/>
          <w:strike w:val="1"/>
        </w:rPr>
        <w:t>any refinancings, refundings, renewals</w:t>
      </w:r>
      <w:r>
        <w:rPr>
          <w:rFonts w:ascii="Arial" w:cs="Arial" w:eastAsia="Arial" w:hAnsi="Arial"/>
          <w:sz w:val="19"/>
          <w:szCs w:val="19"/>
          <w:u w:val="single" w:color="auto"/>
          <w:color w:val="0000FF"/>
        </w:rPr>
        <w:t>(updated as of the Amendment No. 2 Effective Date), and any Permitted Refinancing</w:t>
      </w:r>
      <w:r>
        <w:rPr>
          <w:rFonts w:ascii="Arial" w:cs="Arial" w:eastAsia="Arial" w:hAnsi="Arial"/>
          <w:sz w:val="19"/>
          <w:szCs w:val="19"/>
          <w:color w:val="FF0000"/>
        </w:rPr>
        <w:t xml:space="preserve"> </w:t>
      </w:r>
      <w:r>
        <w:rPr>
          <w:rFonts w:ascii="Arial" w:cs="Arial" w:eastAsia="Arial" w:hAnsi="Arial"/>
          <w:sz w:val="19"/>
          <w:szCs w:val="19"/>
          <w:color w:val="000000"/>
        </w:rPr>
        <w:t>or</w:t>
      </w:r>
      <w:r>
        <w:rPr>
          <w:rFonts w:ascii="Arial" w:cs="Arial" w:eastAsia="Arial" w:hAnsi="Arial"/>
          <w:sz w:val="19"/>
          <w:szCs w:val="19"/>
          <w:color w:val="FF0000"/>
        </w:rPr>
        <w:t xml:space="preserve"> </w:t>
      </w:r>
      <w:r>
        <w:rPr>
          <w:rFonts w:ascii="Arial" w:cs="Arial" w:eastAsia="Arial" w:hAnsi="Arial"/>
          <w:sz w:val="19"/>
          <w:szCs w:val="19"/>
          <w:color w:val="000000"/>
        </w:rPr>
        <w:t xml:space="preserve">extensions thereof </w:t>
      </w:r>
      <w:r>
        <w:rPr>
          <w:rFonts w:ascii="Arial" w:cs="Arial" w:eastAsia="Arial" w:hAnsi="Arial"/>
          <w:sz w:val="19"/>
          <w:szCs w:val="19"/>
          <w:color w:val="FF0000"/>
          <w:strike w:val="1"/>
        </w:rPr>
        <w:t>(without (i) any increase in the principal amount thereof except by an amount equal to unpaid accrued interest</w:t>
      </w:r>
      <w:r>
        <w:rPr>
          <w:rFonts w:ascii="Arial" w:cs="Arial" w:eastAsia="Arial" w:hAnsi="Arial"/>
          <w:sz w:val="19"/>
          <w:szCs w:val="19"/>
          <w:color w:val="000000"/>
        </w:rPr>
        <w:t xml:space="preserve"> </w:t>
      </w:r>
      <w:r>
        <w:rPr>
          <w:rFonts w:ascii="Arial" w:cs="Arial" w:eastAsia="Arial" w:hAnsi="Arial"/>
          <w:sz w:val="19"/>
          <w:szCs w:val="19"/>
          <w:color w:val="FF0000"/>
          <w:strike w:val="1"/>
        </w:rPr>
        <w:t>and premium thereon plus other reasonable amounts paid, and fees and expenses reasonably incurred, in connection with such refinancing, refunding, renewal or extension and by an amount equal to any existing commitments unutilized thereunder or (ii) any shortening of the maturity of any principal amount thereof);</w:t>
      </w:r>
      <w:r>
        <w:rPr>
          <w:rFonts w:ascii="Arial" w:cs="Arial" w:eastAsia="Arial" w:hAnsi="Arial"/>
          <w:sz w:val="19"/>
          <w:szCs w:val="19"/>
          <w:u w:val="single" w:color="auto"/>
          <w:color w:val="0000FF"/>
          <w:strike w:val="1"/>
        </w:rPr>
        <w:t>;</w:t>
      </w:r>
    </w:p>
    <w:p>
      <w:pPr>
        <w:spacing w:after="0" w:line="150" w:lineRule="exact"/>
        <w:rPr>
          <w:rFonts w:ascii="Arial" w:cs="Arial" w:eastAsia="Arial" w:hAnsi="Arial"/>
          <w:sz w:val="19"/>
          <w:szCs w:val="19"/>
          <w:u w:val="single" w:color="auto"/>
          <w:color w:val="0000FF"/>
        </w:rPr>
      </w:pPr>
    </w:p>
    <w:p>
      <w:pPr>
        <w:jc w:val="both"/>
        <w:ind w:firstLine="656"/>
        <w:spacing w:after="0" w:line="248" w:lineRule="auto"/>
        <w:tabs>
          <w:tab w:leader="none" w:pos="1293" w:val="left"/>
        </w:tabs>
        <w:numPr>
          <w:ilvl w:val="0"/>
          <w:numId w:val="156"/>
        </w:numPr>
        <w:rPr>
          <w:rFonts w:ascii="Arial" w:cs="Arial" w:eastAsia="Arial" w:hAnsi="Arial"/>
          <w:sz w:val="22"/>
          <w:szCs w:val="22"/>
          <w:u w:val="single" w:color="auto"/>
          <w:color w:val="0000FF"/>
        </w:rPr>
      </w:pPr>
      <w:r>
        <w:rPr>
          <w:rFonts w:ascii="Arial" w:cs="Arial" w:eastAsia="Arial" w:hAnsi="Arial"/>
          <w:sz w:val="22"/>
          <w:szCs w:val="22"/>
          <w:color w:val="FF0000"/>
          <w:strike w:val="1"/>
        </w:rPr>
        <w:t>(e)</w:t>
      </w:r>
      <w:r>
        <w:rPr>
          <w:rFonts w:ascii="Arial" w:cs="Arial" w:eastAsia="Arial" w:hAnsi="Arial"/>
          <w:sz w:val="22"/>
          <w:szCs w:val="22"/>
          <w:color w:val="FF0000"/>
        </w:rPr>
        <w:t xml:space="preserve"> </w:t>
      </w:r>
      <w:r>
        <w:rPr>
          <w:rFonts w:ascii="Arial" w:cs="Arial" w:eastAsia="Arial" w:hAnsi="Arial"/>
          <w:sz w:val="22"/>
          <w:szCs w:val="22"/>
          <w:color w:val="000000"/>
        </w:rPr>
        <w:t>Guarantee Obligations (i) by the Borrower or any of its Subsidiaries of obligations of the Borrower or any</w:t>
      </w:r>
      <w:r>
        <w:rPr>
          <w:rFonts w:ascii="Arial" w:cs="Arial" w:eastAsia="Arial" w:hAnsi="Arial"/>
          <w:sz w:val="22"/>
          <w:szCs w:val="22"/>
          <w:color w:val="FF0000"/>
        </w:rPr>
        <w:t xml:space="preserve"> </w:t>
      </w:r>
      <w:r>
        <w:rPr>
          <w:rFonts w:ascii="Arial" w:cs="Arial" w:eastAsia="Arial" w:hAnsi="Arial"/>
          <w:sz w:val="22"/>
          <w:szCs w:val="22"/>
          <w:color w:val="000000"/>
        </w:rPr>
        <w:t xml:space="preserve">Subsidiary; </w:t>
      </w:r>
      <w:r>
        <w:rPr>
          <w:rFonts w:ascii="Arial" w:cs="Arial" w:eastAsia="Arial" w:hAnsi="Arial"/>
          <w:sz w:val="22"/>
          <w:szCs w:val="22"/>
          <w:u w:val="single" w:color="auto"/>
          <w:color w:val="000000"/>
        </w:rPr>
        <w:t>provided</w:t>
      </w:r>
      <w:r>
        <w:rPr>
          <w:rFonts w:ascii="Arial" w:cs="Arial" w:eastAsia="Arial" w:hAnsi="Arial"/>
          <w:sz w:val="22"/>
          <w:szCs w:val="22"/>
          <w:color w:val="000000"/>
        </w:rPr>
        <w:t xml:space="preserve"> that to the extent such Guarantee Obligations are in respect of Indebtedness, such Indebtedness is otherwise permitted hereunder</w:t>
      </w:r>
      <w:r>
        <w:rPr>
          <w:rFonts w:ascii="Arial" w:cs="Arial" w:eastAsia="Arial" w:hAnsi="Arial"/>
          <w:sz w:val="22"/>
          <w:szCs w:val="22"/>
          <w:u w:val="single" w:color="auto"/>
          <w:color w:val="0000FF"/>
        </w:rPr>
        <w:t>; provided, further, that any such Guarantee Obligations by a Loan Party of Indebtedness of a Subsidiary that</w:t>
      </w:r>
      <w:r>
        <w:rPr>
          <w:rFonts w:ascii="Arial" w:cs="Arial" w:eastAsia="Arial" w:hAnsi="Arial"/>
          <w:sz w:val="22"/>
          <w:szCs w:val="22"/>
          <w:color w:val="000000"/>
        </w:rPr>
        <w:t xml:space="preserve"> </w:t>
      </w:r>
      <w:r>
        <w:rPr>
          <w:rFonts w:ascii="Arial" w:cs="Arial" w:eastAsia="Arial" w:hAnsi="Arial"/>
          <w:sz w:val="22"/>
          <w:szCs w:val="22"/>
          <w:u w:val="single" w:color="auto"/>
          <w:color w:val="0000FF"/>
        </w:rPr>
        <w:t>is not a Loan Party are subordinated in right of payment to the Obligations pursuant to customary subordination terms in form and substance reasonably acceptable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-5059045</wp:posOffset>
            </wp:positionV>
            <wp:extent cx="1485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40"/>
          </w:cols>
          <w:pgMar w:left="320" w:top="1428" w:right="339" w:bottom="1440" w:gutter="0" w:footer="0" w:header="0"/>
        </w:sectPr>
      </w:pPr>
    </w:p>
    <w:bookmarkStart w:id="210" w:name="page211"/>
    <w:bookmarkEnd w:id="210"/>
    <w:p>
      <w:pPr>
        <w:jc w:val="both"/>
        <w:spacing w:after="0" w:line="302" w:lineRule="auto"/>
        <w:rPr>
          <w:sz w:val="20"/>
          <w:szCs w:val="20"/>
          <w:color w:val="auto"/>
        </w:rPr>
      </w:pPr>
      <w:r>
        <w:rPr>
          <w:rFonts w:ascii="Arial" w:cs="Arial" w:eastAsia="Arial" w:hAnsi="Arial"/>
          <w:sz w:val="19"/>
          <w:szCs w:val="19"/>
          <w:u w:val="single" w:color="auto"/>
          <w:color w:val="0000FF"/>
        </w:rPr>
        <w:t>Administrative Agent; and provided, further, that any subsequent issuance or transfer of any Capital Stock (or other event) which results in any such non-Loan Party ceasing to be a Subsidiary or any other subsequent transfer of any such Indebtedness (except to another Borrower or another Subsidiary) shall be deemed, in each case to be an incurrence of Guarantee Obligations in respect of such Indebtedness not permitted by this clause (e)</w:t>
      </w:r>
      <w:r>
        <w:rPr>
          <w:rFonts w:ascii="Arial" w:cs="Arial" w:eastAsia="Arial" w:hAnsi="Arial"/>
          <w:sz w:val="19"/>
          <w:szCs w:val="19"/>
          <w:color w:val="0000FF"/>
        </w:rPr>
        <w:t xml:space="preserve"> </w:t>
      </w:r>
      <w:r>
        <w:rPr>
          <w:rFonts w:ascii="Arial" w:cs="Arial" w:eastAsia="Arial" w:hAnsi="Arial"/>
          <w:sz w:val="19"/>
          <w:szCs w:val="19"/>
          <w:color w:val="000000"/>
        </w:rPr>
        <w:t>and (ii) arising out of the Employment Agreements;</w:t>
      </w:r>
    </w:p>
    <w:p>
      <w:pPr>
        <w:spacing w:after="0" w:line="142" w:lineRule="exact"/>
        <w:rPr>
          <w:sz w:val="20"/>
          <w:szCs w:val="20"/>
          <w:color w:val="auto"/>
        </w:rPr>
      </w:pPr>
    </w:p>
    <w:p>
      <w:pPr>
        <w:jc w:val="both"/>
        <w:ind w:firstLine="656"/>
        <w:spacing w:after="0" w:line="250" w:lineRule="auto"/>
        <w:tabs>
          <w:tab w:leader="none" w:pos="1296" w:val="left"/>
        </w:tabs>
        <w:numPr>
          <w:ilvl w:val="0"/>
          <w:numId w:val="157"/>
        </w:numPr>
        <w:rPr>
          <w:rFonts w:ascii="Arial" w:cs="Arial" w:eastAsia="Arial" w:hAnsi="Arial"/>
          <w:sz w:val="22"/>
          <w:szCs w:val="22"/>
          <w:u w:val="single" w:color="auto"/>
          <w:color w:val="0000FF"/>
        </w:rPr>
      </w:pPr>
      <w:r>
        <w:rPr>
          <w:rFonts w:ascii="Arial" w:cs="Arial" w:eastAsia="Arial" w:hAnsi="Arial"/>
          <w:sz w:val="22"/>
          <w:szCs w:val="22"/>
          <w:color w:val="FF0000"/>
          <w:strike w:val="1"/>
        </w:rPr>
        <w:t>(f)</w:t>
      </w:r>
      <w:r>
        <w:rPr>
          <w:rFonts w:ascii="Arial" w:cs="Arial" w:eastAsia="Arial" w:hAnsi="Arial"/>
          <w:sz w:val="22"/>
          <w:szCs w:val="22"/>
          <w:color w:val="FF0000"/>
        </w:rPr>
        <w:t xml:space="preserve"> </w:t>
      </w:r>
      <w:r>
        <w:rPr>
          <w:rFonts w:ascii="Arial" w:cs="Arial" w:eastAsia="Arial" w:hAnsi="Arial"/>
          <w:sz w:val="22"/>
          <w:szCs w:val="22"/>
          <w:color w:val="000000"/>
        </w:rPr>
        <w:t>Indebtedness of the Borrower or any Subsidiary in respect of (i) worker’s compensation claims, unemployment</w:t>
      </w:r>
      <w:r>
        <w:rPr>
          <w:rFonts w:ascii="Arial" w:cs="Arial" w:eastAsia="Arial" w:hAnsi="Arial"/>
          <w:sz w:val="22"/>
          <w:szCs w:val="22"/>
          <w:color w:val="FF0000"/>
        </w:rPr>
        <w:t xml:space="preserve"> </w:t>
      </w:r>
      <w:r>
        <w:rPr>
          <w:rFonts w:ascii="Arial" w:cs="Arial" w:eastAsia="Arial" w:hAnsi="Arial"/>
          <w:sz w:val="22"/>
          <w:szCs w:val="22"/>
          <w:color w:val="000000"/>
        </w:rPr>
        <w:t>insurance and other social security benefits and (ii) performance bonds, surety bonds, completion guarantees and similar obligations provided by the Borrower or any Subsidiary or obligations in respect of letters of credit, bank guarantees or similar instruments related thereto, in each case, in the ordinary course of business;</w:t>
      </w:r>
    </w:p>
    <w:p>
      <w:pPr>
        <w:spacing w:after="0" w:line="187" w:lineRule="exact"/>
        <w:rPr>
          <w:rFonts w:ascii="Arial" w:cs="Arial" w:eastAsia="Arial" w:hAnsi="Arial"/>
          <w:sz w:val="22"/>
          <w:szCs w:val="22"/>
          <w:u w:val="single" w:color="auto"/>
          <w:color w:val="0000FF"/>
        </w:rPr>
      </w:pPr>
    </w:p>
    <w:p>
      <w:pPr>
        <w:jc w:val="both"/>
        <w:ind w:firstLine="656"/>
        <w:spacing w:after="0" w:line="312" w:lineRule="auto"/>
        <w:tabs>
          <w:tab w:leader="none" w:pos="1291" w:val="left"/>
        </w:tabs>
        <w:numPr>
          <w:ilvl w:val="0"/>
          <w:numId w:val="157"/>
        </w:numPr>
        <w:rPr>
          <w:rFonts w:ascii="Arial" w:cs="Arial" w:eastAsia="Arial" w:hAnsi="Arial"/>
          <w:sz w:val="19"/>
          <w:szCs w:val="19"/>
          <w:u w:val="single" w:color="auto"/>
          <w:color w:val="0000FF"/>
        </w:rPr>
      </w:pPr>
      <w:r>
        <w:rPr>
          <w:rFonts w:ascii="Arial" w:cs="Arial" w:eastAsia="Arial" w:hAnsi="Arial"/>
          <w:sz w:val="19"/>
          <w:szCs w:val="19"/>
          <w:color w:val="FF0000"/>
          <w:strike w:val="1"/>
        </w:rPr>
        <w:t>(g)</w:t>
      </w:r>
      <w:r>
        <w:rPr>
          <w:rFonts w:ascii="Arial" w:cs="Arial" w:eastAsia="Arial" w:hAnsi="Arial"/>
          <w:sz w:val="19"/>
          <w:szCs w:val="19"/>
          <w:color w:val="FF0000"/>
        </w:rPr>
        <w:t xml:space="preserve"> </w:t>
      </w:r>
      <w:r>
        <w:rPr>
          <w:rFonts w:ascii="Arial" w:cs="Arial" w:eastAsia="Arial" w:hAnsi="Arial"/>
          <w:sz w:val="19"/>
          <w:szCs w:val="19"/>
          <w:color w:val="000000"/>
        </w:rPr>
        <w:t>Indebtedness consisting of deferred payment obligations resulting from the adjudication or settlement of any</w:t>
      </w:r>
      <w:r>
        <w:rPr>
          <w:rFonts w:ascii="Arial" w:cs="Arial" w:eastAsia="Arial" w:hAnsi="Arial"/>
          <w:sz w:val="19"/>
          <w:szCs w:val="19"/>
          <w:color w:val="FF0000"/>
        </w:rPr>
        <w:t xml:space="preserve"> </w:t>
      </w:r>
      <w:r>
        <w:rPr>
          <w:rFonts w:ascii="Arial" w:cs="Arial" w:eastAsia="Arial" w:hAnsi="Arial"/>
          <w:sz w:val="19"/>
          <w:szCs w:val="19"/>
          <w:color w:val="000000"/>
        </w:rPr>
        <w:t xml:space="preserve">litigation or from an arbitration or mediation award or settlement, in any case involving the Borrower or any Subsidiary so long as such judgment or settlement would not constitute an Event of Default under </w:t>
      </w:r>
      <w:r>
        <w:rPr>
          <w:rFonts w:ascii="Arial" w:cs="Arial" w:eastAsia="Arial" w:hAnsi="Arial"/>
          <w:sz w:val="19"/>
          <w:szCs w:val="19"/>
          <w:u w:val="single" w:color="auto"/>
          <w:color w:val="000000"/>
        </w:rPr>
        <w:t>Section 8</w:t>
      </w:r>
      <w:r>
        <w:rPr>
          <w:rFonts w:ascii="Arial" w:cs="Arial" w:eastAsia="Arial" w:hAnsi="Arial"/>
          <w:sz w:val="19"/>
          <w:szCs w:val="19"/>
          <w:color w:val="000000"/>
        </w:rPr>
        <w:t xml:space="preserve"> of this Agreement;</w:t>
      </w:r>
    </w:p>
    <w:p>
      <w:pPr>
        <w:spacing w:after="0" w:line="133" w:lineRule="exact"/>
        <w:rPr>
          <w:rFonts w:ascii="Arial" w:cs="Arial" w:eastAsia="Arial" w:hAnsi="Arial"/>
          <w:sz w:val="19"/>
          <w:szCs w:val="19"/>
          <w:u w:val="single" w:color="auto"/>
          <w:color w:val="0000FF"/>
        </w:rPr>
      </w:pPr>
    </w:p>
    <w:p>
      <w:pPr>
        <w:ind w:left="1300" w:hanging="644"/>
        <w:spacing w:after="0"/>
        <w:tabs>
          <w:tab w:leader="none" w:pos="1300" w:val="left"/>
        </w:tabs>
        <w:numPr>
          <w:ilvl w:val="0"/>
          <w:numId w:val="157"/>
        </w:numPr>
        <w:rPr>
          <w:rFonts w:ascii="Arial" w:cs="Arial" w:eastAsia="Arial" w:hAnsi="Arial"/>
          <w:sz w:val="21"/>
          <w:szCs w:val="21"/>
          <w:u w:val="single" w:color="auto"/>
          <w:color w:val="0000FF"/>
        </w:rPr>
      </w:pPr>
      <w:r>
        <w:rPr>
          <w:rFonts w:ascii="Arial" w:cs="Arial" w:eastAsia="Arial" w:hAnsi="Arial"/>
          <w:sz w:val="21"/>
          <w:szCs w:val="21"/>
          <w:color w:val="FF0000"/>
          <w:strike w:val="1"/>
        </w:rPr>
        <w:t>(h)</w:t>
      </w:r>
      <w:r>
        <w:rPr>
          <w:rFonts w:ascii="Arial" w:cs="Arial" w:eastAsia="Arial" w:hAnsi="Arial"/>
          <w:sz w:val="21"/>
          <w:szCs w:val="21"/>
          <w:color w:val="FF0000"/>
        </w:rPr>
        <w:t xml:space="preserve"> </w:t>
      </w:r>
      <w:r>
        <w:rPr>
          <w:rFonts w:ascii="Arial" w:cs="Arial" w:eastAsia="Arial" w:hAnsi="Arial"/>
          <w:sz w:val="21"/>
          <w:szCs w:val="21"/>
          <w:color w:val="000000"/>
        </w:rPr>
        <w:t>Indebtedness incurred in connection with the financing of insurance premiums in the ordinary course of</w:t>
      </w:r>
    </w:p>
    <w:p>
      <w:pPr>
        <w:spacing w:after="0" w:line="32" w:lineRule="exact"/>
        <w:rPr>
          <w:rFonts w:ascii="Arial" w:cs="Arial" w:eastAsia="Arial" w:hAnsi="Arial"/>
          <w:sz w:val="21"/>
          <w:szCs w:val="21"/>
          <w:u w:val="single" w:color="auto"/>
          <w:color w:val="0000FF"/>
        </w:rPr>
      </w:pPr>
    </w:p>
    <w:p>
      <w:pPr>
        <w:spacing w:after="0"/>
        <w:rPr>
          <w:rFonts w:ascii="Arial" w:cs="Arial" w:eastAsia="Arial" w:hAnsi="Arial"/>
          <w:sz w:val="21"/>
          <w:szCs w:val="21"/>
          <w:u w:val="single" w:color="auto"/>
          <w:color w:val="0000FF"/>
        </w:rPr>
      </w:pPr>
      <w:r>
        <w:rPr>
          <w:rFonts w:ascii="Arial" w:cs="Arial" w:eastAsia="Arial" w:hAnsi="Arial"/>
          <w:sz w:val="22"/>
          <w:szCs w:val="22"/>
          <w:color w:val="auto"/>
        </w:rPr>
        <w:t>business;</w:t>
      </w:r>
    </w:p>
    <w:p>
      <w:pPr>
        <w:spacing w:after="0" w:line="201" w:lineRule="exact"/>
        <w:rPr>
          <w:rFonts w:ascii="Arial" w:cs="Arial" w:eastAsia="Arial" w:hAnsi="Arial"/>
          <w:sz w:val="21"/>
          <w:szCs w:val="21"/>
          <w:u w:val="single" w:color="auto"/>
          <w:color w:val="0000FF"/>
        </w:rPr>
      </w:pPr>
    </w:p>
    <w:p>
      <w:pPr>
        <w:jc w:val="both"/>
        <w:ind w:firstLine="656"/>
        <w:spacing w:after="0" w:line="253" w:lineRule="auto"/>
        <w:tabs>
          <w:tab w:leader="none" w:pos="1284" w:val="left"/>
        </w:tabs>
        <w:numPr>
          <w:ilvl w:val="0"/>
          <w:numId w:val="157"/>
        </w:numPr>
        <w:rPr>
          <w:rFonts w:ascii="Arial" w:cs="Arial" w:eastAsia="Arial" w:hAnsi="Arial"/>
          <w:sz w:val="22"/>
          <w:szCs w:val="22"/>
          <w:u w:val="single" w:color="auto"/>
          <w:color w:val="0000FF"/>
        </w:rPr>
      </w:pPr>
      <w:r>
        <w:rPr>
          <w:rFonts w:ascii="Arial" w:cs="Arial" w:eastAsia="Arial" w:hAnsi="Arial"/>
          <w:sz w:val="22"/>
          <w:szCs w:val="22"/>
          <w:color w:val="FF0000"/>
          <w:strike w:val="1"/>
        </w:rPr>
        <w:t>(i)</w:t>
      </w:r>
      <w:r>
        <w:rPr>
          <w:rFonts w:ascii="Arial" w:cs="Arial" w:eastAsia="Arial" w:hAnsi="Arial"/>
          <w:sz w:val="22"/>
          <w:szCs w:val="22"/>
          <w:color w:val="FF0000"/>
        </w:rPr>
        <w:t xml:space="preserve"> </w:t>
      </w:r>
      <w:r>
        <w:rPr>
          <w:rFonts w:ascii="Arial" w:cs="Arial" w:eastAsia="Arial" w:hAnsi="Arial"/>
          <w:sz w:val="22"/>
          <w:szCs w:val="22"/>
          <w:color w:val="000000"/>
        </w:rPr>
        <w:t>Indebtedness resulting from the endorsement of negotiable instruments in the ordinary course of business or</w:t>
      </w:r>
      <w:r>
        <w:rPr>
          <w:rFonts w:ascii="Arial" w:cs="Arial" w:eastAsia="Arial" w:hAnsi="Arial"/>
          <w:sz w:val="22"/>
          <w:szCs w:val="22"/>
          <w:color w:val="FF0000"/>
        </w:rPr>
        <w:t xml:space="preserve"> </w:t>
      </w:r>
      <w:r>
        <w:rPr>
          <w:rFonts w:ascii="Arial" w:cs="Arial" w:eastAsia="Arial" w:hAnsi="Arial"/>
          <w:sz w:val="22"/>
          <w:szCs w:val="22"/>
          <w:color w:val="000000"/>
        </w:rPr>
        <w:t>arising from honoring of a check, draft or similar instrument presented by the Borrower or any Subsidiary in the ordinary course of business against insufficient funds;</w:t>
      </w:r>
    </w:p>
    <w:p>
      <w:pPr>
        <w:spacing w:after="0" w:line="185" w:lineRule="exact"/>
        <w:rPr>
          <w:rFonts w:ascii="Arial" w:cs="Arial" w:eastAsia="Arial" w:hAnsi="Arial"/>
          <w:sz w:val="22"/>
          <w:szCs w:val="22"/>
          <w:u w:val="single" w:color="auto"/>
          <w:color w:val="0000FF"/>
        </w:rPr>
      </w:pPr>
    </w:p>
    <w:p>
      <w:pPr>
        <w:ind w:right="20" w:firstLine="656"/>
        <w:spacing w:after="0" w:line="263" w:lineRule="auto"/>
        <w:tabs>
          <w:tab w:leader="none" w:pos="1284" w:val="left"/>
        </w:tabs>
        <w:numPr>
          <w:ilvl w:val="0"/>
          <w:numId w:val="157"/>
        </w:numPr>
        <w:rPr>
          <w:rFonts w:ascii="Arial" w:cs="Arial" w:eastAsia="Arial" w:hAnsi="Arial"/>
          <w:sz w:val="22"/>
          <w:szCs w:val="22"/>
          <w:u w:val="single" w:color="auto"/>
          <w:color w:val="0000FF"/>
        </w:rPr>
      </w:pPr>
      <w:r>
        <w:rPr>
          <w:rFonts w:ascii="Arial" w:cs="Arial" w:eastAsia="Arial" w:hAnsi="Arial"/>
          <w:sz w:val="22"/>
          <w:szCs w:val="22"/>
          <w:color w:val="FF0000"/>
          <w:strike w:val="1"/>
        </w:rPr>
        <w:t>(j)</w:t>
      </w:r>
      <w:r>
        <w:rPr>
          <w:rFonts w:ascii="Arial" w:cs="Arial" w:eastAsia="Arial" w:hAnsi="Arial"/>
          <w:sz w:val="22"/>
          <w:szCs w:val="22"/>
          <w:color w:val="FF0000"/>
        </w:rPr>
        <w:t xml:space="preserve"> </w:t>
      </w:r>
      <w:r>
        <w:rPr>
          <w:rFonts w:ascii="Arial" w:cs="Arial" w:eastAsia="Arial" w:hAnsi="Arial"/>
          <w:sz w:val="22"/>
          <w:szCs w:val="22"/>
          <w:color w:val="000000"/>
        </w:rPr>
        <w:t>Indebtedness representing deferred compensation to employees of the Borrower and its Subsidiaries incurred in</w:t>
      </w:r>
      <w:r>
        <w:rPr>
          <w:rFonts w:ascii="Arial" w:cs="Arial" w:eastAsia="Arial" w:hAnsi="Arial"/>
          <w:sz w:val="22"/>
          <w:szCs w:val="22"/>
          <w:color w:val="FF0000"/>
        </w:rPr>
        <w:t xml:space="preserve"> </w:t>
      </w:r>
      <w:r>
        <w:rPr>
          <w:rFonts w:ascii="Arial" w:cs="Arial" w:eastAsia="Arial" w:hAnsi="Arial"/>
          <w:sz w:val="22"/>
          <w:szCs w:val="22"/>
          <w:color w:val="000000"/>
        </w:rPr>
        <w:t>the ordinary course of business;</w:t>
      </w:r>
    </w:p>
    <w:p>
      <w:pPr>
        <w:spacing w:after="0" w:line="174" w:lineRule="exact"/>
        <w:rPr>
          <w:rFonts w:ascii="Arial" w:cs="Arial" w:eastAsia="Arial" w:hAnsi="Arial"/>
          <w:sz w:val="22"/>
          <w:szCs w:val="22"/>
          <w:u w:val="single" w:color="auto"/>
          <w:color w:val="0000FF"/>
        </w:rPr>
      </w:pPr>
    </w:p>
    <w:p>
      <w:pPr>
        <w:jc w:val="both"/>
        <w:ind w:firstLine="656"/>
        <w:spacing w:after="0" w:line="294" w:lineRule="auto"/>
        <w:tabs>
          <w:tab w:leader="none" w:pos="1291" w:val="left"/>
        </w:tabs>
        <w:numPr>
          <w:ilvl w:val="0"/>
          <w:numId w:val="157"/>
        </w:numPr>
        <w:rPr>
          <w:rFonts w:ascii="Arial" w:cs="Arial" w:eastAsia="Arial" w:hAnsi="Arial"/>
          <w:sz w:val="19"/>
          <w:szCs w:val="19"/>
          <w:u w:val="single" w:color="auto"/>
          <w:color w:val="0000FF"/>
        </w:rPr>
      </w:pPr>
      <w:r>
        <w:rPr>
          <w:rFonts w:ascii="Arial" w:cs="Arial" w:eastAsia="Arial" w:hAnsi="Arial"/>
          <w:sz w:val="19"/>
          <w:szCs w:val="19"/>
          <w:color w:val="FF0000"/>
          <w:strike w:val="1"/>
        </w:rPr>
        <w:t>(k)</w:t>
      </w:r>
      <w:r>
        <w:rPr>
          <w:rFonts w:ascii="Arial" w:cs="Arial" w:eastAsia="Arial" w:hAnsi="Arial"/>
          <w:sz w:val="19"/>
          <w:szCs w:val="19"/>
          <w:color w:val="FF0000"/>
        </w:rPr>
        <w:t xml:space="preserve"> </w:t>
      </w:r>
      <w:r>
        <w:rPr>
          <w:rFonts w:ascii="Arial" w:cs="Arial" w:eastAsia="Arial" w:hAnsi="Arial"/>
          <w:sz w:val="19"/>
          <w:szCs w:val="19"/>
          <w:color w:val="000000"/>
        </w:rPr>
        <w:t>Indebtedness incurred by the Borrower or any of its Subsidiaries constituting reimbursement obligations with</w:t>
      </w:r>
      <w:r>
        <w:rPr>
          <w:rFonts w:ascii="Arial" w:cs="Arial" w:eastAsia="Arial" w:hAnsi="Arial"/>
          <w:sz w:val="19"/>
          <w:szCs w:val="19"/>
          <w:color w:val="FF0000"/>
        </w:rPr>
        <w:t xml:space="preserve"> </w:t>
      </w:r>
      <w:r>
        <w:rPr>
          <w:rFonts w:ascii="Arial" w:cs="Arial" w:eastAsia="Arial" w:hAnsi="Arial"/>
          <w:sz w:val="19"/>
          <w:szCs w:val="19"/>
          <w:color w:val="000000"/>
        </w:rPr>
        <w:t>respect to letters of credit, bankers’ acceptances, bank guarantees, warehouse receipts or similar facilities issued or entered into in the ordinary course of business, including letters of credit in respect of workers’ compensation claims, performance or surety bonds, health, disability or other employee benefits or property, casualty or liability insurance or self-insurance or other Indebtedness with respect to reimbursement type obligations regarding workers’ compensation claims, performance or surety bonds, health, disability or other employee benefits or property, casualty or liability insurance or self-insurance;</w:t>
      </w:r>
    </w:p>
    <w:p>
      <w:pPr>
        <w:spacing w:after="0" w:line="149" w:lineRule="exact"/>
        <w:rPr>
          <w:rFonts w:ascii="Arial" w:cs="Arial" w:eastAsia="Arial" w:hAnsi="Arial"/>
          <w:sz w:val="19"/>
          <w:szCs w:val="19"/>
          <w:u w:val="single" w:color="auto"/>
          <w:color w:val="0000FF"/>
        </w:rPr>
      </w:pPr>
    </w:p>
    <w:p>
      <w:pPr>
        <w:ind w:left="1300" w:hanging="644"/>
        <w:spacing w:after="0"/>
        <w:tabs>
          <w:tab w:leader="none" w:pos="1300" w:val="left"/>
        </w:tabs>
        <w:numPr>
          <w:ilvl w:val="0"/>
          <w:numId w:val="157"/>
        </w:numPr>
        <w:rPr>
          <w:rFonts w:ascii="Arial" w:cs="Arial" w:eastAsia="Arial" w:hAnsi="Arial"/>
          <w:sz w:val="22"/>
          <w:szCs w:val="22"/>
          <w:u w:val="single" w:color="auto"/>
          <w:color w:val="0000FF"/>
        </w:rPr>
      </w:pPr>
      <w:r>
        <w:rPr>
          <w:rFonts w:ascii="Arial" w:cs="Arial" w:eastAsia="Arial" w:hAnsi="Arial"/>
          <w:sz w:val="22"/>
          <w:szCs w:val="22"/>
          <w:color w:val="FF0000"/>
          <w:strike w:val="1"/>
        </w:rPr>
        <w:t>(l)</w:t>
      </w:r>
      <w:r>
        <w:rPr>
          <w:rFonts w:ascii="Arial" w:cs="Arial" w:eastAsia="Arial" w:hAnsi="Arial"/>
          <w:sz w:val="22"/>
          <w:szCs w:val="22"/>
          <w:color w:val="FF0000"/>
        </w:rPr>
        <w:t xml:space="preserve"> </w:t>
      </w:r>
      <w:r>
        <w:rPr>
          <w:rFonts w:ascii="Arial" w:cs="Arial" w:eastAsia="Arial" w:hAnsi="Arial"/>
          <w:sz w:val="22"/>
          <w:szCs w:val="22"/>
          <w:color w:val="000000"/>
        </w:rPr>
        <w:t>Indebtedness in respect of the Tax Receivable Agreement;</w:t>
      </w:r>
    </w:p>
    <w:p>
      <w:pPr>
        <w:spacing w:after="0" w:line="219" w:lineRule="exact"/>
        <w:rPr>
          <w:rFonts w:ascii="Arial" w:cs="Arial" w:eastAsia="Arial" w:hAnsi="Arial"/>
          <w:sz w:val="22"/>
          <w:szCs w:val="22"/>
          <w:u w:val="single" w:color="auto"/>
          <w:color w:val="0000FF"/>
        </w:rPr>
      </w:pPr>
    </w:p>
    <w:p>
      <w:pPr>
        <w:jc w:val="both"/>
        <w:ind w:firstLine="656"/>
        <w:spacing w:after="0" w:line="312" w:lineRule="auto"/>
        <w:tabs>
          <w:tab w:leader="none" w:pos="1284" w:val="left"/>
        </w:tabs>
        <w:numPr>
          <w:ilvl w:val="0"/>
          <w:numId w:val="157"/>
        </w:numPr>
        <w:rPr>
          <w:rFonts w:ascii="Arial" w:cs="Arial" w:eastAsia="Arial" w:hAnsi="Arial"/>
          <w:sz w:val="19"/>
          <w:szCs w:val="19"/>
          <w:u w:val="single" w:color="auto"/>
          <w:color w:val="0000FF"/>
        </w:rPr>
      </w:pPr>
      <w:r>
        <w:rPr>
          <w:rFonts w:ascii="Arial" w:cs="Arial" w:eastAsia="Arial" w:hAnsi="Arial"/>
          <w:sz w:val="19"/>
          <w:szCs w:val="19"/>
          <w:color w:val="FF0000"/>
          <w:strike w:val="1"/>
        </w:rPr>
        <w:t>(m)</w:t>
      </w:r>
      <w:r>
        <w:rPr>
          <w:rFonts w:ascii="Arial" w:cs="Arial" w:eastAsia="Arial" w:hAnsi="Arial"/>
          <w:sz w:val="19"/>
          <w:szCs w:val="19"/>
          <w:color w:val="FF0000"/>
        </w:rPr>
        <w:t xml:space="preserve"> </w:t>
      </w:r>
      <w:r>
        <w:rPr>
          <w:rFonts w:ascii="Arial" w:cs="Arial" w:eastAsia="Arial" w:hAnsi="Arial"/>
          <w:sz w:val="19"/>
          <w:szCs w:val="19"/>
          <w:color w:val="000000"/>
        </w:rPr>
        <w:t>Indebtedness of the Borrower or any of its Subsidiaries assumed in connection with any Permitted Acquisition</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(permitted pursuant to Section 7.8(l))</w:t>
      </w:r>
      <w:r>
        <w:rPr>
          <w:rFonts w:ascii="Arial" w:cs="Arial" w:eastAsia="Arial" w:hAnsi="Arial"/>
          <w:sz w:val="19"/>
          <w:szCs w:val="19"/>
          <w:color w:val="0000FF"/>
        </w:rPr>
        <w:t xml:space="preserve"> </w:t>
      </w:r>
      <w:r>
        <w:rPr>
          <w:rFonts w:ascii="Arial" w:cs="Arial" w:eastAsia="Arial" w:hAnsi="Arial"/>
          <w:sz w:val="19"/>
          <w:szCs w:val="19"/>
          <w:color w:val="000000"/>
        </w:rPr>
        <w:t>and Permitted Refinancings in respect thereof</w:t>
      </w:r>
      <w:r>
        <w:rPr>
          <w:rFonts w:ascii="Arial" w:cs="Arial" w:eastAsia="Arial" w:hAnsi="Arial"/>
          <w:sz w:val="19"/>
          <w:szCs w:val="19"/>
          <w:color w:val="0000FF"/>
        </w:rPr>
        <w:t xml:space="preserve"> (to the extent not prohibited by Section 7.7)</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such Indebtedness is not incurred in contemplation of such Permitted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-235585</wp:posOffset>
            </wp:positionV>
            <wp:extent cx="24682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468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240"/>
          </w:cols>
          <w:pgMar w:left="320" w:top="1428" w:right="339" w:bottom="1440" w:gutter="0" w:footer="0" w:header="0"/>
        </w:sectPr>
      </w:pPr>
    </w:p>
    <w:bookmarkStart w:id="211" w:name="page212"/>
    <w:bookmarkEnd w:id="211"/>
    <w:p>
      <w:pPr>
        <w:jc w:val="both"/>
        <w:ind w:firstLine="656"/>
        <w:spacing w:after="0" w:line="263" w:lineRule="auto"/>
        <w:tabs>
          <w:tab w:leader="none" w:pos="1291" w:val="left"/>
        </w:tabs>
        <w:numPr>
          <w:ilvl w:val="0"/>
          <w:numId w:val="158"/>
        </w:numPr>
        <w:rPr>
          <w:rFonts w:ascii="Arial" w:cs="Arial" w:eastAsia="Arial" w:hAnsi="Arial"/>
          <w:sz w:val="21"/>
          <w:szCs w:val="21"/>
          <w:u w:val="single" w:color="auto"/>
          <w:color w:val="0000FF"/>
        </w:rPr>
      </w:pPr>
      <w:r>
        <w:rPr>
          <w:rFonts w:ascii="Arial" w:cs="Arial" w:eastAsia="Arial" w:hAnsi="Arial"/>
          <w:sz w:val="21"/>
          <w:szCs w:val="21"/>
          <w:color w:val="FF0000"/>
          <w:strike w:val="1"/>
        </w:rPr>
        <w:t>(n)</w:t>
      </w:r>
      <w:r>
        <w:rPr>
          <w:rFonts w:ascii="Arial" w:cs="Arial" w:eastAsia="Arial" w:hAnsi="Arial"/>
          <w:sz w:val="21"/>
          <w:szCs w:val="21"/>
          <w:color w:val="FF0000"/>
        </w:rPr>
        <w:t xml:space="preserve"> </w:t>
      </w:r>
      <w:r>
        <w:rPr>
          <w:rFonts w:ascii="Arial" w:cs="Arial" w:eastAsia="Arial" w:hAnsi="Arial"/>
          <w:sz w:val="21"/>
          <w:szCs w:val="21"/>
          <w:color w:val="000000"/>
        </w:rPr>
        <w:t>additional Indebtedness of the Borrower or any of its Subsidiaries in an aggregate</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outstanding</w:t>
      </w:r>
      <w:r>
        <w:rPr>
          <w:rFonts w:ascii="Arial" w:cs="Arial" w:eastAsia="Arial" w:hAnsi="Arial"/>
          <w:sz w:val="21"/>
          <w:szCs w:val="21"/>
          <w:color w:val="FF0000"/>
        </w:rPr>
        <w:t xml:space="preserve"> </w:t>
      </w:r>
      <w:r>
        <w:rPr>
          <w:rFonts w:ascii="Arial" w:cs="Arial" w:eastAsia="Arial" w:hAnsi="Arial"/>
          <w:sz w:val="21"/>
          <w:szCs w:val="21"/>
          <w:color w:val="000000"/>
        </w:rPr>
        <w:t>principal</w:t>
      </w:r>
      <w:r>
        <w:rPr>
          <w:rFonts w:ascii="Arial" w:cs="Arial" w:eastAsia="Arial" w:hAnsi="Arial"/>
          <w:sz w:val="21"/>
          <w:szCs w:val="21"/>
          <w:color w:val="FF0000"/>
        </w:rPr>
        <w:t xml:space="preserve"> </w:t>
      </w:r>
      <w:r>
        <w:rPr>
          <w:rFonts w:ascii="Arial" w:cs="Arial" w:eastAsia="Arial" w:hAnsi="Arial"/>
          <w:sz w:val="21"/>
          <w:szCs w:val="21"/>
          <w:color w:val="000000"/>
        </w:rPr>
        <w:t xml:space="preserve">amount </w:t>
      </w:r>
      <w:r>
        <w:rPr>
          <w:rFonts w:ascii="Arial" w:cs="Arial" w:eastAsia="Arial" w:hAnsi="Arial"/>
          <w:sz w:val="21"/>
          <w:szCs w:val="21"/>
          <w:color w:val="FF0000"/>
          <w:strike w:val="1"/>
        </w:rPr>
        <w:t>(for the Borrower and all Subsidiaries)</w:t>
      </w:r>
      <w:r>
        <w:rPr>
          <w:rFonts w:ascii="Arial" w:cs="Arial" w:eastAsia="Arial" w:hAnsi="Arial"/>
          <w:sz w:val="21"/>
          <w:szCs w:val="21"/>
          <w:color w:val="000000"/>
        </w:rPr>
        <w:t xml:space="preserve"> not to exceed </w:t>
      </w:r>
      <w:r>
        <w:rPr>
          <w:rFonts w:ascii="Arial" w:cs="Arial" w:eastAsia="Arial" w:hAnsi="Arial"/>
          <w:sz w:val="21"/>
          <w:szCs w:val="21"/>
          <w:color w:val="FF0000"/>
          <w:strike w:val="1"/>
        </w:rPr>
        <w:t>the greater of (x)</w:t>
      </w:r>
      <w:r>
        <w:rPr>
          <w:rFonts w:ascii="Arial" w:cs="Arial" w:eastAsia="Arial" w:hAnsi="Arial"/>
          <w:sz w:val="21"/>
          <w:szCs w:val="21"/>
          <w:color w:val="000000"/>
        </w:rPr>
        <w:t xml:space="preserve"> $40,000,000 </w:t>
      </w:r>
      <w:r>
        <w:rPr>
          <w:rFonts w:ascii="Arial" w:cs="Arial" w:eastAsia="Arial" w:hAnsi="Arial"/>
          <w:sz w:val="21"/>
          <w:szCs w:val="21"/>
          <w:color w:val="FF0000"/>
          <w:strike w:val="1"/>
        </w:rPr>
        <w:t>and (y) 17.5% of Adjusted EBITDA</w:t>
      </w:r>
      <w:r>
        <w:rPr>
          <w:rFonts w:ascii="Arial" w:cs="Arial" w:eastAsia="Arial" w:hAnsi="Arial"/>
          <w:sz w:val="21"/>
          <w:szCs w:val="21"/>
          <w:color w:val="000000"/>
        </w:rPr>
        <w:t xml:space="preserve"> </w:t>
      </w:r>
      <w:r>
        <w:rPr>
          <w:rFonts w:ascii="Arial" w:cs="Arial" w:eastAsia="Arial" w:hAnsi="Arial"/>
          <w:sz w:val="21"/>
          <w:szCs w:val="21"/>
          <w:color w:val="FF0000"/>
          <w:strike w:val="1"/>
        </w:rPr>
        <w:t xml:space="preserve">(calculated as of the most recent date for </w:t>
      </w:r>
      <w:r>
        <w:rPr>
          <w:rFonts w:ascii="Arial" w:cs="Arial" w:eastAsia="Arial" w:hAnsi="Arial"/>
          <w:sz w:val="21"/>
          <w:szCs w:val="21"/>
          <w:color w:val="008000"/>
          <w:strike w:val="1"/>
        </w:rPr>
        <w:t>which financial statements have been</w:t>
      </w:r>
      <w:r>
        <w:rPr>
          <w:rFonts w:ascii="Arial" w:cs="Arial" w:eastAsia="Arial" w:hAnsi="Arial"/>
          <w:sz w:val="21"/>
          <w:szCs w:val="21"/>
          <w:color w:val="FF0000"/>
          <w:strike w:val="1"/>
        </w:rPr>
        <w:t xml:space="preserve"> delivered pursuant to Sections 6.1(a) or (b), at the time made);</w:t>
      </w:r>
      <w:r>
        <w:rPr>
          <w:rFonts w:ascii="Arial" w:cs="Arial" w:eastAsia="Arial" w:hAnsi="Arial"/>
          <w:sz w:val="21"/>
          <w:szCs w:val="21"/>
          <w:u w:val="single" w:color="auto"/>
          <w:color w:val="0000FF"/>
          <w:strike w:val="1"/>
        </w:rPr>
        <w:t>at any one time (of which an aggregate outstanding principal amount not to exceed $15,000,000 may be outstanding</w:t>
      </w:r>
      <w:r>
        <w:rPr>
          <w:rFonts w:ascii="Arial" w:cs="Arial" w:eastAsia="Arial" w:hAnsi="Arial"/>
          <w:sz w:val="21"/>
          <w:szCs w:val="21"/>
          <w:color w:val="FF0000"/>
          <w:strike w:val="1"/>
        </w:rPr>
        <w:t xml:space="preserve"> </w:t>
      </w:r>
      <w:r>
        <w:rPr>
          <w:rFonts w:ascii="Arial" w:cs="Arial" w:eastAsia="Arial" w:hAnsi="Arial"/>
          <w:sz w:val="21"/>
          <w:szCs w:val="21"/>
          <w:u w:val="single" w:color="auto"/>
          <w:color w:val="0000FF"/>
          <w:strike w:val="1"/>
        </w:rPr>
        <w:t>with respect to Subsidiaries that are not Loan Parties (from time to time));</w:t>
      </w:r>
    </w:p>
    <w:p>
      <w:pPr>
        <w:spacing w:after="0" w:line="175" w:lineRule="exact"/>
        <w:rPr>
          <w:rFonts w:ascii="Arial" w:cs="Arial" w:eastAsia="Arial" w:hAnsi="Arial"/>
          <w:sz w:val="21"/>
          <w:szCs w:val="21"/>
          <w:u w:val="single" w:color="auto"/>
          <w:color w:val="0000FF"/>
        </w:rPr>
      </w:pPr>
    </w:p>
    <w:p>
      <w:pPr>
        <w:jc w:val="both"/>
        <w:ind w:firstLine="656"/>
        <w:spacing w:after="0" w:line="289" w:lineRule="auto"/>
        <w:tabs>
          <w:tab w:leader="none" w:pos="1291" w:val="left"/>
        </w:tabs>
        <w:numPr>
          <w:ilvl w:val="0"/>
          <w:numId w:val="158"/>
        </w:numPr>
        <w:rPr>
          <w:rFonts w:ascii="Arial" w:cs="Arial" w:eastAsia="Arial" w:hAnsi="Arial"/>
          <w:sz w:val="19"/>
          <w:szCs w:val="19"/>
          <w:u w:val="single" w:color="auto"/>
          <w:color w:val="0000FF"/>
        </w:rPr>
      </w:pPr>
      <w:r>
        <w:rPr>
          <w:rFonts w:ascii="Arial" w:cs="Arial" w:eastAsia="Arial" w:hAnsi="Arial"/>
          <w:sz w:val="19"/>
          <w:szCs w:val="19"/>
          <w:color w:val="FF0000"/>
          <w:strike w:val="1"/>
        </w:rPr>
        <w:t>(o)</w:t>
      </w:r>
      <w:r>
        <w:rPr>
          <w:rFonts w:ascii="Arial" w:cs="Arial" w:eastAsia="Arial" w:hAnsi="Arial"/>
          <w:sz w:val="19"/>
          <w:szCs w:val="19"/>
          <w:color w:val="FF0000"/>
        </w:rPr>
        <w:t xml:space="preserve"> </w:t>
      </w:r>
      <w:r>
        <w:rPr>
          <w:rFonts w:ascii="Arial" w:cs="Arial" w:eastAsia="Arial" w:hAnsi="Arial"/>
          <w:sz w:val="19"/>
          <w:szCs w:val="19"/>
          <w:color w:val="000000"/>
        </w:rPr>
        <w:t>(i)</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after the Q3 End Date,</w:t>
      </w:r>
      <w:r>
        <w:rPr>
          <w:rFonts w:ascii="Arial" w:cs="Arial" w:eastAsia="Arial" w:hAnsi="Arial"/>
          <w:sz w:val="19"/>
          <w:szCs w:val="19"/>
          <w:color w:val="FF0000"/>
        </w:rPr>
        <w:t xml:space="preserve"> </w:t>
      </w:r>
      <w:r>
        <w:rPr>
          <w:rFonts w:ascii="Arial" w:cs="Arial" w:eastAsia="Arial" w:hAnsi="Arial"/>
          <w:sz w:val="19"/>
          <w:szCs w:val="19"/>
          <w:color w:val="000000"/>
        </w:rPr>
        <w:t>unsecured Indebtedness of the Borrower (“</w:t>
      </w:r>
      <w:r>
        <w:rPr>
          <w:rFonts w:ascii="Arial" w:cs="Arial" w:eastAsia="Arial" w:hAnsi="Arial"/>
          <w:sz w:val="19"/>
          <w:szCs w:val="19"/>
          <w:u w:val="single" w:color="auto"/>
          <w:color w:val="000000"/>
        </w:rPr>
        <w:t>Permitted Unsecured Indebtedness</w:t>
      </w:r>
      <w:r>
        <w:rPr>
          <w:rFonts w:ascii="Arial" w:cs="Arial" w:eastAsia="Arial" w:hAnsi="Arial"/>
          <w:sz w:val="19"/>
          <w:szCs w:val="19"/>
          <w:color w:val="000000"/>
        </w:rPr>
        <w:t>”);</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(A) such Permitted Unsecured Indebtedness (1) will not mature prior to the date which is at least six months after the </w:t>
      </w:r>
      <w:r>
        <w:rPr>
          <w:rFonts w:ascii="Arial" w:cs="Arial" w:eastAsia="Arial" w:hAnsi="Arial"/>
          <w:sz w:val="19"/>
          <w:szCs w:val="19"/>
          <w:color w:val="FF0000"/>
          <w:strike w:val="1"/>
        </w:rPr>
        <w:t>Initial</w:t>
      </w:r>
      <w:r>
        <w:rPr>
          <w:rFonts w:ascii="Arial" w:cs="Arial" w:eastAsia="Arial" w:hAnsi="Arial"/>
          <w:sz w:val="19"/>
          <w:szCs w:val="19"/>
          <w:u w:val="single" w:color="auto"/>
          <w:color w:val="0000FF"/>
        </w:rPr>
        <w:t>Latest</w:t>
      </w:r>
      <w:r>
        <w:rPr>
          <w:rFonts w:ascii="Arial" w:cs="Arial" w:eastAsia="Arial" w:hAnsi="Arial"/>
          <w:sz w:val="19"/>
          <w:szCs w:val="19"/>
          <w:color w:val="000000"/>
        </w:rPr>
        <w:t xml:space="preserve"> Term Loan Maturity Date </w:t>
      </w:r>
      <w:r>
        <w:rPr>
          <w:rFonts w:ascii="Arial" w:cs="Arial" w:eastAsia="Arial" w:hAnsi="Arial"/>
          <w:sz w:val="19"/>
          <w:szCs w:val="19"/>
          <w:u w:val="single" w:color="auto"/>
          <w:color w:val="0000FF"/>
        </w:rPr>
        <w:t>at such time of incurrence</w:t>
      </w:r>
      <w:r>
        <w:rPr>
          <w:rFonts w:ascii="Arial" w:cs="Arial" w:eastAsia="Arial" w:hAnsi="Arial"/>
          <w:sz w:val="19"/>
          <w:szCs w:val="19"/>
          <w:color w:val="000000"/>
        </w:rPr>
        <w:t xml:space="preserve"> and (2) has no scheduled amortization or payments of principal prior to the </w:t>
      </w:r>
      <w:r>
        <w:rPr>
          <w:rFonts w:ascii="Arial" w:cs="Arial" w:eastAsia="Arial" w:hAnsi="Arial"/>
          <w:sz w:val="19"/>
          <w:szCs w:val="19"/>
          <w:color w:val="FF0000"/>
          <w:strike w:val="1"/>
        </w:rPr>
        <w:t>Initial</w:t>
      </w:r>
      <w:r>
        <w:rPr>
          <w:rFonts w:ascii="Arial" w:cs="Arial" w:eastAsia="Arial" w:hAnsi="Arial"/>
          <w:sz w:val="19"/>
          <w:szCs w:val="19"/>
          <w:u w:val="single" w:color="auto"/>
          <w:color w:val="0000FF"/>
        </w:rPr>
        <w:t>Latest</w:t>
      </w:r>
      <w:r>
        <w:rPr>
          <w:rFonts w:ascii="Arial" w:cs="Arial" w:eastAsia="Arial" w:hAnsi="Arial"/>
          <w:sz w:val="19"/>
          <w:szCs w:val="19"/>
          <w:color w:val="000000"/>
        </w:rPr>
        <w:t xml:space="preserve"> Term Loan Maturity Date </w:t>
      </w:r>
      <w:r>
        <w:rPr>
          <w:rFonts w:ascii="Arial" w:cs="Arial" w:eastAsia="Arial" w:hAnsi="Arial"/>
          <w:sz w:val="19"/>
          <w:szCs w:val="19"/>
          <w:u w:val="single" w:color="auto"/>
          <w:color w:val="0000FF"/>
        </w:rPr>
        <w:t>at such time of incurrence</w:t>
      </w:r>
      <w:r>
        <w:rPr>
          <w:rFonts w:ascii="Arial" w:cs="Arial" w:eastAsia="Arial" w:hAnsi="Arial"/>
          <w:sz w:val="19"/>
          <w:szCs w:val="19"/>
          <w:color w:val="000000"/>
        </w:rPr>
        <w:t xml:space="preserve"> (except customary asset sales or change of control offers or similar provisions or AHYDO payments, in each case that could result in prepayments) and (B) (1) both immediately prior to and after giving effect thereto, no Default or Event of Default shall exist or result therefrom and (2) after giving effect to the incurrence or issuance of such Indebtedness on the date thereof, the Consolidated Total Leverage Ratio of the Borrower and its Subsidiaries on such date shall not exceed </w:t>
      </w:r>
      <w:r>
        <w:rPr>
          <w:rFonts w:ascii="Arial" w:cs="Arial" w:eastAsia="Arial" w:hAnsi="Arial"/>
          <w:sz w:val="19"/>
          <w:szCs w:val="19"/>
          <w:color w:val="FF0000"/>
          <w:strike w:val="1"/>
        </w:rPr>
        <w:t>5.75</w:t>
      </w:r>
      <w:r>
        <w:rPr>
          <w:rFonts w:ascii="Arial" w:cs="Arial" w:eastAsia="Arial" w:hAnsi="Arial"/>
          <w:sz w:val="19"/>
          <w:szCs w:val="19"/>
          <w:u w:val="single" w:color="auto"/>
          <w:color w:val="0000FF"/>
        </w:rPr>
        <w:t>5.50</w:t>
      </w:r>
      <w:r>
        <w:rPr>
          <w:rFonts w:ascii="Arial" w:cs="Arial" w:eastAsia="Arial" w:hAnsi="Arial"/>
          <w:sz w:val="19"/>
          <w:szCs w:val="19"/>
          <w:color w:val="000000"/>
        </w:rPr>
        <w:t xml:space="preserve"> to 1.00, (ii) Guarantee Obligations of any Subsidiary Guarantor in respect of such Indebtedness of the Borrower and (iii) Permitted Refinancings in respect thereof;</w:t>
      </w:r>
    </w:p>
    <w:p>
      <w:pPr>
        <w:spacing w:after="0" w:line="156" w:lineRule="exact"/>
        <w:rPr>
          <w:rFonts w:ascii="Arial" w:cs="Arial" w:eastAsia="Arial" w:hAnsi="Arial"/>
          <w:sz w:val="19"/>
          <w:szCs w:val="19"/>
          <w:u w:val="single" w:color="auto"/>
          <w:color w:val="0000FF"/>
        </w:rPr>
      </w:pPr>
    </w:p>
    <w:p>
      <w:pPr>
        <w:jc w:val="both"/>
        <w:ind w:firstLine="656"/>
        <w:spacing w:after="0" w:line="287" w:lineRule="auto"/>
        <w:tabs>
          <w:tab w:leader="none" w:pos="1291" w:val="left"/>
        </w:tabs>
        <w:numPr>
          <w:ilvl w:val="0"/>
          <w:numId w:val="158"/>
        </w:numPr>
        <w:rPr>
          <w:rFonts w:ascii="Arial" w:cs="Arial" w:eastAsia="Arial" w:hAnsi="Arial"/>
          <w:sz w:val="19"/>
          <w:szCs w:val="19"/>
          <w:u w:val="single" w:color="auto"/>
          <w:color w:val="0000FF"/>
        </w:rPr>
      </w:pPr>
      <w:r>
        <w:rPr>
          <w:rFonts w:ascii="Arial" w:cs="Arial" w:eastAsia="Arial" w:hAnsi="Arial"/>
          <w:sz w:val="19"/>
          <w:szCs w:val="19"/>
          <w:color w:val="FF0000"/>
          <w:strike w:val="1"/>
        </w:rPr>
        <w:t>(p)</w:t>
      </w:r>
      <w:r>
        <w:rPr>
          <w:rFonts w:ascii="Arial" w:cs="Arial" w:eastAsia="Arial" w:hAnsi="Arial"/>
          <w:sz w:val="19"/>
          <w:szCs w:val="19"/>
          <w:color w:val="FF0000"/>
        </w:rPr>
        <w:t xml:space="preserve"> </w:t>
      </w:r>
      <w:r>
        <w:rPr>
          <w:rFonts w:ascii="Arial" w:cs="Arial" w:eastAsia="Arial" w:hAnsi="Arial"/>
          <w:sz w:val="19"/>
          <w:szCs w:val="19"/>
          <w:u w:val="single" w:color="auto"/>
          <w:color w:val="0000FF"/>
        </w:rPr>
        <w:t>after the Q3 End Date,</w:t>
      </w:r>
      <w:r>
        <w:rPr>
          <w:rFonts w:ascii="Arial" w:cs="Arial" w:eastAsia="Arial" w:hAnsi="Arial"/>
          <w:sz w:val="19"/>
          <w:szCs w:val="19"/>
          <w:color w:val="FF0000"/>
        </w:rPr>
        <w:t xml:space="preserve"> </w:t>
      </w:r>
      <w:r>
        <w:rPr>
          <w:rFonts w:ascii="Arial" w:cs="Arial" w:eastAsia="Arial" w:hAnsi="Arial"/>
          <w:sz w:val="19"/>
          <w:szCs w:val="19"/>
          <w:color w:val="000000"/>
        </w:rPr>
        <w:t>(i) additional Indebtedness of the Borrower;</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FF0000"/>
        </w:rPr>
        <w:t xml:space="preserve"> </w:t>
      </w:r>
      <w:r>
        <w:rPr>
          <w:rFonts w:ascii="Arial" w:cs="Arial" w:eastAsia="Arial" w:hAnsi="Arial"/>
          <w:sz w:val="19"/>
          <w:szCs w:val="19"/>
          <w:color w:val="000000"/>
        </w:rPr>
        <w:t>that (A) such additional</w:t>
      </w:r>
      <w:r>
        <w:rPr>
          <w:rFonts w:ascii="Arial" w:cs="Arial" w:eastAsia="Arial" w:hAnsi="Arial"/>
          <w:sz w:val="19"/>
          <w:szCs w:val="19"/>
          <w:color w:val="FF0000"/>
        </w:rPr>
        <w:t xml:space="preserve"> </w:t>
      </w:r>
      <w:r>
        <w:rPr>
          <w:rFonts w:ascii="Arial" w:cs="Arial" w:eastAsia="Arial" w:hAnsi="Arial"/>
          <w:sz w:val="19"/>
          <w:szCs w:val="19"/>
          <w:color w:val="000000"/>
        </w:rPr>
        <w:t xml:space="preserve">Indebtedness (1) will not mature prior to the date which is at least six months after the </w:t>
      </w:r>
      <w:r>
        <w:rPr>
          <w:rFonts w:ascii="Arial" w:cs="Arial" w:eastAsia="Arial" w:hAnsi="Arial"/>
          <w:sz w:val="19"/>
          <w:szCs w:val="19"/>
          <w:color w:val="FF0000"/>
          <w:strike w:val="1"/>
        </w:rPr>
        <w:t>Initial</w:t>
      </w:r>
      <w:r>
        <w:rPr>
          <w:rFonts w:ascii="Arial" w:cs="Arial" w:eastAsia="Arial" w:hAnsi="Arial"/>
          <w:sz w:val="19"/>
          <w:szCs w:val="19"/>
          <w:u w:val="single" w:color="auto"/>
          <w:color w:val="0000FF"/>
        </w:rPr>
        <w:t>Latest</w:t>
      </w:r>
      <w:r>
        <w:rPr>
          <w:rFonts w:ascii="Arial" w:cs="Arial" w:eastAsia="Arial" w:hAnsi="Arial"/>
          <w:sz w:val="19"/>
          <w:szCs w:val="19"/>
          <w:color w:val="000000"/>
        </w:rPr>
        <w:t xml:space="preserve"> Term Loan Maturity Date </w:t>
      </w:r>
      <w:r>
        <w:rPr>
          <w:rFonts w:ascii="Arial" w:cs="Arial" w:eastAsia="Arial" w:hAnsi="Arial"/>
          <w:sz w:val="19"/>
          <w:szCs w:val="19"/>
          <w:color w:val="0000FF"/>
        </w:rPr>
        <w:t>at</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such time of incurrence</w:t>
      </w:r>
      <w:r>
        <w:rPr>
          <w:rFonts w:ascii="Arial" w:cs="Arial" w:eastAsia="Arial" w:hAnsi="Arial"/>
          <w:sz w:val="19"/>
          <w:szCs w:val="19"/>
          <w:color w:val="000000"/>
        </w:rPr>
        <w:t>, (2) has no scheduled amortization or payments of principal prior to the</w:t>
      </w:r>
      <w:r>
        <w:rPr>
          <w:rFonts w:ascii="Arial" w:cs="Arial" w:eastAsia="Arial" w:hAnsi="Arial"/>
          <w:sz w:val="19"/>
          <w:szCs w:val="19"/>
          <w:color w:val="0000FF"/>
        </w:rPr>
        <w:t xml:space="preserve"> </w:t>
      </w:r>
      <w:r>
        <w:rPr>
          <w:rFonts w:ascii="Arial" w:cs="Arial" w:eastAsia="Arial" w:hAnsi="Arial"/>
          <w:sz w:val="19"/>
          <w:szCs w:val="19"/>
          <w:color w:val="FF0000"/>
          <w:strike w:val="1"/>
        </w:rPr>
        <w:t>Initial</w:t>
      </w:r>
      <w:r>
        <w:rPr>
          <w:rFonts w:ascii="Arial" w:cs="Arial" w:eastAsia="Arial" w:hAnsi="Arial"/>
          <w:sz w:val="19"/>
          <w:szCs w:val="19"/>
          <w:u w:val="single" w:color="auto"/>
          <w:color w:val="0000FF"/>
        </w:rPr>
        <w:t>Latest</w:t>
      </w:r>
      <w:r>
        <w:rPr>
          <w:rFonts w:ascii="Arial" w:cs="Arial" w:eastAsia="Arial" w:hAnsi="Arial"/>
          <w:sz w:val="19"/>
          <w:szCs w:val="19"/>
          <w:color w:val="0000FF"/>
        </w:rPr>
        <w:t xml:space="preserve"> </w:t>
      </w:r>
      <w:r>
        <w:rPr>
          <w:rFonts w:ascii="Arial" w:cs="Arial" w:eastAsia="Arial" w:hAnsi="Arial"/>
          <w:sz w:val="19"/>
          <w:szCs w:val="19"/>
          <w:color w:val="000000"/>
        </w:rPr>
        <w:t>Term Loan Maturity</w:t>
      </w:r>
      <w:r>
        <w:rPr>
          <w:rFonts w:ascii="Arial" w:cs="Arial" w:eastAsia="Arial" w:hAnsi="Arial"/>
          <w:sz w:val="19"/>
          <w:szCs w:val="19"/>
          <w:color w:val="0000FF"/>
        </w:rPr>
        <w:t xml:space="preserve"> </w:t>
      </w:r>
      <w:r>
        <w:rPr>
          <w:rFonts w:ascii="Arial" w:cs="Arial" w:eastAsia="Arial" w:hAnsi="Arial"/>
          <w:sz w:val="19"/>
          <w:szCs w:val="19"/>
          <w:color w:val="000000"/>
        </w:rPr>
        <w:t xml:space="preserve">Date </w:t>
      </w:r>
      <w:r>
        <w:rPr>
          <w:rFonts w:ascii="Arial" w:cs="Arial" w:eastAsia="Arial" w:hAnsi="Arial"/>
          <w:sz w:val="19"/>
          <w:szCs w:val="19"/>
          <w:u w:val="single" w:color="auto"/>
          <w:color w:val="0000FF"/>
        </w:rPr>
        <w:t>at such time of incurrence</w:t>
      </w:r>
      <w:r>
        <w:rPr>
          <w:rFonts w:ascii="Arial" w:cs="Arial" w:eastAsia="Arial" w:hAnsi="Arial"/>
          <w:sz w:val="19"/>
          <w:szCs w:val="19"/>
          <w:color w:val="000000"/>
        </w:rPr>
        <w:t xml:space="preserve"> (except customary asset sales or change of control offers or similar provisions or AHYDO payments, in each case that could result in prepayments) and (3) the terms thereof (other than with respect to pricing, premiums, optional prepayment or redemption terms and maturity), taken as a whole, are not more favorable to the holders thereof than those applicable to the holders of Senior Secured </w:t>
      </w:r>
      <w:r>
        <w:rPr>
          <w:rFonts w:ascii="Arial" w:cs="Arial" w:eastAsia="Arial" w:hAnsi="Arial"/>
          <w:sz w:val="19"/>
          <w:szCs w:val="19"/>
          <w:u w:val="single" w:color="auto"/>
          <w:color w:val="0000FF"/>
        </w:rPr>
        <w:t>2028</w:t>
      </w:r>
      <w:r>
        <w:rPr>
          <w:rFonts w:ascii="Arial" w:cs="Arial" w:eastAsia="Arial" w:hAnsi="Arial"/>
          <w:sz w:val="19"/>
          <w:szCs w:val="19"/>
          <w:color w:val="000000"/>
        </w:rPr>
        <w:t xml:space="preserve"> Notes and (B) (1) both immediately prior to and after giving effect thereto, no Default or Event of Default shall exist or result therefrom and (2) after giving effect to the incurrence or issuance of such additional Indebtedness on the date thereof, the Consolidated Net Senior Secured Leverage Ratio of the Borrower and its Subsidiaries on such date shall not exceed </w:t>
      </w:r>
      <w:r>
        <w:rPr>
          <w:rFonts w:ascii="Arial" w:cs="Arial" w:eastAsia="Arial" w:hAnsi="Arial"/>
          <w:sz w:val="19"/>
          <w:szCs w:val="19"/>
          <w:color w:val="FF0000"/>
          <w:strike w:val="1"/>
        </w:rPr>
        <w:t>3.95</w:t>
      </w:r>
      <w:r>
        <w:rPr>
          <w:rFonts w:ascii="Arial" w:cs="Arial" w:eastAsia="Arial" w:hAnsi="Arial"/>
          <w:sz w:val="19"/>
          <w:szCs w:val="19"/>
          <w:u w:val="single" w:color="auto"/>
          <w:color w:val="0000FF"/>
        </w:rPr>
        <w:t>3.85</w:t>
      </w:r>
      <w:r>
        <w:rPr>
          <w:rFonts w:ascii="Arial" w:cs="Arial" w:eastAsia="Arial" w:hAnsi="Arial"/>
          <w:sz w:val="19"/>
          <w:szCs w:val="19"/>
          <w:color w:val="000000"/>
        </w:rPr>
        <w:t xml:space="preserve"> to 1.00, (ii) Guarantee Obligations of any Subsidiary Guarantor in respect of such Indebtedness of the Borrower and (iii) Permitted Refinancings in respect thereof;</w:t>
      </w:r>
    </w:p>
    <w:p>
      <w:pPr>
        <w:spacing w:after="0" w:line="163" w:lineRule="exact"/>
        <w:rPr>
          <w:rFonts w:ascii="Arial" w:cs="Arial" w:eastAsia="Arial" w:hAnsi="Arial"/>
          <w:sz w:val="19"/>
          <w:szCs w:val="19"/>
          <w:u w:val="single" w:color="auto"/>
          <w:color w:val="0000FF"/>
        </w:rPr>
      </w:pPr>
    </w:p>
    <w:p>
      <w:pPr>
        <w:ind w:firstLine="656"/>
        <w:spacing w:after="0" w:line="263" w:lineRule="auto"/>
        <w:tabs>
          <w:tab w:leader="none" w:pos="1291" w:val="left"/>
        </w:tabs>
        <w:numPr>
          <w:ilvl w:val="0"/>
          <w:numId w:val="158"/>
        </w:numPr>
        <w:rPr>
          <w:rFonts w:ascii="Arial" w:cs="Arial" w:eastAsia="Arial" w:hAnsi="Arial"/>
          <w:sz w:val="22"/>
          <w:szCs w:val="22"/>
          <w:u w:val="single" w:color="auto"/>
          <w:color w:val="0000FF"/>
        </w:rPr>
      </w:pPr>
      <w:r>
        <w:rPr>
          <w:rFonts w:ascii="Arial" w:cs="Arial" w:eastAsia="Arial" w:hAnsi="Arial"/>
          <w:sz w:val="22"/>
          <w:szCs w:val="22"/>
          <w:color w:val="FF0000"/>
          <w:strike w:val="1"/>
        </w:rPr>
        <w:t>(q) Incremental Equivalent Debt,</w:t>
      </w:r>
      <w:r>
        <w:rPr>
          <w:rFonts w:ascii="Arial" w:cs="Arial" w:eastAsia="Arial" w:hAnsi="Arial"/>
          <w:sz w:val="22"/>
          <w:szCs w:val="22"/>
          <w:color w:val="FF0000"/>
        </w:rPr>
        <w:t xml:space="preserve"> </w:t>
      </w:r>
      <w:r>
        <w:rPr>
          <w:rFonts w:ascii="Arial" w:cs="Arial" w:eastAsia="Arial" w:hAnsi="Arial"/>
          <w:sz w:val="22"/>
          <w:szCs w:val="22"/>
          <w:color w:val="000000"/>
        </w:rPr>
        <w:t>Replacement Term Loans, Replacement Revolving Facilities and Refinancing</w:t>
      </w:r>
      <w:r>
        <w:rPr>
          <w:rFonts w:ascii="Arial" w:cs="Arial" w:eastAsia="Arial" w:hAnsi="Arial"/>
          <w:sz w:val="22"/>
          <w:szCs w:val="22"/>
          <w:color w:val="FF0000"/>
        </w:rPr>
        <w:t xml:space="preserve"> </w:t>
      </w:r>
      <w:r>
        <w:rPr>
          <w:rFonts w:ascii="Arial" w:cs="Arial" w:eastAsia="Arial" w:hAnsi="Arial"/>
          <w:sz w:val="22"/>
          <w:szCs w:val="22"/>
          <w:color w:val="000000"/>
        </w:rPr>
        <w:t>Notes, and, in each case, Permitted Refinancings in respect thereof; and</w:t>
      </w:r>
    </w:p>
    <w:p>
      <w:pPr>
        <w:spacing w:after="0" w:line="174" w:lineRule="exact"/>
        <w:rPr>
          <w:rFonts w:ascii="Arial" w:cs="Arial" w:eastAsia="Arial" w:hAnsi="Arial"/>
          <w:sz w:val="22"/>
          <w:szCs w:val="22"/>
          <w:u w:val="single" w:color="auto"/>
          <w:color w:val="0000FF"/>
        </w:rPr>
      </w:pPr>
    </w:p>
    <w:p>
      <w:pPr>
        <w:jc w:val="both"/>
        <w:ind w:firstLine="656"/>
        <w:spacing w:after="0" w:line="253" w:lineRule="auto"/>
        <w:tabs>
          <w:tab w:leader="none" w:pos="1296" w:val="left"/>
        </w:tabs>
        <w:numPr>
          <w:ilvl w:val="0"/>
          <w:numId w:val="158"/>
        </w:numPr>
        <w:rPr>
          <w:rFonts w:ascii="Arial" w:cs="Arial" w:eastAsia="Arial" w:hAnsi="Arial"/>
          <w:sz w:val="22"/>
          <w:szCs w:val="22"/>
          <w:u w:val="single" w:color="auto"/>
          <w:color w:val="0000FF"/>
        </w:rPr>
      </w:pPr>
      <w:r>
        <w:rPr>
          <w:rFonts w:ascii="Arial" w:cs="Arial" w:eastAsia="Arial" w:hAnsi="Arial"/>
          <w:sz w:val="22"/>
          <w:szCs w:val="22"/>
          <w:color w:val="FF0000"/>
          <w:strike w:val="1"/>
        </w:rPr>
        <w:t>(r)</w:t>
      </w:r>
      <w:r>
        <w:rPr>
          <w:rFonts w:ascii="Arial" w:cs="Arial" w:eastAsia="Arial" w:hAnsi="Arial"/>
          <w:sz w:val="22"/>
          <w:szCs w:val="22"/>
          <w:color w:val="FF0000"/>
        </w:rPr>
        <w:t xml:space="preserve"> </w:t>
      </w:r>
      <w:r>
        <w:rPr>
          <w:rFonts w:ascii="Arial" w:cs="Arial" w:eastAsia="Arial" w:hAnsi="Arial"/>
          <w:sz w:val="22"/>
          <w:szCs w:val="22"/>
          <w:color w:val="000000"/>
        </w:rPr>
        <w:t>Indebtedness in the form of purchase price adjustments (including in respect of working capital), earnouts,</w:t>
      </w:r>
      <w:r>
        <w:rPr>
          <w:rFonts w:ascii="Arial" w:cs="Arial" w:eastAsia="Arial" w:hAnsi="Arial"/>
          <w:sz w:val="22"/>
          <w:szCs w:val="22"/>
          <w:color w:val="FF0000"/>
        </w:rPr>
        <w:t xml:space="preserve"> </w:t>
      </w:r>
      <w:r>
        <w:rPr>
          <w:rFonts w:ascii="Arial" w:cs="Arial" w:eastAsia="Arial" w:hAnsi="Arial"/>
          <w:sz w:val="22"/>
          <w:szCs w:val="22"/>
          <w:color w:val="000000"/>
        </w:rPr>
        <w:t>deferred compensation, indemnification or other arrangements representing acquisition consideration or deferred payments of a similar nature incurred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6990715</wp:posOffset>
            </wp:positionH>
            <wp:positionV relativeFrom="paragraph">
              <wp:posOffset>-2593975</wp:posOffset>
            </wp:positionV>
            <wp:extent cx="1416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41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40"/>
          </w:cols>
          <w:pgMar w:left="320" w:top="1428" w:right="339" w:bottom="1440" w:gutter="0" w:footer="0" w:header="0"/>
        </w:sectPr>
      </w:pPr>
    </w:p>
    <w:bookmarkStart w:id="212" w:name="page213"/>
    <w:bookmarkEnd w:id="212"/>
    <w:p>
      <w:pPr>
        <w:spacing w:after="0"/>
        <w:rPr>
          <w:sz w:val="20"/>
          <w:szCs w:val="20"/>
          <w:color w:val="auto"/>
        </w:rPr>
      </w:pPr>
      <w:r>
        <w:rPr>
          <w:rFonts w:ascii="Arial" w:cs="Arial" w:eastAsia="Arial" w:hAnsi="Arial"/>
          <w:sz w:val="19"/>
          <w:szCs w:val="19"/>
          <w:color w:val="auto"/>
        </w:rPr>
        <w:t>connection with any Permitted Acquisition or other Investments permitted hereunder or Dispositions permitted hereunder</w:t>
      </w:r>
      <w:r>
        <w:rPr>
          <w:rFonts w:ascii="Arial" w:cs="Arial" w:eastAsia="Arial" w:hAnsi="Arial"/>
          <w:sz w:val="19"/>
          <w:szCs w:val="19"/>
          <w:u w:val="single" w:color="auto"/>
          <w:color w:val="0000FF"/>
        </w:rPr>
        <w:t>;</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0000FF"/>
        </w:rPr>
        <w:t>provided that, from the Amendment No. 2 Effective Date until the Q3 End Date, the exceptions in clauses (a) through (r) above, shall not apply to any Subsidiary of the Borrower that is not a Loan Party (other than any Subsidiary that is a Bona Fide Joint Venture, subject to an aggregate principal amount outstanding at any one time of $25,000,000 for the exceptions in clauses (m) and (n) taken together).</w:t>
      </w:r>
    </w:p>
    <w:p>
      <w:pPr>
        <w:spacing w:after="0" w:line="188"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For purposes of determining compliance with this </w:t>
      </w:r>
      <w:r>
        <w:rPr>
          <w:rFonts w:ascii="Arial" w:cs="Arial" w:eastAsia="Arial" w:hAnsi="Arial"/>
          <w:sz w:val="19"/>
          <w:szCs w:val="19"/>
          <w:u w:val="single" w:color="auto"/>
          <w:color w:val="auto"/>
        </w:rPr>
        <w:t>Section 7.2</w:t>
      </w:r>
      <w:r>
        <w:rPr>
          <w:rFonts w:ascii="Arial" w:cs="Arial" w:eastAsia="Arial" w:hAnsi="Arial"/>
          <w:sz w:val="19"/>
          <w:szCs w:val="19"/>
          <w:color w:val="auto"/>
        </w:rPr>
        <w:t>, in the event that an item of Indebtedness (or any portion thereof) at any time, whether at the time of incurrence or upon the application of all or a portion of the proceeds thereof or subsequently, meets the criteria of more than one of the categories above, the Borrower may, in its sole discretion, divide or classify, and may subsequently re-divide and reclassify, such item of Indebtedness (or any portion thereof) in any matter that complies with this covenant and will only be required to include the amount and type of such Indebtedness in one of the above clauses. The Borrower is entitled to divide and classify an item of Indebtedness in more than one of the types of Indebtedness described in Section 7.2. The principal amount of Indebtedness outstanding under any clause of this Section 7.2 will be determined after giving effect to the application of proceeds of any such Indebtedness to refinance any such other Indebtedness.</w:t>
      </w:r>
    </w:p>
    <w:p>
      <w:pPr>
        <w:spacing w:after="0" w:line="15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Create, incur, assume or suffer to exist any Lien upon any of its Property, whether now owned or hereafter acquired, except for:</w:t>
      </w:r>
    </w:p>
    <w:p>
      <w:pPr>
        <w:spacing w:after="0" w:line="175" w:lineRule="exact"/>
        <w:rPr>
          <w:sz w:val="20"/>
          <w:szCs w:val="20"/>
          <w:color w:val="auto"/>
        </w:rPr>
      </w:pPr>
    </w:p>
    <w:p>
      <w:pPr>
        <w:jc w:val="both"/>
        <w:ind w:firstLine="1304"/>
        <w:spacing w:after="0" w:line="253" w:lineRule="auto"/>
        <w:tabs>
          <w:tab w:leader="none" w:pos="194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Liens for Taxes, assessments or other governmental charges not yet due or that are being contested in good faith by appropriate proceedings,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adequate reserves with respect thereto are maintained on the books of the Borrower or its Subsidiaries, as the case may be, in conformity with GAAP;</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carriers’, warehousemen’s, mechanics’, landlord’s, materialmen’s, repairmen’s or other like Liens arising in the ordinary course of business in respect of obligations that are not overdue for a period of more than 60 days or that are being contested in good faith by appropriate proceedings;</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pledges or deposits in connection with workers’ compensation, unemployment insurance and other social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security legislation;</w:t>
      </w:r>
    </w:p>
    <w:p>
      <w:pPr>
        <w:spacing w:after="0" w:line="201" w:lineRule="exact"/>
        <w:rPr>
          <w:rFonts w:ascii="Arial" w:cs="Arial" w:eastAsia="Arial" w:hAnsi="Arial"/>
          <w:sz w:val="19"/>
          <w:szCs w:val="19"/>
          <w:color w:val="auto"/>
        </w:rPr>
      </w:pPr>
    </w:p>
    <w:p>
      <w:pPr>
        <w:jc w:val="both"/>
        <w:ind w:firstLine="1304"/>
        <w:spacing w:after="0" w:line="253" w:lineRule="auto"/>
        <w:tabs>
          <w:tab w:leader="none" w:pos="1939" w:val="left"/>
        </w:tabs>
        <w:numPr>
          <w:ilvl w:val="0"/>
          <w:numId w:val="159"/>
        </w:numPr>
        <w:rPr>
          <w:rFonts w:ascii="Arial" w:cs="Arial" w:eastAsia="Arial" w:hAnsi="Arial"/>
          <w:sz w:val="22"/>
          <w:szCs w:val="22"/>
          <w:color w:val="auto"/>
        </w:rPr>
      </w:pPr>
      <w:r>
        <w:rPr>
          <w:rFonts w:ascii="Arial" w:cs="Arial" w:eastAsia="Arial" w:hAnsi="Arial"/>
          <w:sz w:val="22"/>
          <w:szCs w:val="22"/>
          <w:color w:val="auto"/>
        </w:rPr>
        <w:t>deposits to secure the performance of bids, trade contracts (other than for borrowed money), obligations for utilities, leases, statutory obligations, surety and appeal bonds, performance bonds and other obligations of a like nature incurred in the ordinary course of business;</w:t>
      </w:r>
    </w:p>
    <w:p>
      <w:pPr>
        <w:spacing w:after="0" w:line="185" w:lineRule="exact"/>
        <w:rPr>
          <w:rFonts w:ascii="Arial" w:cs="Arial" w:eastAsia="Arial" w:hAnsi="Arial"/>
          <w:sz w:val="22"/>
          <w:szCs w:val="22"/>
          <w:color w:val="auto"/>
        </w:rPr>
      </w:pPr>
    </w:p>
    <w:p>
      <w:pPr>
        <w:jc w:val="both"/>
        <w:ind w:firstLine="1304"/>
        <w:spacing w:after="0" w:line="253" w:lineRule="auto"/>
        <w:tabs>
          <w:tab w:leader="none" w:pos="194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easements, rights-of-way, restrictions, defects and irregularities in title and other similar encumbrances incurred in the ordinary course of business that, in the aggregate, are not substantial in amount and that do not in any case materially detract from the value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40"/>
          </w:cols>
          <w:pgMar w:left="320" w:top="1428" w:right="339" w:bottom="1440" w:gutter="0" w:footer="0" w:header="0"/>
        </w:sectPr>
      </w:pPr>
    </w:p>
    <w:bookmarkStart w:id="213" w:name="page214"/>
    <w:bookmarkEnd w:id="213"/>
    <w:p>
      <w:pPr>
        <w:ind w:right="20"/>
        <w:spacing w:after="0" w:line="263" w:lineRule="auto"/>
        <w:rPr>
          <w:sz w:val="20"/>
          <w:szCs w:val="20"/>
          <w:color w:val="auto"/>
        </w:rPr>
      </w:pPr>
      <w:r>
        <w:rPr>
          <w:rFonts w:ascii="Arial" w:cs="Arial" w:eastAsia="Arial" w:hAnsi="Arial"/>
          <w:sz w:val="22"/>
          <w:szCs w:val="22"/>
          <w:color w:val="auto"/>
        </w:rPr>
        <w:t>Property subject thereto or materially interfere with the ordinary conduct of the business of the Borrower or any of its Subsidiaries;</w:t>
      </w:r>
    </w:p>
    <w:p>
      <w:pPr>
        <w:spacing w:after="0" w:line="175" w:lineRule="exact"/>
        <w:rPr>
          <w:sz w:val="20"/>
          <w:szCs w:val="20"/>
          <w:color w:val="auto"/>
        </w:rPr>
      </w:pPr>
    </w:p>
    <w:p>
      <w:pPr>
        <w:jc w:val="both"/>
        <w:ind w:firstLine="1304"/>
        <w:spacing w:after="0" w:line="286" w:lineRule="auto"/>
        <w:tabs>
          <w:tab w:leader="none" w:pos="1944" w:val="left"/>
        </w:tabs>
        <w:numPr>
          <w:ilvl w:val="1"/>
          <w:numId w:val="160"/>
        </w:numPr>
        <w:rPr>
          <w:rFonts w:ascii="Arial" w:cs="Arial" w:eastAsia="Arial" w:hAnsi="Arial"/>
          <w:sz w:val="19"/>
          <w:szCs w:val="19"/>
          <w:color w:val="auto"/>
        </w:rPr>
      </w:pPr>
      <w:r>
        <w:rPr>
          <w:rFonts w:ascii="Arial" w:cs="Arial" w:eastAsia="Arial" w:hAnsi="Arial"/>
          <w:sz w:val="19"/>
          <w:szCs w:val="19"/>
          <w:color w:val="auto"/>
        </w:rPr>
        <w:t xml:space="preserve">Liens in existence on the </w:t>
      </w:r>
      <w:r>
        <w:rPr>
          <w:rFonts w:ascii="Arial" w:cs="Arial" w:eastAsia="Arial" w:hAnsi="Arial"/>
          <w:sz w:val="19"/>
          <w:szCs w:val="19"/>
          <w:u w:val="single" w:color="auto"/>
          <w:color w:val="0000FF"/>
        </w:rPr>
        <w:t>Amendment No. 2</w:t>
      </w:r>
      <w:r>
        <w:rPr>
          <w:rFonts w:ascii="Arial" w:cs="Arial" w:eastAsia="Arial" w:hAnsi="Arial"/>
          <w:sz w:val="19"/>
          <w:szCs w:val="19"/>
          <w:color w:val="auto"/>
        </w:rPr>
        <w:t xml:space="preserve"> Closing Date </w:t>
      </w:r>
      <w:r>
        <w:rPr>
          <w:rFonts w:ascii="Arial" w:cs="Arial" w:eastAsia="Arial" w:hAnsi="Arial"/>
          <w:sz w:val="19"/>
          <w:szCs w:val="19"/>
          <w:u w:val="single" w:color="auto"/>
          <w:color w:val="0000FF"/>
        </w:rPr>
        <w:t>and</w:t>
      </w:r>
      <w:r>
        <w:rPr>
          <w:rFonts w:ascii="Arial" w:cs="Arial" w:eastAsia="Arial" w:hAnsi="Arial"/>
          <w:sz w:val="19"/>
          <w:szCs w:val="19"/>
          <w:color w:val="auto"/>
        </w:rPr>
        <w:t xml:space="preserve"> listed on </w:t>
      </w:r>
      <w:r>
        <w:rPr>
          <w:rFonts w:ascii="Arial" w:cs="Arial" w:eastAsia="Arial" w:hAnsi="Arial"/>
          <w:sz w:val="19"/>
          <w:szCs w:val="19"/>
          <w:u w:val="single" w:color="auto"/>
          <w:color w:val="auto"/>
        </w:rPr>
        <w:t>Schedule 7.3(f)</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(updated as of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Amendment No. 2 Closing Date)</w:t>
      </w:r>
      <w:r>
        <w:rPr>
          <w:rFonts w:ascii="Arial" w:cs="Arial" w:eastAsia="Arial" w:hAnsi="Arial"/>
          <w:sz w:val="19"/>
          <w:szCs w:val="19"/>
          <w:color w:val="0000FF"/>
        </w:rPr>
        <w:t xml:space="preserve"> </w:t>
      </w:r>
      <w:r>
        <w:rPr>
          <w:rFonts w:ascii="Arial" w:cs="Arial" w:eastAsia="Arial" w:hAnsi="Arial"/>
          <w:sz w:val="19"/>
          <w:szCs w:val="19"/>
          <w:color w:val="000000"/>
        </w:rPr>
        <w:t>securing Indebtedness permitted by</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Section 7.2(d)</w:t>
      </w:r>
      <w:r>
        <w:rPr>
          <w:rFonts w:ascii="Arial" w:cs="Arial" w:eastAsia="Arial" w:hAnsi="Arial"/>
          <w:sz w:val="19"/>
          <w:szCs w:val="19"/>
          <w:color w:val="000000"/>
        </w:rPr>
        <w:t>, and any replacements of such Liens in</w:t>
      </w:r>
      <w:r>
        <w:rPr>
          <w:rFonts w:ascii="Arial" w:cs="Arial" w:eastAsia="Arial" w:hAnsi="Arial"/>
          <w:sz w:val="19"/>
          <w:szCs w:val="19"/>
          <w:color w:val="0000FF"/>
        </w:rPr>
        <w:t xml:space="preserve"> </w:t>
      </w:r>
      <w:r>
        <w:rPr>
          <w:rFonts w:ascii="Arial" w:cs="Arial" w:eastAsia="Arial" w:hAnsi="Arial"/>
          <w:sz w:val="19"/>
          <w:szCs w:val="19"/>
          <w:color w:val="000000"/>
        </w:rPr>
        <w:t xml:space="preserve">connection with any </w:t>
      </w:r>
      <w:r>
        <w:rPr>
          <w:rFonts w:ascii="Arial" w:cs="Arial" w:eastAsia="Arial" w:hAnsi="Arial"/>
          <w:sz w:val="19"/>
          <w:szCs w:val="19"/>
          <w:color w:val="FF0000"/>
          <w:strike w:val="1"/>
        </w:rPr>
        <w:t>refinancings</w:t>
      </w:r>
      <w:r>
        <w:rPr>
          <w:rFonts w:ascii="Arial" w:cs="Arial" w:eastAsia="Arial" w:hAnsi="Arial"/>
          <w:sz w:val="19"/>
          <w:szCs w:val="19"/>
          <w:u w:val="single" w:color="auto"/>
          <w:color w:val="0000FF"/>
        </w:rPr>
        <w:t>Permitted Refinancing</w:t>
      </w:r>
      <w:r>
        <w:rPr>
          <w:rFonts w:ascii="Arial" w:cs="Arial" w:eastAsia="Arial" w:hAnsi="Arial"/>
          <w:sz w:val="19"/>
          <w:szCs w:val="19"/>
          <w:color w:val="000000"/>
        </w:rPr>
        <w:t xml:space="preserve"> of such Indebtedness permitted by such Section;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w:t>
      </w:r>
      <w:r>
        <w:rPr>
          <w:rFonts w:ascii="Arial" w:cs="Arial" w:eastAsia="Arial" w:hAnsi="Arial"/>
          <w:sz w:val="19"/>
          <w:szCs w:val="19"/>
          <w:u w:val="single" w:color="auto"/>
          <w:color w:val="0000FF"/>
        </w:rPr>
        <w:t>(i)</w:t>
      </w:r>
      <w:r>
        <w:rPr>
          <w:rFonts w:ascii="Arial" w:cs="Arial" w:eastAsia="Arial" w:hAnsi="Arial"/>
          <w:sz w:val="19"/>
          <w:szCs w:val="19"/>
          <w:color w:val="000000"/>
        </w:rPr>
        <w:t xml:space="preserve"> no such Lien is spread to cover any additional Property after the </w:t>
      </w:r>
      <w:r>
        <w:rPr>
          <w:rFonts w:ascii="Arial" w:cs="Arial" w:eastAsia="Arial" w:hAnsi="Arial"/>
          <w:sz w:val="19"/>
          <w:szCs w:val="19"/>
          <w:color w:val="FF0000"/>
          <w:strike w:val="1"/>
        </w:rPr>
        <w:t>Closing Date and that</w:t>
      </w:r>
      <w:r>
        <w:rPr>
          <w:rFonts w:ascii="Arial" w:cs="Arial" w:eastAsia="Arial" w:hAnsi="Arial"/>
          <w:sz w:val="19"/>
          <w:szCs w:val="19"/>
          <w:u w:val="single" w:color="auto"/>
          <w:color w:val="0000FF"/>
        </w:rPr>
        <w:t>Amendment No. 2 Effective Date (other than (1)</w:t>
      </w:r>
    </w:p>
    <w:p>
      <w:pPr>
        <w:spacing w:after="0" w:line="2" w:lineRule="exact"/>
        <w:rPr>
          <w:rFonts w:ascii="Arial" w:cs="Arial" w:eastAsia="Arial" w:hAnsi="Arial"/>
          <w:sz w:val="19"/>
          <w:szCs w:val="19"/>
          <w:color w:val="auto"/>
        </w:rPr>
      </w:pPr>
    </w:p>
    <w:p>
      <w:pPr>
        <w:jc w:val="both"/>
        <w:ind w:firstLine="8"/>
        <w:spacing w:after="0" w:line="244" w:lineRule="auto"/>
        <w:tabs>
          <w:tab w:leader="none" w:pos="404" w:val="left"/>
        </w:tabs>
        <w:numPr>
          <w:ilvl w:val="0"/>
          <w:numId w:val="161"/>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proceeds or products thereof and (B) after-acquired property subject to such initial granting of such Lien and (2) in connection with Indebtedness permitted pursuant to Section 7.2, to the extent the applicable assets are also pledged as collateral for the Obligations on a pari passu basis (including with respect to the Senior Secured 2028 Notes (and any Permitted Refinancings thereof)), (ii) no such Indebtedness secured by Collateral shall be secured on a basis senior to the Liens securing the Obligations, and (iii)</w:t>
      </w:r>
      <w:r>
        <w:rPr>
          <w:rFonts w:ascii="Arial" w:cs="Arial" w:eastAsia="Arial" w:hAnsi="Arial"/>
          <w:sz w:val="22"/>
          <w:szCs w:val="22"/>
          <w:color w:val="0000FF"/>
        </w:rPr>
        <w:t xml:space="preserve"> </w:t>
      </w:r>
      <w:r>
        <w:rPr>
          <w:rFonts w:ascii="Arial" w:cs="Arial" w:eastAsia="Arial" w:hAnsi="Arial"/>
          <w:sz w:val="22"/>
          <w:szCs w:val="22"/>
          <w:color w:val="000000"/>
        </w:rPr>
        <w:t>the amount of Indebtedness secured thereby is not increased (other than accrual of interest, fees and costs in</w:t>
      </w:r>
      <w:r>
        <w:rPr>
          <w:rFonts w:ascii="Arial" w:cs="Arial" w:eastAsia="Arial" w:hAnsi="Arial"/>
          <w:sz w:val="22"/>
          <w:szCs w:val="22"/>
          <w:color w:val="0000FF"/>
        </w:rPr>
        <w:t xml:space="preserve"> </w:t>
      </w:r>
      <w:r>
        <w:rPr>
          <w:rFonts w:ascii="Arial" w:cs="Arial" w:eastAsia="Arial" w:hAnsi="Arial"/>
          <w:sz w:val="22"/>
          <w:szCs w:val="22"/>
          <w:color w:val="000000"/>
        </w:rPr>
        <w:t>accordance with the terms thereof);</w:t>
      </w:r>
    </w:p>
    <w:p>
      <w:pPr>
        <w:spacing w:after="0" w:line="193" w:lineRule="exact"/>
        <w:rPr>
          <w:rFonts w:ascii="Arial" w:cs="Arial" w:eastAsia="Arial" w:hAnsi="Arial"/>
          <w:sz w:val="22"/>
          <w:szCs w:val="22"/>
          <w:u w:val="single" w:color="auto"/>
          <w:color w:val="0000FF"/>
        </w:rPr>
      </w:pPr>
    </w:p>
    <w:p>
      <w:pPr>
        <w:jc w:val="both"/>
        <w:ind w:firstLine="1304"/>
        <w:spacing w:after="0" w:line="290" w:lineRule="auto"/>
        <w:tabs>
          <w:tab w:leader="none" w:pos="1939" w:val="left"/>
        </w:tabs>
        <w:numPr>
          <w:ilvl w:val="1"/>
          <w:numId w:val="161"/>
        </w:numPr>
        <w:rPr>
          <w:rFonts w:ascii="Arial" w:cs="Arial" w:eastAsia="Arial" w:hAnsi="Arial"/>
          <w:sz w:val="19"/>
          <w:szCs w:val="19"/>
          <w:color w:val="auto"/>
        </w:rPr>
      </w:pPr>
      <w:r>
        <w:rPr>
          <w:rFonts w:ascii="Arial" w:cs="Arial" w:eastAsia="Arial" w:hAnsi="Arial"/>
          <w:sz w:val="19"/>
          <w:szCs w:val="19"/>
          <w:color w:val="auto"/>
        </w:rPr>
        <w:t xml:space="preserve">Liens securing Indebtedness, including Permitted Refinancings thereof, of the Borrower or any </w:t>
      </w:r>
      <w:r>
        <w:rPr>
          <w:rFonts w:ascii="Arial" w:cs="Arial" w:eastAsia="Arial" w:hAnsi="Arial"/>
          <w:sz w:val="19"/>
          <w:szCs w:val="19"/>
          <w:color w:val="FF0000"/>
          <w:strike w:val="1"/>
        </w:rPr>
        <w:t>other</w:t>
      </w:r>
      <w:r>
        <w:rPr>
          <w:rFonts w:ascii="Arial" w:cs="Arial" w:eastAsia="Arial" w:hAnsi="Arial"/>
          <w:sz w:val="19"/>
          <w:szCs w:val="19"/>
          <w:color w:val="auto"/>
        </w:rPr>
        <w:t xml:space="preserve"> Subsidiary incurred pursuant to </w:t>
      </w:r>
      <w:r>
        <w:rPr>
          <w:rFonts w:ascii="Arial" w:cs="Arial" w:eastAsia="Arial" w:hAnsi="Arial"/>
          <w:sz w:val="19"/>
          <w:szCs w:val="19"/>
          <w:u w:val="single" w:color="auto"/>
          <w:color w:val="auto"/>
        </w:rPr>
        <w:t>Section 7.2(c)</w:t>
      </w:r>
      <w:r>
        <w:rPr>
          <w:rFonts w:ascii="Arial" w:cs="Arial" w:eastAsia="Arial" w:hAnsi="Arial"/>
          <w:sz w:val="19"/>
          <w:szCs w:val="19"/>
          <w:color w:val="auto"/>
        </w:rPr>
        <w:t xml:space="preserve"> to finance the acquisition, construction, repair, replacement or improvement of fixed or capital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do not at any time encumber any Property (other than any improvements, proceeds, additions or accessions with respect thereto) other than the Property financed by such Indebtedness, (ii) the amount of Indebtedness secured thereby is not increased (other than to the extent of accrued interest, fees, premiums, if any, and financing costs in accordance with the terms thereof) and (iii) the amount of Indebtedness initially secured thereby (excluding fees and costs in accordance with the terms thereof) is not more than 100% of the price or cost of such acquisition, construction, repair, replacement or improvement of such fixed or capital asset;</w:t>
      </w:r>
    </w:p>
    <w:p>
      <w:pPr>
        <w:spacing w:after="0" w:line="155" w:lineRule="exact"/>
        <w:rPr>
          <w:rFonts w:ascii="Arial" w:cs="Arial" w:eastAsia="Arial" w:hAnsi="Arial"/>
          <w:sz w:val="19"/>
          <w:szCs w:val="19"/>
          <w:color w:val="auto"/>
        </w:rPr>
      </w:pPr>
    </w:p>
    <w:p>
      <w:pPr>
        <w:ind w:left="1940" w:hanging="636"/>
        <w:spacing w:after="0"/>
        <w:tabs>
          <w:tab w:leader="none" w:pos="194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Liens created pursuant to the Security Documents;</w:t>
      </w:r>
    </w:p>
    <w:p>
      <w:pPr>
        <w:spacing w:after="0" w:line="219" w:lineRule="exact"/>
        <w:rPr>
          <w:rFonts w:ascii="Arial" w:cs="Arial" w:eastAsia="Arial" w:hAnsi="Arial"/>
          <w:sz w:val="22"/>
          <w:szCs w:val="22"/>
          <w:color w:val="auto"/>
        </w:rPr>
      </w:pPr>
    </w:p>
    <w:p>
      <w:pPr>
        <w:ind w:firstLine="1304"/>
        <w:spacing w:after="0" w:line="263" w:lineRule="auto"/>
        <w:tabs>
          <w:tab w:leader="none" w:pos="1932" w:val="left"/>
        </w:tabs>
        <w:numPr>
          <w:ilvl w:val="1"/>
          <w:numId w:val="161"/>
        </w:numPr>
        <w:rPr>
          <w:rFonts w:ascii="Arial" w:cs="Arial" w:eastAsia="Arial" w:hAnsi="Arial"/>
          <w:sz w:val="22"/>
          <w:szCs w:val="22"/>
          <w:color w:val="auto"/>
        </w:rPr>
      </w:pPr>
      <w:r>
        <w:rPr>
          <w:rFonts w:ascii="Arial" w:cs="Arial" w:eastAsia="Arial" w:hAnsi="Arial"/>
          <w:sz w:val="22"/>
          <w:szCs w:val="22"/>
          <w:color w:val="auto"/>
        </w:rPr>
        <w:t>any interest or title of a lessor under any lease entered into by the Borrower or any other Subsidiary in the ordinary course of its business and covering only the assets so leased;</w:t>
      </w:r>
    </w:p>
    <w:p>
      <w:pPr>
        <w:spacing w:after="0" w:line="174" w:lineRule="exact"/>
        <w:rPr>
          <w:rFonts w:ascii="Arial" w:cs="Arial" w:eastAsia="Arial" w:hAnsi="Arial"/>
          <w:sz w:val="22"/>
          <w:szCs w:val="22"/>
          <w:color w:val="auto"/>
        </w:rPr>
      </w:pPr>
    </w:p>
    <w:p>
      <w:pPr>
        <w:ind w:right="20" w:firstLine="1304"/>
        <w:spacing w:after="0" w:line="263" w:lineRule="auto"/>
        <w:tabs>
          <w:tab w:leader="none" w:pos="1932" w:val="left"/>
        </w:tabs>
        <w:numPr>
          <w:ilvl w:val="1"/>
          <w:numId w:val="161"/>
        </w:numPr>
        <w:rPr>
          <w:rFonts w:ascii="Arial" w:cs="Arial" w:eastAsia="Arial" w:hAnsi="Arial"/>
          <w:sz w:val="22"/>
          <w:szCs w:val="22"/>
          <w:color w:val="auto"/>
        </w:rPr>
      </w:pPr>
      <w:r>
        <w:rPr>
          <w:rFonts w:ascii="Arial" w:cs="Arial" w:eastAsia="Arial" w:hAnsi="Arial"/>
          <w:sz w:val="22"/>
          <w:szCs w:val="22"/>
          <w:color w:val="auto"/>
        </w:rPr>
        <w:t>licenses or sublicenses with respect to the assets or properties of the Borrower or any Subsidiary, in each case, entered into in the ordinary course of business;</w:t>
      </w:r>
    </w:p>
    <w:p>
      <w:pPr>
        <w:spacing w:after="0" w:line="174" w:lineRule="exact"/>
        <w:rPr>
          <w:rFonts w:ascii="Arial" w:cs="Arial" w:eastAsia="Arial" w:hAnsi="Arial"/>
          <w:sz w:val="22"/>
          <w:szCs w:val="22"/>
          <w:color w:val="auto"/>
        </w:rPr>
      </w:pPr>
    </w:p>
    <w:p>
      <w:pPr>
        <w:ind w:firstLine="1304"/>
        <w:spacing w:after="0" w:line="287" w:lineRule="auto"/>
        <w:tabs>
          <w:tab w:leader="none" w:pos="1939" w:val="left"/>
        </w:tabs>
        <w:numPr>
          <w:ilvl w:val="1"/>
          <w:numId w:val="161"/>
        </w:numPr>
        <w:rPr>
          <w:rFonts w:ascii="Arial" w:cs="Arial" w:eastAsia="Arial" w:hAnsi="Arial"/>
          <w:sz w:val="21"/>
          <w:szCs w:val="21"/>
          <w:color w:val="auto"/>
        </w:rPr>
      </w:pPr>
      <w:r>
        <w:rPr>
          <w:rFonts w:ascii="Arial" w:cs="Arial" w:eastAsia="Arial" w:hAnsi="Arial"/>
          <w:sz w:val="21"/>
          <w:szCs w:val="21"/>
          <w:color w:val="auto"/>
        </w:rPr>
        <w:t>Liens arising from precautionary Uniform Commercial Code financing statement filings regarding operating leases or consignments entered into by the Borrower and its Subsidiaries in the ordinary course of business;</w:t>
      </w:r>
    </w:p>
    <w:p>
      <w:pPr>
        <w:spacing w:after="0" w:line="151" w:lineRule="exact"/>
        <w:rPr>
          <w:rFonts w:ascii="Arial" w:cs="Arial" w:eastAsia="Arial" w:hAnsi="Arial"/>
          <w:sz w:val="21"/>
          <w:szCs w:val="21"/>
          <w:color w:val="auto"/>
        </w:rPr>
      </w:pPr>
    </w:p>
    <w:p>
      <w:pPr>
        <w:jc w:val="both"/>
        <w:ind w:firstLine="1304"/>
        <w:spacing w:after="0" w:line="253" w:lineRule="auto"/>
        <w:tabs>
          <w:tab w:leader="none" w:pos="1932" w:val="left"/>
        </w:tabs>
        <w:numPr>
          <w:ilvl w:val="1"/>
          <w:numId w:val="161"/>
        </w:numPr>
        <w:rPr>
          <w:rFonts w:ascii="Arial" w:cs="Arial" w:eastAsia="Arial" w:hAnsi="Arial"/>
          <w:sz w:val="22"/>
          <w:szCs w:val="22"/>
          <w:color w:val="auto"/>
        </w:rPr>
      </w:pPr>
      <w:r>
        <w:rPr>
          <w:rFonts w:ascii="Arial" w:cs="Arial" w:eastAsia="Arial" w:hAnsi="Arial"/>
          <w:sz w:val="22"/>
          <w:szCs w:val="22"/>
          <w:color w:val="auto"/>
        </w:rPr>
        <w:t>Liens (i) of a collection bank arising under Section 4210 of the Uniform Commercial Code on items in the ordinary course of collection and (ii) encumbering deposits relating to banker’s liens, rights of set-off or similar rights and remedies and which are within the general parameters customary in the banking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1428" w:right="339" w:bottom="1440" w:gutter="0" w:footer="0" w:header="0"/>
        </w:sectPr>
      </w:pPr>
    </w:p>
    <w:bookmarkStart w:id="214" w:name="page215"/>
    <w:bookmarkEnd w:id="214"/>
    <w:p>
      <w:pPr>
        <w:ind w:left="1940" w:hanging="636"/>
        <w:spacing w:after="0"/>
        <w:tabs>
          <w:tab w:leader="none" w:pos="194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Liens with respect to judgments or awards that do not result in or constitute an Event of Default under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8</w:t>
      </w:r>
      <w:r>
        <w:rPr>
          <w:rFonts w:ascii="Arial" w:cs="Arial" w:eastAsia="Arial" w:hAnsi="Arial"/>
          <w:sz w:val="22"/>
          <w:szCs w:val="22"/>
          <w:color w:val="auto"/>
        </w:rPr>
        <w:t>;</w:t>
      </w:r>
    </w:p>
    <w:p>
      <w:pPr>
        <w:spacing w:after="0" w:line="202" w:lineRule="exact"/>
        <w:rPr>
          <w:sz w:val="20"/>
          <w:szCs w:val="20"/>
          <w:color w:val="auto"/>
        </w:rPr>
      </w:pPr>
    </w:p>
    <w:p>
      <w:pPr>
        <w:jc w:val="both"/>
        <w:ind w:firstLine="1304"/>
        <w:spacing w:after="0" w:line="259" w:lineRule="auto"/>
        <w:tabs>
          <w:tab w:leader="none" w:pos="1939"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Liens existing on Property at the time of its acquisition or existing on the Property of any Person at the time such Person becomes a Subsidiary, in each case after the Closing Date and securing Indebtedness permitted under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including Permitted Refinancings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 was not created in contemplation of such acquisition or such Person becoming a Subsidiary and (ii) such Lien does not extend to or cover any other assets or Property (other than (A) proceeds or products thereof and (B) after-acquired property subject to a Lien securing Indebtedness incurred prior to such time and which Indebtedness is permitted hereunder the terms of which require, at such time, a pledge of after-acquired property, it being understood that such requirement shall not be permitted to apply to any Property to which such requirement would not have applied but for such acquisition);</w:t>
      </w:r>
    </w:p>
    <w:p>
      <w:pPr>
        <w:spacing w:after="0" w:line="183" w:lineRule="exact"/>
        <w:rPr>
          <w:rFonts w:ascii="Arial" w:cs="Arial" w:eastAsia="Arial" w:hAnsi="Arial"/>
          <w:sz w:val="21"/>
          <w:szCs w:val="21"/>
          <w:color w:val="auto"/>
        </w:rPr>
      </w:pPr>
    </w:p>
    <w:p>
      <w:pPr>
        <w:ind w:left="1940" w:hanging="636"/>
        <w:spacing w:after="0"/>
        <w:tabs>
          <w:tab w:leader="none" w:pos="194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Liens securing insurance premium financing arrangements entered into in the ordinary course of business;</w:t>
      </w:r>
    </w:p>
    <w:p>
      <w:pPr>
        <w:spacing w:after="0" w:line="254" w:lineRule="exact"/>
        <w:rPr>
          <w:rFonts w:ascii="Arial" w:cs="Arial" w:eastAsia="Arial" w:hAnsi="Arial"/>
          <w:sz w:val="19"/>
          <w:szCs w:val="19"/>
          <w:color w:val="auto"/>
        </w:rPr>
      </w:pPr>
    </w:p>
    <w:p>
      <w:pPr>
        <w:jc w:val="both"/>
        <w:ind w:firstLine="1304"/>
        <w:spacing w:after="0" w:line="265" w:lineRule="auto"/>
        <w:tabs>
          <w:tab w:leader="none" w:pos="1939"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Liens (i) on cash advances in favor of the seller of any property to be acquired in an Investment permitted under </w:t>
      </w:r>
      <w:r>
        <w:rPr>
          <w:rFonts w:ascii="Arial" w:cs="Arial" w:eastAsia="Arial" w:hAnsi="Arial"/>
          <w:sz w:val="21"/>
          <w:szCs w:val="21"/>
          <w:u w:val="single" w:color="auto"/>
          <w:color w:val="auto"/>
        </w:rPr>
        <w:t>Section 7.8</w:t>
      </w:r>
      <w:r>
        <w:rPr>
          <w:rFonts w:ascii="Arial" w:cs="Arial" w:eastAsia="Arial" w:hAnsi="Arial"/>
          <w:sz w:val="21"/>
          <w:szCs w:val="21"/>
          <w:color w:val="auto"/>
        </w:rPr>
        <w:t xml:space="preserve"> to be applied against the purchase price for such Investment, and (ii) consisting of an agreement to Dispose of any property in a Disposition permitted under </w:t>
      </w:r>
      <w:r>
        <w:rPr>
          <w:rFonts w:ascii="Arial" w:cs="Arial" w:eastAsia="Arial" w:hAnsi="Arial"/>
          <w:sz w:val="21"/>
          <w:szCs w:val="21"/>
          <w:u w:val="single" w:color="auto"/>
          <w:color w:val="auto"/>
        </w:rPr>
        <w:t>Section 7.5</w:t>
      </w:r>
      <w:r>
        <w:rPr>
          <w:rFonts w:ascii="Arial" w:cs="Arial" w:eastAsia="Arial" w:hAnsi="Arial"/>
          <w:sz w:val="21"/>
          <w:szCs w:val="21"/>
          <w:color w:val="auto"/>
        </w:rPr>
        <w:t>, in each case, solely to the extent such Investment or Disposition, as the case may be, would have been permitted on the date of the creation of such Lien;</w:t>
      </w:r>
    </w:p>
    <w:p>
      <w:pPr>
        <w:spacing w:after="0" w:line="175" w:lineRule="exact"/>
        <w:rPr>
          <w:rFonts w:ascii="Arial" w:cs="Arial" w:eastAsia="Arial" w:hAnsi="Arial"/>
          <w:sz w:val="21"/>
          <w:szCs w:val="21"/>
          <w:color w:val="auto"/>
        </w:rPr>
      </w:pPr>
    </w:p>
    <w:p>
      <w:pPr>
        <w:ind w:firstLine="1304"/>
        <w:spacing w:after="0" w:line="263" w:lineRule="auto"/>
        <w:tabs>
          <w:tab w:leader="none" w:pos="193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contractual rights of netting, offset and setoff incurred in the ordinary course of business, including such rights represented by Hedge Agreements;</w:t>
      </w:r>
    </w:p>
    <w:p>
      <w:pPr>
        <w:spacing w:after="0" w:line="174" w:lineRule="exact"/>
        <w:rPr>
          <w:rFonts w:ascii="Arial" w:cs="Arial" w:eastAsia="Arial" w:hAnsi="Arial"/>
          <w:sz w:val="22"/>
          <w:szCs w:val="22"/>
          <w:color w:val="auto"/>
        </w:rPr>
      </w:pPr>
    </w:p>
    <w:p>
      <w:pPr>
        <w:jc w:val="both"/>
        <w:ind w:firstLine="1304"/>
        <w:spacing w:after="0" w:line="290" w:lineRule="auto"/>
        <w:tabs>
          <w:tab w:leader="none" w:pos="1944" w:val="left"/>
        </w:tabs>
        <w:numPr>
          <w:ilvl w:val="0"/>
          <w:numId w:val="163"/>
        </w:numPr>
        <w:rPr>
          <w:rFonts w:ascii="Arial" w:cs="Arial" w:eastAsia="Arial" w:hAnsi="Arial"/>
          <w:sz w:val="19"/>
          <w:szCs w:val="19"/>
          <w:color w:val="auto"/>
        </w:rPr>
      </w:pPr>
      <w:r>
        <w:rPr>
          <w:rFonts w:ascii="Arial" w:cs="Arial" w:eastAsia="Arial" w:hAnsi="Arial"/>
          <w:sz w:val="19"/>
          <w:szCs w:val="19"/>
          <w:color w:val="auto"/>
        </w:rPr>
        <w:t xml:space="preserve">Liens not otherwise permitted by this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so long as the aggregate outstanding principal amount of the obligations secured thereby does not exceed </w:t>
      </w:r>
      <w:r>
        <w:rPr>
          <w:rFonts w:ascii="Arial" w:cs="Arial" w:eastAsia="Arial" w:hAnsi="Arial"/>
          <w:sz w:val="19"/>
          <w:szCs w:val="19"/>
          <w:color w:val="FF0000"/>
          <w:strike w:val="1"/>
        </w:rPr>
        <w:t>(as to the Borrower and all Subsidiaries) the greater of (x) $40,000,000 and (y)</w:t>
      </w:r>
      <w:r>
        <w:rPr>
          <w:rFonts w:ascii="Arial" w:cs="Arial" w:eastAsia="Arial" w:hAnsi="Arial"/>
          <w:sz w:val="19"/>
          <w:szCs w:val="19"/>
          <w:color w:val="auto"/>
        </w:rPr>
        <w:t xml:space="preserve"> </w:t>
      </w:r>
      <w:r>
        <w:rPr>
          <w:rFonts w:ascii="Arial" w:cs="Arial" w:eastAsia="Arial" w:hAnsi="Arial"/>
          <w:sz w:val="19"/>
          <w:szCs w:val="19"/>
          <w:color w:val="FF0000"/>
          <w:strike w:val="1"/>
        </w:rPr>
        <w:t>17.5% of Adjusted EBITDA (calculated as of the most recent date for which financial statements have been delivered pursuant to Sections 6.1(a) or (b), at the time made), at any one time;</w:t>
      </w:r>
      <w:r>
        <w:rPr>
          <w:rFonts w:ascii="Arial" w:cs="Arial" w:eastAsia="Arial" w:hAnsi="Arial"/>
          <w:sz w:val="19"/>
          <w:szCs w:val="19"/>
          <w:u w:val="single" w:color="auto"/>
          <w:color w:val="0000FF"/>
          <w:strike w:val="1"/>
        </w:rPr>
        <w:t>$40,000,000 (and such Liens may not secure obligations of Subsidiaries</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that are not Loan Parties in an aggregate outstanding principal amount exceeding $15,000,000 at any one time outstanding); provided, however, if such Liens are on Collateral (except with respect to Liens securing purchase money indebtedness or Capital Lease Obligations permitted to be outstanding on the Amendment No. 2 Effective Date or under Section 7.2(c), such Liens may not be senior or pari passu to the Liens securing the Obligations on the Collateral;</w:t>
      </w:r>
    </w:p>
    <w:p>
      <w:pPr>
        <w:spacing w:after="0" w:line="155" w:lineRule="exact"/>
        <w:rPr>
          <w:rFonts w:ascii="Arial" w:cs="Arial" w:eastAsia="Arial" w:hAnsi="Arial"/>
          <w:sz w:val="19"/>
          <w:szCs w:val="19"/>
          <w:color w:val="auto"/>
        </w:rPr>
      </w:pPr>
    </w:p>
    <w:p>
      <w:pPr>
        <w:jc w:val="both"/>
        <w:ind w:firstLine="1304"/>
        <w:spacing w:after="0" w:line="265" w:lineRule="auto"/>
        <w:tabs>
          <w:tab w:leader="none" w:pos="1942"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Liens on the Collateral securing the Indebtedness permitted by </w:t>
      </w:r>
      <w:r>
        <w:rPr>
          <w:rFonts w:ascii="Arial" w:cs="Arial" w:eastAsia="Arial" w:hAnsi="Arial"/>
          <w:sz w:val="21"/>
          <w:szCs w:val="21"/>
          <w:u w:val="single" w:color="auto"/>
          <w:color w:val="FF0000"/>
          <w:strike w:val="1"/>
        </w:rPr>
        <w:t>Sections</w:t>
      </w:r>
      <w:r>
        <w:rPr>
          <w:rFonts w:ascii="Arial" w:cs="Arial" w:eastAsia="Arial" w:hAnsi="Arial"/>
          <w:sz w:val="21"/>
          <w:szCs w:val="21"/>
          <w:u w:val="single" w:color="auto"/>
          <w:color w:val="0000FF"/>
        </w:rPr>
        <w:t>Section</w:t>
      </w:r>
      <w:r>
        <w:rPr>
          <w:rFonts w:ascii="Arial" w:cs="Arial" w:eastAsia="Arial" w:hAnsi="Arial"/>
          <w:sz w:val="21"/>
          <w:szCs w:val="21"/>
          <w:color w:val="auto"/>
        </w:rPr>
        <w:t xml:space="preserve"> 7.2(p) </w:t>
      </w:r>
      <w:r>
        <w:rPr>
          <w:rFonts w:ascii="Arial" w:cs="Arial" w:eastAsia="Arial" w:hAnsi="Arial"/>
          <w:sz w:val="21"/>
          <w:szCs w:val="21"/>
          <w:color w:val="FF0000"/>
          <w:strike w:val="1"/>
        </w:rPr>
        <w:t>and</w:t>
      </w:r>
      <w:r>
        <w:rPr>
          <w:rFonts w:ascii="Arial" w:cs="Arial" w:eastAsia="Arial" w:hAnsi="Arial"/>
          <w:sz w:val="21"/>
          <w:szCs w:val="21"/>
          <w:u w:val="single" w:color="auto"/>
          <w:color w:val="0000FF"/>
        </w:rPr>
        <w:t>or 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7.2(q)</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Liens shall be subject to the Intercreditor Agreement; </w:t>
      </w:r>
      <w:r>
        <w:rPr>
          <w:rFonts w:ascii="Arial" w:cs="Arial" w:eastAsia="Arial" w:hAnsi="Arial"/>
          <w:sz w:val="21"/>
          <w:szCs w:val="21"/>
          <w:u w:val="single" w:color="auto"/>
          <w:color w:val="0000FF"/>
        </w:rPr>
        <w:t>provided, further, that, (i) solely with respect to</w:t>
      </w:r>
      <w:r>
        <w:rPr>
          <w:rFonts w:ascii="Arial" w:cs="Arial" w:eastAsia="Arial" w:hAnsi="Arial"/>
          <w:sz w:val="21"/>
          <w:szCs w:val="21"/>
          <w:color w:val="auto"/>
        </w:rPr>
        <w:t xml:space="preserve"> </w:t>
      </w:r>
      <w:r>
        <w:rPr>
          <w:rFonts w:ascii="Arial" w:cs="Arial" w:eastAsia="Arial" w:hAnsi="Arial"/>
          <w:sz w:val="21"/>
          <w:szCs w:val="21"/>
          <w:u w:val="single" w:color="auto"/>
          <w:color w:val="0000FF"/>
        </w:rPr>
        <w:t>Section 7.2(p), such Liens may not be senior or pari passu to the Liens securing the Obligations, and (ii) solely with respect to Section 7.2(q), such Liens may not be senior to the Liens securing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5875655</wp:posOffset>
            </wp:positionH>
            <wp:positionV relativeFrom="paragraph">
              <wp:posOffset>-534670</wp:posOffset>
            </wp:positionV>
            <wp:extent cx="4000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240"/>
          </w:cols>
          <w:pgMar w:left="320" w:top="1428" w:right="339" w:bottom="1440" w:gutter="0" w:footer="0" w:header="0"/>
        </w:sectPr>
      </w:pPr>
    </w:p>
    <w:bookmarkStart w:id="215" w:name="page216"/>
    <w:bookmarkEnd w:id="215"/>
    <w:p>
      <w:pPr>
        <w:jc w:val="both"/>
        <w:ind w:firstLine="1304"/>
        <w:spacing w:after="0" w:line="253" w:lineRule="auto"/>
        <w:tabs>
          <w:tab w:leader="none" w:pos="1932" w:val="left"/>
        </w:tabs>
        <w:numPr>
          <w:ilvl w:val="0"/>
          <w:numId w:val="164"/>
        </w:numPr>
        <w:rPr>
          <w:rFonts w:ascii="Arial" w:cs="Arial" w:eastAsia="Arial" w:hAnsi="Arial"/>
          <w:sz w:val="22"/>
          <w:szCs w:val="22"/>
          <w:color w:val="auto"/>
        </w:rPr>
      </w:pPr>
      <w:r>
        <w:rPr>
          <w:rFonts w:ascii="Arial" w:cs="Arial" w:eastAsia="Arial" w:hAnsi="Arial"/>
          <w:sz w:val="22"/>
          <w:szCs w:val="22"/>
          <w:color w:val="auto"/>
        </w:rPr>
        <w:t>Liens in connection with the sale or transfer of any Capital Stock or other assets in a transaction permitted hereunder, customary rights and restrictions contained in agreements relating to such sale or transfer pending the completion thereof;</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164"/>
        </w:numPr>
        <w:rPr>
          <w:rFonts w:ascii="Arial" w:cs="Arial" w:eastAsia="Arial" w:hAnsi="Arial"/>
          <w:sz w:val="22"/>
          <w:szCs w:val="22"/>
          <w:color w:val="auto"/>
        </w:rPr>
      </w:pPr>
      <w:r>
        <w:rPr>
          <w:rFonts w:ascii="Arial" w:cs="Arial" w:eastAsia="Arial" w:hAnsi="Arial"/>
          <w:sz w:val="22"/>
          <w:szCs w:val="22"/>
          <w:color w:val="auto"/>
        </w:rPr>
        <w:t>in the case of (i) any Subsidiary that is not a wholly-owned Subsidiary or (ii) the Capital Stock in any Person that is not a Subsidiary, any encumbrance or restriction, including any put and call arrangements, related to Capital Stock in such Subsidiary or such other Person set forth in the Organizational Documents of such Subsidiary or such other Person or any related joint venture, shareholders’ or similar agreement; and</w:t>
      </w:r>
    </w:p>
    <w:p>
      <w:pPr>
        <w:spacing w:after="0" w:line="187" w:lineRule="exact"/>
        <w:rPr>
          <w:rFonts w:ascii="Arial" w:cs="Arial" w:eastAsia="Arial" w:hAnsi="Arial"/>
          <w:sz w:val="22"/>
          <w:szCs w:val="22"/>
          <w:color w:val="auto"/>
        </w:rPr>
      </w:pPr>
    </w:p>
    <w:p>
      <w:pPr>
        <w:jc w:val="both"/>
        <w:ind w:firstLine="1304"/>
        <w:spacing w:after="0" w:line="253" w:lineRule="auto"/>
        <w:tabs>
          <w:tab w:leader="none" w:pos="1939" w:val="left"/>
        </w:tabs>
        <w:numPr>
          <w:ilvl w:val="0"/>
          <w:numId w:val="164"/>
        </w:numPr>
        <w:rPr>
          <w:rFonts w:ascii="Arial" w:cs="Arial" w:eastAsia="Arial" w:hAnsi="Arial"/>
          <w:sz w:val="22"/>
          <w:szCs w:val="22"/>
          <w:color w:val="auto"/>
        </w:rPr>
      </w:pPr>
      <w:r>
        <w:rPr>
          <w:rFonts w:ascii="Arial" w:cs="Arial" w:eastAsia="Arial" w:hAnsi="Arial"/>
          <w:sz w:val="22"/>
          <w:szCs w:val="22"/>
          <w:color w:val="auto"/>
        </w:rPr>
        <w:t>Liens solely on any cash earnest money deposits, escrow arrangements or similar arrangements made by the Company or any Subsidiary in connection with any letter of intent or purchase agreement for a Permitted Acquisition or other transaction permitted hereunder</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u w:val="single" w:color="auto"/>
          <w:color w:val="0000FF"/>
        </w:rPr>
        <w:t>provided that, from the Amendment No. 2 Effective Date until the Q3 End Date, the exceptions in clauses (a) through (v) above, shall not apply to the incurrence of any Lien by any Subsidiary of the Borrower that is not a Loan Party (other than any Subsidiary that is a Bona Fide Joint Venture, subject to an aggregate amount of $25,000,000 for the exceptions in clauses (n) and (r) taken together).</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u w:val="single" w:color="auto"/>
          <w:color w:val="auto"/>
        </w:rPr>
        <w:t>Limitation on Fundamental Changes</w:t>
      </w:r>
      <w:r>
        <w:rPr>
          <w:rFonts w:ascii="Arial" w:cs="Arial" w:eastAsia="Arial" w:hAnsi="Arial"/>
          <w:sz w:val="22"/>
          <w:szCs w:val="22"/>
          <w:color w:val="auto"/>
        </w:rPr>
        <w:t>. Enter into any merger, consolidation or amalgamation, or liquidate, wind up or dissolve itself (or suffer any liquidation or dissolution), or Dispose of all or substantially all of its Property or business, except that:</w:t>
      </w:r>
    </w:p>
    <w:p>
      <w:pPr>
        <w:spacing w:after="0" w:line="185" w:lineRule="exact"/>
        <w:rPr>
          <w:sz w:val="20"/>
          <w:szCs w:val="20"/>
          <w:color w:val="auto"/>
        </w:rPr>
      </w:pPr>
    </w:p>
    <w:p>
      <w:pPr>
        <w:jc w:val="both"/>
        <w:ind w:firstLine="1304"/>
        <w:spacing w:after="0" w:line="248" w:lineRule="auto"/>
        <w:tabs>
          <w:tab w:leader="none" w:pos="1941"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any Subsidiary of the Borrower may be merged or consolidated with or into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shall be the continuing or surviving corporation) or with or into any Subsidiary Guarantor;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Subsidiary Guarantor shall be the continuing or surviving corporation or (ii) simultaneously with such transaction, the continuing or surviving corporation shall become a Subsidiary Guarantor and the Borrower shall comply with </w:t>
      </w:r>
      <w:r>
        <w:rPr>
          <w:rFonts w:ascii="Arial" w:cs="Arial" w:eastAsia="Arial" w:hAnsi="Arial"/>
          <w:sz w:val="22"/>
          <w:szCs w:val="22"/>
          <w:u w:val="single" w:color="auto"/>
          <w:color w:val="auto"/>
        </w:rPr>
        <w:t>Section 6.10</w:t>
      </w:r>
      <w:r>
        <w:rPr>
          <w:rFonts w:ascii="Arial" w:cs="Arial" w:eastAsia="Arial" w:hAnsi="Arial"/>
          <w:sz w:val="22"/>
          <w:szCs w:val="22"/>
          <w:color w:val="auto"/>
        </w:rPr>
        <w:t xml:space="preserve"> in connection therewith;</w:t>
      </w:r>
    </w:p>
    <w:p>
      <w:pPr>
        <w:spacing w:after="0" w:line="191" w:lineRule="exact"/>
        <w:rPr>
          <w:rFonts w:ascii="Arial" w:cs="Arial" w:eastAsia="Arial" w:hAnsi="Arial"/>
          <w:sz w:val="22"/>
          <w:szCs w:val="22"/>
          <w:color w:val="auto"/>
        </w:rPr>
      </w:pPr>
    </w:p>
    <w:p>
      <w:pPr>
        <w:jc w:val="both"/>
        <w:ind w:firstLine="1304"/>
        <w:spacing w:after="0" w:line="250" w:lineRule="auto"/>
        <w:tabs>
          <w:tab w:leader="none" w:pos="1939"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 any Subsidiary of the Borrower may Dispose of any or all of its Property (upon voluntary liquidation or otherwise) or business to the Borrower or any Subsidiary Guarantor, and (ii) any Subsidiary that is not a Subsidiary Guarantor may Dispose of any or all of its Property (upon voluntary liquidation or otherwise) or business to any other Subsidiary that is not a Subsidiary Guarantor;</w:t>
      </w:r>
    </w:p>
    <w:p>
      <w:pPr>
        <w:spacing w:after="0" w:line="187" w:lineRule="exact"/>
        <w:rPr>
          <w:rFonts w:ascii="Arial" w:cs="Arial" w:eastAsia="Arial" w:hAnsi="Arial"/>
          <w:sz w:val="22"/>
          <w:szCs w:val="22"/>
          <w:color w:val="auto"/>
        </w:rPr>
      </w:pPr>
    </w:p>
    <w:p>
      <w:pPr>
        <w:jc w:val="both"/>
        <w:ind w:firstLine="1304"/>
        <w:spacing w:after="0" w:line="302" w:lineRule="auto"/>
        <w:tabs>
          <w:tab w:leader="none" w:pos="194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so long as no Default or Event of Default exists or would result therefrom, any Subsidiary may merge with any other Person in order to effect an Investment otherwise permitted pursuant to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such Subsidiary is a Subsidiary Guarantor, the Subsidiary Guarantor shall be the continuing or surviving corporation, or (ii) the continuing or surviving corporation shall, or will within the times specified therein, have complied with the requirements of 6.10;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428" w:right="339" w:bottom="1440" w:gutter="0" w:footer="0" w:header="0"/>
        </w:sectPr>
      </w:pPr>
    </w:p>
    <w:bookmarkStart w:id="216" w:name="page217"/>
    <w:bookmarkEnd w:id="216"/>
    <w:p>
      <w:pPr>
        <w:jc w:val="both"/>
        <w:ind w:firstLine="1304"/>
        <w:spacing w:after="0" w:line="250" w:lineRule="auto"/>
        <w:tabs>
          <w:tab w:leader="none" w:pos="193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any Subsidiary may liquidate or dissolve if the Borrower determines in good faith that such liquidation or dissolution is in the best interests of the Borrower and is not materially disadvantageous to the Lenders (provided that in the case of a liquidation or dissolution of a Subsidiary Guarantor, the assets thereof are transferred to another Loan Party or otherwise subject to Investment in accordance with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18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Limitation on Disposition of Property</w:t>
      </w:r>
      <w:r>
        <w:rPr>
          <w:rFonts w:ascii="Arial" w:cs="Arial" w:eastAsia="Arial" w:hAnsi="Arial"/>
          <w:sz w:val="22"/>
          <w:szCs w:val="22"/>
          <w:color w:val="auto"/>
        </w:rPr>
        <w:t>. Dispose of any of its Property (including, without limitation, receivables and leasehold interests), whether now owned or hereafter acquired, or, in the case of any Subsidiary, issue or sell any shares of such Subsidiary’s Capital Stock to any Person, except:</w:t>
      </w:r>
    </w:p>
    <w:p>
      <w:pPr>
        <w:spacing w:after="0" w:line="185" w:lineRule="exact"/>
        <w:rPr>
          <w:sz w:val="20"/>
          <w:szCs w:val="20"/>
          <w:color w:val="auto"/>
        </w:rPr>
      </w:pPr>
    </w:p>
    <w:p>
      <w:pPr>
        <w:jc w:val="both"/>
        <w:ind w:firstLine="1304"/>
        <w:spacing w:after="0" w:line="253" w:lineRule="auto"/>
        <w:tabs>
          <w:tab w:leader="none" w:pos="194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Disposition of obsolete or worn out Property (including the abandonment of Intellectual Property) in the ordinary course of business or other assets or Property not practically usable in the business of the Borrower or the applicable Subsidiary;</w:t>
      </w:r>
    </w:p>
    <w:p>
      <w:pPr>
        <w:spacing w:after="0" w:line="185" w:lineRule="exact"/>
        <w:rPr>
          <w:rFonts w:ascii="Arial" w:cs="Arial" w:eastAsia="Arial" w:hAnsi="Arial"/>
          <w:sz w:val="22"/>
          <w:szCs w:val="22"/>
          <w:color w:val="auto"/>
        </w:rPr>
      </w:pPr>
    </w:p>
    <w:p>
      <w:pPr>
        <w:ind w:firstLine="1304"/>
        <w:spacing w:after="0" w:line="263" w:lineRule="auto"/>
        <w:tabs>
          <w:tab w:leader="none" w:pos="1939"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sale or other Disposition of inventory (including advertising, lobby promotions, CineMeetings, sponsorships and digital programming inventory) in the ordinary course of business;</w:t>
      </w:r>
    </w:p>
    <w:p>
      <w:pPr>
        <w:spacing w:after="0" w:line="174" w:lineRule="exact"/>
        <w:rPr>
          <w:rFonts w:ascii="Arial" w:cs="Arial" w:eastAsia="Arial" w:hAnsi="Arial"/>
          <w:sz w:val="22"/>
          <w:szCs w:val="22"/>
          <w:color w:val="auto"/>
        </w:rPr>
      </w:pPr>
    </w:p>
    <w:p>
      <w:pPr>
        <w:ind w:firstLine="1304"/>
        <w:spacing w:after="0" w:line="263" w:lineRule="auto"/>
        <w:tabs>
          <w:tab w:leader="none" w:pos="194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 xml:space="preserve">(i) Dispositions permitted by </w:t>
      </w:r>
      <w:r>
        <w:rPr>
          <w:rFonts w:ascii="Arial" w:cs="Arial" w:eastAsia="Arial" w:hAnsi="Arial"/>
          <w:sz w:val="22"/>
          <w:szCs w:val="22"/>
          <w:u w:val="single" w:color="auto"/>
          <w:color w:val="auto"/>
        </w:rPr>
        <w:t>Section 7.4(a)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and (ii) Dispositions by the Borrower of its Property (but not all or substantially all of its Property) to any Subsidiary Guarantor;</w:t>
      </w:r>
    </w:p>
    <w:p>
      <w:pPr>
        <w:spacing w:after="0" w:line="174" w:lineRule="exact"/>
        <w:rPr>
          <w:rFonts w:ascii="Arial" w:cs="Arial" w:eastAsia="Arial" w:hAnsi="Arial"/>
          <w:sz w:val="22"/>
          <w:szCs w:val="22"/>
          <w:color w:val="auto"/>
        </w:rPr>
      </w:pPr>
    </w:p>
    <w:p>
      <w:pPr>
        <w:ind w:firstLine="1304"/>
        <w:spacing w:after="0" w:line="343" w:lineRule="auto"/>
        <w:tabs>
          <w:tab w:leader="none" w:pos="1939"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the sale or issuance of any Subsidiary’s Capital Stock to the Borrower or any Subsidiary Guarantor </w:t>
      </w:r>
      <w:r>
        <w:rPr>
          <w:rFonts w:ascii="Arial" w:cs="Arial" w:eastAsia="Arial" w:hAnsi="Arial"/>
          <w:sz w:val="19"/>
          <w:szCs w:val="19"/>
          <w:color w:val="0000FF"/>
        </w:rPr>
        <w:t>or, in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the case of any Excluded Subsidiary, to any other Subsidiary that is the parent company of such Excluded Subsidiary</w:t>
      </w:r>
      <w:r>
        <w:rPr>
          <w:rFonts w:ascii="Arial" w:cs="Arial" w:eastAsia="Arial" w:hAnsi="Arial"/>
          <w:sz w:val="19"/>
          <w:szCs w:val="19"/>
          <w:color w:val="000000"/>
        </w:rPr>
        <w:t>;</w:t>
      </w:r>
    </w:p>
    <w:p>
      <w:pPr>
        <w:spacing w:after="0" w:line="104" w:lineRule="exact"/>
        <w:rPr>
          <w:rFonts w:ascii="Arial" w:cs="Arial" w:eastAsia="Arial" w:hAnsi="Arial"/>
          <w:sz w:val="19"/>
          <w:szCs w:val="19"/>
          <w:color w:val="auto"/>
        </w:rPr>
      </w:pPr>
    </w:p>
    <w:p>
      <w:pPr>
        <w:jc w:val="both"/>
        <w:ind w:firstLine="1304"/>
        <w:spacing w:after="0" w:line="253" w:lineRule="auto"/>
        <w:tabs>
          <w:tab w:leader="none" w:pos="1941" w:val="left"/>
        </w:tabs>
        <w:numPr>
          <w:ilvl w:val="0"/>
          <w:numId w:val="167"/>
        </w:numPr>
        <w:rPr>
          <w:rFonts w:ascii="Arial" w:cs="Arial" w:eastAsia="Arial" w:hAnsi="Arial"/>
          <w:sz w:val="22"/>
          <w:szCs w:val="22"/>
          <w:color w:val="auto"/>
        </w:rPr>
      </w:pPr>
      <w:r>
        <w:rPr>
          <w:rFonts w:ascii="Arial" w:cs="Arial" w:eastAsia="Arial" w:hAnsi="Arial"/>
          <w:sz w:val="22"/>
          <w:szCs w:val="22"/>
          <w:color w:val="auto"/>
        </w:rPr>
        <w:t>Dispositions (other than leases) of equipment to the extent that (A) such property is exchanged for credit against the purchase price of similar replacement property or (B) the proceeds of such Disposition are reasonably promptly applied to the purchase price of such replacement property;</w:t>
      </w:r>
    </w:p>
    <w:p>
      <w:pPr>
        <w:spacing w:after="0" w:line="185" w:lineRule="exact"/>
        <w:rPr>
          <w:rFonts w:ascii="Arial" w:cs="Arial" w:eastAsia="Arial" w:hAnsi="Arial"/>
          <w:sz w:val="22"/>
          <w:szCs w:val="22"/>
          <w:color w:val="auto"/>
        </w:rPr>
      </w:pPr>
    </w:p>
    <w:p>
      <w:pPr>
        <w:ind w:left="1960" w:hanging="656"/>
        <w:spacing w:after="0"/>
        <w:tabs>
          <w:tab w:leader="none" w:pos="196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Dispositions of cash and Cash Equivalents not otherwise prohibited under this Agreement;</w:t>
      </w:r>
    </w:p>
    <w:p>
      <w:pPr>
        <w:spacing w:after="0" w:line="219" w:lineRule="exact"/>
        <w:rPr>
          <w:rFonts w:ascii="Arial" w:cs="Arial" w:eastAsia="Arial" w:hAnsi="Arial"/>
          <w:sz w:val="22"/>
          <w:szCs w:val="22"/>
          <w:color w:val="auto"/>
        </w:rPr>
      </w:pPr>
    </w:p>
    <w:p>
      <w:pPr>
        <w:ind w:firstLine="1304"/>
        <w:spacing w:after="0" w:line="263" w:lineRule="auto"/>
        <w:tabs>
          <w:tab w:leader="none" w:pos="1939" w:val="left"/>
        </w:tabs>
        <w:numPr>
          <w:ilvl w:val="0"/>
          <w:numId w:val="167"/>
        </w:numPr>
        <w:rPr>
          <w:rFonts w:ascii="Arial" w:cs="Arial" w:eastAsia="Arial" w:hAnsi="Arial"/>
          <w:sz w:val="22"/>
          <w:szCs w:val="22"/>
          <w:color w:val="auto"/>
        </w:rPr>
      </w:pPr>
      <w:r>
        <w:rPr>
          <w:rFonts w:ascii="Arial" w:cs="Arial" w:eastAsia="Arial" w:hAnsi="Arial"/>
          <w:sz w:val="22"/>
          <w:szCs w:val="22"/>
          <w:color w:val="auto"/>
        </w:rPr>
        <w:t>Dispositions that constitute</w:t>
      </w:r>
      <w:r>
        <w:rPr>
          <w:rFonts w:ascii="Arial" w:cs="Arial" w:eastAsia="Arial" w:hAnsi="Arial"/>
          <w:sz w:val="22"/>
          <w:szCs w:val="22"/>
          <w:u w:val="single" w:color="auto"/>
          <w:color w:val="0000FF"/>
        </w:rPr>
        <w:t>, as applicable, Restricted Payments permitted under Section 7.6 and/or</w:t>
      </w:r>
      <w:r>
        <w:rPr>
          <w:rFonts w:ascii="Arial" w:cs="Arial" w:eastAsia="Arial" w:hAnsi="Arial"/>
          <w:sz w:val="22"/>
          <w:szCs w:val="22"/>
          <w:color w:val="auto"/>
        </w:rPr>
        <w:t xml:space="preserve"> Investments permitted under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w:t>
      </w:r>
      <w:r>
        <w:rPr>
          <w:rFonts w:ascii="Arial" w:cs="Arial" w:eastAsia="Arial" w:hAnsi="Arial"/>
          <w:sz w:val="22"/>
          <w:szCs w:val="22"/>
          <w:color w:val="FF0000"/>
        </w:rPr>
        <w:t>and</w:t>
      </w:r>
      <w:r>
        <w:rPr>
          <w:rFonts w:ascii="Arial" w:cs="Arial" w:eastAsia="Arial" w:hAnsi="Arial"/>
          <w:sz w:val="22"/>
          <w:szCs w:val="22"/>
          <w:color w:val="auto"/>
        </w:rPr>
        <w:t xml:space="preserve"> </w:t>
      </w:r>
      <w:r>
        <w:rPr>
          <w:rFonts w:ascii="Arial" w:cs="Arial" w:eastAsia="Arial" w:hAnsi="Arial"/>
          <w:sz w:val="22"/>
          <w:szCs w:val="22"/>
          <w:color w:val="008000"/>
          <w:strike w:val="1"/>
        </w:rPr>
        <w:t>sale and leaseback transactions permitted by</w:t>
      </w:r>
      <w:r>
        <w:rPr>
          <w:rFonts w:ascii="Arial" w:cs="Arial" w:eastAsia="Arial" w:hAnsi="Arial"/>
          <w:sz w:val="22"/>
          <w:szCs w:val="22"/>
          <w:color w:val="auto"/>
        </w:rPr>
        <w:t xml:space="preserve"> </w:t>
      </w:r>
      <w:r>
        <w:rPr>
          <w:rFonts w:ascii="Arial" w:cs="Arial" w:eastAsia="Arial" w:hAnsi="Arial"/>
          <w:sz w:val="22"/>
          <w:szCs w:val="22"/>
          <w:u w:val="single" w:color="auto"/>
          <w:color w:val="008000"/>
          <w:strike w:val="1"/>
        </w:rPr>
        <w:t>Section 7.11</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right="20" w:firstLine="1304"/>
        <w:spacing w:after="0" w:line="263" w:lineRule="auto"/>
        <w:tabs>
          <w:tab w:leader="none" w:pos="1939" w:val="left"/>
        </w:tabs>
        <w:numPr>
          <w:ilvl w:val="0"/>
          <w:numId w:val="167"/>
        </w:numPr>
        <w:rPr>
          <w:rFonts w:ascii="Arial" w:cs="Arial" w:eastAsia="Arial" w:hAnsi="Arial"/>
          <w:sz w:val="22"/>
          <w:szCs w:val="22"/>
          <w:color w:val="auto"/>
        </w:rPr>
      </w:pPr>
      <w:r>
        <w:rPr>
          <w:rFonts w:ascii="Arial" w:cs="Arial" w:eastAsia="Arial" w:hAnsi="Arial"/>
          <w:sz w:val="22"/>
          <w:szCs w:val="22"/>
          <w:color w:val="auto"/>
        </w:rPr>
        <w:t>Dispositions of equipment for use in “Georgia Theater Company” theaters in an amount not to exceed $250,000 per fiscal year;</w:t>
      </w:r>
    </w:p>
    <w:p>
      <w:pPr>
        <w:spacing w:after="0" w:line="174" w:lineRule="exact"/>
        <w:rPr>
          <w:rFonts w:ascii="Arial" w:cs="Arial" w:eastAsia="Arial" w:hAnsi="Arial"/>
          <w:sz w:val="22"/>
          <w:szCs w:val="22"/>
          <w:color w:val="auto"/>
        </w:rPr>
      </w:pPr>
    </w:p>
    <w:p>
      <w:pPr>
        <w:jc w:val="both"/>
        <w:ind w:firstLine="1304"/>
        <w:spacing w:after="0" w:line="253" w:lineRule="auto"/>
        <w:tabs>
          <w:tab w:leader="none" w:pos="1932" w:val="left"/>
        </w:tabs>
        <w:numPr>
          <w:ilvl w:val="0"/>
          <w:numId w:val="167"/>
        </w:numPr>
        <w:rPr>
          <w:rFonts w:ascii="Arial" w:cs="Arial" w:eastAsia="Arial" w:hAnsi="Arial"/>
          <w:sz w:val="22"/>
          <w:szCs w:val="22"/>
          <w:color w:val="auto"/>
        </w:rPr>
      </w:pPr>
      <w:r>
        <w:rPr>
          <w:rFonts w:ascii="Arial" w:cs="Arial" w:eastAsia="Arial" w:hAnsi="Arial"/>
          <w:sz w:val="22"/>
          <w:szCs w:val="22"/>
          <w:color w:val="auto"/>
        </w:rPr>
        <w:t>Dispositions by the Borrower of Holdings Common Stock in connection with the redemption of Borrower Membership Units by any member of the Borrower (other than Holdings) in accordance with Article 9 of the Borrower LLC Operating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6793230</wp:posOffset>
            </wp:positionH>
            <wp:positionV relativeFrom="paragraph">
              <wp:posOffset>-2679700</wp:posOffset>
            </wp:positionV>
            <wp:extent cx="3441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44170"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-1179830</wp:posOffset>
            </wp:positionV>
            <wp:extent cx="266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1428" w:right="339" w:bottom="1440" w:gutter="0" w:footer="0" w:header="0"/>
        </w:sectPr>
      </w:pPr>
    </w:p>
    <w:bookmarkStart w:id="217" w:name="page218"/>
    <w:bookmarkEnd w:id="217"/>
    <w:p>
      <w:pPr>
        <w:ind w:right="20" w:firstLine="1304"/>
        <w:spacing w:after="0" w:line="263" w:lineRule="auto"/>
        <w:tabs>
          <w:tab w:leader="none" w:pos="193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leases, subleases and concessions of interest in real, personal and mixed Property (and dispositions of such leases, subleases and concessions) in the ordinary course of business;</w:t>
      </w:r>
    </w:p>
    <w:p>
      <w:pPr>
        <w:spacing w:after="0" w:line="174" w:lineRule="exact"/>
        <w:rPr>
          <w:rFonts w:ascii="Arial" w:cs="Arial" w:eastAsia="Arial" w:hAnsi="Arial"/>
          <w:sz w:val="22"/>
          <w:szCs w:val="22"/>
          <w:color w:val="auto"/>
        </w:rPr>
      </w:pPr>
    </w:p>
    <w:p>
      <w:pPr>
        <w:ind w:firstLine="1304"/>
        <w:spacing w:after="0" w:line="263" w:lineRule="auto"/>
        <w:tabs>
          <w:tab w:leader="none" w:pos="1939" w:val="left"/>
        </w:tabs>
        <w:numPr>
          <w:ilvl w:val="0"/>
          <w:numId w:val="168"/>
        </w:numPr>
        <w:rPr>
          <w:rFonts w:ascii="Arial" w:cs="Arial" w:eastAsia="Arial" w:hAnsi="Arial"/>
          <w:sz w:val="22"/>
          <w:szCs w:val="22"/>
          <w:color w:val="auto"/>
        </w:rPr>
      </w:pPr>
      <w:r>
        <w:rPr>
          <w:rFonts w:ascii="Arial" w:cs="Arial" w:eastAsia="Arial" w:hAnsi="Arial"/>
          <w:sz w:val="22"/>
          <w:szCs w:val="22"/>
          <w:color w:val="auto"/>
        </w:rPr>
        <w:t>licenses (and dispositions or cancellations of such licenses) of Intellectual Property rights by the Borrower or any of its Subsidiaries, as licensor, in the ordinary course of business;</w:t>
      </w:r>
    </w:p>
    <w:p>
      <w:pPr>
        <w:spacing w:after="0" w:line="174" w:lineRule="exact"/>
        <w:rPr>
          <w:rFonts w:ascii="Arial" w:cs="Arial" w:eastAsia="Arial" w:hAnsi="Arial"/>
          <w:sz w:val="22"/>
          <w:szCs w:val="22"/>
          <w:color w:val="auto"/>
        </w:rPr>
      </w:pPr>
    </w:p>
    <w:p>
      <w:pPr>
        <w:ind w:firstLine="1304"/>
        <w:spacing w:after="0" w:line="263" w:lineRule="auto"/>
        <w:tabs>
          <w:tab w:leader="none" w:pos="193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Dispositions of receivables that are compromised or settled for less than the full amount thereof, discounted or extended, in each case in the ordinary course of business;</w:t>
      </w:r>
    </w:p>
    <w:p>
      <w:pPr>
        <w:spacing w:after="0" w:line="174" w:lineRule="exact"/>
        <w:rPr>
          <w:rFonts w:ascii="Arial" w:cs="Arial" w:eastAsia="Arial" w:hAnsi="Arial"/>
          <w:sz w:val="22"/>
          <w:szCs w:val="22"/>
          <w:color w:val="auto"/>
        </w:rPr>
      </w:pPr>
    </w:p>
    <w:p>
      <w:pPr>
        <w:ind w:firstLine="1304"/>
        <w:spacing w:after="0" w:line="263" w:lineRule="auto"/>
        <w:tabs>
          <w:tab w:leader="none" w:pos="193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Dispositions of equipment to a network affiliate in the ordinary course of business in connection with the sale or distribution of advertising;</w:t>
      </w:r>
    </w:p>
    <w:p>
      <w:pPr>
        <w:spacing w:after="0" w:line="174" w:lineRule="exact"/>
        <w:rPr>
          <w:rFonts w:ascii="Arial" w:cs="Arial" w:eastAsia="Arial" w:hAnsi="Arial"/>
          <w:sz w:val="22"/>
          <w:szCs w:val="22"/>
          <w:color w:val="auto"/>
        </w:rPr>
      </w:pPr>
    </w:p>
    <w:p>
      <w:pPr>
        <w:jc w:val="both"/>
        <w:ind w:firstLine="1304"/>
        <w:spacing w:after="0" w:line="294" w:lineRule="auto"/>
        <w:tabs>
          <w:tab w:leader="none" w:pos="1939"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the Disposition of other assets </w:t>
      </w:r>
      <w:r>
        <w:rPr>
          <w:rFonts w:ascii="Arial" w:cs="Arial" w:eastAsia="Arial" w:hAnsi="Arial"/>
          <w:sz w:val="19"/>
          <w:szCs w:val="19"/>
          <w:u w:val="single" w:color="auto"/>
          <w:color w:val="0000FF"/>
        </w:rPr>
        <w:t>(other than Capital Stock of a Wholly Owned Subsidiary unless such</w:t>
      </w:r>
      <w:r>
        <w:rPr>
          <w:rFonts w:ascii="Arial" w:cs="Arial" w:eastAsia="Arial" w:hAnsi="Arial"/>
          <w:sz w:val="19"/>
          <w:szCs w:val="19"/>
          <w:color w:val="auto"/>
        </w:rPr>
        <w:t xml:space="preserve"> </w:t>
      </w:r>
      <w:r>
        <w:rPr>
          <w:rFonts w:ascii="Arial" w:cs="Arial" w:eastAsia="Arial" w:hAnsi="Arial"/>
          <w:sz w:val="19"/>
          <w:szCs w:val="19"/>
          <w:u w:val="single" w:color="auto"/>
          <w:color w:val="0000FF"/>
        </w:rPr>
        <w:t>Disposition is of all of the Capital Stock of such Subsidiary or unless such Disposition does not result in any Subsidiary Guaranty being released other than in respect of a Bona Fide Joint Venture otherwise permitted hereunder)</w:t>
      </w:r>
      <w:r>
        <w:rPr>
          <w:rFonts w:ascii="Arial" w:cs="Arial" w:eastAsia="Arial" w:hAnsi="Arial"/>
          <w:sz w:val="19"/>
          <w:szCs w:val="19"/>
          <w:color w:val="0000FF"/>
        </w:rPr>
        <w:t xml:space="preserve"> </w:t>
      </w:r>
      <w:r>
        <w:rPr>
          <w:rFonts w:ascii="Arial" w:cs="Arial" w:eastAsia="Arial" w:hAnsi="Arial"/>
          <w:sz w:val="19"/>
          <w:szCs w:val="19"/>
          <w:color w:val="000000"/>
        </w:rPr>
        <w:t>having a book value not to</w:t>
      </w:r>
      <w:r>
        <w:rPr>
          <w:rFonts w:ascii="Arial" w:cs="Arial" w:eastAsia="Arial" w:hAnsi="Arial"/>
          <w:sz w:val="19"/>
          <w:szCs w:val="19"/>
          <w:color w:val="0000FF"/>
        </w:rPr>
        <w:t xml:space="preserve"> </w:t>
      </w:r>
      <w:r>
        <w:rPr>
          <w:rFonts w:ascii="Arial" w:cs="Arial" w:eastAsia="Arial" w:hAnsi="Arial"/>
          <w:sz w:val="19"/>
          <w:szCs w:val="19"/>
          <w:color w:val="000000"/>
        </w:rPr>
        <w:t xml:space="preserve">exceed $15,000,000 in the aggregate for any fiscal year of the Borrower;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w:t>
      </w:r>
      <w:r>
        <w:rPr>
          <w:rFonts w:ascii="Arial" w:cs="Arial" w:eastAsia="Arial" w:hAnsi="Arial"/>
          <w:sz w:val="19"/>
          <w:szCs w:val="19"/>
          <w:u w:val="single" w:color="auto"/>
          <w:color w:val="0000FF"/>
        </w:rPr>
        <w:t>after the Q3 End Date,</w:t>
      </w:r>
      <w:r>
        <w:rPr>
          <w:rFonts w:ascii="Arial" w:cs="Arial" w:eastAsia="Arial" w:hAnsi="Arial"/>
          <w:sz w:val="19"/>
          <w:szCs w:val="19"/>
          <w:color w:val="000000"/>
        </w:rPr>
        <w:t xml:space="preserve"> in one fiscal year of the Borrower during the term of this Agreement, at the Borrower’s sole option, the Borrower shall be permitted to make additional Dispositions having a book value in an aggregate amount not to exceed $30,000,000 for such fiscal year;</w:t>
      </w:r>
    </w:p>
    <w:p>
      <w:pPr>
        <w:spacing w:after="0" w:line="149" w:lineRule="exact"/>
        <w:rPr>
          <w:rFonts w:ascii="Arial" w:cs="Arial" w:eastAsia="Arial" w:hAnsi="Arial"/>
          <w:sz w:val="19"/>
          <w:szCs w:val="19"/>
          <w:color w:val="auto"/>
        </w:rPr>
      </w:pPr>
    </w:p>
    <w:p>
      <w:pPr>
        <w:ind w:left="1940" w:hanging="636"/>
        <w:spacing w:after="0"/>
        <w:tabs>
          <w:tab w:leader="none" w:pos="194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any Recovery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of </w:t>
      </w:r>
      <w:r>
        <w:rPr>
          <w:rFonts w:ascii="Arial" w:cs="Arial" w:eastAsia="Arial" w:hAnsi="Arial"/>
          <w:sz w:val="19"/>
          <w:szCs w:val="19"/>
          <w:u w:val="single" w:color="auto"/>
          <w:color w:val="auto"/>
        </w:rPr>
        <w:t>Section 2.12(b)</w:t>
      </w:r>
      <w:r>
        <w:rPr>
          <w:rFonts w:ascii="Arial" w:cs="Arial" w:eastAsia="Arial" w:hAnsi="Arial"/>
          <w:sz w:val="19"/>
          <w:szCs w:val="19"/>
          <w:color w:val="auto"/>
        </w:rPr>
        <w:t xml:space="preserve"> are complied with in connection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therewith;</w:t>
      </w:r>
    </w:p>
    <w:p>
      <w:pPr>
        <w:spacing w:after="0" w:line="174" w:lineRule="exact"/>
        <w:rPr>
          <w:rFonts w:ascii="Arial" w:cs="Arial" w:eastAsia="Arial" w:hAnsi="Arial"/>
          <w:sz w:val="19"/>
          <w:szCs w:val="19"/>
          <w:color w:val="auto"/>
        </w:rPr>
      </w:pPr>
    </w:p>
    <w:p>
      <w:pPr>
        <w:jc w:val="both"/>
        <w:ind w:firstLine="1304"/>
        <w:spacing w:after="0" w:line="268" w:lineRule="auto"/>
        <w:tabs>
          <w:tab w:leader="none" w:pos="1939" w:val="left"/>
        </w:tabs>
        <w:numPr>
          <w:ilvl w:val="0"/>
          <w:numId w:val="168"/>
        </w:numPr>
        <w:rPr>
          <w:rFonts w:ascii="Arial" w:cs="Arial" w:eastAsia="Arial" w:hAnsi="Arial"/>
          <w:sz w:val="19"/>
          <w:szCs w:val="19"/>
          <w:color w:val="auto"/>
        </w:rPr>
      </w:pPr>
      <w:r>
        <w:rPr>
          <w:rFonts w:ascii="Arial" w:cs="Arial" w:eastAsia="Arial" w:hAnsi="Arial"/>
          <w:sz w:val="19"/>
          <w:szCs w:val="19"/>
          <w:color w:val="auto"/>
        </w:rPr>
        <w:t>Dispositions constituting the abandonment, cancellation, non-renewal or discontinuance of use or maintenance of non-material Intellectual Property or rights relating thereto that the Borrower determines in its reasonable judgment to be desirable to the conduct of its business and not materially disadvantageous to the interests of the Lenders;</w:t>
      </w:r>
    </w:p>
    <w:p>
      <w:pPr>
        <w:spacing w:after="0" w:line="132" w:lineRule="exact"/>
        <w:rPr>
          <w:rFonts w:ascii="Arial" w:cs="Arial" w:eastAsia="Arial" w:hAnsi="Arial"/>
          <w:sz w:val="19"/>
          <w:szCs w:val="19"/>
          <w:color w:val="auto"/>
        </w:rPr>
      </w:pPr>
    </w:p>
    <w:p>
      <w:pPr>
        <w:jc w:val="both"/>
        <w:ind w:firstLine="1304"/>
        <w:spacing w:after="0" w:line="252" w:lineRule="auto"/>
        <w:tabs>
          <w:tab w:leader="none" w:pos="2002"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any other Disposition of assets (including equity interests);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the total fair market value of the assets subject to such Disposition or series of related Dispositions is in excess of $5,000,000, it shall be for a fair market value, (ii) at least 75% of the total consideration for any such Disposition is in the form of cash or cash Equivalents and (iii) no Default or Event of Default then exists or would result from such Disposition (except if such Disposition is made pursuant to an agreement entered into at a time when no Default or Event of default</w:t>
      </w: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exists); and</w:t>
      </w:r>
    </w:p>
    <w:p>
      <w:pPr>
        <w:spacing w:after="0" w:line="148"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swap of assets in exchange for services or other assets of comparable or greater value or usefulness to the business of the Borrower and its Subsidiaries as a whole, as determined in good faith by the management of the Borrower.</w:t>
      </w:r>
      <w:r>
        <w:rPr>
          <w:rFonts w:ascii="Arial" w:cs="Arial" w:eastAsia="Arial" w:hAnsi="Arial"/>
          <w:sz w:val="22"/>
          <w:szCs w:val="22"/>
          <w:u w:val="single" w:color="auto"/>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and</w:t>
      </w:r>
    </w:p>
    <w:p>
      <w:pPr>
        <w:spacing w:after="0" w:line="158" w:lineRule="exact"/>
        <w:rPr>
          <w:rFonts w:ascii="Arial" w:cs="Arial" w:eastAsia="Arial" w:hAnsi="Arial"/>
          <w:sz w:val="22"/>
          <w:szCs w:val="22"/>
          <w:color w:val="auto"/>
        </w:rPr>
      </w:pPr>
    </w:p>
    <w:p>
      <w:pPr>
        <w:ind w:firstLine="1304"/>
        <w:spacing w:after="0" w:line="232" w:lineRule="auto"/>
        <w:tabs>
          <w:tab w:leader="none" w:pos="1942" w:val="left"/>
        </w:tabs>
        <w:numPr>
          <w:ilvl w:val="0"/>
          <w:numId w:val="168"/>
        </w:numPr>
        <w:rPr>
          <w:rFonts w:ascii="Arial" w:cs="Arial" w:eastAsia="Arial" w:hAnsi="Arial"/>
          <w:sz w:val="22"/>
          <w:szCs w:val="22"/>
          <w:color w:val="3051F2"/>
        </w:rPr>
      </w:pPr>
      <w:r>
        <w:rPr>
          <w:rFonts w:ascii="Arial" w:cs="Arial" w:eastAsia="Arial" w:hAnsi="Arial"/>
          <w:sz w:val="22"/>
          <w:szCs w:val="22"/>
          <w:u w:val="single" w:color="auto"/>
          <w:color w:val="3051F2"/>
        </w:rPr>
        <w:t>sale and leaseback transactions permitted by Section 7.11, provided, that the requirements of Section 2.12(b) are complied with in connection therewith.</w:t>
      </w:r>
    </w:p>
    <w:p>
      <w:pPr>
        <w:spacing w:after="0" w:line="159"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7.6 </w:t>
      </w:r>
      <w:r>
        <w:rPr>
          <w:rFonts w:ascii="Arial" w:cs="Arial" w:eastAsia="Arial" w:hAnsi="Arial"/>
          <w:sz w:val="19"/>
          <w:szCs w:val="19"/>
          <w:u w:val="single" w:color="auto"/>
          <w:color w:val="auto"/>
        </w:rPr>
        <w:t>Limitation on Restricted Payments.</w:t>
      </w:r>
      <w:r>
        <w:rPr>
          <w:rFonts w:ascii="Arial" w:cs="Arial" w:eastAsia="Arial" w:hAnsi="Arial"/>
          <w:sz w:val="19"/>
          <w:szCs w:val="19"/>
          <w:color w:val="auto"/>
        </w:rPr>
        <w:t xml:space="preserve"> Declare or pay any dividend on, or make any payment on account of, or set apart assets for a sinking or other analogous fund for, the purchase, redemption, defeasance, retirement or other acquisition of, any Capital Stock of the Borrower or any Subsidiary, whether now or hereafter outstanding, or make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240"/>
          </w:cols>
          <w:pgMar w:left="320" w:top="1428" w:right="339" w:bottom="1440" w:gutter="0" w:footer="0" w:header="0"/>
        </w:sectPr>
      </w:pPr>
    </w:p>
    <w:bookmarkStart w:id="218" w:name="page219"/>
    <w:bookmarkEnd w:id="218"/>
    <w:p>
      <w:pPr>
        <w:spacing w:after="0"/>
        <w:rPr>
          <w:sz w:val="20"/>
          <w:szCs w:val="20"/>
          <w:color w:val="auto"/>
        </w:rPr>
      </w:pPr>
      <w:r>
        <w:rPr>
          <w:rFonts w:ascii="Arial" w:cs="Arial" w:eastAsia="Arial" w:hAnsi="Arial"/>
          <w:sz w:val="19"/>
          <w:szCs w:val="19"/>
          <w:color w:val="auto"/>
        </w:rPr>
        <w:t>distribution in respect thereof, either directly or indirectly, whether in cash or property or in obligations of the Borrower or any</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Subsidiary (collectively,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except that:</w:t>
      </w:r>
    </w:p>
    <w:p>
      <w:pPr>
        <w:spacing w:after="0" w:line="188" w:lineRule="exact"/>
        <w:rPr>
          <w:sz w:val="20"/>
          <w:szCs w:val="20"/>
          <w:color w:val="auto"/>
        </w:rPr>
      </w:pPr>
    </w:p>
    <w:p>
      <w:pPr>
        <w:jc w:val="both"/>
        <w:ind w:firstLine="1304"/>
        <w:spacing w:after="0" w:line="297" w:lineRule="auto"/>
        <w:tabs>
          <w:tab w:leader="none" w:pos="194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any Subsidiary may make Restricted Payments </w:t>
      </w:r>
      <w:r>
        <w:rPr>
          <w:rFonts w:ascii="Arial" w:cs="Arial" w:eastAsia="Arial" w:hAnsi="Arial"/>
          <w:sz w:val="19"/>
          <w:szCs w:val="19"/>
          <w:u w:val="single" w:color="auto"/>
          <w:color w:val="0000FF"/>
        </w:rPr>
        <w:t>(i)</w:t>
      </w:r>
      <w:r>
        <w:rPr>
          <w:rFonts w:ascii="Arial" w:cs="Arial" w:eastAsia="Arial" w:hAnsi="Arial"/>
          <w:sz w:val="19"/>
          <w:szCs w:val="19"/>
          <w:color w:val="auto"/>
        </w:rPr>
        <w:t xml:space="preserve"> to the Borrower or any Subsidiary Guarantor</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and/or (ii)</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in the case of any (A) any Subsidiary that is not a Wholly Owned Subsidiary and/or (B) any Subsidiary that is owned (in whole or in part) by any Subsidiary that is not a Loan Party, to the Borrower or to any other Subsidiary and to each other owner of any class of Capital Stock of such Subsidiary, so long as the Borrower or its applicable Subsidiaries that own shares or other interests in such class of Capital Stock share at least ratably in such Restricted Payment in respect of such class of Capital Stock;</w:t>
      </w:r>
    </w:p>
    <w:p>
      <w:pPr>
        <w:spacing w:after="0" w:line="146" w:lineRule="exact"/>
        <w:rPr>
          <w:rFonts w:ascii="Arial" w:cs="Arial" w:eastAsia="Arial" w:hAnsi="Arial"/>
          <w:sz w:val="19"/>
          <w:szCs w:val="19"/>
          <w:color w:val="auto"/>
        </w:rPr>
      </w:pPr>
    </w:p>
    <w:p>
      <w:pPr>
        <w:ind w:firstLine="1304"/>
        <w:spacing w:after="0" w:line="263" w:lineRule="auto"/>
        <w:tabs>
          <w:tab w:leader="none" w:pos="193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Borrower may make Restricted Payments in the form of common membership units of the Borrower or options, warrants or other rights to purchase common membership units of the Borrower;</w:t>
      </w:r>
    </w:p>
    <w:p>
      <w:pPr>
        <w:spacing w:after="0" w:line="174" w:lineRule="exact"/>
        <w:rPr>
          <w:rFonts w:ascii="Arial" w:cs="Arial" w:eastAsia="Arial" w:hAnsi="Arial"/>
          <w:sz w:val="22"/>
          <w:szCs w:val="22"/>
          <w:color w:val="auto"/>
        </w:rPr>
      </w:pPr>
    </w:p>
    <w:p>
      <w:pPr>
        <w:jc w:val="both"/>
        <w:ind w:firstLine="1304"/>
        <w:spacing w:after="0" w:line="286" w:lineRule="auto"/>
        <w:tabs>
          <w:tab w:leader="none" w:pos="194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so long as </w:t>
      </w:r>
      <w:r>
        <w:rPr>
          <w:rFonts w:ascii="Arial" w:cs="Arial" w:eastAsia="Arial" w:hAnsi="Arial"/>
          <w:sz w:val="19"/>
          <w:szCs w:val="19"/>
          <w:u w:val="single" w:color="auto"/>
          <w:color w:val="0000FF"/>
        </w:rPr>
        <w:t>(x)</w:t>
      </w:r>
      <w:r>
        <w:rPr>
          <w:rFonts w:ascii="Arial" w:cs="Arial" w:eastAsia="Arial" w:hAnsi="Arial"/>
          <w:sz w:val="19"/>
          <w:szCs w:val="19"/>
          <w:color w:val="auto"/>
        </w:rPr>
        <w:t xml:space="preserve"> no Default or Event of Default shall have occurred and be continuing, </w:t>
      </w:r>
      <w:r>
        <w:rPr>
          <w:rFonts w:ascii="Arial" w:cs="Arial" w:eastAsia="Arial" w:hAnsi="Arial"/>
          <w:sz w:val="19"/>
          <w:szCs w:val="19"/>
          <w:u w:val="single" w:color="auto"/>
          <w:color w:val="0000FF"/>
        </w:rPr>
        <w:t>(y) the Consolidated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Net Senior Secured Leverage Ratio (after giving effect to such Restricted Payment) is equal to or less than 4.00 to 1.00</w:t>
      </w:r>
      <w:r>
        <w:rPr>
          <w:rFonts w:ascii="Arial" w:cs="Arial" w:eastAsia="Arial" w:hAnsi="Arial"/>
          <w:sz w:val="19"/>
          <w:szCs w:val="19"/>
          <w:u w:val="single" w:color="auto"/>
          <w:color w:val="008000"/>
        </w:rPr>
        <w:t>, and (z)</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the aggregate principal amount of all outstanding Revolving Credit Loans (after giving effect to such Restricted Payment) is equal to or less than $39,000,000,</w:t>
      </w:r>
      <w:r>
        <w:rPr>
          <w:rFonts w:ascii="Arial" w:cs="Arial" w:eastAsia="Arial" w:hAnsi="Arial"/>
          <w:sz w:val="19"/>
          <w:szCs w:val="19"/>
          <w:color w:val="008000"/>
        </w:rPr>
        <w:t xml:space="preserve"> </w:t>
      </w:r>
      <w:r>
        <w:rPr>
          <w:rFonts w:ascii="Arial" w:cs="Arial" w:eastAsia="Arial" w:hAnsi="Arial"/>
          <w:sz w:val="19"/>
          <w:szCs w:val="19"/>
          <w:color w:val="000000"/>
        </w:rPr>
        <w:t>the Borrower may make Restricted Payments to Holdings to permit Holdings to (i) purchase</w:t>
      </w:r>
      <w:r>
        <w:rPr>
          <w:rFonts w:ascii="Arial" w:cs="Arial" w:eastAsia="Arial" w:hAnsi="Arial"/>
          <w:sz w:val="19"/>
          <w:szCs w:val="19"/>
          <w:color w:val="008000"/>
        </w:rPr>
        <w:t xml:space="preserve"> </w:t>
      </w:r>
      <w:r>
        <w:rPr>
          <w:rFonts w:ascii="Arial" w:cs="Arial" w:eastAsia="Arial" w:hAnsi="Arial"/>
          <w:sz w:val="19"/>
          <w:szCs w:val="19"/>
          <w:color w:val="000000"/>
        </w:rPr>
        <w:t xml:space="preserve">Holdings’ common stock or common stock options from present or former officers, consultants or employees of Holdings, the Borrower or any Subsidiary upon the death, disability or termination of employment of such officer, consultant or employee,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aggregate amount of payments under this </w:t>
      </w:r>
      <w:r>
        <w:rPr>
          <w:rFonts w:ascii="Arial" w:cs="Arial" w:eastAsia="Arial" w:hAnsi="Arial"/>
          <w:sz w:val="19"/>
          <w:szCs w:val="19"/>
          <w:u w:val="single" w:color="auto"/>
          <w:color w:val="000000"/>
        </w:rPr>
        <w:t>clause (i)</w:t>
      </w:r>
      <w:r>
        <w:rPr>
          <w:rFonts w:ascii="Arial" w:cs="Arial" w:eastAsia="Arial" w:hAnsi="Arial"/>
          <w:sz w:val="19"/>
          <w:szCs w:val="19"/>
          <w:color w:val="000000"/>
        </w:rPr>
        <w:t xml:space="preserve"> subsequent to the Closing Date (net of any proceeds received by Holdings and contributed to the Borrower subsequent to the Closing Date in connection with resales of any common stock or common stock options so purchased) shall not exceed $10,000,000; </w:t>
      </w:r>
      <w:r>
        <w:rPr>
          <w:rFonts w:ascii="Arial" w:cs="Arial" w:eastAsia="Arial" w:hAnsi="Arial"/>
          <w:sz w:val="19"/>
          <w:szCs w:val="19"/>
          <w:u w:val="single" w:color="auto"/>
          <w:color w:val="0000FF"/>
        </w:rPr>
        <w:t>provided that, notwithstanding the foregoing, the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Borrower shall not, and shall not permit any of its Subsidiaries to, directly or indirectly make any Restricted Payments under this clause (c) during the period commencing on the Amendment No. 2 Effective Date and ending on the Q3 End Date (and the Borrower hereby represents and warrants that it has made no such Restricted Payments under this clause (c) in the 7 days immediately preceding the Amendment No. 2 Effective Date);</w:t>
      </w:r>
    </w:p>
    <w:p>
      <w:pPr>
        <w:spacing w:after="0" w:line="165" w:lineRule="exact"/>
        <w:rPr>
          <w:rFonts w:ascii="Arial" w:cs="Arial" w:eastAsia="Arial" w:hAnsi="Arial"/>
          <w:sz w:val="19"/>
          <w:szCs w:val="19"/>
          <w:color w:val="auto"/>
        </w:rPr>
      </w:pPr>
    </w:p>
    <w:p>
      <w:pPr>
        <w:ind w:firstLine="1304"/>
        <w:spacing w:after="0" w:line="263" w:lineRule="auto"/>
        <w:tabs>
          <w:tab w:leader="none" w:pos="193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Borrower may pay the Services Fee and Reimbursable Costs (as defined in the Management Agreement) to Holdings pursuant to the terms of the Management Agreement;</w:t>
      </w:r>
    </w:p>
    <w:p>
      <w:pPr>
        <w:spacing w:after="0" w:line="174" w:lineRule="exact"/>
        <w:rPr>
          <w:rFonts w:ascii="Arial" w:cs="Arial" w:eastAsia="Arial" w:hAnsi="Arial"/>
          <w:sz w:val="22"/>
          <w:szCs w:val="22"/>
          <w:color w:val="auto"/>
        </w:rPr>
      </w:pPr>
    </w:p>
    <w:p>
      <w:pPr>
        <w:jc w:val="both"/>
        <w:ind w:firstLine="1304"/>
        <w:spacing w:after="0" w:line="294" w:lineRule="auto"/>
        <w:tabs>
          <w:tab w:leader="none" w:pos="1941"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the Borrower may make payments pursuant to the Tax Receivable Agreement in the amount and at the time necessary to satisfy Holdings’ contractual obligations with respect to the actual cash tax benefits payable to the Founding Members, in their capacities as members of the Borrower, and to the entities that are parties to the ESAs in respect of the tax benefits arising from the modifications of such agreements as of the Closing Date (and to Holdings to the extent that the parties to the ESAs make a payment back to the Borrower pursuant to the Tax Receivable Agreement to enable Holdings to make a payment to a tax authority);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payments shall be supported by reasonably detailed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1401" w:right="33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calculations delivered to the Administrative Agent no later than 5 Business Days prior to any such payment;</w:t>
      </w:r>
    </w:p>
    <w:p>
      <w:pPr>
        <w:spacing w:after="0" w:line="220" w:lineRule="exact"/>
        <w:rPr>
          <w:sz w:val="20"/>
          <w:szCs w:val="20"/>
          <w:color w:val="auto"/>
        </w:rPr>
      </w:pPr>
    </w:p>
    <w:p>
      <w:pPr>
        <w:jc w:val="both"/>
        <w:ind w:firstLine="1304"/>
        <w:spacing w:after="0" w:line="302" w:lineRule="auto"/>
        <w:tabs>
          <w:tab w:leader="none" w:pos="1944" w:val="left"/>
        </w:tabs>
        <w:numPr>
          <w:ilvl w:val="1"/>
          <w:numId w:val="170"/>
        </w:numPr>
        <w:rPr>
          <w:rFonts w:ascii="Arial" w:cs="Arial" w:eastAsia="Arial" w:hAnsi="Arial"/>
          <w:sz w:val="19"/>
          <w:szCs w:val="19"/>
          <w:color w:val="auto"/>
        </w:rPr>
      </w:pPr>
      <w:r>
        <w:rPr>
          <w:rFonts w:ascii="Arial" w:cs="Arial" w:eastAsia="Arial" w:hAnsi="Arial"/>
          <w:sz w:val="19"/>
          <w:szCs w:val="19"/>
          <w:color w:val="auto"/>
        </w:rPr>
        <w:t>so long as the Borrower is properly treated as a pass-through entity for U.S. federal income tax purposes, the Borrower may make quarterly distributions constituting Restricted Payments to each of its members for income taxes of such member in an amount equal to (i) the estimated or actual taxable income of the Borrower, as determined for federal income tax purposes, for the period to which the distribution relates multiplied by (ii) the Applicable Tax Rate;</w:t>
      </w:r>
    </w:p>
    <w:p>
      <w:pPr>
        <w:spacing w:after="0" w:line="142" w:lineRule="exact"/>
        <w:rPr>
          <w:rFonts w:ascii="Arial" w:cs="Arial" w:eastAsia="Arial" w:hAnsi="Arial"/>
          <w:sz w:val="19"/>
          <w:szCs w:val="19"/>
          <w:color w:val="auto"/>
        </w:rPr>
      </w:pPr>
    </w:p>
    <w:p>
      <w:pPr>
        <w:ind w:left="1940" w:hanging="636"/>
        <w:spacing w:after="0"/>
        <w:tabs>
          <w:tab w:leader="none" w:pos="194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84" w:lineRule="auto"/>
        <w:tabs>
          <w:tab w:leader="none" w:pos="1939" w:val="left"/>
        </w:tabs>
        <w:numPr>
          <w:ilvl w:val="1"/>
          <w:numId w:val="170"/>
        </w:numPr>
        <w:rPr>
          <w:rFonts w:ascii="Arial" w:cs="Arial" w:eastAsia="Arial" w:hAnsi="Arial"/>
          <w:sz w:val="20"/>
          <w:szCs w:val="20"/>
          <w:color w:val="auto"/>
        </w:rPr>
      </w:pPr>
      <w:r>
        <w:rPr>
          <w:rFonts w:ascii="Arial" w:cs="Arial" w:eastAsia="Arial" w:hAnsi="Arial"/>
          <w:sz w:val="18"/>
          <w:szCs w:val="18"/>
          <w:color w:val="FF0000"/>
          <w:strike w:val="1"/>
        </w:rPr>
        <w:t>(i)</w:t>
      </w:r>
      <w:r>
        <w:rPr>
          <w:rFonts w:ascii="Arial" w:cs="Arial" w:eastAsia="Arial" w:hAnsi="Arial"/>
          <w:sz w:val="18"/>
          <w:szCs w:val="18"/>
          <w:color w:val="FF0000"/>
        </w:rPr>
        <w:t xml:space="preserve"> </w:t>
      </w:r>
      <w:r>
        <w:rPr>
          <w:rFonts w:ascii="Arial" w:cs="Arial" w:eastAsia="Arial" w:hAnsi="Arial"/>
          <w:sz w:val="19"/>
          <w:szCs w:val="19"/>
          <w:color w:val="000000"/>
        </w:rPr>
        <w:t>so long as (x) no Default or Event of Default has occurred and is continuing,</w:t>
      </w:r>
      <w:r>
        <w:rPr>
          <w:rFonts w:ascii="Arial" w:cs="Arial" w:eastAsia="Arial" w:hAnsi="Arial"/>
          <w:sz w:val="18"/>
          <w:szCs w:val="18"/>
          <w:color w:val="FF0000"/>
        </w:rPr>
        <w:t xml:space="preserve"> </w:t>
      </w:r>
      <w:r>
        <w:rPr>
          <w:rFonts w:ascii="Arial" w:cs="Arial" w:eastAsia="Arial" w:hAnsi="Arial"/>
          <w:sz w:val="18"/>
          <w:szCs w:val="18"/>
          <w:color w:val="FF0000"/>
          <w:strike w:val="1"/>
        </w:rPr>
        <w:t>and</w:t>
      </w:r>
      <w:r>
        <w:rPr>
          <w:rFonts w:ascii="Arial" w:cs="Arial" w:eastAsia="Arial" w:hAnsi="Arial"/>
          <w:sz w:val="18"/>
          <w:szCs w:val="18"/>
          <w:color w:val="FF0000"/>
        </w:rPr>
        <w:t xml:space="preserve"> </w:t>
      </w:r>
      <w:r>
        <w:rPr>
          <w:rFonts w:ascii="Arial" w:cs="Arial" w:eastAsia="Arial" w:hAnsi="Arial"/>
          <w:sz w:val="19"/>
          <w:szCs w:val="19"/>
          <w:color w:val="000000"/>
        </w:rPr>
        <w:t>(y) the Consolidated</w:t>
      </w:r>
      <w:r>
        <w:rPr>
          <w:rFonts w:ascii="Arial" w:cs="Arial" w:eastAsia="Arial" w:hAnsi="Arial"/>
          <w:sz w:val="18"/>
          <w:szCs w:val="18"/>
          <w:color w:val="FF0000"/>
        </w:rPr>
        <w:t xml:space="preserve"> </w:t>
      </w:r>
      <w:r>
        <w:rPr>
          <w:rFonts w:ascii="Arial" w:cs="Arial" w:eastAsia="Arial" w:hAnsi="Arial"/>
          <w:sz w:val="19"/>
          <w:szCs w:val="19"/>
          <w:color w:val="000000"/>
        </w:rPr>
        <w:t xml:space="preserve">Net Senior Secured Leverage Ratio (after giving effect to such Restricted Payment) is equal to or less than </w:t>
      </w:r>
      <w:r>
        <w:rPr>
          <w:rFonts w:ascii="Arial" w:cs="Arial" w:eastAsia="Arial" w:hAnsi="Arial"/>
          <w:sz w:val="17"/>
          <w:szCs w:val="17"/>
          <w:color w:val="FF0000"/>
          <w:strike w:val="1"/>
        </w:rPr>
        <w:t>5.00</w:t>
      </w:r>
      <w:r>
        <w:rPr>
          <w:rFonts w:ascii="Arial" w:cs="Arial" w:eastAsia="Arial" w:hAnsi="Arial"/>
          <w:sz w:val="19"/>
          <w:szCs w:val="19"/>
          <w:u w:val="single" w:color="auto"/>
          <w:color w:val="0000FF"/>
        </w:rPr>
        <w:t>4.00</w:t>
      </w:r>
      <w:r>
        <w:rPr>
          <w:rFonts w:ascii="Arial" w:cs="Arial" w:eastAsia="Arial" w:hAnsi="Arial"/>
          <w:sz w:val="19"/>
          <w:szCs w:val="19"/>
          <w:color w:val="000000"/>
        </w:rPr>
        <w:t xml:space="preserve"> to 1.00</w:t>
      </w:r>
      <w:r>
        <w:rPr>
          <w:rFonts w:ascii="Arial" w:cs="Arial" w:eastAsia="Arial" w:hAnsi="Arial"/>
          <w:sz w:val="19"/>
          <w:szCs w:val="19"/>
          <w:u w:val="single" w:color="auto"/>
          <w:color w:val="0000FF"/>
        </w:rPr>
        <w:t>, and</w:t>
      </w:r>
    </w:p>
    <w:p>
      <w:pPr>
        <w:jc w:val="both"/>
        <w:ind w:firstLine="8"/>
        <w:spacing w:after="0" w:line="261" w:lineRule="auto"/>
        <w:tabs>
          <w:tab w:leader="none" w:pos="305" w:val="left"/>
        </w:tabs>
        <w:numPr>
          <w:ilvl w:val="0"/>
          <w:numId w:val="171"/>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the aggregate principal amount of all outstanding Revolving Credit Loans (after giving effect to such Restricted Payment) is equal to or less than $39,000,000</w:t>
      </w:r>
      <w:r>
        <w:rPr>
          <w:rFonts w:ascii="Arial" w:cs="Arial" w:eastAsia="Arial" w:hAnsi="Arial"/>
          <w:sz w:val="21"/>
          <w:szCs w:val="21"/>
          <w:color w:val="000000"/>
        </w:rPr>
        <w:t>, the Borrower may make Restricted Payments of an amount equal to 100% of Available Cash</w:t>
      </w:r>
      <w:r>
        <w:rPr>
          <w:rFonts w:ascii="Arial" w:cs="Arial" w:eastAsia="Arial" w:hAnsi="Arial"/>
          <w:sz w:val="21"/>
          <w:szCs w:val="21"/>
          <w:color w:val="0000FF"/>
        </w:rPr>
        <w:t xml:space="preserve"> </w:t>
      </w:r>
      <w:r>
        <w:rPr>
          <w:rFonts w:ascii="Arial" w:cs="Arial" w:eastAsia="Arial" w:hAnsi="Arial"/>
          <w:sz w:val="21"/>
          <w:szCs w:val="21"/>
          <w:color w:val="000000"/>
        </w:rPr>
        <w:t xml:space="preserve">for the fiscal quarter immediately preceding such Restricted Payment;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that, notwithstanding the foregoing, the Borrower shall not, and shall not permit any of its Subsidiaries to, directly or indirectly make any Restricted Payments using Available Cash under this </w:t>
      </w:r>
      <w:r>
        <w:rPr>
          <w:rFonts w:ascii="Arial" w:cs="Arial" w:eastAsia="Arial" w:hAnsi="Arial"/>
          <w:sz w:val="21"/>
          <w:szCs w:val="21"/>
          <w:u w:val="single" w:color="auto"/>
          <w:color w:val="000000"/>
        </w:rPr>
        <w:t>clause (h)</w:t>
      </w:r>
      <w:r>
        <w:rPr>
          <w:rFonts w:ascii="Arial" w:cs="Arial" w:eastAsia="Arial" w:hAnsi="Arial"/>
          <w:sz w:val="18"/>
          <w:szCs w:val="18"/>
          <w:u w:val="single" w:color="auto"/>
          <w:color w:val="FF0000"/>
          <w:strike w:val="1"/>
        </w:rPr>
        <w:t>(i)</w:t>
      </w:r>
      <w:r>
        <w:rPr>
          <w:rFonts w:ascii="Arial" w:cs="Arial" w:eastAsia="Arial" w:hAnsi="Arial"/>
          <w:sz w:val="21"/>
          <w:szCs w:val="21"/>
          <w:color w:val="000000"/>
        </w:rPr>
        <w:t xml:space="preserve"> during the </w:t>
      </w:r>
      <w:r>
        <w:rPr>
          <w:rFonts w:ascii="Arial" w:cs="Arial" w:eastAsia="Arial" w:hAnsi="Arial"/>
          <w:sz w:val="18"/>
          <w:szCs w:val="18"/>
          <w:color w:val="FF0000"/>
          <w:strike w:val="1"/>
        </w:rPr>
        <w:t>Covenant Holiday Period, and (ii) solely during the Covenant Holiday Period, so long as (x) no</w:t>
      </w:r>
      <w:r>
        <w:rPr>
          <w:rFonts w:ascii="Arial" w:cs="Arial" w:eastAsia="Arial" w:hAnsi="Arial"/>
          <w:sz w:val="21"/>
          <w:szCs w:val="21"/>
          <w:color w:val="000000"/>
        </w:rPr>
        <w:t xml:space="preserve"> </w:t>
      </w:r>
      <w:r>
        <w:rPr>
          <w:rFonts w:ascii="Arial" w:cs="Arial" w:eastAsia="Arial" w:hAnsi="Arial"/>
          <w:sz w:val="18"/>
          <w:szCs w:val="18"/>
          <w:color w:val="FF0000"/>
          <w:strike w:val="1"/>
        </w:rPr>
        <w:t>Default or Event of Default has occurred and is continuing, (y) Consolidated EBITDA for the trailing twelve month period then ended equals or exceeds $277,000,000</w:t>
      </w:r>
      <w:r>
        <w:rPr>
          <w:rFonts w:ascii="Arial" w:cs="Arial" w:eastAsia="Arial" w:hAnsi="Arial"/>
          <w:sz w:val="18"/>
          <w:szCs w:val="18"/>
          <w:color w:val="008000"/>
          <w:strike w:val="1"/>
        </w:rPr>
        <w:t>, and (z) the aggregate principal amount of all outstanding Revolving Credit Loans (after giving effect to such</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Restricted Payment) is equal to or less than $39,000,000, </w:t>
      </w:r>
      <w:r>
        <w:rPr>
          <w:rFonts w:ascii="Arial" w:cs="Arial" w:eastAsia="Arial" w:hAnsi="Arial"/>
          <w:sz w:val="18"/>
          <w:szCs w:val="18"/>
          <w:color w:val="FF0000"/>
          <w:strike w:val="1"/>
        </w:rPr>
        <w:t>the Borrower may make Restricted Payments of</w:t>
      </w:r>
      <w:r>
        <w:rPr>
          <w:rFonts w:ascii="Arial" w:cs="Arial" w:eastAsia="Arial" w:hAnsi="Arial"/>
          <w:sz w:val="18"/>
          <w:szCs w:val="18"/>
          <w:color w:val="008000"/>
          <w:strike w:val="1"/>
        </w:rPr>
        <w:t xml:space="preserve"> an amount equal to </w:t>
      </w:r>
      <w:r>
        <w:rPr>
          <w:rFonts w:ascii="Arial" w:cs="Arial" w:eastAsia="Arial" w:hAnsi="Arial"/>
          <w:sz w:val="18"/>
          <w:szCs w:val="18"/>
          <w:color w:val="FF0000"/>
          <w:strike w:val="1"/>
        </w:rPr>
        <w:t>100% of</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Available Cash for the fiscal quarter immediately preceding such Restricted Payment.</w:t>
      </w:r>
      <w:r>
        <w:rPr>
          <w:rFonts w:ascii="Arial" w:cs="Arial" w:eastAsia="Arial" w:hAnsi="Arial"/>
          <w:sz w:val="20"/>
          <w:szCs w:val="20"/>
          <w:u w:val="single" w:color="auto"/>
          <w:color w:val="0000FF"/>
          <w:strike w:val="1"/>
        </w:rPr>
        <w:t>period commencing on the Amendment No. 2</w:t>
      </w:r>
      <w:r>
        <w:rPr>
          <w:rFonts w:ascii="Arial" w:cs="Arial" w:eastAsia="Arial" w:hAnsi="Arial"/>
          <w:sz w:val="18"/>
          <w:szCs w:val="18"/>
          <w:color w:val="FF0000"/>
          <w:strike w:val="1"/>
        </w:rPr>
        <w:t xml:space="preserve"> </w:t>
      </w:r>
      <w:r>
        <w:rPr>
          <w:rFonts w:ascii="Arial" w:cs="Arial" w:eastAsia="Arial" w:hAnsi="Arial"/>
          <w:sz w:val="20"/>
          <w:szCs w:val="20"/>
          <w:u w:val="single" w:color="auto"/>
          <w:color w:val="0000FF"/>
          <w:strike w:val="1"/>
        </w:rPr>
        <w:t>Effective Date and ending on the Q3 End Date;</w:t>
      </w:r>
    </w:p>
    <w:p>
      <w:pPr>
        <w:spacing w:after="0" w:line="180" w:lineRule="exact"/>
        <w:rPr>
          <w:rFonts w:ascii="Arial" w:cs="Arial" w:eastAsia="Arial" w:hAnsi="Arial"/>
          <w:sz w:val="21"/>
          <w:szCs w:val="21"/>
          <w:u w:val="single" w:color="auto"/>
          <w:color w:val="0000FF"/>
        </w:rPr>
      </w:pPr>
    </w:p>
    <w:p>
      <w:pPr>
        <w:jc w:val="both"/>
        <w:ind w:firstLine="1304"/>
        <w:spacing w:after="0" w:line="297" w:lineRule="auto"/>
        <w:tabs>
          <w:tab w:leader="none" w:pos="1932" w:val="left"/>
        </w:tabs>
        <w:numPr>
          <w:ilvl w:val="1"/>
          <w:numId w:val="171"/>
        </w:numPr>
        <w:rPr>
          <w:rFonts w:ascii="Arial" w:cs="Arial" w:eastAsia="Arial" w:hAnsi="Arial"/>
          <w:sz w:val="19"/>
          <w:szCs w:val="19"/>
          <w:color w:val="auto"/>
        </w:rPr>
      </w:pPr>
      <w:r>
        <w:rPr>
          <w:rFonts w:ascii="Arial" w:cs="Arial" w:eastAsia="Arial" w:hAnsi="Arial"/>
          <w:sz w:val="19"/>
          <w:szCs w:val="19"/>
          <w:color w:val="auto"/>
        </w:rPr>
        <w:t xml:space="preserve">the Borrower may (i) distribute proceeds of the </w:t>
      </w:r>
      <w:r>
        <w:rPr>
          <w:rFonts w:ascii="Arial" w:cs="Arial" w:eastAsia="Arial" w:hAnsi="Arial"/>
          <w:sz w:val="19"/>
          <w:szCs w:val="19"/>
          <w:u w:val="single" w:color="auto"/>
          <w:color w:val="0000FF"/>
        </w:rPr>
        <w:t>Initial</w:t>
      </w:r>
      <w:r>
        <w:rPr>
          <w:rFonts w:ascii="Arial" w:cs="Arial" w:eastAsia="Arial" w:hAnsi="Arial"/>
          <w:sz w:val="19"/>
          <w:szCs w:val="19"/>
          <w:color w:val="auto"/>
        </w:rPr>
        <w:t xml:space="preserve"> Term Loans to Holdings to pay fees and expenses related to the initial public offering of the common stock of Holdings and all related transactions, (ii) distribute proceeds of the Term Loans to finance certain payments to the ESA Parties as compensation for amendments to the Borrower’s payment obligations under the ESAs and (iii) the Borrower may distribute proceeds of the Revolving Credit Loans to the ESA Parties in connection with payment of the Final Circuit Share Payments, in each case as contemplated by </w:t>
      </w:r>
      <w:r>
        <w:rPr>
          <w:rFonts w:ascii="Arial" w:cs="Arial" w:eastAsia="Arial" w:hAnsi="Arial"/>
          <w:sz w:val="19"/>
          <w:szCs w:val="19"/>
          <w:u w:val="single" w:color="auto"/>
          <w:color w:val="auto"/>
        </w:rPr>
        <w:t>Section 4.16</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firstLine="1304"/>
        <w:spacing w:after="0" w:line="253" w:lineRule="auto"/>
        <w:tabs>
          <w:tab w:leader="none" w:pos="1932" w:val="left"/>
        </w:tabs>
        <w:numPr>
          <w:ilvl w:val="1"/>
          <w:numId w:val="171"/>
        </w:numPr>
        <w:rPr>
          <w:rFonts w:ascii="Arial" w:cs="Arial" w:eastAsia="Arial" w:hAnsi="Arial"/>
          <w:sz w:val="22"/>
          <w:szCs w:val="22"/>
          <w:color w:val="auto"/>
        </w:rPr>
      </w:pPr>
      <w:r>
        <w:rPr>
          <w:rFonts w:ascii="Arial" w:cs="Arial" w:eastAsia="Arial" w:hAnsi="Arial"/>
          <w:sz w:val="22"/>
          <w:szCs w:val="22"/>
          <w:color w:val="auto"/>
        </w:rPr>
        <w:t>the Borrower may redeem its common membership units in connection with the redemption of Borrower Membership Units by a member of the Borrower (other than Holdings) in accordance with Article 9 of the Borrower LLC Operating Agreement;</w:t>
      </w:r>
    </w:p>
    <w:p>
      <w:pPr>
        <w:spacing w:after="0" w:line="185" w:lineRule="exact"/>
        <w:rPr>
          <w:rFonts w:ascii="Arial" w:cs="Arial" w:eastAsia="Arial" w:hAnsi="Arial"/>
          <w:sz w:val="22"/>
          <w:szCs w:val="22"/>
          <w:color w:val="auto"/>
        </w:rPr>
      </w:pPr>
    </w:p>
    <w:p>
      <w:pPr>
        <w:jc w:val="both"/>
        <w:ind w:firstLine="1304"/>
        <w:spacing w:after="0" w:line="265" w:lineRule="auto"/>
        <w:tabs>
          <w:tab w:leader="none" w:pos="1939" w:val="left"/>
        </w:tabs>
        <w:numPr>
          <w:ilvl w:val="1"/>
          <w:numId w:val="171"/>
        </w:numPr>
        <w:rPr>
          <w:rFonts w:ascii="Arial" w:cs="Arial" w:eastAsia="Arial" w:hAnsi="Arial"/>
          <w:sz w:val="21"/>
          <w:szCs w:val="21"/>
          <w:color w:val="auto"/>
        </w:rPr>
      </w:pPr>
      <w:r>
        <w:rPr>
          <w:rFonts w:ascii="Arial" w:cs="Arial" w:eastAsia="Arial" w:hAnsi="Arial"/>
          <w:sz w:val="21"/>
          <w:szCs w:val="21"/>
          <w:color w:val="auto"/>
        </w:rPr>
        <w:t>(x) repurchases of Capital Stock deemed to occur upon the exercise of stock options or the grant, vesting or payment of other equity compensation awards if the Capital Stock represents all or a portion of the exercise price thereof or is to pay related withholding taxes upon exercise of options or upon the grant, vesting or payment of other equity compensation awards (whether such Capital Stock is withheld from the Capital Stock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240"/>
          </w:cols>
          <w:pgMar w:left="320" w:top="1428" w:right="339" w:bottom="1440" w:gutter="0" w:footer="0" w:header="0"/>
        </w:sectPr>
      </w:pPr>
    </w:p>
    <w:bookmarkStart w:id="220" w:name="page221"/>
    <w:bookmarkEnd w:id="220"/>
    <w:p>
      <w:pPr>
        <w:jc w:val="both"/>
        <w:spacing w:after="0" w:line="297" w:lineRule="auto"/>
        <w:rPr>
          <w:sz w:val="20"/>
          <w:szCs w:val="20"/>
          <w:color w:val="auto"/>
        </w:rPr>
      </w:pPr>
      <w:r>
        <w:rPr>
          <w:rFonts w:ascii="Arial" w:cs="Arial" w:eastAsia="Arial" w:hAnsi="Arial"/>
          <w:sz w:val="19"/>
          <w:szCs w:val="19"/>
          <w:color w:val="auto"/>
        </w:rPr>
        <w:t xml:space="preserve">issuable or is delivered by the holder of the option or other award in satisfaction of any obligation), including, without limitation, repurchases of Capital Stock in connection with equity compensation described in </w:t>
      </w:r>
      <w:r>
        <w:rPr>
          <w:rFonts w:ascii="Arial" w:cs="Arial" w:eastAsia="Arial" w:hAnsi="Arial"/>
          <w:sz w:val="19"/>
          <w:szCs w:val="19"/>
          <w:u w:val="single" w:color="auto"/>
          <w:color w:val="auto"/>
        </w:rPr>
        <w:t>Section 3.5(c)</w:t>
      </w:r>
      <w:r>
        <w:rPr>
          <w:rFonts w:ascii="Arial" w:cs="Arial" w:eastAsia="Arial" w:hAnsi="Arial"/>
          <w:sz w:val="19"/>
          <w:szCs w:val="19"/>
          <w:color w:val="auto"/>
        </w:rPr>
        <w:t xml:space="preserve"> of the Borrower LLC Operating Agreement, and (y) Restricted Payments by the Borrower to allow the payment of cash in lieu of the issuance of fractional Capital Stock upon the exercise of options or warrants, upon the conversion or exchange of Capital Stock of the Borrower or in connection with the common unit adjustment pursuant to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of the Common Unit Adjustment Agreement</w:t>
      </w:r>
      <w:r>
        <w:rPr>
          <w:rFonts w:ascii="Arial" w:cs="Arial" w:eastAsia="Arial" w:hAnsi="Arial"/>
          <w:sz w:val="19"/>
          <w:szCs w:val="19"/>
          <w:color w:val="FF0000"/>
          <w:strike w:val="1"/>
        </w:rPr>
        <w:t>.</w:t>
      </w:r>
      <w:r>
        <w:rPr>
          <w:rFonts w:ascii="Arial" w:cs="Arial" w:eastAsia="Arial" w:hAnsi="Arial"/>
          <w:sz w:val="19"/>
          <w:szCs w:val="19"/>
          <w:u w:val="single" w:color="auto"/>
          <w:color w:val="0000FF"/>
        </w:rPr>
        <w: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FF0000"/>
          <w:strike w:val="1"/>
        </w:rPr>
        <w:t xml:space="preserve">7.7 </w:t>
      </w:r>
      <w:r>
        <w:rPr>
          <w:rFonts w:ascii="Arial" w:cs="Arial" w:eastAsia="Arial" w:hAnsi="Arial"/>
          <w:sz w:val="22"/>
          <w:szCs w:val="22"/>
          <w:u w:val="single" w:color="auto"/>
          <w:color w:val="FF0000"/>
          <w:strike w:val="1"/>
        </w:rPr>
        <w:t>[Reserved]</w:t>
      </w:r>
      <w:r>
        <w:rPr>
          <w:rFonts w:ascii="Arial" w:cs="Arial" w:eastAsia="Arial" w:hAnsi="Arial"/>
          <w:sz w:val="22"/>
          <w:szCs w:val="22"/>
          <w:color w:val="FF0000"/>
          <w:strike w:val="1"/>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0000FF"/>
        </w:rPr>
        <w:t>provided that, from the Amendment No. 2 Effective Date until the Q3 End Date, the exceptions in clauses (a)(ii) through (k) above, shall not apply to any Subsidiary of the Borrower that is not a Loan Party (other than any Subsidiary that is a Bona Fide Joint Venture).</w:t>
      </w:r>
    </w:p>
    <w:p>
      <w:pPr>
        <w:spacing w:after="0" w:line="18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u w:val="single" w:color="auto"/>
          <w:color w:val="0000FF"/>
        </w:rPr>
        <w:t>7.7 Limitation on Certain Prepayments. After the Amendment No. 2 Effective Date, (a) make, directly or indirectly, any payment or other distribution (whether in cash, securities or other property) of or in respect of principal of or interest on (x) any Subordinated Indebtedness or unsecured Indebtedness or (y) any Indebtedness that refinances the foregoing pursuant to subclause (A) below (“Junior Financing”), or any payment or other distribution (whether in cash, securities or other property), including any sinking fund or similar deposit, on account of the purchase, redemption, retirement, acquisition, cancellation or termination in respect of any Junior Financing, except (A) with Permitted Refinancing Indebtedness permitted by Section 7.2, so long as such Permitted Refinancing Indebtedness is unsecured or secured on a basis junior to the Liens securing the Obligations hereunder, (B) payments of regularly scheduled interest (including any penalty interest, if applicable) and fees, expenses and indemnification obligations due thereunder, mandatory prepayments, redemptions or repurchases, and other non-accelerated and non-principal payments thereunder, scheduled payments thereon necessary to avoid the Junior Financing constituting “applicable high yield discount obligations” within the meaning of Section 163(i)(1) of the Code, and payment of principal and other amounts due on (or around, or after) the originally (or later than original) scheduled maturity date, (C) payments not to exceed (for all such payments) $1,000,000 in the aggregate (excluding with respect to the Senior Secured 2028 Notes and/or Senior Unsecured Notes), (D) payments with respect to purchase cards, credit cards and other ordinary course Indebtedness with recurring payments (excluding, for the avoidance of doubt, with respect to the Senior Secured 2028 Notes and/or Senior Unsecured Notes) and (E) after the Q3 End Date, other payments if, immediately after giving effect thereto on a pro forma basis, the Consolidated Net Senior Secured Leverage Ratio shall be less than or equal to 5.50 to 1.00.</w:t>
      </w:r>
    </w:p>
    <w:p>
      <w:pPr>
        <w:spacing w:after="0" w:line="166" w:lineRule="exact"/>
        <w:rPr>
          <w:sz w:val="20"/>
          <w:szCs w:val="20"/>
          <w:color w:val="auto"/>
        </w:rPr>
      </w:pPr>
    </w:p>
    <w:p>
      <w:pPr>
        <w:jc w:val="both"/>
        <w:ind w:firstLine="1304"/>
        <w:spacing w:after="0" w:line="247" w:lineRule="auto"/>
        <w:tabs>
          <w:tab w:leader="none" w:pos="1939" w:val="left"/>
        </w:tabs>
        <w:numPr>
          <w:ilvl w:val="0"/>
          <w:numId w:val="172"/>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In addition to the limitations provided for in paragraph (a) above, (i) except as would be permitted pursuant to clause (C) or (D) of paragraph (a) (above), no voluntary exchanges, refinancings or replacements of Junior Financing shall be permitted from the Amendment No. 2 Effective Date to the Q3 End Date, (ii) after the Amendment No. 2 Effective Date, no exchanges, refinancings or replacements of Junior Indebtedness shall result in such Junior Financing being secured on a pari passu or more senior basis than the Loans existing on the New Incremental Loan Funding Date (to the extent then outstanding) and (iii)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240"/>
          </w:cols>
          <w:pgMar w:left="320" w:top="1428" w:right="339" w:bottom="1440" w:gutter="0" w:footer="0" w:header="0"/>
        </w:sectPr>
      </w:pPr>
    </w:p>
    <w:bookmarkStart w:id="221" w:name="page222"/>
    <w:bookmarkEnd w:id="221"/>
    <w:p>
      <w:pPr>
        <w:jc w:val="both"/>
        <w:spacing w:after="0" w:line="253" w:lineRule="auto"/>
        <w:rPr>
          <w:sz w:val="20"/>
          <w:szCs w:val="20"/>
          <w:color w:val="auto"/>
        </w:rPr>
      </w:pPr>
      <w:r>
        <w:rPr>
          <w:rFonts w:ascii="Arial" w:cs="Arial" w:eastAsia="Arial" w:hAnsi="Arial"/>
          <w:sz w:val="22"/>
          <w:szCs w:val="22"/>
          <w:u w:val="single" w:color="auto"/>
          <w:color w:val="0000FF"/>
        </w:rPr>
        <w:t xml:space="preserve">exchanges, refinancings or replacements of Indebtedness </w:t>
      </w:r>
      <w:r>
        <w:rPr>
          <w:rFonts w:ascii="Arial" w:cs="Arial" w:eastAsia="Arial" w:hAnsi="Arial"/>
          <w:sz w:val="22"/>
          <w:szCs w:val="22"/>
          <w:u w:val="single" w:color="auto"/>
          <w:color w:val="008000"/>
        </w:rPr>
        <w:t>that is secured on a pari passu basis</w:t>
      </w:r>
      <w:r>
        <w:rPr>
          <w:rFonts w:ascii="Arial" w:cs="Arial" w:eastAsia="Arial" w:hAnsi="Arial"/>
          <w:sz w:val="22"/>
          <w:szCs w:val="22"/>
          <w:u w:val="single" w:color="auto"/>
          <w:color w:val="0000FF"/>
        </w:rPr>
        <w:t xml:space="preserve"> to the Obligations (including the Senior Secured 2028 Notes) shall result in such Indebtedness being secured on a more senior basis than the Loans existing on the New Incremental Loan Funding Date.</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Limitation on Investments</w:t>
      </w:r>
      <w:r>
        <w:rPr>
          <w:rFonts w:ascii="Arial" w:cs="Arial" w:eastAsia="Arial" w:hAnsi="Arial"/>
          <w:sz w:val="22"/>
          <w:szCs w:val="22"/>
          <w:color w:val="auto"/>
        </w:rPr>
        <w:t>. Make any advance, loan, extension of credit (by way of guaranty or otherwise) or capital contribution to, or purchase any Capital Stock, bonds, notes, debentures or other debt securities of, or any assets constituting an ongoing business from, or make any other investment in, any other Person (all of the foregoing, “</w:t>
      </w:r>
      <w:r>
        <w:rPr>
          <w:rFonts w:ascii="Arial" w:cs="Arial" w:eastAsia="Arial" w:hAnsi="Arial"/>
          <w:sz w:val="22"/>
          <w:szCs w:val="22"/>
          <w:u w:val="single" w:color="auto"/>
          <w:color w:val="auto"/>
        </w:rPr>
        <w:t>Investments</w:t>
      </w:r>
      <w:r>
        <w:rPr>
          <w:rFonts w:ascii="Arial" w:cs="Arial" w:eastAsia="Arial" w:hAnsi="Arial"/>
          <w:sz w:val="22"/>
          <w:szCs w:val="22"/>
          <w:color w:val="auto"/>
        </w:rPr>
        <w:t>”), except:</w:t>
      </w:r>
    </w:p>
    <w:p>
      <w:pPr>
        <w:spacing w:after="0" w:line="188" w:lineRule="exact"/>
        <w:rPr>
          <w:sz w:val="20"/>
          <w:szCs w:val="20"/>
          <w:color w:val="auto"/>
        </w:rPr>
      </w:pPr>
    </w:p>
    <w:p>
      <w:pPr>
        <w:ind w:left="1940" w:hanging="636"/>
        <w:spacing w:after="0"/>
        <w:tabs>
          <w:tab w:leader="none" w:pos="19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extensions of trade credit in the ordinary course of business;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Investments in Cash Equivalents;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Investments arising in connection with the incurrence of Indebtedness permitted by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jc w:val="both"/>
        <w:ind w:firstLine="1304"/>
        <w:spacing w:after="0" w:line="302" w:lineRule="auto"/>
        <w:tabs>
          <w:tab w:leader="none" w:pos="1939" w:val="left"/>
        </w:tabs>
        <w:numPr>
          <w:ilvl w:val="0"/>
          <w:numId w:val="173"/>
        </w:numPr>
        <w:rPr>
          <w:rFonts w:ascii="Arial" w:cs="Arial" w:eastAsia="Arial" w:hAnsi="Arial"/>
          <w:sz w:val="19"/>
          <w:szCs w:val="19"/>
          <w:color w:val="auto"/>
        </w:rPr>
      </w:pPr>
      <w:r>
        <w:rPr>
          <w:rFonts w:ascii="Arial" w:cs="Arial" w:eastAsia="Arial" w:hAnsi="Arial"/>
          <w:sz w:val="19"/>
          <w:szCs w:val="19"/>
          <w:color w:val="auto"/>
        </w:rPr>
        <w:t>loans and advances to employees of the Borrower or any Subsidiaries of the Borrower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in the ordinary course of business (including, without limitation, for travel, entertainment and relocation expenses) in an aggregate amount</w:t>
      </w:r>
      <w:r>
        <w:rPr>
          <w:rFonts w:ascii="Arial" w:cs="Arial" w:eastAsia="Arial" w:hAnsi="Arial"/>
          <w:sz w:val="19"/>
          <w:szCs w:val="19"/>
          <w:u w:val="single" w:color="auto"/>
          <w:color w:val="0000FF"/>
        </w:rPr>
        <w:t>,</w:t>
      </w:r>
      <w:r>
        <w:rPr>
          <w:rFonts w:ascii="Arial" w:cs="Arial" w:eastAsia="Arial" w:hAnsi="Arial"/>
          <w:sz w:val="19"/>
          <w:szCs w:val="19"/>
          <w:color w:val="auto"/>
        </w:rPr>
        <w:t xml:space="preserve"> for the Borrower and Subsidiaries of the Borrower not to exceed $2,000,000 at any one time outstanding; </w:t>
      </w:r>
      <w:r>
        <w:rPr>
          <w:rFonts w:ascii="Arial" w:cs="Arial" w:eastAsia="Arial" w:hAnsi="Arial"/>
          <w:sz w:val="19"/>
          <w:szCs w:val="19"/>
          <w:u w:val="single" w:color="auto"/>
          <w:color w:val="0000FF"/>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008000"/>
        </w:rPr>
        <w:t>that, with respect</w:t>
      </w:r>
      <w:r>
        <w:rPr>
          <w:rFonts w:ascii="Arial" w:cs="Arial" w:eastAsia="Arial" w:hAnsi="Arial"/>
          <w:sz w:val="19"/>
          <w:szCs w:val="19"/>
          <w:color w:val="auto"/>
        </w:rPr>
        <w:t xml:space="preserve"> </w:t>
      </w:r>
      <w:r>
        <w:rPr>
          <w:rFonts w:ascii="Arial" w:cs="Arial" w:eastAsia="Arial" w:hAnsi="Arial"/>
          <w:sz w:val="19"/>
          <w:szCs w:val="19"/>
          <w:u w:val="single" w:color="auto"/>
          <w:color w:val="008000"/>
        </w:rPr>
        <w:t xml:space="preserve">to </w:t>
      </w:r>
      <w:r>
        <w:rPr>
          <w:rFonts w:ascii="Arial" w:cs="Arial" w:eastAsia="Arial" w:hAnsi="Arial"/>
          <w:sz w:val="19"/>
          <w:szCs w:val="19"/>
          <w:u w:val="single" w:color="auto"/>
          <w:color w:val="0000FF"/>
        </w:rPr>
        <w:t>any Subsidiary that is not a Loan Party, such amount shall not exceed $1,000,000 at any one time outstanding;</w:t>
      </w:r>
    </w:p>
    <w:p>
      <w:pPr>
        <w:spacing w:after="0" w:line="142" w:lineRule="exact"/>
        <w:rPr>
          <w:rFonts w:ascii="Arial" w:cs="Arial" w:eastAsia="Arial" w:hAnsi="Arial"/>
          <w:sz w:val="19"/>
          <w:szCs w:val="19"/>
          <w:color w:val="auto"/>
        </w:rPr>
      </w:pPr>
    </w:p>
    <w:p>
      <w:pPr>
        <w:jc w:val="both"/>
        <w:ind w:firstLine="1304"/>
        <w:spacing w:after="0" w:line="294" w:lineRule="auto"/>
        <w:tabs>
          <w:tab w:leader="none" w:pos="194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Investments in assets useful in the Borrower’s </w:t>
      </w:r>
      <w:r>
        <w:rPr>
          <w:rFonts w:ascii="Arial" w:cs="Arial" w:eastAsia="Arial" w:hAnsi="Arial"/>
          <w:sz w:val="19"/>
          <w:szCs w:val="19"/>
          <w:u w:val="single" w:color="auto"/>
          <w:color w:val="0000FF"/>
        </w:rPr>
        <w:t>or another Subsidiary’s</w:t>
      </w:r>
      <w:r>
        <w:rPr>
          <w:rFonts w:ascii="Arial" w:cs="Arial" w:eastAsia="Arial" w:hAnsi="Arial"/>
          <w:sz w:val="19"/>
          <w:szCs w:val="19"/>
          <w:color w:val="auto"/>
        </w:rPr>
        <w:t xml:space="preserve"> business made by the Borrower or any </w:t>
      </w:r>
      <w:r>
        <w:rPr>
          <w:rFonts w:ascii="Arial" w:cs="Arial" w:eastAsia="Arial" w:hAnsi="Arial"/>
          <w:sz w:val="19"/>
          <w:szCs w:val="19"/>
          <w:color w:val="FF0000"/>
          <w:strike w:val="1"/>
        </w:rPr>
        <w:t>of its Subsidiaries</w:t>
      </w:r>
      <w:r>
        <w:rPr>
          <w:rFonts w:ascii="Arial" w:cs="Arial" w:eastAsia="Arial" w:hAnsi="Arial"/>
          <w:sz w:val="19"/>
          <w:szCs w:val="19"/>
          <w:u w:val="single" w:color="auto"/>
          <w:color w:val="0000FF"/>
        </w:rPr>
        <w:t>Subsidiary</w:t>
      </w:r>
      <w:r>
        <w:rPr>
          <w:rFonts w:ascii="Arial" w:cs="Arial" w:eastAsia="Arial" w:hAnsi="Arial"/>
          <w:sz w:val="19"/>
          <w:szCs w:val="19"/>
          <w:color w:val="auto"/>
        </w:rPr>
        <w:t xml:space="preserve"> with the proceeds of any Asset Sale or Recovery Event consistent with </w:t>
      </w:r>
      <w:r>
        <w:rPr>
          <w:rFonts w:ascii="Arial" w:cs="Arial" w:eastAsia="Arial" w:hAnsi="Arial"/>
          <w:sz w:val="19"/>
          <w:szCs w:val="19"/>
          <w:u w:val="single" w:color="auto"/>
          <w:color w:val="auto"/>
        </w:rPr>
        <w:t>Section 2.12(b)</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(provided that (i) from after the Amendment No. 2 Effective Date but prior to the Q3 End Date, none of such proceeds resulting from an Asset Sale of assets of Loan Parties may be invested in Subsidiaries that are not Loan Parties, and (ii) after the Q3 End Date, the Borrower and its Subsidiaries that are Loan Parties may invest such proceeds in assets of a Subsidiary that is not a Loan Party, only in an aggregate outstanding amount not to exceed the applicable amounts set forth in Section 7.8(t));</w:t>
      </w:r>
    </w:p>
    <w:p>
      <w:pPr>
        <w:spacing w:after="0" w:line="149" w:lineRule="exact"/>
        <w:rPr>
          <w:rFonts w:ascii="Arial" w:cs="Arial" w:eastAsia="Arial" w:hAnsi="Arial"/>
          <w:sz w:val="19"/>
          <w:szCs w:val="19"/>
          <w:color w:val="auto"/>
        </w:rPr>
      </w:pPr>
    </w:p>
    <w:p>
      <w:pPr>
        <w:jc w:val="both"/>
        <w:ind w:firstLine="1304"/>
        <w:spacing w:after="0" w:line="312" w:lineRule="auto"/>
        <w:tabs>
          <w:tab w:leader="none" w:pos="194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Investments (other than those relating to the incurrence of Indebtedness permitted by </w:t>
      </w:r>
      <w:r>
        <w:rPr>
          <w:rFonts w:ascii="Arial" w:cs="Arial" w:eastAsia="Arial" w:hAnsi="Arial"/>
          <w:sz w:val="19"/>
          <w:szCs w:val="19"/>
          <w:u w:val="single" w:color="auto"/>
          <w:color w:val="auto"/>
        </w:rPr>
        <w:t>Section 7.8(c)</w:t>
      </w:r>
      <w:r>
        <w:rPr>
          <w:rFonts w:ascii="Arial" w:cs="Arial" w:eastAsia="Arial" w:hAnsi="Arial"/>
          <w:sz w:val="19"/>
          <w:szCs w:val="19"/>
          <w:color w:val="auto"/>
        </w:rPr>
        <w:t>) by the Borrower or any of its Subsidiaries in the Borrower or any Person that, prior to such Investment, is a Subsidiary Guarantor, or by any Subsidiary that is not a Subsidiary Guarantor to any other Subsidiary that is not a Subsidiary Guarantor;</w:t>
      </w:r>
    </w:p>
    <w:p>
      <w:pPr>
        <w:spacing w:after="0" w:line="133" w:lineRule="exact"/>
        <w:rPr>
          <w:rFonts w:ascii="Arial" w:cs="Arial" w:eastAsia="Arial" w:hAnsi="Arial"/>
          <w:sz w:val="19"/>
          <w:szCs w:val="19"/>
          <w:color w:val="auto"/>
        </w:rPr>
      </w:pPr>
    </w:p>
    <w:p>
      <w:pPr>
        <w:ind w:left="1940" w:hanging="636"/>
        <w:spacing w:after="0"/>
        <w:tabs>
          <w:tab w:leader="none" w:pos="19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Investments consisting of prepaid expenses made in the ordinary course of business;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Investments consisting solely of appreciation in value of Investments permitted under this </w:t>
      </w:r>
      <w:r>
        <w:rPr>
          <w:rFonts w:ascii="Arial" w:cs="Arial" w:eastAsia="Arial" w:hAnsi="Arial"/>
          <w:sz w:val="19"/>
          <w:szCs w:val="19"/>
          <w:u w:val="single" w:color="auto"/>
          <w:color w:val="auto"/>
        </w:rPr>
        <w:t>Section 7.8</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1428" w:right="339" w:bottom="1440" w:gutter="0" w:footer="0" w:header="0"/>
        </w:sectPr>
      </w:pPr>
    </w:p>
    <w:bookmarkStart w:id="222" w:name="page223"/>
    <w:bookmarkEnd w:id="222"/>
    <w:p>
      <w:pPr>
        <w:spacing w:after="0" w:line="204" w:lineRule="exact"/>
        <w:rPr>
          <w:sz w:val="20"/>
          <w:szCs w:val="20"/>
          <w:color w:val="auto"/>
        </w:rPr>
      </w:pPr>
    </w:p>
    <w:p>
      <w:pPr>
        <w:ind w:right="20" w:firstLine="1304"/>
        <w:spacing w:after="0" w:line="263" w:lineRule="auto"/>
        <w:tabs>
          <w:tab w:leader="none" w:pos="1932" w:val="left"/>
        </w:tabs>
        <w:numPr>
          <w:ilvl w:val="1"/>
          <w:numId w:val="174"/>
        </w:numPr>
        <w:rPr>
          <w:rFonts w:ascii="Arial" w:cs="Arial" w:eastAsia="Arial" w:hAnsi="Arial"/>
          <w:sz w:val="22"/>
          <w:szCs w:val="22"/>
          <w:color w:val="auto"/>
        </w:rPr>
      </w:pPr>
      <w:r>
        <w:rPr>
          <w:rFonts w:ascii="Arial" w:cs="Arial" w:eastAsia="Arial" w:hAnsi="Arial"/>
          <w:sz w:val="22"/>
          <w:szCs w:val="22"/>
          <w:color w:val="auto"/>
        </w:rPr>
        <w:t xml:space="preserve">Acquisitions permitted by </w:t>
      </w:r>
      <w:r>
        <w:rPr>
          <w:rFonts w:ascii="Arial" w:cs="Arial" w:eastAsia="Arial" w:hAnsi="Arial"/>
          <w:sz w:val="22"/>
          <w:szCs w:val="22"/>
          <w:u w:val="single" w:color="auto"/>
          <w:color w:val="auto"/>
        </w:rPr>
        <w:t>Sections 7.4(a)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Investments resulting from any transaction permitted by </w:t>
      </w:r>
      <w:r>
        <w:rPr>
          <w:rFonts w:ascii="Arial" w:cs="Arial" w:eastAsia="Arial" w:hAnsi="Arial"/>
          <w:sz w:val="22"/>
          <w:szCs w:val="22"/>
          <w:u w:val="single" w:color="auto"/>
          <w:color w:val="auto"/>
        </w:rPr>
        <w:t>Section 7.5(d)</w:t>
      </w:r>
      <w:r>
        <w:rPr>
          <w:rFonts w:ascii="Arial" w:cs="Arial" w:eastAsia="Arial" w:hAnsi="Arial"/>
          <w:sz w:val="22"/>
          <w:szCs w:val="22"/>
          <w:color w:val="auto"/>
        </w:rPr>
        <w:t xml:space="preserve">, </w:t>
      </w:r>
      <w:r>
        <w:rPr>
          <w:rFonts w:ascii="Arial" w:cs="Arial" w:eastAsia="Arial" w:hAnsi="Arial"/>
          <w:sz w:val="22"/>
          <w:szCs w:val="22"/>
          <w:u w:val="single" w:color="auto"/>
          <w:color w:val="auto"/>
        </w:rPr>
        <w:t>(l)</w:t>
      </w:r>
      <w:r>
        <w:rPr>
          <w:rFonts w:ascii="Arial" w:cs="Arial" w:eastAsia="Arial" w:hAnsi="Arial"/>
          <w:sz w:val="22"/>
          <w:szCs w:val="22"/>
          <w:color w:val="auto"/>
        </w:rPr>
        <w:t xml:space="preserve">, </w:t>
      </w:r>
      <w:r>
        <w:rPr>
          <w:rFonts w:ascii="Arial" w:cs="Arial" w:eastAsia="Arial" w:hAnsi="Arial"/>
          <w:sz w:val="22"/>
          <w:szCs w:val="22"/>
          <w:u w:val="single" w:color="auto"/>
          <w:color w:val="auto"/>
        </w:rPr>
        <w:t>(n)</w:t>
      </w:r>
      <w:r>
        <w:rPr>
          <w:rFonts w:ascii="Arial" w:cs="Arial" w:eastAsia="Arial" w:hAnsi="Arial"/>
          <w:sz w:val="22"/>
          <w:szCs w:val="22"/>
          <w:color w:val="auto"/>
        </w:rPr>
        <w:t xml:space="preserve">, </w:t>
      </w:r>
      <w:r>
        <w:rPr>
          <w:rFonts w:ascii="Arial" w:cs="Arial" w:eastAsia="Arial" w:hAnsi="Arial"/>
          <w:sz w:val="22"/>
          <w:szCs w:val="22"/>
          <w:u w:val="single" w:color="auto"/>
          <w:color w:val="auto"/>
        </w:rPr>
        <w:t>(q)</w:t>
      </w:r>
      <w:r>
        <w:rPr>
          <w:rFonts w:ascii="Arial" w:cs="Arial" w:eastAsia="Arial" w:hAnsi="Arial"/>
          <w:sz w:val="22"/>
          <w:szCs w:val="22"/>
          <w:color w:val="auto"/>
        </w:rPr>
        <w:t xml:space="preserve"> and (r);</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1"/>
          <w:numId w:val="174"/>
        </w:numPr>
        <w:rPr>
          <w:rFonts w:ascii="Arial" w:cs="Arial" w:eastAsia="Arial" w:hAnsi="Arial"/>
          <w:sz w:val="19"/>
          <w:szCs w:val="19"/>
          <w:color w:val="auto"/>
        </w:rPr>
      </w:pPr>
      <w:r>
        <w:rPr>
          <w:rFonts w:ascii="Arial" w:cs="Arial" w:eastAsia="Arial" w:hAnsi="Arial"/>
          <w:sz w:val="19"/>
          <w:szCs w:val="19"/>
          <w:color w:val="auto"/>
        </w:rPr>
        <w:t>Investments as a result of the receipt of non-cash consideration in the settlement of any litigation or claims;</w:t>
      </w:r>
    </w:p>
    <w:p>
      <w:pPr>
        <w:spacing w:after="0" w:line="254" w:lineRule="exact"/>
        <w:rPr>
          <w:rFonts w:ascii="Arial" w:cs="Arial" w:eastAsia="Arial" w:hAnsi="Arial"/>
          <w:sz w:val="19"/>
          <w:szCs w:val="19"/>
          <w:color w:val="auto"/>
        </w:rPr>
      </w:pPr>
    </w:p>
    <w:p>
      <w:pPr>
        <w:jc w:val="both"/>
        <w:ind w:firstLine="1304"/>
        <w:spacing w:after="0" w:line="253" w:lineRule="auto"/>
        <w:tabs>
          <w:tab w:leader="none" w:pos="1939" w:val="left"/>
        </w:tabs>
        <w:numPr>
          <w:ilvl w:val="1"/>
          <w:numId w:val="174"/>
        </w:numPr>
        <w:rPr>
          <w:rFonts w:ascii="Arial" w:cs="Arial" w:eastAsia="Arial" w:hAnsi="Arial"/>
          <w:sz w:val="22"/>
          <w:szCs w:val="22"/>
          <w:color w:val="auto"/>
        </w:rPr>
      </w:pPr>
      <w:r>
        <w:rPr>
          <w:rFonts w:ascii="Arial" w:cs="Arial" w:eastAsia="Arial" w:hAnsi="Arial"/>
          <w:sz w:val="22"/>
          <w:szCs w:val="22"/>
          <w:color w:val="auto"/>
        </w:rPr>
        <w:t>Acquisitions by the Borrower of Holdings Common Stock in connection with the redemption of Borrower Membership Units by a member of the Borrower (other than Holdings) in accordance with Article 9 of the Borrower LLC Operating Agreement;</w:t>
      </w:r>
    </w:p>
    <w:p>
      <w:pPr>
        <w:spacing w:after="0" w:line="185" w:lineRule="exact"/>
        <w:rPr>
          <w:rFonts w:ascii="Arial" w:cs="Arial" w:eastAsia="Arial" w:hAnsi="Arial"/>
          <w:sz w:val="22"/>
          <w:szCs w:val="22"/>
          <w:color w:val="auto"/>
        </w:rPr>
      </w:pPr>
    </w:p>
    <w:p>
      <w:pPr>
        <w:jc w:val="both"/>
        <w:ind w:firstLine="1304"/>
        <w:spacing w:after="0" w:line="283" w:lineRule="auto"/>
        <w:tabs>
          <w:tab w:leader="none" w:pos="1932" w:val="left"/>
        </w:tabs>
        <w:numPr>
          <w:ilvl w:val="1"/>
          <w:numId w:val="174"/>
        </w:numPr>
        <w:rPr>
          <w:rFonts w:ascii="Arial" w:cs="Arial" w:eastAsia="Arial" w:hAnsi="Arial"/>
          <w:sz w:val="19"/>
          <w:szCs w:val="19"/>
          <w:color w:val="auto"/>
        </w:rPr>
      </w:pPr>
      <w:r>
        <w:rPr>
          <w:rFonts w:ascii="Arial" w:cs="Arial" w:eastAsia="Arial" w:hAnsi="Arial"/>
          <w:sz w:val="19"/>
          <w:szCs w:val="19"/>
          <w:color w:val="auto"/>
        </w:rPr>
        <w:t xml:space="preserve">Acquisitions by the Borrower or any </w:t>
      </w:r>
      <w:r>
        <w:rPr>
          <w:rFonts w:ascii="Arial" w:cs="Arial" w:eastAsia="Arial" w:hAnsi="Arial"/>
          <w:sz w:val="19"/>
          <w:szCs w:val="19"/>
          <w:color w:val="FF0000"/>
          <w:strike w:val="1"/>
        </w:rPr>
        <w:t>of its Subsidiaries</w:t>
      </w:r>
      <w:r>
        <w:rPr>
          <w:rFonts w:ascii="Arial" w:cs="Arial" w:eastAsia="Arial" w:hAnsi="Arial"/>
          <w:sz w:val="19"/>
          <w:szCs w:val="19"/>
          <w:u w:val="single" w:color="auto"/>
          <w:color w:val="0000FF"/>
        </w:rPr>
        <w:t>Subsidiary</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Permitted Acquisition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immediately prior to and after giving effect to such Permitted Acquisition, no Default or Event of Default shall have occurred and be continuing or would result therefrom, (ii) each applicable Loan Party and any newly created or acquired Subsidiary shall, or will within the times specified therein, to the extent applicable, have complied with the requirements of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(iii) such Acquisition is of a Person </w:t>
      </w:r>
      <w:r>
        <w:rPr>
          <w:rFonts w:ascii="Arial" w:cs="Arial" w:eastAsia="Arial" w:hAnsi="Arial"/>
          <w:sz w:val="19"/>
          <w:szCs w:val="19"/>
          <w:color w:val="FF0000"/>
          <w:strike w:val="1"/>
        </w:rPr>
        <w:t>or</w:t>
      </w:r>
      <w:r>
        <w:rPr>
          <w:rFonts w:ascii="Arial" w:cs="Arial" w:eastAsia="Arial" w:hAnsi="Arial"/>
          <w:sz w:val="19"/>
          <w:szCs w:val="19"/>
          <w:u w:val="single" w:color="auto"/>
          <w:color w:val="0000FF"/>
        </w:rPr>
        <w:t>that will, immediately upon consummation of such Acquisition, be a Wholly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Owned Subsidiary or a Bona Fide Joint Venture or is of an</w:t>
      </w:r>
      <w:r>
        <w:rPr>
          <w:rFonts w:ascii="Arial" w:cs="Arial" w:eastAsia="Arial" w:hAnsi="Arial"/>
          <w:sz w:val="19"/>
          <w:szCs w:val="19"/>
          <w:color w:val="0000FF"/>
        </w:rPr>
        <w:t xml:space="preserve"> </w:t>
      </w:r>
      <w:r>
        <w:rPr>
          <w:rFonts w:ascii="Arial" w:cs="Arial" w:eastAsia="Arial" w:hAnsi="Arial"/>
          <w:sz w:val="19"/>
          <w:szCs w:val="19"/>
          <w:color w:val="000000"/>
        </w:rPr>
        <w:t>ongoing business</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that will be contributed to a Wholly Owned</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Subsidiary or a Bona Fide Joint Venture and that is</w:t>
      </w:r>
      <w:r>
        <w:rPr>
          <w:rFonts w:ascii="Arial" w:cs="Arial" w:eastAsia="Arial" w:hAnsi="Arial"/>
          <w:sz w:val="19"/>
          <w:szCs w:val="19"/>
          <w:color w:val="0000FF"/>
        </w:rPr>
        <w:t xml:space="preserve"> </w:t>
      </w:r>
      <w:r>
        <w:rPr>
          <w:rFonts w:ascii="Arial" w:cs="Arial" w:eastAsia="Arial" w:hAnsi="Arial"/>
          <w:sz w:val="19"/>
          <w:szCs w:val="19"/>
          <w:color w:val="000000"/>
        </w:rPr>
        <w:t>in a line of business in which the Borrower and its Subsidiaries is permitted to</w:t>
      </w:r>
      <w:r>
        <w:rPr>
          <w:rFonts w:ascii="Arial" w:cs="Arial" w:eastAsia="Arial" w:hAnsi="Arial"/>
          <w:sz w:val="19"/>
          <w:szCs w:val="19"/>
          <w:color w:val="0000FF"/>
        </w:rPr>
        <w:t xml:space="preserve"> </w:t>
      </w:r>
      <w:r>
        <w:rPr>
          <w:rFonts w:ascii="Arial" w:cs="Arial" w:eastAsia="Arial" w:hAnsi="Arial"/>
          <w:sz w:val="19"/>
          <w:szCs w:val="19"/>
          <w:color w:val="000000"/>
        </w:rPr>
        <w:t xml:space="preserve">engage pursuant to </w:t>
      </w:r>
      <w:r>
        <w:rPr>
          <w:rFonts w:ascii="Arial" w:cs="Arial" w:eastAsia="Arial" w:hAnsi="Arial"/>
          <w:sz w:val="19"/>
          <w:szCs w:val="19"/>
          <w:u w:val="single" w:color="auto"/>
          <w:color w:val="000000"/>
        </w:rPr>
        <w:t>Section 7.15</w:t>
      </w:r>
      <w:r>
        <w:rPr>
          <w:rFonts w:ascii="Arial" w:cs="Arial" w:eastAsia="Arial" w:hAnsi="Arial"/>
          <w:sz w:val="19"/>
          <w:szCs w:val="19"/>
          <w:color w:val="000000"/>
        </w:rPr>
        <w:t xml:space="preserve">, (iv) if such Permitted Acquisition is </w:t>
      </w:r>
      <w:r>
        <w:rPr>
          <w:rFonts w:ascii="Arial" w:cs="Arial" w:eastAsia="Arial" w:hAnsi="Arial"/>
          <w:sz w:val="19"/>
          <w:szCs w:val="19"/>
          <w:color w:val="FF0000"/>
          <w:strike w:val="1"/>
        </w:rPr>
        <w:t>a Material</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consummated on or after the Amendment No. 2</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 xml:space="preserve">Effective Date and on or prior to the Q3 End Date, the consideration therefore will consist solely of Capital Stock and, immediately after giving effect thereto on a pro forma basis, the </w:t>
      </w:r>
      <w:r>
        <w:rPr>
          <w:rFonts w:ascii="Arial" w:cs="Arial" w:eastAsia="Arial" w:hAnsi="Arial"/>
          <w:sz w:val="19"/>
          <w:szCs w:val="19"/>
          <w:u w:val="single" w:color="auto"/>
          <w:color w:val="008000"/>
        </w:rPr>
        <w:t>Consolidated Net Senior Secured Leverage Ratio</w:t>
      </w:r>
      <w:r>
        <w:rPr>
          <w:rFonts w:ascii="Arial" w:cs="Arial" w:eastAsia="Arial" w:hAnsi="Arial"/>
          <w:sz w:val="19"/>
          <w:szCs w:val="19"/>
          <w:u w:val="single" w:color="auto"/>
          <w:color w:val="0000FF"/>
        </w:rPr>
        <w:t xml:space="preserve"> shall be less the Consolidated Net Senior Secured Leverage Ratio in effect immediately prior to</w:t>
      </w:r>
      <w:r>
        <w:rPr>
          <w:rFonts w:ascii="Arial" w:cs="Arial" w:eastAsia="Arial" w:hAnsi="Arial"/>
          <w:sz w:val="19"/>
          <w:szCs w:val="19"/>
          <w:color w:val="0000FF"/>
        </w:rPr>
        <w:t xml:space="preserve"> </w:t>
      </w:r>
      <w:r>
        <w:rPr>
          <w:rFonts w:ascii="Arial" w:cs="Arial" w:eastAsia="Arial" w:hAnsi="Arial"/>
          <w:sz w:val="19"/>
          <w:szCs w:val="19"/>
          <w:u w:val="single" w:color="auto"/>
          <w:color w:val="008000"/>
        </w:rPr>
        <w:t>giving effect to such</w:t>
      </w:r>
      <w:r>
        <w:rPr>
          <w:rFonts w:ascii="Arial" w:cs="Arial" w:eastAsia="Arial" w:hAnsi="Arial"/>
          <w:sz w:val="19"/>
          <w:szCs w:val="19"/>
          <w:color w:val="0000FF"/>
        </w:rPr>
        <w:t xml:space="preserve"> </w:t>
      </w:r>
      <w:r>
        <w:rPr>
          <w:rFonts w:ascii="Arial" w:cs="Arial" w:eastAsia="Arial" w:hAnsi="Arial"/>
          <w:sz w:val="19"/>
          <w:szCs w:val="19"/>
          <w:color w:val="000000"/>
        </w:rPr>
        <w:t>Permitted Acquisition,</w:t>
      </w:r>
    </w:p>
    <w:p>
      <w:pPr>
        <w:spacing w:after="0" w:line="5" w:lineRule="exact"/>
        <w:rPr>
          <w:rFonts w:ascii="Arial" w:cs="Arial" w:eastAsia="Arial" w:hAnsi="Arial"/>
          <w:sz w:val="19"/>
          <w:szCs w:val="19"/>
          <w:color w:val="auto"/>
        </w:rPr>
      </w:pPr>
    </w:p>
    <w:p>
      <w:pPr>
        <w:jc w:val="both"/>
        <w:ind w:firstLine="8"/>
        <w:spacing w:after="0" w:line="256" w:lineRule="auto"/>
        <w:tabs>
          <w:tab w:leader="none" w:pos="360" w:val="left"/>
        </w:tabs>
        <w:numPr>
          <w:ilvl w:val="0"/>
          <w:numId w:val="175"/>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if such Permitted Acquisition is consummated after the Q3 End Date and is consummated in exchange for (x) cash consideration or Cash Equivalents, then immediately</w:t>
      </w:r>
      <w:r>
        <w:rPr>
          <w:rFonts w:ascii="Arial" w:cs="Arial" w:eastAsia="Arial" w:hAnsi="Arial"/>
          <w:sz w:val="21"/>
          <w:szCs w:val="21"/>
          <w:color w:val="0000FF"/>
        </w:rPr>
        <w:t xml:space="preserve"> </w:t>
      </w:r>
      <w:r>
        <w:rPr>
          <w:rFonts w:ascii="Arial" w:cs="Arial" w:eastAsia="Arial" w:hAnsi="Arial"/>
          <w:sz w:val="21"/>
          <w:szCs w:val="21"/>
          <w:color w:val="000000"/>
        </w:rPr>
        <w:t>after giving effect thereto on a pro forma basis, the Consolidated Net Senior</w:t>
      </w:r>
      <w:r>
        <w:rPr>
          <w:rFonts w:ascii="Arial" w:cs="Arial" w:eastAsia="Arial" w:hAnsi="Arial"/>
          <w:sz w:val="21"/>
          <w:szCs w:val="21"/>
          <w:color w:val="0000FF"/>
        </w:rPr>
        <w:t xml:space="preserve"> </w:t>
      </w:r>
      <w:r>
        <w:rPr>
          <w:rFonts w:ascii="Arial" w:cs="Arial" w:eastAsia="Arial" w:hAnsi="Arial"/>
          <w:sz w:val="21"/>
          <w:szCs w:val="21"/>
          <w:color w:val="000000"/>
        </w:rPr>
        <w:t xml:space="preserve">Secured Leverage Ratio shall be less than or equal to </w:t>
      </w:r>
      <w:r>
        <w:rPr>
          <w:rFonts w:ascii="Arial" w:cs="Arial" w:eastAsia="Arial" w:hAnsi="Arial"/>
          <w:sz w:val="21"/>
          <w:szCs w:val="21"/>
          <w:color w:val="FF0000"/>
          <w:strike w:val="1"/>
        </w:rPr>
        <w:t>6.50</w:t>
      </w:r>
      <w:r>
        <w:rPr>
          <w:rFonts w:ascii="Arial" w:cs="Arial" w:eastAsia="Arial" w:hAnsi="Arial"/>
          <w:sz w:val="21"/>
          <w:szCs w:val="21"/>
          <w:u w:val="single" w:color="auto"/>
          <w:color w:val="0000FF"/>
        </w:rPr>
        <w:t>5.50</w:t>
      </w:r>
      <w:r>
        <w:rPr>
          <w:rFonts w:ascii="Arial" w:cs="Arial" w:eastAsia="Arial" w:hAnsi="Arial"/>
          <w:sz w:val="21"/>
          <w:szCs w:val="21"/>
          <w:color w:val="000000"/>
        </w:rPr>
        <w:t xml:space="preserve"> to 1.00 and </w:t>
      </w:r>
      <w:r>
        <w:rPr>
          <w:rFonts w:ascii="Arial" w:cs="Arial" w:eastAsia="Arial" w:hAnsi="Arial"/>
          <w:sz w:val="21"/>
          <w:szCs w:val="21"/>
          <w:color w:val="FF0000"/>
        </w:rPr>
        <w:t>(v</w:t>
      </w:r>
      <w:r>
        <w:rPr>
          <w:rFonts w:ascii="Arial" w:cs="Arial" w:eastAsia="Arial" w:hAnsi="Arial"/>
          <w:sz w:val="21"/>
          <w:szCs w:val="21"/>
          <w:u w:val="single" w:color="auto"/>
          <w:color w:val="0000FF"/>
        </w:rPr>
        <w:t>/or (y) Capital Stock, then immediately after giving</w:t>
      </w:r>
      <w:r>
        <w:rPr>
          <w:rFonts w:ascii="Arial" w:cs="Arial" w:eastAsia="Arial" w:hAnsi="Arial"/>
          <w:sz w:val="21"/>
          <w:szCs w:val="21"/>
          <w:color w:val="000000"/>
        </w:rPr>
        <w:t xml:space="preserve"> </w:t>
      </w:r>
      <w:r>
        <w:rPr>
          <w:rFonts w:ascii="Arial" w:cs="Arial" w:eastAsia="Arial" w:hAnsi="Arial"/>
          <w:sz w:val="21"/>
          <w:szCs w:val="21"/>
          <w:u w:val="single" w:color="auto"/>
          <w:color w:val="0000FF"/>
        </w:rPr>
        <w:t>effect thereto on a pro forma basis, the Consolidated Net Senior Secured Leverage Ratio shall be less than the Consolidated Net Senior Secured Leverage Ratio in effect immediately prior to giving effect to such Permitted Acquisition, and (vi</w:t>
      </w:r>
      <w:r>
        <w:rPr>
          <w:rFonts w:ascii="Arial" w:cs="Arial" w:eastAsia="Arial" w:hAnsi="Arial"/>
          <w:sz w:val="21"/>
          <w:szCs w:val="21"/>
          <w:color w:val="000000"/>
        </w:rPr>
        <w:t>) in connection</w:t>
      </w:r>
      <w:r>
        <w:rPr>
          <w:rFonts w:ascii="Arial" w:cs="Arial" w:eastAsia="Arial" w:hAnsi="Arial"/>
          <w:sz w:val="21"/>
          <w:szCs w:val="21"/>
          <w:color w:val="0000FF"/>
        </w:rPr>
        <w:t xml:space="preserve"> </w:t>
      </w:r>
      <w:r>
        <w:rPr>
          <w:rFonts w:ascii="Arial" w:cs="Arial" w:eastAsia="Arial" w:hAnsi="Arial"/>
          <w:sz w:val="21"/>
          <w:szCs w:val="21"/>
          <w:color w:val="000000"/>
        </w:rPr>
        <w:t xml:space="preserve">with a Permitted Acquisition, the consideration for which exceeds, on the closing date of </w:t>
      </w:r>
      <w:r>
        <w:rPr>
          <w:rFonts w:ascii="Arial" w:cs="Arial" w:eastAsia="Arial" w:hAnsi="Arial"/>
          <w:sz w:val="21"/>
          <w:szCs w:val="21"/>
          <w:color w:val="FF0000"/>
          <w:strike w:val="1"/>
        </w:rPr>
        <w:t>the</w:t>
      </w:r>
      <w:r>
        <w:rPr>
          <w:rFonts w:ascii="Arial" w:cs="Arial" w:eastAsia="Arial" w:hAnsi="Arial"/>
          <w:sz w:val="21"/>
          <w:szCs w:val="21"/>
          <w:u w:val="single" w:color="auto"/>
          <w:color w:val="0000FF"/>
        </w:rPr>
        <w:t>such</w:t>
      </w:r>
      <w:r>
        <w:rPr>
          <w:rFonts w:ascii="Arial" w:cs="Arial" w:eastAsia="Arial" w:hAnsi="Arial"/>
          <w:sz w:val="21"/>
          <w:szCs w:val="21"/>
          <w:color w:val="000000"/>
        </w:rPr>
        <w:t xml:space="preserve"> Permitted Acquisition, $</w:t>
      </w:r>
      <w:r>
        <w:rPr>
          <w:rFonts w:ascii="Arial" w:cs="Arial" w:eastAsia="Arial" w:hAnsi="Arial"/>
          <w:sz w:val="21"/>
          <w:szCs w:val="21"/>
          <w:color w:val="FF0000"/>
          <w:strike w:val="1"/>
        </w:rPr>
        <w:t>10,000,000</w:t>
      </w:r>
      <w:r>
        <w:rPr>
          <w:rFonts w:ascii="Arial" w:cs="Arial" w:eastAsia="Arial" w:hAnsi="Arial"/>
          <w:sz w:val="21"/>
          <w:szCs w:val="21"/>
          <w:u w:val="single" w:color="auto"/>
          <w:color w:val="0000FF"/>
        </w:rPr>
        <w:t>5,000,000</w:t>
      </w:r>
      <w:r>
        <w:rPr>
          <w:rFonts w:ascii="Arial" w:cs="Arial" w:eastAsia="Arial" w:hAnsi="Arial"/>
          <w:sz w:val="21"/>
          <w:szCs w:val="21"/>
          <w:color w:val="000000"/>
        </w:rPr>
        <w:t xml:space="preserve">, the Borrower shall have delivered to the Administrative Agent a certificate of a Responsible Officer, in form and substance reasonably satisfactory to the Administrative Agent, certifying that all of the requirements set forth in this </w:t>
      </w:r>
      <w:r>
        <w:rPr>
          <w:rFonts w:ascii="Arial" w:cs="Arial" w:eastAsia="Arial" w:hAnsi="Arial"/>
          <w:sz w:val="21"/>
          <w:szCs w:val="21"/>
          <w:u w:val="single" w:color="auto"/>
          <w:color w:val="000000"/>
        </w:rPr>
        <w:t>Section 7.8(l)</w:t>
      </w:r>
      <w:r>
        <w:rPr>
          <w:rFonts w:ascii="Arial" w:cs="Arial" w:eastAsia="Arial" w:hAnsi="Arial"/>
          <w:sz w:val="21"/>
          <w:szCs w:val="21"/>
          <w:color w:val="000000"/>
        </w:rPr>
        <w:t xml:space="preserve"> have been satisfied or will be satisfied on or prior to the consummation of such Permitted Acquisition and disclosing any Indebtedness in excess of $</w:t>
      </w:r>
      <w:r>
        <w:rPr>
          <w:rFonts w:ascii="Arial" w:cs="Arial" w:eastAsia="Arial" w:hAnsi="Arial"/>
          <w:sz w:val="21"/>
          <w:szCs w:val="21"/>
          <w:color w:val="FF0000"/>
          <w:strike w:val="1"/>
        </w:rPr>
        <w:t>5,000,000</w:t>
      </w:r>
      <w:r>
        <w:rPr>
          <w:rFonts w:ascii="Arial" w:cs="Arial" w:eastAsia="Arial" w:hAnsi="Arial"/>
          <w:sz w:val="21"/>
          <w:szCs w:val="21"/>
          <w:u w:val="single" w:color="auto"/>
          <w:color w:val="0000FF"/>
        </w:rPr>
        <w:t>1,000,000</w:t>
      </w:r>
      <w:r>
        <w:rPr>
          <w:rFonts w:ascii="Arial" w:cs="Arial" w:eastAsia="Arial" w:hAnsi="Arial"/>
          <w:sz w:val="21"/>
          <w:szCs w:val="21"/>
          <w:color w:val="000000"/>
        </w:rPr>
        <w:t xml:space="preserve"> assumed in connection with such Permitted Acquisition as permitted by </w:t>
      </w:r>
      <w:r>
        <w:rPr>
          <w:rFonts w:ascii="Arial" w:cs="Arial" w:eastAsia="Arial" w:hAnsi="Arial"/>
          <w:sz w:val="21"/>
          <w:szCs w:val="21"/>
          <w:u w:val="single" w:color="auto"/>
          <w:color w:val="000000"/>
        </w:rPr>
        <w:t>Section 7.2(m)</w:t>
      </w:r>
      <w:r>
        <w:rPr>
          <w:rFonts w:ascii="Arial" w:cs="Arial" w:eastAsia="Arial" w:hAnsi="Arial"/>
          <w:sz w:val="21"/>
          <w:szCs w:val="21"/>
          <w:color w:val="000000"/>
        </w:rPr>
        <w:t>;</w:t>
      </w:r>
    </w:p>
    <w:p>
      <w:pPr>
        <w:spacing w:after="0" w:line="186" w:lineRule="exact"/>
        <w:rPr>
          <w:rFonts w:ascii="Arial" w:cs="Arial" w:eastAsia="Arial" w:hAnsi="Arial"/>
          <w:sz w:val="21"/>
          <w:szCs w:val="21"/>
          <w:u w:val="single" w:color="auto"/>
          <w:color w:val="0000FF"/>
        </w:rPr>
      </w:pPr>
    </w:p>
    <w:p>
      <w:pPr>
        <w:ind w:left="1940" w:hanging="636"/>
        <w:spacing w:after="0"/>
        <w:tabs>
          <w:tab w:leader="none" w:pos="1940" w:val="left"/>
        </w:tabs>
        <w:numPr>
          <w:ilvl w:val="1"/>
          <w:numId w:val="175"/>
        </w:numPr>
        <w:rPr>
          <w:rFonts w:ascii="Arial" w:cs="Arial" w:eastAsia="Arial" w:hAnsi="Arial"/>
          <w:sz w:val="21"/>
          <w:szCs w:val="21"/>
          <w:color w:val="auto"/>
        </w:rPr>
      </w:pPr>
      <w:r>
        <w:rPr>
          <w:rFonts w:ascii="Arial" w:cs="Arial" w:eastAsia="Arial" w:hAnsi="Arial"/>
          <w:sz w:val="21"/>
          <w:szCs w:val="21"/>
          <w:color w:val="auto"/>
        </w:rPr>
        <w:t>Investments consisting of endorsements for collection or deposit in the ordinary course of business;</w:t>
      </w:r>
    </w:p>
    <w:p>
      <w:pPr>
        <w:spacing w:after="0" w:line="231" w:lineRule="exact"/>
        <w:rPr>
          <w:rFonts w:ascii="Arial" w:cs="Arial" w:eastAsia="Arial" w:hAnsi="Arial"/>
          <w:sz w:val="21"/>
          <w:szCs w:val="21"/>
          <w:color w:val="auto"/>
        </w:rPr>
      </w:pPr>
    </w:p>
    <w:p>
      <w:pPr>
        <w:jc w:val="both"/>
        <w:ind w:firstLine="1304"/>
        <w:spacing w:after="0" w:line="253" w:lineRule="auto"/>
        <w:tabs>
          <w:tab w:leader="none" w:pos="1939" w:val="left"/>
        </w:tabs>
        <w:numPr>
          <w:ilvl w:val="1"/>
          <w:numId w:val="175"/>
        </w:numPr>
        <w:rPr>
          <w:rFonts w:ascii="Arial" w:cs="Arial" w:eastAsia="Arial" w:hAnsi="Arial"/>
          <w:sz w:val="22"/>
          <w:szCs w:val="22"/>
          <w:color w:val="auto"/>
        </w:rPr>
      </w:pPr>
      <w:r>
        <w:rPr>
          <w:rFonts w:ascii="Arial" w:cs="Arial" w:eastAsia="Arial" w:hAnsi="Arial"/>
          <w:sz w:val="22"/>
          <w:szCs w:val="22"/>
          <w:color w:val="auto"/>
        </w:rPr>
        <w:t>Investments consisting of indemnification obligations to the respective officers, directors and managers of the Borrower and any of its Subsidiaries to the extent required under the organizational documents of the Borrower or such Subsidiary,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-2319655</wp:posOffset>
            </wp:positionV>
            <wp:extent cx="1485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40"/>
          </w:cols>
          <w:pgMar w:left="320" w:top="1440" w:right="339" w:bottom="1440" w:gutter="0" w:footer="0" w:header="0"/>
        </w:sectPr>
      </w:pPr>
    </w:p>
    <w:bookmarkStart w:id="223" w:name="page224"/>
    <w:bookmarkEnd w:id="223"/>
    <w:p>
      <w:pPr>
        <w:jc w:val="both"/>
        <w:ind w:left="-20" w:firstLine="1304"/>
        <w:spacing w:after="0" w:line="253" w:lineRule="auto"/>
        <w:tabs>
          <w:tab w:leader="none" w:pos="1919"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Investments resulting from the creation of new Subsidiaries of the Borrower as otherwise permitted hereunder </w:t>
      </w:r>
      <w:r>
        <w:rPr>
          <w:rFonts w:ascii="Arial" w:cs="Arial" w:eastAsia="Arial" w:hAnsi="Arial"/>
          <w:sz w:val="22"/>
          <w:szCs w:val="22"/>
          <w:u w:val="single" w:color="auto"/>
          <w:color w:val="0000FF"/>
        </w:rPr>
        <w:t>(including with respect to Bona Fide Joint Ventures)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r>
        <w:rPr>
          <w:rFonts w:ascii="Arial" w:cs="Arial" w:eastAsia="Arial" w:hAnsi="Arial"/>
          <w:sz w:val="22"/>
          <w:szCs w:val="22"/>
          <w:u w:val="single" w:color="auto"/>
          <w:color w:val="0000FF"/>
        </w:rPr>
        <w:t>, to the extent applicable,</w:t>
      </w:r>
      <w:r>
        <w:rPr>
          <w:rFonts w:ascii="Arial" w:cs="Arial" w:eastAsia="Arial" w:hAnsi="Arial"/>
          <w:sz w:val="22"/>
          <w:szCs w:val="22"/>
          <w:color w:val="auto"/>
        </w:rPr>
        <w:t xml:space="preserve"> the Borrower shall comply with </w:t>
      </w:r>
      <w:r>
        <w:rPr>
          <w:rFonts w:ascii="Arial" w:cs="Arial" w:eastAsia="Arial" w:hAnsi="Arial"/>
          <w:sz w:val="22"/>
          <w:szCs w:val="22"/>
          <w:u w:val="single" w:color="auto"/>
          <w:color w:val="auto"/>
        </w:rPr>
        <w:t>Section 6.10</w:t>
      </w:r>
      <w:r>
        <w:rPr>
          <w:rFonts w:ascii="Arial" w:cs="Arial" w:eastAsia="Arial" w:hAnsi="Arial"/>
          <w:sz w:val="22"/>
          <w:szCs w:val="22"/>
          <w:color w:val="auto"/>
        </w:rPr>
        <w:t xml:space="preserve"> in connection therewith;</w:t>
      </w:r>
    </w:p>
    <w:p>
      <w:pPr>
        <w:spacing w:after="0" w:line="185" w:lineRule="exact"/>
        <w:rPr>
          <w:rFonts w:ascii="Arial" w:cs="Arial" w:eastAsia="Arial" w:hAnsi="Arial"/>
          <w:sz w:val="22"/>
          <w:szCs w:val="22"/>
          <w:color w:val="auto"/>
        </w:rPr>
      </w:pPr>
    </w:p>
    <w:p>
      <w:pPr>
        <w:ind w:left="1920" w:hanging="636"/>
        <w:spacing w:after="0"/>
        <w:tabs>
          <w:tab w:leader="none" w:pos="192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Investments consisting of payments required to be made pursuant to any Hedge Agreement;</w:t>
      </w:r>
    </w:p>
    <w:p>
      <w:pPr>
        <w:spacing w:after="0" w:line="219" w:lineRule="exact"/>
        <w:rPr>
          <w:rFonts w:ascii="Arial" w:cs="Arial" w:eastAsia="Arial" w:hAnsi="Arial"/>
          <w:sz w:val="22"/>
          <w:szCs w:val="22"/>
          <w:color w:val="auto"/>
        </w:rPr>
      </w:pPr>
    </w:p>
    <w:p>
      <w:pPr>
        <w:ind w:left="-20" w:firstLine="1304"/>
        <w:spacing w:after="0" w:line="263" w:lineRule="auto"/>
        <w:tabs>
          <w:tab w:leader="none" w:pos="1919"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Investments consisting of loans and advances to Holdings made in lieu of (but not in addition to) the Restricted Payments permitted to be made pursuant to </w:t>
      </w:r>
      <w:r>
        <w:rPr>
          <w:rFonts w:ascii="Arial" w:cs="Arial" w:eastAsia="Arial" w:hAnsi="Arial"/>
          <w:sz w:val="22"/>
          <w:szCs w:val="22"/>
          <w:u w:val="single" w:color="auto"/>
          <w:color w:val="auto"/>
        </w:rPr>
        <w:t>Sections 7.6(c)</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(f)</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7.6(i)</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20" w:right="20" w:firstLine="1304"/>
        <w:spacing w:after="0" w:line="263" w:lineRule="auto"/>
        <w:tabs>
          <w:tab w:leader="none" w:pos="192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Investments consisting of advances to Georgia Theater CompanyII in connection with dispositions permitted under </w:t>
      </w:r>
      <w:r>
        <w:rPr>
          <w:rFonts w:ascii="Arial" w:cs="Arial" w:eastAsia="Arial" w:hAnsi="Arial"/>
          <w:sz w:val="22"/>
          <w:szCs w:val="22"/>
          <w:u w:val="single" w:color="auto"/>
          <w:color w:val="auto"/>
        </w:rPr>
        <w:t>Section 7.5(h)</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20" w:firstLine="1304"/>
        <w:spacing w:after="0" w:line="250" w:lineRule="auto"/>
        <w:tabs>
          <w:tab w:leader="none" w:pos="1922"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Investments arising from the Borrower or any of its Subsidiaries offering such concessionary trade terms, or from receiving such Investments, in connection with the bankruptcy or reorganization of their respective suppliers or customers or the settlement of disputes with such customers or suppliers arising in the ordinary course of business, as management deems reasonable; and</w:t>
      </w:r>
    </w:p>
    <w:p>
      <w:pPr>
        <w:spacing w:after="0" w:line="187" w:lineRule="exact"/>
        <w:rPr>
          <w:rFonts w:ascii="Arial" w:cs="Arial" w:eastAsia="Arial" w:hAnsi="Arial"/>
          <w:sz w:val="22"/>
          <w:szCs w:val="22"/>
          <w:color w:val="auto"/>
        </w:rPr>
      </w:pPr>
    </w:p>
    <w:p>
      <w:pPr>
        <w:jc w:val="both"/>
        <w:ind w:left="-20" w:firstLine="1304"/>
        <w:spacing w:after="0" w:line="285" w:lineRule="auto"/>
        <w:tabs>
          <w:tab w:leader="none" w:pos="1912"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0000FF"/>
        </w:rPr>
        <w:t xml:space="preserve">so long as no Default or Event of Default exists immediately before or </w:t>
      </w:r>
      <w:r>
        <w:rPr>
          <w:rFonts w:ascii="Arial" w:cs="Arial" w:eastAsia="Arial" w:hAnsi="Arial"/>
          <w:sz w:val="19"/>
          <w:szCs w:val="19"/>
          <w:u w:val="single" w:color="auto"/>
          <w:color w:val="008000"/>
        </w:rPr>
        <w:t>after giving effect to such</w:t>
      </w:r>
      <w:r>
        <w:rPr>
          <w:rFonts w:ascii="Arial" w:cs="Arial" w:eastAsia="Arial" w:hAnsi="Arial"/>
          <w:sz w:val="19"/>
          <w:szCs w:val="19"/>
          <w:u w:val="single" w:color="auto"/>
          <w:color w:val="0000FF"/>
        </w:rPr>
        <w:t xml:space="preserve"> Investment,</w:t>
      </w:r>
      <w:r>
        <w:rPr>
          <w:rFonts w:ascii="Arial" w:cs="Arial" w:eastAsia="Arial" w:hAnsi="Arial"/>
          <w:sz w:val="19"/>
          <w:szCs w:val="19"/>
          <w:color w:val="0000FF"/>
        </w:rPr>
        <w:t xml:space="preserve"> </w:t>
      </w:r>
      <w:r>
        <w:rPr>
          <w:rFonts w:ascii="Arial" w:cs="Arial" w:eastAsia="Arial" w:hAnsi="Arial"/>
          <w:sz w:val="19"/>
          <w:szCs w:val="19"/>
          <w:color w:val="000000"/>
        </w:rPr>
        <w:t>in addition to Investments otherwise expressly permitted by Sections 7.8(a) through (s), Investments by the Borrower</w:t>
      </w:r>
      <w:r>
        <w:rPr>
          <w:rFonts w:ascii="Arial" w:cs="Arial" w:eastAsia="Arial" w:hAnsi="Arial"/>
          <w:sz w:val="19"/>
          <w:szCs w:val="19"/>
          <w:color w:val="0000FF"/>
        </w:rPr>
        <w:t xml:space="preserve"> </w:t>
      </w:r>
      <w:r>
        <w:rPr>
          <w:rFonts w:ascii="Arial" w:cs="Arial" w:eastAsia="Arial" w:hAnsi="Arial"/>
          <w:sz w:val="19"/>
          <w:szCs w:val="19"/>
          <w:color w:val="000000"/>
        </w:rPr>
        <w:t>or any of its Subsidiaries</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in an aggregate amount (valued at cost) not to exceed</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$100,000,000 at any time outstanding</w:t>
      </w:r>
      <w:r>
        <w:rPr>
          <w:rFonts w:ascii="Arial" w:cs="Arial" w:eastAsia="Arial" w:hAnsi="Arial"/>
          <w:sz w:val="19"/>
          <w:szCs w:val="19"/>
          <w:color w:val="FF0000"/>
          <w:strike w:val="1"/>
        </w:rPr>
        <w:t>.</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(or, in the</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 xml:space="preserve">case of any Investments by a Loan Party (or with the proceeds of Asset Sales of assets of a Loan Party) in a Subsidiary </w:t>
      </w:r>
      <w:r>
        <w:rPr>
          <w:rFonts w:ascii="Arial" w:cs="Arial" w:eastAsia="Arial" w:hAnsi="Arial"/>
          <w:sz w:val="19"/>
          <w:szCs w:val="19"/>
          <w:u w:val="single" w:color="auto"/>
          <w:color w:val="008000"/>
        </w:rPr>
        <w:t>that is not</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a Loan Party or </w:t>
      </w:r>
      <w:r>
        <w:rPr>
          <w:rFonts w:ascii="Arial" w:cs="Arial" w:eastAsia="Arial" w:hAnsi="Arial"/>
          <w:sz w:val="19"/>
          <w:szCs w:val="19"/>
          <w:u w:val="single" w:color="auto"/>
          <w:color w:val="0000FF"/>
        </w:rPr>
        <w:t>in a Person in which such Loan Party holds a minority position in the Capital Stock thereof, $50,000,000 at any</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 xml:space="preserve">one time outstanding (of which up to $25,000,000 may be used by Loan Parties to make Investments in assets of Subsidiaries that are not Loan Parties pursuant to Section 7.8(e))); provided that from and after the Amendment No. 2 Effective Date, the amount of Investments permitted to become (and thereafter remain) outstanding pursuant to this clause (t) shall be reduced to $50,000,000 (or, in the case of any such Investments by a Loan Party in a Subsidiary that is not a Loan Party or in a Person in which such Loan Party holds a minority position in the Capital Stock thereof, together with Investments by Loan Parties (or with the proceeds of Asset Sales of </w:t>
      </w:r>
      <w:r>
        <w:rPr>
          <w:rFonts w:ascii="Arial" w:cs="Arial" w:eastAsia="Arial" w:hAnsi="Arial"/>
          <w:sz w:val="19"/>
          <w:szCs w:val="19"/>
          <w:u w:val="single" w:color="auto"/>
          <w:color w:val="008000"/>
        </w:rPr>
        <w:t>assets of a Loan Party</w:t>
      </w:r>
      <w:r>
        <w:rPr>
          <w:rFonts w:ascii="Arial" w:cs="Arial" w:eastAsia="Arial" w:hAnsi="Arial"/>
          <w:sz w:val="19"/>
          <w:szCs w:val="19"/>
          <w:u w:val="single" w:color="auto"/>
          <w:color w:val="0000FF"/>
        </w:rPr>
        <w:t>) in Subsidiaries that are not Loan Parties made pursuant to Section 7.8(e), $30,000,000 at any one time outstanding (of which, solely after the Q3 End Date, up to $15,000,000 may be used to make any Investment by a Loan Party (or with the proceeds of Asset Sales of assets of a Loan Party) in assets of Subsidiaries that are not Loan Parties pursuant to Section 7.8(e))), until such time as (x) the Q3 End Date shall have occurred and (y) the Consolidated Net Senior Secured Leverage Ratio has initially decreased below 4.50:1.00; provided further that, from and after the Amendment No. 2 Effective Date until the Q3 End Date, this clause (t) shall not be relied upon to consummate an Acquisition transaction otherwise referred to in clause (l) of this Section 7.8 or to make any Investment by Loan Parties (using proceeds of Asset Sales by Loan Parties) in assets of Subsidiaries that are not Loan Parties pursuant to clause (e) of this Section 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20"/>
          </w:cols>
          <w:pgMar w:left="340" w:top="1428" w:right="339" w:bottom="1440" w:gutter="0" w:footer="0" w:header="0"/>
        </w:sectPr>
      </w:pPr>
    </w:p>
    <w:bookmarkStart w:id="224" w:name="page225"/>
    <w:bookmarkEnd w:id="224"/>
    <w:p>
      <w:pPr>
        <w:jc w:val="both"/>
        <w:ind w:firstLine="648"/>
        <w:spacing w:after="0" w:line="253" w:lineRule="auto"/>
        <w:rPr>
          <w:sz w:val="20"/>
          <w:szCs w:val="20"/>
          <w:color w:val="auto"/>
        </w:rPr>
      </w:pPr>
      <w:r>
        <w:rPr>
          <w:rFonts w:ascii="Arial" w:cs="Arial" w:eastAsia="Arial" w:hAnsi="Arial"/>
          <w:sz w:val="22"/>
          <w:szCs w:val="22"/>
          <w:u w:val="single" w:color="auto"/>
          <w:color w:val="0000FF"/>
        </w:rPr>
        <w:t>provided that, from the Amendment No. 2 Effective Date until the Q3 End Date, the exceptions in clauses (a) through (t) above, shall not apply to any Subsidiary of the Borrower that is not a Loan Party (other than any Subsidiary that is a Bona Fide Joint Venture).</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Limitation on Amendments to Other Documents</w:t>
      </w:r>
      <w:r>
        <w:rPr>
          <w:rFonts w:ascii="Arial" w:cs="Arial" w:eastAsia="Arial" w:hAnsi="Arial"/>
          <w:sz w:val="22"/>
          <w:szCs w:val="22"/>
          <w:color w:val="auto"/>
        </w:rPr>
        <w:t>. Amend, supplement or otherwise modify (pursuant to a waiver or otherwise) the terms and conditions of the Senior Notes Indenture, ESAs, the Management Agreement or the Tax Receivable Agreement in any manner except to the extent that any such amendment, supplement or modification would not reasonably be expected to be materially adverse to the Lenders.</w:t>
      </w:r>
    </w:p>
    <w:p>
      <w:pPr>
        <w:spacing w:after="0" w:line="188"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7.10 </w:t>
      </w:r>
      <w:r>
        <w:rPr>
          <w:rFonts w:ascii="Arial" w:cs="Arial" w:eastAsia="Arial" w:hAnsi="Arial"/>
          <w:sz w:val="19"/>
          <w:szCs w:val="19"/>
          <w:u w:val="single" w:color="auto"/>
          <w:color w:val="auto"/>
        </w:rPr>
        <w:t>Limitation on Transactions with Affiliates</w:t>
      </w:r>
      <w:r>
        <w:rPr>
          <w:rFonts w:ascii="Arial" w:cs="Arial" w:eastAsia="Arial" w:hAnsi="Arial"/>
          <w:sz w:val="19"/>
          <w:szCs w:val="19"/>
          <w:color w:val="auto"/>
        </w:rPr>
        <w:t xml:space="preserve">. Enter into any transaction, including, without limitation, any purchase, sale, lease or exchange of Property, the rendering of any service or the payment of any management, advisory or similar fees, with any Affiliate (other than the Borrower or any Subsidiary) unless such transaction is (a) not otherwise prohibited under this Agreement, and (b) upon fair and reasonable terms no less favorable to the Borrower or such Subsidiary, as the case may be, than it would obtain in a comparable arm’s length transaction with a Person that is not an Affiliate. Notwithstanding the foregoing, (x) the transactions contemplated by the ESAs, the Tax Receivable Agreement, the Management Agreement and the other agreements identified on </w:t>
      </w:r>
      <w:r>
        <w:rPr>
          <w:rFonts w:ascii="Arial" w:cs="Arial" w:eastAsia="Arial" w:hAnsi="Arial"/>
          <w:sz w:val="19"/>
          <w:szCs w:val="19"/>
          <w:u w:val="single" w:color="auto"/>
          <w:color w:val="auto"/>
        </w:rPr>
        <w:t>Schedule 7.10</w:t>
      </w:r>
      <w:r>
        <w:rPr>
          <w:rFonts w:ascii="Arial" w:cs="Arial" w:eastAsia="Arial" w:hAnsi="Arial"/>
          <w:sz w:val="19"/>
          <w:szCs w:val="19"/>
          <w:color w:val="auto"/>
        </w:rPr>
        <w:t xml:space="preserve"> shall be permitted, (y) this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shall not prohibit or prevent the making of Restricted Payments under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the making of Investments permitted by </w:t>
      </w:r>
      <w:r>
        <w:rPr>
          <w:rFonts w:ascii="Arial" w:cs="Arial" w:eastAsia="Arial" w:hAnsi="Arial"/>
          <w:sz w:val="19"/>
          <w:szCs w:val="19"/>
          <w:u w:val="single" w:color="auto"/>
          <w:color w:val="auto"/>
        </w:rPr>
        <w:t>Section 7.8(d)</w:t>
      </w:r>
      <w:r>
        <w:rPr>
          <w:rFonts w:ascii="Arial" w:cs="Arial" w:eastAsia="Arial" w:hAnsi="Arial"/>
          <w:sz w:val="19"/>
          <w:szCs w:val="19"/>
          <w:color w:val="auto"/>
        </w:rPr>
        <w:t xml:space="preserve"> or payment by the Borrower of the Final Circuit Share Payments and (z) transactions between or among the Loan Parties and transactions between or among Subsidiaries that are not Loan Parties shall be permitted.</w:t>
      </w:r>
    </w:p>
    <w:p>
      <w:pPr>
        <w:spacing w:after="0" w:line="159"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7.11 </w:t>
      </w:r>
      <w:r>
        <w:rPr>
          <w:rFonts w:ascii="Arial" w:cs="Arial" w:eastAsia="Arial" w:hAnsi="Arial"/>
          <w:sz w:val="19"/>
          <w:szCs w:val="19"/>
          <w:u w:val="single" w:color="auto"/>
          <w:color w:val="auto"/>
        </w:rPr>
        <w:t>Limitation on Sales and Leasebacks</w:t>
      </w:r>
      <w:r>
        <w:rPr>
          <w:rFonts w:ascii="Arial" w:cs="Arial" w:eastAsia="Arial" w:hAnsi="Arial"/>
          <w:sz w:val="19"/>
          <w:szCs w:val="19"/>
          <w:color w:val="auto"/>
        </w:rPr>
        <w:t xml:space="preserve">. Enter into any arrangement with any Person the Net Cash Proceeds of which exceed </w:t>
      </w:r>
      <w:r>
        <w:rPr>
          <w:rFonts w:ascii="Arial" w:cs="Arial" w:eastAsia="Arial" w:hAnsi="Arial"/>
          <w:sz w:val="19"/>
          <w:szCs w:val="19"/>
          <w:u w:val="single" w:color="auto"/>
          <w:color w:val="0000FF"/>
        </w:rPr>
        <w:t>(a) from and after the Amendment No. 2 Effective Date until the Q3 End Date, $10,000,000 and (b) at any other</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time,</w:t>
      </w:r>
      <w:r>
        <w:rPr>
          <w:rFonts w:ascii="Arial" w:cs="Arial" w:eastAsia="Arial" w:hAnsi="Arial"/>
          <w:sz w:val="19"/>
          <w:szCs w:val="19"/>
          <w:color w:val="0000FF"/>
        </w:rPr>
        <w:t xml:space="preserve"> </w:t>
      </w:r>
      <w:r>
        <w:rPr>
          <w:rFonts w:ascii="Arial" w:cs="Arial" w:eastAsia="Arial" w:hAnsi="Arial"/>
          <w:sz w:val="19"/>
          <w:szCs w:val="19"/>
          <w:color w:val="000000"/>
        </w:rPr>
        <w:t>$20,000,000</w:t>
      </w:r>
      <w:r>
        <w:rPr>
          <w:rFonts w:ascii="Arial" w:cs="Arial" w:eastAsia="Arial" w:hAnsi="Arial"/>
          <w:sz w:val="19"/>
          <w:szCs w:val="19"/>
          <w:u w:val="single" w:color="auto"/>
          <w:color w:val="0000FF"/>
        </w:rPr>
        <w:t>,</w:t>
      </w:r>
      <w:r>
        <w:rPr>
          <w:rFonts w:ascii="Arial" w:cs="Arial" w:eastAsia="Arial" w:hAnsi="Arial"/>
          <w:sz w:val="19"/>
          <w:szCs w:val="19"/>
          <w:color w:val="0000FF"/>
        </w:rPr>
        <w:t xml:space="preserve"> </w:t>
      </w:r>
      <w:r>
        <w:rPr>
          <w:rFonts w:ascii="Arial" w:cs="Arial" w:eastAsia="Arial" w:hAnsi="Arial"/>
          <w:sz w:val="19"/>
          <w:szCs w:val="19"/>
          <w:color w:val="000000"/>
        </w:rPr>
        <w:t>providing for the leasing by the Borrower or any Subsidiary of real or personal property which has been or is</w:t>
      </w:r>
      <w:r>
        <w:rPr>
          <w:rFonts w:ascii="Arial" w:cs="Arial" w:eastAsia="Arial" w:hAnsi="Arial"/>
          <w:sz w:val="19"/>
          <w:szCs w:val="19"/>
          <w:color w:val="0000FF"/>
        </w:rPr>
        <w:t xml:space="preserve"> </w:t>
      </w:r>
      <w:r>
        <w:rPr>
          <w:rFonts w:ascii="Arial" w:cs="Arial" w:eastAsia="Arial" w:hAnsi="Arial"/>
          <w:sz w:val="19"/>
          <w:szCs w:val="19"/>
          <w:color w:val="000000"/>
        </w:rPr>
        <w:t>to be sold or transferred by the Borrower or such Subsidiary to such Person or to any other Person to whom funds have been or are to be advanced by such Person on the security of such property or rental obligations of the Borrower or such Subsidiary</w:t>
      </w:r>
      <w:r>
        <w:rPr>
          <w:rFonts w:ascii="Arial" w:cs="Arial" w:eastAsia="Arial" w:hAnsi="Arial"/>
          <w:sz w:val="19"/>
          <w:szCs w:val="19"/>
          <w:u w:val="single" w:color="auto"/>
          <w:color w:val="0000FF"/>
        </w:rPr>
        <w:t>;</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provided, however, that the Borrower and its Subsidiaries may not sell and leaseback any of their Intellectual Property</w:t>
      </w:r>
      <w:r>
        <w:rPr>
          <w:rFonts w:ascii="Arial" w:cs="Arial" w:eastAsia="Arial" w:hAnsi="Arial"/>
          <w:sz w:val="19"/>
          <w:szCs w:val="19"/>
          <w:color w:val="000000"/>
        </w:rPr>
        <w:t>.</w:t>
      </w:r>
    </w:p>
    <w:p>
      <w:pPr>
        <w:spacing w:after="0" w:line="14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u w:val="single" w:color="auto"/>
          <w:color w:val="auto"/>
        </w:rPr>
        <w:t>Limitation on Changes in Fiscal Periods</w:t>
      </w:r>
      <w:r>
        <w:rPr>
          <w:rFonts w:ascii="Arial" w:cs="Arial" w:eastAsia="Arial" w:hAnsi="Arial"/>
          <w:sz w:val="22"/>
          <w:szCs w:val="22"/>
          <w:color w:val="auto"/>
        </w:rPr>
        <w:t xml:space="preserve">. Permit the fiscal year of the Borrower to end on a day other than the first Thursday after December 25 in any calendar year or change the Borrower’s method of determining fiscal quarters;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Borrower may change its fiscal year to the calendar year beginning January 1 and ending December 31 and may change the method of determining fiscal quarters accordingly so long as the Borrower gives the Administrative Agent prior written notice thereof.</w:t>
      </w:r>
    </w:p>
    <w:p>
      <w:pPr>
        <w:spacing w:after="0" w:line="192"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7.13 </w:t>
      </w:r>
      <w:r>
        <w:rPr>
          <w:rFonts w:ascii="Arial" w:cs="Arial" w:eastAsia="Arial" w:hAnsi="Arial"/>
          <w:sz w:val="19"/>
          <w:szCs w:val="19"/>
          <w:u w:val="single" w:color="auto"/>
          <w:color w:val="auto"/>
        </w:rPr>
        <w:t>Limitation on Negative Pledge Clauses and Restrictions on Subsidiary Distributions</w:t>
      </w:r>
      <w:r>
        <w:rPr>
          <w:rFonts w:ascii="Arial" w:cs="Arial" w:eastAsia="Arial" w:hAnsi="Arial"/>
          <w:sz w:val="19"/>
          <w:szCs w:val="19"/>
          <w:color w:val="auto"/>
        </w:rPr>
        <w:t>. Enter into or suffer to exist or become effective any agreement that prohibits or limits the ability of the Borrower or any of its Subsidiaries to (w) create, incur, assume or suffer to exist any Lien upon any of its Property or revenues, whether now owned or hereafter acquired, to secure the Obligations or, in the case of any guarantor, its obligations under the Guarantee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1428" w:right="339" w:bottom="1440" w:gutter="0" w:footer="0" w:header="0"/>
        </w:sectPr>
      </w:pPr>
    </w:p>
    <w:bookmarkStart w:id="225" w:name="page226"/>
    <w:bookmarkEnd w:id="225"/>
    <w:p>
      <w:pPr>
        <w:spacing w:after="0" w:line="291" w:lineRule="auto"/>
        <w:rPr>
          <w:sz w:val="20"/>
          <w:szCs w:val="20"/>
          <w:color w:val="auto"/>
        </w:rPr>
      </w:pPr>
      <w:r>
        <w:rPr>
          <w:rFonts w:ascii="Arial" w:cs="Arial" w:eastAsia="Arial" w:hAnsi="Arial"/>
          <w:sz w:val="19"/>
          <w:szCs w:val="19"/>
          <w:color w:val="auto"/>
        </w:rPr>
        <w:t>Collateral Agreement, (x) make Restricted Payments in respect of any Capital Stock of such Subsidiary held by, or pay any Indebtedness owed to, the Borrower or any other Subsidiary, (y) make Investments in the Borrower or any other Subsidiary or</w:t>
      </w:r>
    </w:p>
    <w:p>
      <w:pPr>
        <w:spacing w:after="0" w:line="1" w:lineRule="exact"/>
        <w:rPr>
          <w:sz w:val="20"/>
          <w:szCs w:val="20"/>
          <w:color w:val="auto"/>
        </w:rPr>
      </w:pPr>
    </w:p>
    <w:p>
      <w:pPr>
        <w:jc w:val="both"/>
        <w:ind w:firstLine="8"/>
        <w:spacing w:after="0" w:line="283" w:lineRule="auto"/>
        <w:tabs>
          <w:tab w:leader="none" w:pos="343"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transfer any of its assets to the Borrower or any other Subsidiary, other than (a) this Agreement and the other Loan Documents, and any documents related to any </w:t>
      </w:r>
      <w:r>
        <w:rPr>
          <w:rFonts w:ascii="Arial" w:cs="Arial" w:eastAsia="Arial" w:hAnsi="Arial"/>
          <w:sz w:val="19"/>
          <w:szCs w:val="19"/>
          <w:color w:val="FF0000"/>
          <w:strike w:val="1"/>
        </w:rPr>
        <w:t>Incremental Equivalent Debt,</w:t>
      </w:r>
      <w:r>
        <w:rPr>
          <w:rFonts w:ascii="Arial" w:cs="Arial" w:eastAsia="Arial" w:hAnsi="Arial"/>
          <w:sz w:val="19"/>
          <w:szCs w:val="19"/>
          <w:color w:val="auto"/>
        </w:rPr>
        <w:t xml:space="preserve"> Replacement Term Loans, Replacement Revolving Facilities and Refinancing Notes, and, in each case, Permitted Refinancings in respect thereof, (b) any agreements governing any purchase money Liens or Capital Lease Obligations or other secured Indebtedness otherwise permitted hereby (in which case, any prohibition or limitation shall only be effective against the assets financed thereby), (c) customary non-assignment provisions or other restrictions on Liens arising under leases, subleases, licenses, sublicenses, joint venture agreements or other agreements entered into in the ordinary course of business and, (d) the Specified Hedge Agreements and other Hedge Agreements, (e) the Senior Secured Note </w:t>
      </w:r>
      <w:r>
        <w:rPr>
          <w:rFonts w:ascii="Arial" w:cs="Arial" w:eastAsia="Arial" w:hAnsi="Arial"/>
          <w:sz w:val="19"/>
          <w:szCs w:val="19"/>
          <w:u w:val="single" w:color="auto"/>
          <w:color w:val="0000FF"/>
        </w:rPr>
        <w:t>2028</w:t>
      </w:r>
      <w:r>
        <w:rPr>
          <w:rFonts w:ascii="Arial" w:cs="Arial" w:eastAsia="Arial" w:hAnsi="Arial"/>
          <w:sz w:val="19"/>
          <w:szCs w:val="19"/>
          <w:color w:val="auto"/>
        </w:rPr>
        <w:t xml:space="preserve"> Indenture, Senior Unsecured Notes Indenture and Permitted Refinancings in respect thereof, (f) restrictions and conditions existing on the date hereof identified on </w:t>
      </w:r>
      <w:r>
        <w:rPr>
          <w:rFonts w:ascii="Arial" w:cs="Arial" w:eastAsia="Arial" w:hAnsi="Arial"/>
          <w:sz w:val="19"/>
          <w:szCs w:val="19"/>
          <w:u w:val="single" w:color="auto"/>
          <w:color w:val="auto"/>
        </w:rPr>
        <w:t>Schedule 7.13</w:t>
      </w:r>
      <w:r>
        <w:rPr>
          <w:rFonts w:ascii="Arial" w:cs="Arial" w:eastAsia="Arial" w:hAnsi="Arial"/>
          <w:sz w:val="19"/>
          <w:szCs w:val="19"/>
          <w:color w:val="auto"/>
        </w:rPr>
        <w:t xml:space="preserve">, (g) in the case of any Subsidiary that is not a wholly-owned Subsidiary, restrictions and conditions imposed by its organizational documents or any related joint venture or similar agreements </w:t>
      </w:r>
      <w:r>
        <w:rPr>
          <w:rFonts w:ascii="Arial" w:cs="Arial" w:eastAsia="Arial" w:hAnsi="Arial"/>
          <w:sz w:val="19"/>
          <w:szCs w:val="19"/>
          <w:color w:val="0000FF"/>
        </w:rPr>
        <w:t>or any agreements in respect of permitted Indebtedness of such Joint Venture</w:t>
      </w:r>
      <w:r>
        <w:rPr>
          <w:rFonts w:ascii="Arial" w:cs="Arial" w:eastAsia="Arial" w:hAnsi="Arial"/>
          <w:sz w:val="19"/>
          <w:szCs w:val="19"/>
          <w:color w:val="auto"/>
        </w:rPr>
        <w:t xml:space="preserve">; provided that such restrictions and conditions apply only to such Subsidiary and </w:t>
      </w:r>
      <w:r>
        <w:rPr>
          <w:rFonts w:ascii="Arial" w:cs="Arial" w:eastAsia="Arial" w:hAnsi="Arial"/>
          <w:sz w:val="19"/>
          <w:szCs w:val="19"/>
          <w:u w:val="single" w:color="auto"/>
          <w:color w:val="0000FF"/>
        </w:rPr>
        <w:t>(except for such Indebtedness)</w:t>
      </w:r>
      <w:r>
        <w:rPr>
          <w:rFonts w:ascii="Arial" w:cs="Arial" w:eastAsia="Arial" w:hAnsi="Arial"/>
          <w:sz w:val="19"/>
          <w:szCs w:val="19"/>
          <w:color w:val="auto"/>
        </w:rPr>
        <w:t xml:space="preserve"> to the Capital Stock of such Subsidiary, (h) restrictions imposed by any agreement governing Indebtedness entered into after the Closing Date and permitted hereunder that are, taken as a whole, in the good faith judgment of the Borrower, not materially more restrictive with respect to the Borrower or any Subsidiary than those contained in this Agreement (as determined by the Borrower in good faith), (i) customary restrictions and conditions contained in agreements relating to the sale of a Subsidiary or any assets of the Borrower or any Subsidiary, in each case pending such sale; provided that such restrictions and conditions apply only to such Subsidiary or the assets that are to be sold and, in each case, such sale is permitted hereunder, and (j) restrictions imposed by agreements relating to Indebtedness of any Subsidiary in existence at the time such Subsidiary became a Subsidiary and otherwise permitted by </w:t>
      </w:r>
      <w:r>
        <w:rPr>
          <w:rFonts w:ascii="Arial" w:cs="Arial" w:eastAsia="Arial" w:hAnsi="Arial"/>
          <w:sz w:val="19"/>
          <w:szCs w:val="19"/>
          <w:u w:val="single" w:color="auto"/>
          <w:color w:val="auto"/>
        </w:rPr>
        <w:t>Section 7.2(m)</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apply only to such Subsidiary and its assets (or any special purpose acquisition Subsidiary without material assets acquiring such Subsidiary pursuant to a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-1675130</wp:posOffset>
            </wp:positionV>
            <wp:extent cx="43351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4335145" cy="8255"/>
                    </a:xfrm>
                    <a:prstGeom prst="rect">
                      <a:avLst/>
                    </a:prstGeom>
                    <a:noFill/>
                  </pic:spPr>
                </pic:pic>
              </a:graphicData>
            </a:graphic>
          </wp:anchor>
        </w:drawing>
      </w:r>
    </w:p>
    <w:p>
      <w:pPr>
        <w:spacing w:after="0" w:line="15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 xml:space="preserve">7.15 </w:t>
      </w:r>
      <w:r>
        <w:rPr>
          <w:rFonts w:ascii="Arial" w:cs="Arial" w:eastAsia="Arial" w:hAnsi="Arial"/>
          <w:sz w:val="21"/>
          <w:szCs w:val="21"/>
          <w:u w:val="single" w:color="auto"/>
          <w:color w:val="auto"/>
        </w:rPr>
        <w:t>Limitation on Lines of Business</w:t>
      </w:r>
      <w:r>
        <w:rPr>
          <w:rFonts w:ascii="Arial" w:cs="Arial" w:eastAsia="Arial" w:hAnsi="Arial"/>
          <w:sz w:val="21"/>
          <w:szCs w:val="21"/>
          <w:color w:val="auto"/>
        </w:rPr>
        <w:t>. Enter into any business, either directly or through any Subsidiary, except for those businesses in which the Borrower and its Subsidiaries are engaged on the date of this Agreement or any business that is a natural outgrowth or reasonable extension, development or expansion of any such business or any business similar, reasonably related, incidental, complementary or ancillary to any of the foregoing.</w:t>
      </w:r>
    </w:p>
    <w:p>
      <w:pPr>
        <w:spacing w:after="0" w:line="175"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7.16 </w:t>
      </w:r>
      <w:r>
        <w:rPr>
          <w:rFonts w:ascii="Arial" w:cs="Arial" w:eastAsia="Arial" w:hAnsi="Arial"/>
          <w:sz w:val="19"/>
          <w:szCs w:val="19"/>
          <w:u w:val="single" w:color="auto"/>
          <w:color w:val="auto"/>
        </w:rPr>
        <w:t>Sanctions; Anti-Corruption Use of Proceeds</w:t>
      </w:r>
      <w:r>
        <w:rPr>
          <w:rFonts w:ascii="Arial" w:cs="Arial" w:eastAsia="Arial" w:hAnsi="Arial"/>
          <w:sz w:val="19"/>
          <w:szCs w:val="19"/>
          <w:color w:val="auto"/>
        </w:rPr>
        <w:t>. Use the proceeds of the Loans or otherwise make available such proceeds to any Person (i) to fund or facilitate any activities or business of, with or involving any Person that is the subject or target of any Sanctions, (ii) to fund or facilitate any activities or business in or involving any Sanctioned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428" w:right="339" w:bottom="1440" w:gutter="0" w:footer="0" w:header="0"/>
        </w:sectPr>
      </w:pPr>
    </w:p>
    <w:bookmarkStart w:id="226" w:name="page227"/>
    <w:bookmarkEnd w:id="226"/>
    <w:p>
      <w:pPr>
        <w:jc w:val="both"/>
        <w:spacing w:after="0" w:line="263" w:lineRule="auto"/>
        <w:rPr>
          <w:sz w:val="20"/>
          <w:szCs w:val="20"/>
          <w:color w:val="auto"/>
        </w:rPr>
      </w:pPr>
      <w:r>
        <w:rPr>
          <w:rFonts w:ascii="Arial" w:cs="Arial" w:eastAsia="Arial" w:hAnsi="Arial"/>
          <w:sz w:val="22"/>
          <w:szCs w:val="22"/>
          <w:color w:val="auto"/>
        </w:rPr>
        <w:t>Country, (iii) in any manner that would constitute or give rise to violation of Sanctions by any Person, including any Lender or (iv) in any manner that would constitute or give rise to a violation of Anti-Corruption Laws.</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7.17 </w:t>
      </w:r>
      <w:r>
        <w:rPr>
          <w:rFonts w:ascii="Arial" w:cs="Arial" w:eastAsia="Arial" w:hAnsi="Arial"/>
          <w:sz w:val="22"/>
          <w:szCs w:val="22"/>
          <w:u w:val="single" w:color="auto"/>
          <w:color w:val="auto"/>
        </w:rPr>
        <w:t>Minimum Liquidity Covenant.</w:t>
      </w:r>
      <w:r>
        <w:rPr>
          <w:rFonts w:ascii="Arial" w:cs="Arial" w:eastAsia="Arial" w:hAnsi="Arial"/>
          <w:sz w:val="22"/>
          <w:szCs w:val="22"/>
          <w:color w:val="auto"/>
        </w:rPr>
        <w:t xml:space="preserve"> Until </w:t>
      </w:r>
      <w:r>
        <w:rPr>
          <w:rFonts w:ascii="Arial" w:cs="Arial" w:eastAsia="Arial" w:hAnsi="Arial"/>
          <w:sz w:val="19"/>
          <w:szCs w:val="19"/>
          <w:u w:val="single" w:color="auto"/>
          <w:color w:val="008000"/>
          <w:strike w:val="1"/>
        </w:rPr>
        <w:t>the fiscal quarter ending</w:t>
      </w:r>
      <w:r>
        <w:rPr>
          <w:rFonts w:ascii="Arial" w:cs="Arial" w:eastAsia="Arial" w:hAnsi="Arial"/>
          <w:sz w:val="22"/>
          <w:szCs w:val="22"/>
          <w:color w:val="auto"/>
        </w:rPr>
        <w:t xml:space="preserve"> </w:t>
      </w:r>
      <w:r>
        <w:rPr>
          <w:rFonts w:ascii="Arial" w:cs="Arial" w:eastAsia="Arial" w:hAnsi="Arial"/>
          <w:sz w:val="19"/>
          <w:szCs w:val="19"/>
          <w:u w:val="single" w:color="auto"/>
          <w:color w:val="FF0000"/>
          <w:strike w:val="1"/>
        </w:rPr>
        <w:t>July 1, 2021</w:t>
      </w:r>
      <w:r>
        <w:rPr>
          <w:rFonts w:ascii="Arial" w:cs="Arial" w:eastAsia="Arial" w:hAnsi="Arial"/>
          <w:sz w:val="22"/>
          <w:szCs w:val="22"/>
          <w:u w:val="single" w:color="auto"/>
          <w:color w:val="0000FF"/>
        </w:rPr>
        <w:t>(and including) the Q3 End Date</w:t>
      </w:r>
      <w:r>
        <w:rPr>
          <w:rFonts w:ascii="Arial" w:cs="Arial" w:eastAsia="Arial" w:hAnsi="Arial"/>
          <w:sz w:val="22"/>
          <w:szCs w:val="22"/>
          <w:color w:val="auto"/>
        </w:rPr>
        <w:t xml:space="preserve">, permit the sum of the Available Revolving Credit Commitments and </w:t>
      </w:r>
      <w:r>
        <w:rPr>
          <w:rFonts w:ascii="Arial" w:cs="Arial" w:eastAsia="Arial" w:hAnsi="Arial"/>
          <w:sz w:val="19"/>
          <w:szCs w:val="19"/>
          <w:u w:val="single" w:color="auto"/>
          <w:color w:val="FF0000"/>
          <w:strike w:val="1"/>
        </w:rPr>
        <w:t>unrestricted cash on hand</w:t>
      </w:r>
      <w:r>
        <w:rPr>
          <w:rFonts w:ascii="Arial" w:cs="Arial" w:eastAsia="Arial" w:hAnsi="Arial"/>
          <w:sz w:val="22"/>
          <w:szCs w:val="22"/>
          <w:u w:val="single" w:color="auto"/>
          <w:color w:val="0000FF"/>
        </w:rPr>
        <w:t>Unrestricted Cash on hand that is</w:t>
      </w:r>
      <w:r>
        <w:rPr>
          <w:rFonts w:ascii="Arial" w:cs="Arial" w:eastAsia="Arial" w:hAnsi="Arial"/>
          <w:sz w:val="22"/>
          <w:szCs w:val="22"/>
          <w:color w:val="auto"/>
        </w:rPr>
        <w:t xml:space="preserve"> </w:t>
      </w:r>
      <w:r>
        <w:rPr>
          <w:rFonts w:ascii="Arial" w:cs="Arial" w:eastAsia="Arial" w:hAnsi="Arial"/>
          <w:sz w:val="22"/>
          <w:szCs w:val="22"/>
          <w:u w:val="single" w:color="auto"/>
          <w:color w:val="0000FF"/>
        </w:rPr>
        <w:t>held in an Approved Deposit Account (which, subject to the Deposit Account Grace Period, shall be subject to a Control Agreement)</w:t>
      </w:r>
      <w:r>
        <w:rPr>
          <w:rFonts w:ascii="Arial" w:cs="Arial" w:eastAsia="Arial" w:hAnsi="Arial"/>
          <w:sz w:val="22"/>
          <w:szCs w:val="22"/>
          <w:color w:val="0000FF"/>
        </w:rPr>
        <w:t xml:space="preserve"> </w:t>
      </w:r>
      <w:r>
        <w:rPr>
          <w:rFonts w:ascii="Arial" w:cs="Arial" w:eastAsia="Arial" w:hAnsi="Arial"/>
          <w:sz w:val="22"/>
          <w:szCs w:val="22"/>
          <w:color w:val="000000"/>
        </w:rPr>
        <w:t>to be less than $55,000,000 at any time</w:t>
      </w:r>
      <w:r>
        <w:rPr>
          <w:rFonts w:ascii="Arial" w:cs="Arial" w:eastAsia="Arial" w:hAnsi="Arial"/>
          <w:sz w:val="22"/>
          <w:szCs w:val="22"/>
          <w:color w:val="0000FF"/>
        </w:rPr>
        <w:t xml:space="preserve"> (the “Minimum Liquidity Requirement”)</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-38100</wp:posOffset>
            </wp:positionV>
            <wp:extent cx="22853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16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u w:val="single" w:color="auto"/>
          <w:color w:val="0000FF"/>
        </w:rPr>
        <w:t>7.18 Bank Accounts. Until (and including) the Q3 End Date, maintain any deposit accounts, disbursement accounts, investment accounts, lockbox accounts or other cash management and treasury business accounts of any Loan Party other than (i) Approved Deposit Accounts (which, subject to Deposit Account Grace Period, shall be subject to a Control Agreement) held at an Approved Deposit Bank and (ii) Excluded Accounts.</w:t>
      </w:r>
    </w:p>
    <w:p>
      <w:pPr>
        <w:spacing w:after="0" w:line="188" w:lineRule="exact"/>
        <w:rPr>
          <w:sz w:val="20"/>
          <w:szCs w:val="20"/>
          <w:color w:val="auto"/>
        </w:rPr>
      </w:pPr>
    </w:p>
    <w:p>
      <w:pPr>
        <w:ind w:left="1300" w:right="3780" w:firstLine="2811"/>
        <w:spacing w:after="0" w:line="519" w:lineRule="auto"/>
        <w:rPr>
          <w:sz w:val="20"/>
          <w:szCs w:val="20"/>
          <w:color w:val="auto"/>
        </w:rPr>
      </w:pPr>
      <w:r>
        <w:rPr>
          <w:rFonts w:ascii="Arial" w:cs="Arial" w:eastAsia="Arial" w:hAnsi="Arial"/>
          <w:sz w:val="19"/>
          <w:szCs w:val="19"/>
          <w:color w:val="auto"/>
        </w:rPr>
        <w:t>SECTION 8. EVENTS OF DEFAULT If any of the following events shall occur and be continuing:</w:t>
      </w:r>
    </w:p>
    <w:p>
      <w:pPr>
        <w:jc w:val="both"/>
        <w:ind w:firstLine="1304"/>
        <w:spacing w:after="0" w:line="265" w:lineRule="auto"/>
        <w:tabs>
          <w:tab w:leader="none" w:pos="1941" w:val="left"/>
        </w:tabs>
        <w:numPr>
          <w:ilvl w:val="0"/>
          <w:numId w:val="178"/>
        </w:numPr>
        <w:rPr>
          <w:rFonts w:ascii="Arial" w:cs="Arial" w:eastAsia="Arial" w:hAnsi="Arial"/>
          <w:sz w:val="21"/>
          <w:szCs w:val="21"/>
          <w:color w:val="auto"/>
        </w:rPr>
      </w:pPr>
      <w:r>
        <w:rPr>
          <w:rFonts w:ascii="Arial" w:cs="Arial" w:eastAsia="Arial" w:hAnsi="Arial"/>
          <w:sz w:val="21"/>
          <w:szCs w:val="21"/>
          <w:color w:val="auto"/>
        </w:rPr>
        <w:t>(i) the Borrower shall fail to pay any principal of any Loan or Reimbursement Obligation when due in accordance with the terms hereof</w:t>
      </w:r>
      <w:r>
        <w:rPr>
          <w:rFonts w:ascii="Arial" w:cs="Arial" w:eastAsia="Arial" w:hAnsi="Arial"/>
          <w:sz w:val="21"/>
          <w:szCs w:val="21"/>
          <w:color w:val="FF0000"/>
          <w:strike w:val="1"/>
        </w:rPr>
        <w:t>; or</w:t>
      </w:r>
      <w:r>
        <w:rPr>
          <w:rFonts w:ascii="Arial" w:cs="Arial" w:eastAsia="Arial" w:hAnsi="Arial"/>
          <w:sz w:val="21"/>
          <w:szCs w:val="21"/>
          <w:color w:val="auto"/>
        </w:rPr>
        <w:t xml:space="preserve"> </w:t>
      </w:r>
      <w:r>
        <w:rPr>
          <w:rFonts w:ascii="Arial" w:cs="Arial" w:eastAsia="Arial" w:hAnsi="Arial"/>
          <w:sz w:val="21"/>
          <w:szCs w:val="21"/>
          <w:u w:val="single" w:color="auto"/>
          <w:color w:val="0000FF"/>
        </w:rPr>
        <w:t>and</w:t>
      </w:r>
      <w:r>
        <w:rPr>
          <w:rFonts w:ascii="Arial" w:cs="Arial" w:eastAsia="Arial" w:hAnsi="Arial"/>
          <w:sz w:val="21"/>
          <w:szCs w:val="21"/>
          <w:color w:val="auto"/>
        </w:rPr>
        <w:t xml:space="preserve"> (ii) the Borrower shall fail to pay any interest on any Loan or Reimbursement Obligation, or any other amount payable hereunder or under any other Loan Document, within five Business Days after any such interest or other amount becomes due in accordance with the terms hereof or thereof; or</w:t>
      </w:r>
    </w:p>
    <w:p>
      <w:pPr>
        <w:spacing w:after="0" w:line="175" w:lineRule="exact"/>
        <w:rPr>
          <w:rFonts w:ascii="Arial" w:cs="Arial" w:eastAsia="Arial" w:hAnsi="Arial"/>
          <w:sz w:val="21"/>
          <w:szCs w:val="21"/>
          <w:color w:val="auto"/>
        </w:rPr>
      </w:pPr>
    </w:p>
    <w:p>
      <w:pPr>
        <w:jc w:val="both"/>
        <w:ind w:firstLine="1304"/>
        <w:spacing w:after="0" w:line="257" w:lineRule="auto"/>
        <w:tabs>
          <w:tab w:leader="none" w:pos="2052" w:val="left"/>
        </w:tabs>
        <w:numPr>
          <w:ilvl w:val="0"/>
          <w:numId w:val="178"/>
        </w:numPr>
        <w:rPr>
          <w:rFonts w:ascii="Arial" w:cs="Arial" w:eastAsia="Arial" w:hAnsi="Arial"/>
          <w:sz w:val="21"/>
          <w:szCs w:val="21"/>
          <w:color w:val="auto"/>
        </w:rPr>
      </w:pPr>
      <w:r>
        <w:rPr>
          <w:rFonts w:ascii="Arial" w:cs="Arial" w:eastAsia="Arial" w:hAnsi="Arial"/>
          <w:sz w:val="21"/>
          <w:szCs w:val="21"/>
          <w:color w:val="auto"/>
        </w:rPr>
        <w:t xml:space="preserve">(i) any Loan Party shall default in the observance or performance of any agreement contained in </w:t>
      </w:r>
      <w:r>
        <w:rPr>
          <w:rFonts w:ascii="Arial" w:cs="Arial" w:eastAsia="Arial" w:hAnsi="Arial"/>
          <w:sz w:val="21"/>
          <w:szCs w:val="21"/>
          <w:u w:val="single" w:color="auto"/>
          <w:color w:val="auto"/>
        </w:rPr>
        <w:t>Section 6.4(a)(i)</w:t>
      </w:r>
      <w:r>
        <w:rPr>
          <w:rFonts w:ascii="Arial" w:cs="Arial" w:eastAsia="Arial" w:hAnsi="Arial"/>
          <w:sz w:val="21"/>
          <w:szCs w:val="21"/>
          <w:color w:val="auto"/>
        </w:rPr>
        <w:t xml:space="preserve"> (with respect to the Borrower only), </w:t>
      </w:r>
      <w:r>
        <w:rPr>
          <w:rFonts w:ascii="Arial" w:cs="Arial" w:eastAsia="Arial" w:hAnsi="Arial"/>
          <w:sz w:val="21"/>
          <w:szCs w:val="21"/>
          <w:u w:val="single" w:color="auto"/>
          <w:color w:val="auto"/>
        </w:rPr>
        <w:t>Section 6.7(a)</w:t>
      </w:r>
      <w:r>
        <w:rPr>
          <w:rFonts w:ascii="Arial" w:cs="Arial" w:eastAsia="Arial" w:hAnsi="Arial"/>
          <w:sz w:val="21"/>
          <w:szCs w:val="21"/>
          <w:u w:val="single" w:color="auto"/>
          <w:color w:val="0000FF"/>
        </w:rPr>
        <w:t>, Section 6.9, Section 6.11, Section 6.14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 in the case of a non-consensual Lien not permitted under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(other than Liens on Collateral consisting of contracts, agreements or Capital Stock), such failure remains unremedied for five (5) Business Days after a Responsible Officer knows or has reason to know of such non-consensual Lien, </w:t>
      </w:r>
      <w:r>
        <w:rPr>
          <w:rFonts w:ascii="Arial" w:cs="Arial" w:eastAsia="Arial" w:hAnsi="Arial"/>
          <w:sz w:val="21"/>
          <w:szCs w:val="21"/>
          <w:color w:val="FF0000"/>
          <w:strike w:val="1"/>
        </w:rPr>
        <w:t>and</w:t>
      </w:r>
      <w:r>
        <w:rPr>
          <w:rFonts w:ascii="Arial" w:cs="Arial" w:eastAsia="Arial" w:hAnsi="Arial"/>
          <w:sz w:val="21"/>
          <w:szCs w:val="21"/>
          <w:color w:val="auto"/>
        </w:rPr>
        <w:t xml:space="preserve"> (ii) an Event of Default as a result of a breach of </w:t>
      </w:r>
      <w:r>
        <w:rPr>
          <w:rFonts w:ascii="Arial" w:cs="Arial" w:eastAsia="Arial" w:hAnsi="Arial"/>
          <w:sz w:val="21"/>
          <w:szCs w:val="21"/>
          <w:u w:val="single" w:color="auto"/>
          <w:color w:val="auto"/>
        </w:rPr>
        <w:t>Section 7.1(b)</w:t>
      </w:r>
      <w:r>
        <w:rPr>
          <w:rFonts w:ascii="Arial" w:cs="Arial" w:eastAsia="Arial" w:hAnsi="Arial"/>
          <w:sz w:val="21"/>
          <w:szCs w:val="21"/>
          <w:color w:val="auto"/>
        </w:rPr>
        <w:t xml:space="preserve"> shall not constitute an Event of Default with respect to any Term Loans unless and until the Majority Revolving Credit Facility Lenders (or the Administrative Agent acting at the direction of the Majority Revolving Credit Facility Lenders) have declared all amounts outstanding under the Revolving Loans to be immediately due and payable and all outstanding Revolving </w:t>
      </w:r>
      <w:r>
        <w:rPr>
          <w:rFonts w:ascii="Arial" w:cs="Arial" w:eastAsia="Arial" w:hAnsi="Arial"/>
          <w:sz w:val="21"/>
          <w:szCs w:val="21"/>
          <w:u w:val="single" w:color="auto"/>
          <w:color w:val="0000FF"/>
        </w:rPr>
        <w:t>Credit</w:t>
      </w:r>
      <w:r>
        <w:rPr>
          <w:rFonts w:ascii="Arial" w:cs="Arial" w:eastAsia="Arial" w:hAnsi="Arial"/>
          <w:sz w:val="21"/>
          <w:szCs w:val="21"/>
          <w:color w:val="auto"/>
        </w:rPr>
        <w:t xml:space="preserve"> Commitments to be terminated, in each case in accordance with this Agreement</w:t>
      </w:r>
      <w:r>
        <w:rPr>
          <w:rFonts w:ascii="Arial" w:cs="Arial" w:eastAsia="Arial" w:hAnsi="Arial"/>
          <w:sz w:val="21"/>
          <w:szCs w:val="21"/>
          <w:color w:val="FF0000"/>
          <w:strike w:val="1"/>
        </w:rPr>
        <w:t>; or</w:t>
      </w:r>
      <w:r>
        <w:rPr>
          <w:rFonts w:ascii="Arial" w:cs="Arial" w:eastAsia="Arial" w:hAnsi="Arial"/>
          <w:sz w:val="21"/>
          <w:szCs w:val="21"/>
          <w:color w:val="auto"/>
        </w:rPr>
        <w:t xml:space="preserve"> </w:t>
      </w:r>
      <w:r>
        <w:rPr>
          <w:rFonts w:ascii="Arial" w:cs="Arial" w:eastAsia="Arial" w:hAnsi="Arial"/>
          <w:sz w:val="21"/>
          <w:szCs w:val="21"/>
          <w:u w:val="single" w:color="auto"/>
          <w:color w:val="0000FF"/>
        </w:rPr>
        <w:t>and (iii) breach</w:t>
      </w:r>
      <w:r>
        <w:rPr>
          <w:rFonts w:ascii="Arial" w:cs="Arial" w:eastAsia="Arial" w:hAnsi="Arial"/>
          <w:sz w:val="21"/>
          <w:szCs w:val="21"/>
          <w:color w:val="auto"/>
        </w:rPr>
        <w:t xml:space="preserve"> </w:t>
      </w:r>
      <w:r>
        <w:rPr>
          <w:rFonts w:ascii="Arial" w:cs="Arial" w:eastAsia="Arial" w:hAnsi="Arial"/>
          <w:sz w:val="21"/>
          <w:szCs w:val="21"/>
          <w:u w:val="single" w:color="auto"/>
          <w:color w:val="0000FF"/>
        </w:rPr>
        <w:t xml:space="preserve">of the Minimum Liquidity Requirement set forth in Section 7.17 shall not be an Event of Default unless the Borrower shall have failed to cause the sum of the Available Revolving Credit Commitments and Unrestricted Cash on hand that is held in an Approved Deposit Account (which, subject to the Deposit Account Grace Period, </w:t>
      </w:r>
      <w:r>
        <w:rPr>
          <w:rFonts w:ascii="Arial" w:cs="Arial" w:eastAsia="Arial" w:hAnsi="Arial"/>
          <w:sz w:val="21"/>
          <w:szCs w:val="21"/>
          <w:u w:val="single" w:color="auto"/>
          <w:color w:val="008000"/>
        </w:rPr>
        <w:t>shall be subject to</w:t>
      </w:r>
      <w:r>
        <w:rPr>
          <w:rFonts w:ascii="Arial" w:cs="Arial" w:eastAsia="Arial" w:hAnsi="Arial"/>
          <w:sz w:val="21"/>
          <w:szCs w:val="21"/>
          <w:u w:val="single" w:color="auto"/>
          <w:color w:val="0000FF"/>
        </w:rPr>
        <w:t xml:space="preserve"> a Control Agreement) to be greater than $55,000,000 within five Business Days of such breach (provided, that the Borrower may only cure a breach of the agreement contained in Section 7.17 two times from the Amendment No. 2 Effective Date until the Q3 End Date; provided further that so long as such breach is 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428" w:right="339" w:bottom="1440" w:gutter="0" w:footer="0" w:header="0"/>
        </w:sectPr>
      </w:pPr>
    </w:p>
    <w:bookmarkStart w:id="227" w:name="page228"/>
    <w:bookmarkEnd w:id="227"/>
    <w:p>
      <w:pPr>
        <w:jc w:val="both"/>
        <w:spacing w:after="0" w:line="271" w:lineRule="auto"/>
        <w:rPr>
          <w:sz w:val="20"/>
          <w:szCs w:val="20"/>
          <w:color w:val="auto"/>
        </w:rPr>
      </w:pPr>
      <w:r>
        <w:rPr>
          <w:rFonts w:ascii="Arial" w:cs="Arial" w:eastAsia="Arial" w:hAnsi="Arial"/>
          <w:sz w:val="21"/>
          <w:szCs w:val="21"/>
          <w:u w:val="single" w:color="auto"/>
          <w:color w:val="0000FF"/>
        </w:rPr>
        <w:t>within five Business Days of the applicable initial shortfall, any consecutive days of shortfall within such five Business Day period shall be deemed concurrently cured and as only one exercise of the cure right); provided that such cure may not be effectuated utilizing the cash proceeds of Indebtedness for borrowed money or Disqualified Capital Stock; or</w:t>
      </w:r>
    </w:p>
    <w:p>
      <w:pPr>
        <w:spacing w:after="0" w:line="167" w:lineRule="exact"/>
        <w:rPr>
          <w:sz w:val="20"/>
          <w:szCs w:val="20"/>
          <w:color w:val="auto"/>
        </w:rPr>
      </w:pPr>
    </w:p>
    <w:p>
      <w:pPr>
        <w:jc w:val="both"/>
        <w:ind w:firstLine="1304"/>
        <w:spacing w:after="0" w:line="265" w:lineRule="auto"/>
        <w:tabs>
          <w:tab w:leader="none" w:pos="1941" w:val="left"/>
        </w:tabs>
        <w:numPr>
          <w:ilvl w:val="0"/>
          <w:numId w:val="179"/>
        </w:numPr>
        <w:rPr>
          <w:rFonts w:ascii="Arial" w:cs="Arial" w:eastAsia="Arial" w:hAnsi="Arial"/>
          <w:sz w:val="21"/>
          <w:szCs w:val="21"/>
          <w:color w:val="auto"/>
        </w:rPr>
      </w:pPr>
      <w:r>
        <w:rPr>
          <w:rFonts w:ascii="Arial" w:cs="Arial" w:eastAsia="Arial" w:hAnsi="Arial"/>
          <w:sz w:val="21"/>
          <w:szCs w:val="21"/>
          <w:color w:val="auto"/>
        </w:rPr>
        <w:t xml:space="preserve">any Loan Party shall default in the observance or performance of any other agreement contained in this Agreement or any other Loan Document (other than as provided in </w:t>
      </w:r>
      <w:r>
        <w:rPr>
          <w:rFonts w:ascii="Arial" w:cs="Arial" w:eastAsia="Arial" w:hAnsi="Arial"/>
          <w:sz w:val="21"/>
          <w:szCs w:val="21"/>
          <w:u w:val="single" w:color="auto"/>
          <w:color w:val="auto"/>
        </w:rPr>
        <w:t>paragraphs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Section), and such default shall continue unremedied for a period of 30 days after the earlier of (i) notice to the Borrower from the Administrative Agent or the Required Lenders and (ii) the date on which a Responsible Officer knows of such default; or</w:t>
      </w:r>
    </w:p>
    <w:p>
      <w:pPr>
        <w:spacing w:after="0" w:line="175" w:lineRule="exact"/>
        <w:rPr>
          <w:rFonts w:ascii="Arial" w:cs="Arial" w:eastAsia="Arial" w:hAnsi="Arial"/>
          <w:sz w:val="21"/>
          <w:szCs w:val="21"/>
          <w:color w:val="auto"/>
        </w:rPr>
      </w:pPr>
    </w:p>
    <w:p>
      <w:pPr>
        <w:jc w:val="both"/>
        <w:ind w:firstLine="1304"/>
        <w:spacing w:after="0" w:line="250" w:lineRule="auto"/>
        <w:tabs>
          <w:tab w:leader="none" w:pos="193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any representation or warranty made or deemed made by any Loan Party herein or in any other Loan Document or that is contained in any certificate furnished by it at any time under or in connection with this Agreement or any such other Loan Document shall prove to have been inaccurate in any material respect on or as of the date made or deemed made or furnished; or</w:t>
      </w:r>
    </w:p>
    <w:p>
      <w:pPr>
        <w:spacing w:after="0" w:line="187" w:lineRule="exact"/>
        <w:rPr>
          <w:rFonts w:ascii="Arial" w:cs="Arial" w:eastAsia="Arial" w:hAnsi="Arial"/>
          <w:sz w:val="22"/>
          <w:szCs w:val="22"/>
          <w:color w:val="auto"/>
        </w:rPr>
      </w:pPr>
    </w:p>
    <w:p>
      <w:pPr>
        <w:jc w:val="both"/>
        <w:ind w:firstLine="1304"/>
        <w:spacing w:after="0" w:line="285" w:lineRule="auto"/>
        <w:tabs>
          <w:tab w:leader="none" w:pos="1941"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(i) The Borrower or any of its Subsidiaries shall (A) default in making any payment of any principal of, or interest on, any Indebtedness (including, without limitation, any Guarantee Obligation, but excluding the Loans, Reimbursement Obligations and guaranties thereof) having an aggregate outstanding principal amount of more than $27,500,000 beyond the period of grace, if any, provided in the instrument or agreement under which such Indebtedness was created; or (B)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to become subject to a mandatory offer to purchase by the obligor thereunder or (in the case of any such Indebtedness constituting a Guarantee Obligation) to become payable;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clause (i)(B)</w:t>
      </w:r>
      <w:r>
        <w:rPr>
          <w:rFonts w:ascii="Arial" w:cs="Arial" w:eastAsia="Arial" w:hAnsi="Arial"/>
          <w:sz w:val="19"/>
          <w:szCs w:val="19"/>
          <w:color w:val="auto"/>
        </w:rPr>
        <w:t xml:space="preserve"> shall not apply to secured Indebtedness that becomes due as a result of a casualty event or the voluntary sale or transfer of the property or assets securing such Indebtedness, if such sale or transfer is permitted hereunder and under the documents providing for such Indebtedness or such other Indebtedness is concurrently discharged in full; or (ii) there occurs under any Hedge Agreement an Early Termination Date (as defined in such Hedge Agreement) resulting from (A) any event of default under such Hedge Agreement as to which the Borrower or any Subsidiary is the Defaulting Party (as defined in such Hedge Agreement) or (B) any Termination Event (as so defined) under such Hedge Agreement as to which the Borrower or any Subsidiary is an Affected Party (as so defined) and, in either event, the net termination value owed by the Borrower or such Subsidiary as a result thereof is greater than $27,500,000; or</w:t>
      </w:r>
    </w:p>
    <w:p>
      <w:pPr>
        <w:spacing w:after="0" w:line="165" w:lineRule="exact"/>
        <w:rPr>
          <w:rFonts w:ascii="Arial" w:cs="Arial" w:eastAsia="Arial" w:hAnsi="Arial"/>
          <w:sz w:val="19"/>
          <w:szCs w:val="19"/>
          <w:color w:val="auto"/>
        </w:rPr>
      </w:pPr>
    </w:p>
    <w:p>
      <w:pPr>
        <w:jc w:val="both"/>
        <w:ind w:firstLine="1304"/>
        <w:spacing w:after="0" w:line="312" w:lineRule="auto"/>
        <w:tabs>
          <w:tab w:leader="none" w:pos="1944"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 The Borrower or any of its Subsidiaries shall commence any case, proceeding or other action (A) under any existing or future Debtor Relief Laws, seeking to have an order for relief entered with respect to it, or seeking to adjudicate it a bankrupt or insolvent, or seeking reorganization, arrangement, adjustment, winding-up, liquidation,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-1350010</wp:posOffset>
            </wp:positionV>
            <wp:extent cx="342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240"/>
          </w:cols>
          <w:pgMar w:left="320" w:top="1428" w:right="339" w:bottom="1440" w:gutter="0" w:footer="0" w:header="0"/>
        </w:sectPr>
      </w:pPr>
    </w:p>
    <w:bookmarkStart w:id="228" w:name="page229"/>
    <w:bookmarkEnd w:id="228"/>
    <w:p>
      <w:pPr>
        <w:jc w:val="both"/>
        <w:spacing w:after="0" w:line="285" w:lineRule="auto"/>
        <w:rPr>
          <w:sz w:val="20"/>
          <w:szCs w:val="20"/>
          <w:color w:val="auto"/>
        </w:rPr>
      </w:pPr>
      <w:r>
        <w:rPr>
          <w:rFonts w:ascii="Arial" w:cs="Arial" w:eastAsia="Arial" w:hAnsi="Arial"/>
          <w:sz w:val="19"/>
          <w:szCs w:val="19"/>
          <w:color w:val="auto"/>
        </w:rPr>
        <w:t xml:space="preserve">composition or other relief with respect to it or its debts, or (B) seeking appointment of a receiver, trustee, custodian, conservator or other similar official for it or for all or any substantial part of its assets, or the Borrower or any of its Subsidiaries shall make a general assignment for the benefit of its creditors; or (ii) there shall be commenced against the Borrower or any of its Subsidiaries any case, proceeding or other action of a nature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that (A) results in the entry of an order for relief or any such adjudication or appointment or (B) remains undismissed, undischarged or unbonded for a period of 60 days; or</w:t>
      </w:r>
    </w:p>
    <w:p>
      <w:pPr>
        <w:spacing w:after="0" w:line="3" w:lineRule="exact"/>
        <w:rPr>
          <w:sz w:val="20"/>
          <w:szCs w:val="20"/>
          <w:color w:val="auto"/>
        </w:rPr>
      </w:pPr>
    </w:p>
    <w:p>
      <w:pPr>
        <w:jc w:val="both"/>
        <w:ind w:firstLine="8"/>
        <w:spacing w:after="0" w:line="258" w:lineRule="auto"/>
        <w:tabs>
          <w:tab w:leader="none" w:pos="412"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there shall be commenced against the Borrower or any of its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Borrower or any of its Subsidiaries shall generally not, or shall be unable to, or shall admit in writing its inability to, pay its debts as they become due; or</w:t>
      </w:r>
    </w:p>
    <w:p>
      <w:pPr>
        <w:spacing w:after="0" w:line="182" w:lineRule="exact"/>
        <w:rPr>
          <w:rFonts w:ascii="Arial" w:cs="Arial" w:eastAsia="Arial" w:hAnsi="Arial"/>
          <w:sz w:val="21"/>
          <w:szCs w:val="21"/>
          <w:color w:val="auto"/>
        </w:rPr>
      </w:pPr>
    </w:p>
    <w:p>
      <w:pPr>
        <w:jc w:val="both"/>
        <w:ind w:firstLine="1304"/>
        <w:spacing w:after="0" w:line="253" w:lineRule="auto"/>
        <w:tabs>
          <w:tab w:leader="none" w:pos="1939" w:val="left"/>
        </w:tabs>
        <w:numPr>
          <w:ilvl w:val="1"/>
          <w:numId w:val="180"/>
        </w:numPr>
        <w:rPr>
          <w:rFonts w:ascii="Arial" w:cs="Arial" w:eastAsia="Arial" w:hAnsi="Arial"/>
          <w:sz w:val="22"/>
          <w:szCs w:val="22"/>
          <w:color w:val="auto"/>
        </w:rPr>
      </w:pPr>
      <w:r>
        <w:rPr>
          <w:rFonts w:ascii="Arial" w:cs="Arial" w:eastAsia="Arial" w:hAnsi="Arial"/>
          <w:sz w:val="22"/>
          <w:szCs w:val="22"/>
          <w:color w:val="auto"/>
        </w:rPr>
        <w:t>There shall occur one or more ERISA Events or any other event or condition shall occur or exist with respect to a Plan, which, in either case, individually or in the aggregate would, reasonably be expected to have a Material Adverse Effect; or</w:t>
      </w:r>
    </w:p>
    <w:p>
      <w:pPr>
        <w:spacing w:after="0" w:line="185" w:lineRule="exact"/>
        <w:rPr>
          <w:rFonts w:ascii="Arial" w:cs="Arial" w:eastAsia="Arial" w:hAnsi="Arial"/>
          <w:sz w:val="22"/>
          <w:szCs w:val="22"/>
          <w:color w:val="auto"/>
        </w:rPr>
      </w:pPr>
    </w:p>
    <w:p>
      <w:pPr>
        <w:jc w:val="both"/>
        <w:ind w:firstLine="1304"/>
        <w:spacing w:after="0" w:line="297" w:lineRule="auto"/>
        <w:tabs>
          <w:tab w:leader="none" w:pos="1939" w:val="left"/>
        </w:tabs>
        <w:numPr>
          <w:ilvl w:val="1"/>
          <w:numId w:val="180"/>
        </w:numPr>
        <w:rPr>
          <w:rFonts w:ascii="Arial" w:cs="Arial" w:eastAsia="Arial" w:hAnsi="Arial"/>
          <w:sz w:val="19"/>
          <w:szCs w:val="19"/>
          <w:color w:val="auto"/>
        </w:rPr>
      </w:pPr>
      <w:r>
        <w:rPr>
          <w:rFonts w:ascii="Arial" w:cs="Arial" w:eastAsia="Arial" w:hAnsi="Arial"/>
          <w:sz w:val="19"/>
          <w:szCs w:val="19"/>
          <w:color w:val="auto"/>
        </w:rPr>
        <w:t>one or more judgments or decrees shall be entered against the Borrower or any of its Subsidiaries involving for the Borrower and its Subsidiaries taken as a whole a liability of $27,500,000 (in either case to the extent not paid or covered by insurance or indemnities as to which the insurer or indemnitor has been of such judgment, orders, writ or warrant and the applicable insurance company or indemnitor has not denied coverage thereof) or more, and all such judgments or decrees shall not have been vacated, discharged, stayed or bonded pending appeal within 60 days from the entry thereof; or</w:t>
      </w:r>
    </w:p>
    <w:p>
      <w:pPr>
        <w:spacing w:after="0" w:line="146" w:lineRule="exact"/>
        <w:rPr>
          <w:rFonts w:ascii="Arial" w:cs="Arial" w:eastAsia="Arial" w:hAnsi="Arial"/>
          <w:sz w:val="19"/>
          <w:szCs w:val="19"/>
          <w:color w:val="auto"/>
        </w:rPr>
      </w:pPr>
    </w:p>
    <w:p>
      <w:pPr>
        <w:jc w:val="both"/>
        <w:ind w:firstLine="1304"/>
        <w:spacing w:after="0" w:line="290" w:lineRule="auto"/>
        <w:tabs>
          <w:tab w:leader="none" w:pos="1932" w:val="left"/>
        </w:tabs>
        <w:numPr>
          <w:ilvl w:val="1"/>
          <w:numId w:val="180"/>
        </w:numPr>
        <w:rPr>
          <w:rFonts w:ascii="Arial" w:cs="Arial" w:eastAsia="Arial" w:hAnsi="Arial"/>
          <w:sz w:val="19"/>
          <w:szCs w:val="19"/>
          <w:color w:val="auto"/>
        </w:rPr>
      </w:pPr>
      <w:r>
        <w:rPr>
          <w:rFonts w:ascii="Arial" w:cs="Arial" w:eastAsia="Arial" w:hAnsi="Arial"/>
          <w:sz w:val="19"/>
          <w:szCs w:val="19"/>
          <w:color w:val="auto"/>
        </w:rPr>
        <w:t xml:space="preserve">any of the Security Documents shall cease, for any reason (other than by reason of the express release thereof pursuant to </w:t>
      </w:r>
      <w:r>
        <w:rPr>
          <w:rFonts w:ascii="Arial" w:cs="Arial" w:eastAsia="Arial" w:hAnsi="Arial"/>
          <w:sz w:val="19"/>
          <w:szCs w:val="19"/>
          <w:u w:val="single" w:color="auto"/>
          <w:color w:val="auto"/>
        </w:rPr>
        <w:t>Section 10.15</w:t>
      </w:r>
      <w:r>
        <w:rPr>
          <w:rFonts w:ascii="Arial" w:cs="Arial" w:eastAsia="Arial" w:hAnsi="Arial"/>
          <w:sz w:val="19"/>
          <w:szCs w:val="19"/>
          <w:color w:val="auto"/>
        </w:rPr>
        <w:t>), to be in full force and effect with respect to a material portion of the Collateral, or any Loan Party or Holdings shall so assert, or any Lien created by any of the Security Documents with respect to a material portion of the Collateral shall cease to be enforceable and of the same effect and priority required by and subject to such limitations and restrictions as are set forth by the relevant Security Document (other than by reason of the Administrative Agent (i) relinquishing such Liens, (ii) failing to maintain possession of stock certificates, promissory notes or other instruments actually delivered to it representing securities pledged under any Security Documents or (iii) failing to file UCC continuation statements) (unless such failure results from the breach or non-compliance by any Loan Party with the terms of the Loan Documents); or</w:t>
      </w:r>
    </w:p>
    <w:p>
      <w:pPr>
        <w:spacing w:after="0" w:line="155" w:lineRule="exact"/>
        <w:rPr>
          <w:rFonts w:ascii="Arial" w:cs="Arial" w:eastAsia="Arial" w:hAnsi="Arial"/>
          <w:sz w:val="19"/>
          <w:szCs w:val="19"/>
          <w:color w:val="auto"/>
        </w:rPr>
      </w:pPr>
    </w:p>
    <w:p>
      <w:pPr>
        <w:jc w:val="both"/>
        <w:ind w:firstLine="1304"/>
        <w:spacing w:after="0" w:line="253" w:lineRule="auto"/>
        <w:tabs>
          <w:tab w:leader="none" w:pos="1932" w:val="left"/>
        </w:tabs>
        <w:numPr>
          <w:ilvl w:val="1"/>
          <w:numId w:val="180"/>
        </w:numPr>
        <w:rPr>
          <w:rFonts w:ascii="Arial" w:cs="Arial" w:eastAsia="Arial" w:hAnsi="Arial"/>
          <w:sz w:val="22"/>
          <w:szCs w:val="22"/>
          <w:color w:val="auto"/>
        </w:rPr>
      </w:pPr>
      <w:r>
        <w:rPr>
          <w:rFonts w:ascii="Arial" w:cs="Arial" w:eastAsia="Arial" w:hAnsi="Arial"/>
          <w:sz w:val="22"/>
          <w:szCs w:val="22"/>
          <w:color w:val="auto"/>
        </w:rPr>
        <w:t xml:space="preserve">the guarantee contained in </w:t>
      </w:r>
      <w:r>
        <w:rPr>
          <w:rFonts w:ascii="Arial" w:cs="Arial" w:eastAsia="Arial" w:hAnsi="Arial"/>
          <w:sz w:val="22"/>
          <w:szCs w:val="22"/>
          <w:u w:val="single" w:color="auto"/>
          <w:color w:val="auto"/>
        </w:rPr>
        <w:t>Section 2</w:t>
      </w:r>
      <w:r>
        <w:rPr>
          <w:rFonts w:ascii="Arial" w:cs="Arial" w:eastAsia="Arial" w:hAnsi="Arial"/>
          <w:sz w:val="22"/>
          <w:szCs w:val="22"/>
          <w:color w:val="auto"/>
        </w:rPr>
        <w:t xml:space="preserve"> of the Guarantee and Collateral Agreement shall cease, for any reason (other than by reason of the express release thereof pursuant to </w:t>
      </w:r>
      <w:r>
        <w:rPr>
          <w:rFonts w:ascii="Arial" w:cs="Arial" w:eastAsia="Arial" w:hAnsi="Arial"/>
          <w:sz w:val="22"/>
          <w:szCs w:val="22"/>
          <w:u w:val="single" w:color="auto"/>
          <w:color w:val="auto"/>
        </w:rPr>
        <w:t>Section 10.15</w:t>
      </w:r>
      <w:r>
        <w:rPr>
          <w:rFonts w:ascii="Arial" w:cs="Arial" w:eastAsia="Arial" w:hAnsi="Arial"/>
          <w:sz w:val="22"/>
          <w:szCs w:val="22"/>
          <w:color w:val="auto"/>
        </w:rPr>
        <w:t>), to be in full force and effect or any Loan Party or Holdings shall so assert; or</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180"/>
        </w:numPr>
        <w:rPr>
          <w:rFonts w:ascii="Arial" w:cs="Arial" w:eastAsia="Arial" w:hAnsi="Arial"/>
          <w:sz w:val="22"/>
          <w:szCs w:val="22"/>
          <w:color w:val="auto"/>
        </w:rPr>
      </w:pPr>
      <w:r>
        <w:rPr>
          <w:rFonts w:ascii="Arial" w:cs="Arial" w:eastAsia="Arial" w:hAnsi="Arial"/>
          <w:sz w:val="22"/>
          <w:szCs w:val="22"/>
          <w:color w:val="auto"/>
        </w:rPr>
        <w:t>any Change of Control shall occur;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-17780</wp:posOffset>
            </wp:positionV>
            <wp:extent cx="1485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28" w:right="339" w:bottom="1440" w:gutter="0" w:footer="0" w:header="0"/>
        </w:sectPr>
      </w:pPr>
    </w:p>
    <w:bookmarkStart w:id="229" w:name="page230"/>
    <w:bookmarkEnd w:id="229"/>
    <w:p>
      <w:pPr>
        <w:ind w:left="1940" w:hanging="636"/>
        <w:spacing w:after="0"/>
        <w:tabs>
          <w:tab w:leader="none" w:pos="1940" w:val="left"/>
        </w:tabs>
        <w:numPr>
          <w:ilvl w:val="0"/>
          <w:numId w:val="181"/>
        </w:numPr>
        <w:rPr>
          <w:rFonts w:ascii="Arial" w:cs="Arial" w:eastAsia="Arial" w:hAnsi="Arial"/>
          <w:sz w:val="22"/>
          <w:szCs w:val="22"/>
          <w:color w:val="0E32E1"/>
        </w:rPr>
      </w:pPr>
      <w:r>
        <w:rPr>
          <w:rFonts w:ascii="Arial" w:cs="Arial" w:eastAsia="Arial" w:hAnsi="Arial"/>
          <w:sz w:val="22"/>
          <w:szCs w:val="22"/>
          <w:u w:val="single" w:color="auto"/>
          <w:color w:val="0E32E1"/>
        </w:rPr>
        <w:t>the Borrower shall fail to borrow the New Incremental Loans on or prior to March 12, 2021;</w:t>
      </w:r>
    </w:p>
    <w:p>
      <w:pPr>
        <w:spacing w:after="0" w:line="179" w:lineRule="exact"/>
        <w:rPr>
          <w:rFonts w:ascii="Arial" w:cs="Arial" w:eastAsia="Arial" w:hAnsi="Arial"/>
          <w:sz w:val="22"/>
          <w:szCs w:val="22"/>
          <w:color w:val="0E32E1"/>
        </w:rPr>
      </w:pPr>
    </w:p>
    <w:p>
      <w:pPr>
        <w:jc w:val="both"/>
        <w:ind w:firstLine="1304"/>
        <w:spacing w:after="0"/>
        <w:tabs>
          <w:tab w:leader="none" w:pos="1932"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then, and in any such event, (A) if such event is an Event of Default specified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above with respect to the Borrower, automatically the Commitments shall immediately terminate and the Loans hereunder (with accrued interest thereon) and all other amounts owing under this Agreement and the other Loan Documents (including, without limitation, all amounts of L/C Obligations, whether or not the beneficiaries of the then outstanding Letters of Credit shall have presented the documents required thereunder) shall immediately become due and payable, and (B) (i) if such event is an Event of Default resulting solely from a breach of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that has not become an Event of Default with respect to the Term Loans pursuant to clause (b)(ii) of this Section 8, with the consent of the Majority Revolving Credit Facility Lenders, the Administrative Agent may, or upon the request of the Majority Revolving Credit Facility Lenders, the Administrative Agent shall, by notice to the Borrower declare the Revolving Credit Commitments to be terminated forthwith, whereupon the Revolving Credit Commitments shall immediately terminate; and (ii) if such event is any other Event of Default, with the consent of the Required Lenders, the Administrative Agent may, or upon the request of the Required Lenders, the Administrative Agent shall, by notice to the Borrower, declare the Loans hereunder (with accrued interest thereon) and all other amounts owing under this Agreement and the other Loan Documents (including, without limitation, all amounts of L/C Obligations, whether or not the beneficiaries of the then outstanding Letters of Credit shall have presented the documents required thereunder) to be due and payable forthwith, whereupon the same shall immediately become due and payable. In the case of all Letters of Credit with respect to which presentment for honor shall not have occurred at the time of an acceleration pursuant to this paragraph, the Borrower shall at such time deposit in a cash collateral account opened by the Administrative Agent an amount equal to the aggregate then undrawn and unexpired face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After all such Letters of Credit shall have expired or been fully drawn upon, all Reimbursement Obligations shall have been satisfied and all other obligations of the Borrower hereunder and under the other Loan Documents shall have been paid in full, the balance, if any, in such cash collateral account shall be returned to the Borrower (or such other Person as may be lawfully entitled thereto).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 THE ADMINISTRATIVE AGENT</w:t>
      </w:r>
    </w:p>
    <w:p>
      <w:pPr>
        <w:spacing w:after="0" w:line="220" w:lineRule="exact"/>
        <w:rPr>
          <w:sz w:val="20"/>
          <w:szCs w:val="20"/>
          <w:color w:val="auto"/>
        </w:rPr>
      </w:pPr>
    </w:p>
    <w:p>
      <w:pPr>
        <w:ind w:right="40" w:firstLine="1296"/>
        <w:spacing w:after="0" w:line="288"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Appointment</w:t>
      </w:r>
      <w:r>
        <w:rPr>
          <w:rFonts w:ascii="Arial" w:cs="Arial" w:eastAsia="Arial" w:hAnsi="Arial"/>
          <w:sz w:val="19"/>
          <w:szCs w:val="19"/>
          <w:color w:val="auto"/>
        </w:rPr>
        <w:t>. Each Lender and each Issuing Lender hereby irrevocably designates and appoints the Administrative Agent as the agent of such Lender under this Agreement and the other Loan Documents, and each Lender and each Issuing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Each Lender hereby authorizes the Administrative Agent to enter into the other Loan Documents (including, for the avoidance of doubt, the Intercreditor Agreement) on terms reasonably acceptable to the Administrative Agent (it being understood that in the case of any Lien contemplated to be pari passu basis with the Liens securing the Obligations, the Intercreditor Agreement is deemed to be customary and acceptable) and to perform its respective obligations thereunder and to take such action and to exercise the powers, rights and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40"/>
          </w:cols>
          <w:pgMar w:left="320" w:top="1401" w:right="339" w:bottom="1440" w:gutter="0" w:footer="0" w:header="0"/>
        </w:sectPr>
      </w:pPr>
    </w:p>
    <w:bookmarkStart w:id="230" w:name="page231"/>
    <w:bookmarkEnd w:id="230"/>
    <w:p>
      <w:pPr>
        <w:ind w:right="40"/>
        <w:spacing w:after="0" w:line="265" w:lineRule="auto"/>
        <w:rPr>
          <w:sz w:val="20"/>
          <w:szCs w:val="20"/>
          <w:color w:val="auto"/>
        </w:rPr>
      </w:pPr>
      <w:r>
        <w:rPr>
          <w:rFonts w:ascii="Arial" w:cs="Arial" w:eastAsia="Arial" w:hAnsi="Arial"/>
          <w:sz w:val="21"/>
          <w:szCs w:val="21"/>
          <w:color w:val="auto"/>
        </w:rPr>
        <w:t>granted to it thereunder and with respect thereto. Notwithstanding any provision to the contrary elsewhere in this Agreement, no Agent shall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the Administrative Agent.</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Delegation of Duties</w:t>
      </w:r>
      <w:r>
        <w:rPr>
          <w:rFonts w:ascii="Arial" w:cs="Arial" w:eastAsia="Arial" w:hAnsi="Arial"/>
          <w:sz w:val="22"/>
          <w:szCs w:val="22"/>
          <w:color w:val="auto"/>
        </w:rPr>
        <w:t>. The Administrative Agent may execute any of its duties under this Agreement and the other Loan Documents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88"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Exculpatory Provisions</w:t>
      </w:r>
      <w:r>
        <w:rPr>
          <w:rFonts w:ascii="Arial" w:cs="Arial" w:eastAsia="Arial" w:hAnsi="Arial"/>
          <w:sz w:val="19"/>
          <w:szCs w:val="19"/>
          <w:color w:val="auto"/>
        </w:rPr>
        <w:t>. Neither the Administrative Agent nor any of its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to perform its obligations hereunder or thereunder. The Administrative Agent shall not be under any obligation to any Lender to ascertain or to inquire as to the observance or performance of any of the agreements contained in, or conditions of, this Agreement or any other Loan Document, or to inspect the properties, books or records of any Loan Party. The Administrative Agent shall not be responsible or have any liability for, or have any duty to ascertain, inquire into, monitor or enforce, compliance with the provisions hereof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w:t>
      </w:r>
    </w:p>
    <w:p>
      <w:pPr>
        <w:spacing w:after="0" w:line="200" w:lineRule="exact"/>
        <w:rPr>
          <w:sz w:val="20"/>
          <w:szCs w:val="20"/>
          <w:color w:val="auto"/>
        </w:rPr>
      </w:pPr>
    </w:p>
    <w:p>
      <w:pPr>
        <w:spacing w:after="0" w:line="225"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Reliance by the Administrative Agent</w:t>
      </w:r>
      <w:r>
        <w:rPr>
          <w:rFonts w:ascii="Arial" w:cs="Arial" w:eastAsia="Arial" w:hAnsi="Arial"/>
          <w:sz w:val="19"/>
          <w:szCs w:val="19"/>
          <w:color w:val="auto"/>
        </w:rPr>
        <w:t xml:space="preserve">. The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Loan Parties), independent accountants and other experts selected by the Administrative Agent. The Administrative Agent may deem and treat the payee of any Note as the owner thereof for all purposes unless such Note shall have been transferred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and all actions required by such Section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40"/>
          </w:cols>
          <w:pgMar w:left="320" w:top="1428" w:right="339" w:bottom="1440" w:gutter="0" w:footer="0" w:header="0"/>
        </w:sectPr>
      </w:pPr>
    </w:p>
    <w:bookmarkStart w:id="231" w:name="page232"/>
    <w:bookmarkEnd w:id="231"/>
    <w:p>
      <w:pPr>
        <w:jc w:val="both"/>
        <w:spacing w:after="0" w:line="289" w:lineRule="auto"/>
        <w:rPr>
          <w:sz w:val="20"/>
          <w:szCs w:val="20"/>
          <w:color w:val="auto"/>
        </w:rPr>
      </w:pPr>
      <w:r>
        <w:rPr>
          <w:rFonts w:ascii="Arial" w:cs="Arial" w:eastAsia="Arial" w:hAnsi="Arial"/>
          <w:sz w:val="19"/>
          <w:szCs w:val="19"/>
          <w:color w:val="auto"/>
        </w:rPr>
        <w:t>connection with such transfer shall have been taken. The Administrative Agent shall be fully justified in failing or refusing to take any action under this Agreement or any other Loan Document unless it shall first receive such advice or concurrence of the Required Lenders (or, if so specified by this Agreement, all Lenders or any other instructing group of Lenders specified by this Agreement)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if so specified by this Agreement, all Lenders or any other instructing group of Lenders specified by this Agreement), and such request and any action taken or failure to act pursuant thereto shall be binding upon all the Lenders and all future holders of the Loans.</w:t>
      </w:r>
    </w:p>
    <w:p>
      <w:pPr>
        <w:spacing w:after="0" w:line="15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Notice of Default</w:t>
      </w:r>
      <w:r>
        <w:rPr>
          <w:rFonts w:ascii="Arial" w:cs="Arial" w:eastAsia="Arial" w:hAnsi="Arial"/>
          <w:sz w:val="19"/>
          <w:szCs w:val="19"/>
          <w:color w:val="auto"/>
        </w:rPr>
        <w:t xml:space="preserve">. No Agent shall be deemed to have knowledge or notice of the occurrence of any Default or Event of Default hereunder unless the Administrative Agent shall have received notice from a Lender or the Borrower referring to this Agreement, describing such Default or Event of Default and stating that such notice is a “notice of default”. In the event that the Administrative Agent shall receive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or any other instructing group of Lenders specified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5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Non-Reliance on the Administrative Agent and Other Lenders</w:t>
      </w:r>
      <w:r>
        <w:rPr>
          <w:rFonts w:ascii="Arial" w:cs="Arial" w:eastAsia="Arial" w:hAnsi="Arial"/>
          <w:sz w:val="19"/>
          <w:szCs w:val="19"/>
          <w:color w:val="auto"/>
        </w:rPr>
        <w:t>. Each Lender expressly acknowledges that neither the Administrative Agent nor any of its officers, directors, employees, agents, attorneys-in-fact or affiliates have made any representations or warranties to it and that no act by the Administrative Agent hereafter taken, including any review of the affairs of a Loan Party or any affiliate of a Loan Party, shall be deemed to constitute any representation or warranty by the Administrative Agent to any Lender. Each Lender represents to the Administrative Agent that it has, independently and without reliance upon the Administrative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the Administrative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no Agent shall have any duty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1428" w:right="339" w:bottom="1440" w:gutter="0" w:footer="0" w:header="0"/>
        </w:sectPr>
      </w:pPr>
    </w:p>
    <w:bookmarkStart w:id="232" w:name="page233"/>
    <w:bookmarkEnd w:id="232"/>
    <w:p>
      <w:pPr>
        <w:jc w:val="both"/>
        <w:spacing w:after="0" w:line="312" w:lineRule="auto"/>
        <w:rPr>
          <w:sz w:val="20"/>
          <w:szCs w:val="20"/>
          <w:color w:val="auto"/>
        </w:rPr>
      </w:pPr>
      <w:r>
        <w:rPr>
          <w:rFonts w:ascii="Arial" w:cs="Arial" w:eastAsia="Arial" w:hAnsi="Arial"/>
          <w:sz w:val="19"/>
          <w:szCs w:val="19"/>
          <w:color w:val="auto"/>
        </w:rPr>
        <w:t>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attorneys-in-fact or affiliates.</w:t>
      </w:r>
    </w:p>
    <w:p>
      <w:pPr>
        <w:spacing w:after="0" w:line="133"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The Lenders agree to indemnify the Administrative Agent in its capacity as such (to the extent not reimbursed by the Borrower and without limiting the obligation of the Borrower to do so), ratably according to their respective Aggregate Exposure Percentages in effect on the date on which indemnification is sought under this Section (or, if indemnification is sought after the date upon which the Commitments shall have terminated and the Loans shall have been paid in full, ratably in accordance with such Aggregate Exposure Percentages immediately prior to such date), for, and to save the Administrative Agent harmless from and against, any and all liabilities, obligations, losses, damages, penalties, actions, judgments, suits, costs, expenses or disbursements of any kind whatsoever that may at any time (including, without limitation, at any time following the payment of the Loans) be imposed on, incurred by or asserted against the Administrative Agent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under or in connection with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the Administrative Agent in its capacity as such;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the Administrative Agent’s gross negligence or willful misconduct. The agreements in this Section shall survive the payment of the Loans and all other amounts payable hereunder.</w:t>
      </w:r>
    </w:p>
    <w:p>
      <w:pPr>
        <w:spacing w:after="0" w:line="200" w:lineRule="exact"/>
        <w:rPr>
          <w:sz w:val="20"/>
          <w:szCs w:val="20"/>
          <w:color w:val="auto"/>
        </w:rPr>
      </w:pPr>
    </w:p>
    <w:p>
      <w:pPr>
        <w:spacing w:after="0" w:line="225"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Administrative Agent in Its Individual Capacity</w:t>
      </w:r>
      <w:r>
        <w:rPr>
          <w:rFonts w:ascii="Arial" w:cs="Arial" w:eastAsia="Arial" w:hAnsi="Arial"/>
          <w:sz w:val="19"/>
          <w:szCs w:val="19"/>
          <w:color w:val="auto"/>
        </w:rPr>
        <w:t>. The Administrative Agent and its affiliates may make loans to, accept deposits from and generally engage in any kind of business with any Loan Party as though the Administrative Agent were not an Administrative Agent. With respect to its Loans made or renewed by it and with respect to any Letter of Credit issued or participated in by it, the Administrative Agent shall have the same rights and powers under this Agreement and the other Loan Documents as any Lender and may exercise the same as though it were not an Administrative Agent, and the terms “Lender” and “Lenders” shall include the Administrative Agent in its individual capacity.</w:t>
      </w:r>
    </w:p>
    <w:p>
      <w:pPr>
        <w:spacing w:after="0" w:line="14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Successor Administrative Agent</w:t>
      </w:r>
      <w:r>
        <w:rPr>
          <w:rFonts w:ascii="Arial" w:cs="Arial" w:eastAsia="Arial" w:hAnsi="Arial"/>
          <w:sz w:val="22"/>
          <w:szCs w:val="22"/>
          <w:color w:val="auto"/>
        </w:rPr>
        <w:t xml:space="preserve">. The Administrative Agent may resign as Administrative Agent upon 10 days’ notice to the Lenders and the Borrower. If the Administrative Agent shall resign as Administrative Agent under this Agreement and the other Loan Documents, then the Required Lenders shall appoint from among the Lenders a successor agent for the Lenders, which successor agent shall (unless an Event of Default under </w:t>
      </w:r>
      <w:r>
        <w:rPr>
          <w:rFonts w:ascii="Arial" w:cs="Arial" w:eastAsia="Arial" w:hAnsi="Arial"/>
          <w:sz w:val="22"/>
          <w:szCs w:val="22"/>
          <w:u w:val="single" w:color="auto"/>
          <w:color w:val="auto"/>
        </w:rPr>
        <w:t>Section 8(a)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8(f)</w:t>
      </w:r>
      <w:r>
        <w:rPr>
          <w:rFonts w:ascii="Arial" w:cs="Arial" w:eastAsia="Arial" w:hAnsi="Arial"/>
          <w:sz w:val="22"/>
          <w:szCs w:val="22"/>
          <w:color w:val="auto"/>
        </w:rPr>
        <w:t xml:space="preserve"> with respect to the Borrower shall have occurred and be continuing) be subject to approval by the Borrower (which approval shall not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40"/>
          </w:cols>
          <w:pgMar w:left="320" w:top="1428" w:right="339" w:bottom="1440" w:gutter="0" w:footer="0" w:header="0"/>
        </w:sectPr>
      </w:pPr>
    </w:p>
    <w:bookmarkStart w:id="233" w:name="page234"/>
    <w:bookmarkEnd w:id="233"/>
    <w:p>
      <w:pPr>
        <w:jc w:val="both"/>
        <w:spacing w:after="0" w:line="288" w:lineRule="auto"/>
        <w:rPr>
          <w:sz w:val="20"/>
          <w:szCs w:val="20"/>
          <w:color w:val="auto"/>
        </w:rPr>
      </w:pPr>
      <w:r>
        <w:rPr>
          <w:rFonts w:ascii="Arial" w:cs="Arial" w:eastAsia="Arial" w:hAnsi="Arial"/>
          <w:sz w:val="19"/>
          <w:szCs w:val="19"/>
          <w:color w:val="auto"/>
        </w:rPr>
        <w:t xml:space="preserve">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10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the retiring Administrative Agent’s resignation as the Administrative Agent, the provisions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shall inure to its benefit as to any actions taken or omitted to be taken by it while it was the Administrative Agent under this Agreement and the other Loan Documents.</w:t>
      </w:r>
    </w:p>
    <w:p>
      <w:pPr>
        <w:spacing w:after="0" w:line="15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21"/>
          <w:szCs w:val="21"/>
          <w:color w:val="auto"/>
        </w:rPr>
        <w:t xml:space="preserve">9.10 </w:t>
      </w:r>
      <w:r>
        <w:rPr>
          <w:rFonts w:ascii="Arial" w:cs="Arial" w:eastAsia="Arial" w:hAnsi="Arial"/>
          <w:sz w:val="21"/>
          <w:szCs w:val="21"/>
          <w:u w:val="single" w:color="auto"/>
          <w:color w:val="auto"/>
        </w:rPr>
        <w:t>Authorization to Release Liens and Guarantees</w:t>
      </w:r>
      <w:r>
        <w:rPr>
          <w:rFonts w:ascii="Arial" w:cs="Arial" w:eastAsia="Arial" w:hAnsi="Arial"/>
          <w:sz w:val="21"/>
          <w:szCs w:val="21"/>
          <w:color w:val="auto"/>
        </w:rPr>
        <w:t xml:space="preserve">. The Administrative Agent is hereby irrevocably authorized by each of the Lenders to effect any release of Liens or guarantee obligations contemplated by </w:t>
      </w:r>
      <w:r>
        <w:rPr>
          <w:rFonts w:ascii="Arial" w:cs="Arial" w:eastAsia="Arial" w:hAnsi="Arial"/>
          <w:sz w:val="21"/>
          <w:szCs w:val="21"/>
          <w:u w:val="single" w:color="auto"/>
          <w:color w:val="auto"/>
        </w:rPr>
        <w:t>Section 10.15</w:t>
      </w:r>
      <w:r>
        <w:rPr>
          <w:rFonts w:ascii="Arial" w:cs="Arial" w:eastAsia="Arial" w:hAnsi="Arial"/>
          <w:sz w:val="21"/>
          <w:szCs w:val="21"/>
          <w:color w:val="auto"/>
        </w:rPr>
        <w:t>.</w:t>
      </w:r>
    </w:p>
    <w:p>
      <w:pPr>
        <w:spacing w:after="0" w:line="15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The Lead Arrangers; the Bookrunners; the Co-Manager</w:t>
      </w:r>
      <w:r>
        <w:rPr>
          <w:rFonts w:ascii="Arial" w:cs="Arial" w:eastAsia="Arial" w:hAnsi="Arial"/>
          <w:sz w:val="22"/>
          <w:szCs w:val="22"/>
          <w:color w:val="auto"/>
        </w:rPr>
        <w:t>. Neither the Lead Arrangers, the Bookrunners nor the Co-Manager, in their respective capacities as such, shall have any duties or responsibilities, nor shall any such Person incur any liability, under this Agreement and the other Loan Documents.</w:t>
      </w:r>
    </w:p>
    <w:p>
      <w:pPr>
        <w:spacing w:after="0" w:line="18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9.12 </w:t>
      </w:r>
      <w:r>
        <w:rPr>
          <w:rFonts w:ascii="Arial" w:cs="Arial" w:eastAsia="Arial" w:hAnsi="Arial"/>
          <w:sz w:val="21"/>
          <w:szCs w:val="21"/>
          <w:u w:val="single" w:color="auto"/>
          <w:color w:val="auto"/>
        </w:rPr>
        <w:t>Withholding</w:t>
      </w:r>
      <w:r>
        <w:rPr>
          <w:rFonts w:ascii="Arial" w:cs="Arial" w:eastAsia="Arial" w:hAnsi="Arial"/>
          <w:sz w:val="21"/>
          <w:szCs w:val="21"/>
          <w:color w:val="auto"/>
        </w:rPr>
        <w:t>. To the extent required by any applicable law, the Administrative Agent may withhold from any payment to any Lender an amount equivalent to any withholding Tax applicable to such payment. If the Internal Revenue Service or any other Governmental Authority asserts a claim that the Administrative Agent did not properly withhold Tax from amounts paid to or for the account of any Lender for any reason, or the Administrative Agent has paid over to the Internal Revenue Service applicable withholding Tax relating to a payment to a Lender but no deduction has been made from such payment, such Lender shall indemnify the Administrative Agent fully for all amounts paid, directly or indirectly, by the Administrative Agent as Tax or otherwise, including any penalties or interest and together with any and all expenses incurred, unless such amounts have been indemnified by any Loan Party or the relevant Lender.</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9"/>
          <w:szCs w:val="19"/>
          <w:u w:val="single" w:color="auto"/>
          <w:color w:val="auto"/>
        </w:rPr>
        <w:t>Certain ERISA Matters.</w:t>
      </w:r>
    </w:p>
    <w:p>
      <w:pPr>
        <w:spacing w:after="0" w:line="220" w:lineRule="exact"/>
        <w:rPr>
          <w:sz w:val="20"/>
          <w:szCs w:val="20"/>
          <w:color w:val="auto"/>
        </w:rPr>
      </w:pPr>
    </w:p>
    <w:p>
      <w:pPr>
        <w:ind w:left="1940" w:hanging="636"/>
        <w:spacing w:after="0"/>
        <w:tabs>
          <w:tab w:leader="none" w:pos="1940" w:val="left"/>
        </w:tabs>
        <w:numPr>
          <w:ilvl w:val="1"/>
          <w:numId w:val="182"/>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w:t>
      </w:r>
    </w:p>
    <w:p>
      <w:pPr>
        <w:spacing w:after="0" w:line="55" w:lineRule="exact"/>
        <w:rPr>
          <w:rFonts w:ascii="Arial" w:cs="Arial" w:eastAsia="Arial" w:hAnsi="Arial"/>
          <w:sz w:val="19"/>
          <w:szCs w:val="19"/>
          <w:color w:val="auto"/>
        </w:rPr>
      </w:pPr>
    </w:p>
    <w:p>
      <w:pPr>
        <w:jc w:val="both"/>
        <w:ind w:firstLine="8"/>
        <w:spacing w:after="0" w:line="244" w:lineRule="auto"/>
        <w:tabs>
          <w:tab w:leader="none" w:pos="334" w:val="left"/>
        </w:tabs>
        <w:numPr>
          <w:ilvl w:val="0"/>
          <w:numId w:val="183"/>
        </w:numPr>
        <w:rPr>
          <w:rFonts w:ascii="Arial" w:cs="Arial" w:eastAsia="Arial" w:hAnsi="Arial"/>
          <w:sz w:val="22"/>
          <w:szCs w:val="22"/>
          <w:color w:val="auto"/>
        </w:rPr>
      </w:pPr>
      <w:r>
        <w:rPr>
          <w:rFonts w:ascii="Arial" w:cs="Arial" w:eastAsia="Arial" w:hAnsi="Arial"/>
          <w:sz w:val="22"/>
          <w:szCs w:val="22"/>
          <w:color w:val="auto"/>
        </w:rPr>
        <w:t>covenants, from the date such Person became a Lender party hereto to the date such Person ceases being a Lender party hereto, for the benefit of the Administrative Agent, the Lead Arrangers, the Bookrunners and the Co-Managers, and not, for the avoidance of doubt, to or for the benefit of the Borrower or any other Loan Party, that at least one of the following is and will be true: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1240"/>
          </w:cols>
          <w:pgMar w:left="320" w:top="1428" w:right="339" w:bottom="1440" w:gutter="0" w:footer="0" w:header="0"/>
        </w:sectPr>
      </w:pPr>
    </w:p>
    <w:bookmarkStart w:id="234" w:name="page235"/>
    <w:bookmarkEnd w:id="234"/>
    <w:p>
      <w:pPr>
        <w:jc w:val="both"/>
        <w:ind w:left="660" w:firstLine="644"/>
        <w:spacing w:after="0" w:line="253" w:lineRule="auto"/>
        <w:tabs>
          <w:tab w:leader="none" w:pos="194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29 CFR § 2510.3-101, as modified by Section 3(42) of ERISA) of one or more Benefit Plans in connection with the Loans, any Letters of Credit or the Commitments,</w:t>
      </w:r>
    </w:p>
    <w:p>
      <w:pPr>
        <w:spacing w:after="0" w:line="185" w:lineRule="exact"/>
        <w:rPr>
          <w:rFonts w:ascii="Arial" w:cs="Arial" w:eastAsia="Arial" w:hAnsi="Arial"/>
          <w:sz w:val="22"/>
          <w:szCs w:val="22"/>
          <w:color w:val="auto"/>
        </w:rPr>
      </w:pPr>
    </w:p>
    <w:p>
      <w:pPr>
        <w:jc w:val="both"/>
        <w:ind w:left="660" w:firstLine="644"/>
        <w:spacing w:after="0" w:line="292" w:lineRule="auto"/>
        <w:tabs>
          <w:tab w:leader="none" w:pos="195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any Letters of Credit, the Commitments and this Agreement,</w:t>
      </w:r>
    </w:p>
    <w:p>
      <w:pPr>
        <w:spacing w:after="0" w:line="150" w:lineRule="exact"/>
        <w:rPr>
          <w:rFonts w:ascii="Arial" w:cs="Arial" w:eastAsia="Arial" w:hAnsi="Arial"/>
          <w:sz w:val="19"/>
          <w:szCs w:val="19"/>
          <w:color w:val="auto"/>
        </w:rPr>
      </w:pPr>
    </w:p>
    <w:p>
      <w:pPr>
        <w:jc w:val="both"/>
        <w:ind w:left="660" w:firstLine="644"/>
        <w:spacing w:after="0" w:line="290" w:lineRule="auto"/>
        <w:tabs>
          <w:tab w:leader="none" w:pos="195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any Letters of Credit, the Commitments and this Agreement, (C) the entrance into, participation in, administration of and performance of the Loans, any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any Letters of Credit, the Commitments and this Agreement, or</w:t>
      </w:r>
    </w:p>
    <w:p>
      <w:pPr>
        <w:spacing w:after="0" w:line="155" w:lineRule="exact"/>
        <w:rPr>
          <w:rFonts w:ascii="Arial" w:cs="Arial" w:eastAsia="Arial" w:hAnsi="Arial"/>
          <w:sz w:val="19"/>
          <w:szCs w:val="19"/>
          <w:color w:val="auto"/>
        </w:rPr>
      </w:pPr>
    </w:p>
    <w:p>
      <w:pPr>
        <w:ind w:left="660" w:firstLine="644"/>
        <w:spacing w:after="0" w:line="263" w:lineRule="auto"/>
        <w:tabs>
          <w:tab w:leader="none" w:pos="1944" w:val="left"/>
        </w:tabs>
        <w:numPr>
          <w:ilvl w:val="0"/>
          <w:numId w:val="184"/>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5" w:lineRule="exact"/>
        <w:rPr>
          <w:sz w:val="20"/>
          <w:szCs w:val="20"/>
          <w:color w:val="auto"/>
        </w:rPr>
      </w:pPr>
    </w:p>
    <w:p>
      <w:pPr>
        <w:jc w:val="both"/>
        <w:ind w:firstLine="1304"/>
        <w:spacing w:after="0" w:line="292" w:lineRule="auto"/>
        <w:tabs>
          <w:tab w:leader="none" w:pos="1939"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In addition, (I) unless sub-clause (i) in the immediately preceding clause (a) is true with respect to a Lender or (II) if such sub-clause (i) is not true with respect to a Lender and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the Bookrunners and the Co-Manager and their respective affiliates, and not, for the avoidance of doubt, to or for the benefit of the Borrower or any other Loan Party, that:</w:t>
      </w:r>
    </w:p>
    <w:p>
      <w:pPr>
        <w:spacing w:after="0" w:line="151" w:lineRule="exact"/>
        <w:rPr>
          <w:sz w:val="20"/>
          <w:szCs w:val="20"/>
          <w:color w:val="auto"/>
        </w:rPr>
      </w:pPr>
    </w:p>
    <w:p>
      <w:pPr>
        <w:jc w:val="both"/>
        <w:ind w:left="660" w:firstLine="644"/>
        <w:spacing w:after="0" w:line="250" w:lineRule="auto"/>
        <w:tabs>
          <w:tab w:leader="none" w:pos="1944" w:val="left"/>
        </w:tabs>
        <w:numPr>
          <w:ilvl w:val="0"/>
          <w:numId w:val="186"/>
        </w:numPr>
        <w:rPr>
          <w:rFonts w:ascii="Arial" w:cs="Arial" w:eastAsia="Arial" w:hAnsi="Arial"/>
          <w:sz w:val="22"/>
          <w:szCs w:val="22"/>
          <w:color w:val="auto"/>
        </w:rPr>
      </w:pPr>
      <w:r>
        <w:rPr>
          <w:rFonts w:ascii="Arial" w:cs="Arial" w:eastAsia="Arial" w:hAnsi="Arial"/>
          <w:sz w:val="22"/>
          <w:szCs w:val="22"/>
          <w:color w:val="auto"/>
        </w:rPr>
        <w:t>none of the Administrative Agent, Lead Arranger, the Bookrunners, the Co-Manager nor any of their respective Affiliates is a fiduciary with respect to the assets of such Lender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1428" w:right="339" w:bottom="1440" w:gutter="0" w:footer="0" w:header="0"/>
        </w:sectPr>
      </w:pPr>
    </w:p>
    <w:bookmarkStart w:id="235" w:name="page236"/>
    <w:bookmarkEnd w:id="235"/>
    <w:p>
      <w:pPr>
        <w:jc w:val="both"/>
        <w:ind w:left="660" w:firstLine="644"/>
        <w:spacing w:after="0" w:line="263" w:lineRule="auto"/>
        <w:tabs>
          <w:tab w:leader="none" w:pos="195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the Person making the investment decision on behalf of such Lender with respect to the entrance into, participation in, administration of and performance of the Loans, any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75" w:lineRule="exact"/>
        <w:rPr>
          <w:rFonts w:ascii="Arial" w:cs="Arial" w:eastAsia="Arial" w:hAnsi="Arial"/>
          <w:sz w:val="21"/>
          <w:szCs w:val="21"/>
          <w:color w:val="auto"/>
        </w:rPr>
      </w:pPr>
    </w:p>
    <w:p>
      <w:pPr>
        <w:jc w:val="both"/>
        <w:ind w:left="660" w:firstLine="644"/>
        <w:spacing w:after="0" w:line="250" w:lineRule="auto"/>
        <w:tabs>
          <w:tab w:leader="none" w:pos="195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any Letters of Credit, the Commitments and this Agreement is capable of evaluating investment risks independently, both in general and with regard to particular transactions and investment strategies (including in respect of the Obligations),</w:t>
      </w:r>
    </w:p>
    <w:p>
      <w:pPr>
        <w:spacing w:after="0" w:line="187" w:lineRule="exact"/>
        <w:rPr>
          <w:rFonts w:ascii="Arial" w:cs="Arial" w:eastAsia="Arial" w:hAnsi="Arial"/>
          <w:sz w:val="22"/>
          <w:szCs w:val="22"/>
          <w:color w:val="auto"/>
        </w:rPr>
      </w:pPr>
    </w:p>
    <w:p>
      <w:pPr>
        <w:jc w:val="both"/>
        <w:ind w:left="660" w:firstLine="644"/>
        <w:spacing w:after="0" w:line="248" w:lineRule="auto"/>
        <w:tabs>
          <w:tab w:leader="none" w:pos="1944"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Person making the investment decision on behalf of such Lender with respect to the entrance into, participation in, administration of and performance of the Loans, any Letters of Credit, the Commitments and this Agreement is a fiduciary under ERISA or the Code, or both, with respect to the Loans, any Letters of Credit, the Commitments and this Agreement and is responsible for exercising independent judgment in evaluating the transactions hereunder, and</w:t>
      </w:r>
    </w:p>
    <w:p>
      <w:pPr>
        <w:spacing w:after="0" w:line="191" w:lineRule="exact"/>
        <w:rPr>
          <w:rFonts w:ascii="Arial" w:cs="Arial" w:eastAsia="Arial" w:hAnsi="Arial"/>
          <w:sz w:val="22"/>
          <w:szCs w:val="22"/>
          <w:color w:val="auto"/>
        </w:rPr>
      </w:pPr>
    </w:p>
    <w:p>
      <w:pPr>
        <w:jc w:val="both"/>
        <w:ind w:left="660" w:firstLine="644"/>
        <w:spacing w:after="0" w:line="253" w:lineRule="auto"/>
        <w:tabs>
          <w:tab w:leader="none" w:pos="1951"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 fee or other compensation is being paid directly to the Administrative Agent or any of its Affiliates for investment advice (as opposed to other services) in connection with the Loans, any Letters of Credit, the Commitments or this Agreement.</w:t>
      </w:r>
    </w:p>
    <w:p>
      <w:pPr>
        <w:spacing w:after="0" w:line="185" w:lineRule="exact"/>
        <w:rPr>
          <w:sz w:val="20"/>
          <w:szCs w:val="20"/>
          <w:color w:val="auto"/>
        </w:rPr>
      </w:pPr>
    </w:p>
    <w:p>
      <w:pPr>
        <w:jc w:val="both"/>
        <w:ind w:firstLine="1304"/>
        <w:spacing w:after="0" w:line="258" w:lineRule="auto"/>
        <w:tabs>
          <w:tab w:leader="none" w:pos="1941"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Administrative Agent hereby informs the Lenders that it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any Letters of Credit, the Commitments and this Agreement, (ii) may recognize a gain if it extended the Loans, any Letters of Credit or the Commitments for an amount less than the amount being paid for an interest in the Loans, any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Section 9.13, the following definitions apply to each of the capitalized terms below:</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240"/>
          </w:cols>
          <w:pgMar w:left="320" w:top="1428" w:right="33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Title I of ERISA or Section 4975 of the Code) the assets of any such “employee benefit plan” or “plan”.</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SECTION 10. MISCELLANEOUS</w:t>
      </w:r>
    </w:p>
    <w:p>
      <w:pPr>
        <w:spacing w:after="0" w:line="220"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2.17(c)</w:t>
      </w:r>
      <w:r>
        <w:rPr>
          <w:rFonts w:ascii="Arial" w:cs="Arial" w:eastAsia="Arial" w:hAnsi="Arial"/>
          <w:sz w:val="19"/>
          <w:szCs w:val="19"/>
          <w:color w:val="auto"/>
        </w:rPr>
        <w:t xml:space="preserve"> and the last paragraph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neither this Agreement or any other Loan Document, nor any terms hereof or thereof may be amended, supplemented or modified except in accordance with the provisions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The Required Lenders and each Loan Party party to the relevant Loan Document may, or (with the written consent of the Required Lenders) the Administrative Agent and each Loan Party party to the relevant Loan Document may, from time to time, (a) enter into written amendments, supplements or modifications hereto and to the other Loan Documents (including amendments and restatements hereof or thereof) for the purpose of adding any provisions to this Agreement or the other Loan Documents or changing in any manner the rights of the Lenders or of the Loan Parties hereunder or thereunder or (b) waive, on such terms and conditions as may be specified in the instrument of waiver, any of the requirements of this Agreement or the other Loan Documents or any Default or Event of Default and its consequences;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waiver and no such amendment, supplement or modification shall:</w:t>
      </w:r>
    </w:p>
    <w:p>
      <w:pPr>
        <w:spacing w:after="0" w:line="159" w:lineRule="exact"/>
        <w:rPr>
          <w:sz w:val="20"/>
          <w:szCs w:val="20"/>
          <w:color w:val="auto"/>
        </w:rPr>
      </w:pPr>
    </w:p>
    <w:p>
      <w:pPr>
        <w:jc w:val="both"/>
        <w:ind w:left="660" w:firstLine="644"/>
        <w:spacing w:after="0" w:line="290" w:lineRule="auto"/>
        <w:tabs>
          <w:tab w:leader="none" w:pos="1944"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forgive the principal amount or extend the final scheduled date of maturity of any Loan or Reimbursement Obligation, extend the scheduled date of any amortization payment in respect of any Term Loan, reduce the stated rate of any interest or fee payable under this Agreement (except (x) in connection with the waiver of applicability of any post-default increase in interest rates (which waiver shall be effective with the consent of the Majority Facility Lenders of each adversely affected Facility) and (y) that any amendment or modification of defined terms used in the financial covenant in this Agreement shall not constitute a reduction in the rate of interest or fees for purposes of this </w:t>
      </w:r>
      <w:r>
        <w:rPr>
          <w:rFonts w:ascii="Arial" w:cs="Arial" w:eastAsia="Arial" w:hAnsi="Arial"/>
          <w:sz w:val="19"/>
          <w:szCs w:val="19"/>
          <w:u w:val="single" w:color="auto"/>
          <w:color w:val="auto"/>
        </w:rPr>
        <w:t>clause (i)</w:t>
      </w:r>
      <w:r>
        <w:rPr>
          <w:rFonts w:ascii="Arial" w:cs="Arial" w:eastAsia="Arial" w:hAnsi="Arial"/>
          <w:sz w:val="19"/>
          <w:szCs w:val="19"/>
          <w:color w:val="auto"/>
        </w:rPr>
        <w:t>) or extend the scheduled date of any payment thereof, or increase the amount or extend the expiration date of any Commitment of any Lender, in each case without the consent of each Lender directly affected thereby;</w:t>
      </w:r>
    </w:p>
    <w:p>
      <w:pPr>
        <w:spacing w:after="0" w:line="155" w:lineRule="exact"/>
        <w:rPr>
          <w:rFonts w:ascii="Arial" w:cs="Arial" w:eastAsia="Arial" w:hAnsi="Arial"/>
          <w:sz w:val="19"/>
          <w:szCs w:val="19"/>
          <w:color w:val="auto"/>
        </w:rPr>
      </w:pPr>
    </w:p>
    <w:p>
      <w:pPr>
        <w:jc w:val="both"/>
        <w:ind w:left="660" w:firstLine="644"/>
        <w:spacing w:after="0" w:line="248" w:lineRule="auto"/>
        <w:tabs>
          <w:tab w:leader="none" w:pos="195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amend, modify or waive any provision of this Section or reduce any percentage specified in the definition of Required Lenders, consent to the assignment or transfer by the Borrower of any of its rights and obligations under this Agreement and the other Loan Documents, release all or substantially all of the Collateral or release all or substantially all of the Subsidiary Guarantors from their guarantee obligations under the Guarantee and Collateral Agreement, in each case without the consent of all the Lenders;</w:t>
      </w:r>
    </w:p>
    <w:p>
      <w:pPr>
        <w:spacing w:after="0" w:line="191" w:lineRule="exact"/>
        <w:rPr>
          <w:rFonts w:ascii="Arial" w:cs="Arial" w:eastAsia="Arial" w:hAnsi="Arial"/>
          <w:sz w:val="22"/>
          <w:szCs w:val="22"/>
          <w:color w:val="auto"/>
        </w:rPr>
      </w:pPr>
    </w:p>
    <w:p>
      <w:pPr>
        <w:ind w:left="1960" w:hanging="656"/>
        <w:spacing w:after="0"/>
        <w:tabs>
          <w:tab w:leader="none" w:pos="196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240"/>
          </w:cols>
          <w:pgMar w:left="320" w:top="1428" w:right="339" w:bottom="1440" w:gutter="0" w:footer="0" w:header="0"/>
        </w:sectPr>
      </w:pPr>
    </w:p>
    <w:bookmarkStart w:id="237" w:name="page238"/>
    <w:bookmarkEnd w:id="237"/>
    <w:p>
      <w:pPr>
        <w:ind w:left="660" w:firstLine="644"/>
        <w:spacing w:after="0" w:line="263" w:lineRule="auto"/>
        <w:tabs>
          <w:tab w:leader="none" w:pos="1944" w:val="left"/>
        </w:tabs>
        <w:numPr>
          <w:ilvl w:val="0"/>
          <w:numId w:val="190"/>
        </w:numPr>
        <w:rPr>
          <w:rFonts w:ascii="Arial" w:cs="Arial" w:eastAsia="Arial" w:hAnsi="Arial"/>
          <w:sz w:val="22"/>
          <w:szCs w:val="22"/>
          <w:color w:val="auto"/>
        </w:rPr>
      </w:pPr>
      <w:r>
        <w:rPr>
          <w:rFonts w:ascii="Arial" w:cs="Arial" w:eastAsia="Arial" w:hAnsi="Arial"/>
          <w:sz w:val="22"/>
          <w:szCs w:val="22"/>
          <w:color w:val="auto"/>
        </w:rPr>
        <w:t>reduce the percentage specified in the definition of Majority Facility Lenders with respect to any Facility without the consent of all of the Lenders under such Facility;</w:t>
      </w:r>
    </w:p>
    <w:p>
      <w:pPr>
        <w:spacing w:after="0" w:line="174"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amend, modify or waive any provision of </w:t>
      </w:r>
      <w:r>
        <w:rPr>
          <w:rFonts w:ascii="Arial" w:cs="Arial" w:eastAsia="Arial" w:hAnsi="Arial"/>
          <w:sz w:val="22"/>
          <w:szCs w:val="22"/>
          <w:u w:val="single" w:color="auto"/>
          <w:color w:val="auto"/>
        </w:rPr>
        <w:t>Section 9</w:t>
      </w:r>
      <w:r>
        <w:rPr>
          <w:rFonts w:ascii="Arial" w:cs="Arial" w:eastAsia="Arial" w:hAnsi="Arial"/>
          <w:sz w:val="22"/>
          <w:szCs w:val="22"/>
          <w:color w:val="auto"/>
        </w:rPr>
        <w:t>, or any other provision affecting the rights, duties or obligations of the Administrative Agent, without the consent of the Administrative Agent;</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amend, modify or waive any provision of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2.7</w:t>
      </w:r>
      <w:r>
        <w:rPr>
          <w:rFonts w:ascii="Arial" w:cs="Arial" w:eastAsia="Arial" w:hAnsi="Arial"/>
          <w:sz w:val="19"/>
          <w:szCs w:val="19"/>
          <w:color w:val="auto"/>
        </w:rPr>
        <w:t xml:space="preserve"> without the consent of the Swing Line Lender;</w:t>
      </w:r>
    </w:p>
    <w:p>
      <w:pPr>
        <w:spacing w:after="0" w:line="254" w:lineRule="exact"/>
        <w:rPr>
          <w:rFonts w:ascii="Arial" w:cs="Arial" w:eastAsia="Arial" w:hAnsi="Arial"/>
          <w:sz w:val="19"/>
          <w:szCs w:val="19"/>
          <w:color w:val="auto"/>
        </w:rPr>
      </w:pPr>
    </w:p>
    <w:p>
      <w:pPr>
        <w:ind w:left="1940" w:hanging="636"/>
        <w:spacing w:after="0"/>
        <w:tabs>
          <w:tab w:leader="none" w:pos="194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amend, modify or waive any provision of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without the consent of each Lender directly affected</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thereby;</w:t>
      </w:r>
    </w:p>
    <w:p>
      <w:pPr>
        <w:spacing w:after="0" w:line="201" w:lineRule="exact"/>
        <w:rPr>
          <w:rFonts w:ascii="Arial" w:cs="Arial" w:eastAsia="Arial" w:hAnsi="Arial"/>
          <w:sz w:val="19"/>
          <w:szCs w:val="19"/>
          <w:color w:val="auto"/>
        </w:rPr>
      </w:pPr>
    </w:p>
    <w:p>
      <w:pPr>
        <w:ind w:left="1960" w:hanging="656"/>
        <w:spacing w:after="0"/>
        <w:tabs>
          <w:tab w:leader="none" w:pos="196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amend, modify or waive any provision of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without the consent of each Issuing Lender affected</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thereby;</w:t>
      </w:r>
    </w:p>
    <w:p>
      <w:pPr>
        <w:spacing w:after="0" w:line="201" w:lineRule="exact"/>
        <w:rPr>
          <w:rFonts w:ascii="Arial" w:cs="Arial" w:eastAsia="Arial" w:hAnsi="Arial"/>
          <w:sz w:val="19"/>
          <w:szCs w:val="19"/>
          <w:color w:val="auto"/>
        </w:rPr>
      </w:pPr>
    </w:p>
    <w:p>
      <w:pPr>
        <w:ind w:left="660" w:firstLine="644"/>
        <w:spacing w:after="0" w:line="263" w:lineRule="auto"/>
        <w:tabs>
          <w:tab w:leader="none" w:pos="1944"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impose restrictions on assignments and participations that are more restrictive than, or additional to, those set forth in </w:t>
      </w:r>
      <w:r>
        <w:rPr>
          <w:rFonts w:ascii="Arial" w:cs="Arial" w:eastAsia="Arial" w:hAnsi="Arial"/>
          <w:sz w:val="22"/>
          <w:szCs w:val="22"/>
          <w:u w:val="single" w:color="auto"/>
          <w:color w:val="auto"/>
        </w:rPr>
        <w:t>Section 10.6</w:t>
      </w:r>
      <w:r>
        <w:rPr>
          <w:rFonts w:ascii="Arial" w:cs="Arial" w:eastAsia="Arial" w:hAnsi="Arial"/>
          <w:sz w:val="22"/>
          <w:szCs w:val="22"/>
          <w:color w:val="auto"/>
        </w:rPr>
        <w:t xml:space="preserve"> without the consent of each Lender directly affected thereby;</w:t>
      </w:r>
    </w:p>
    <w:p>
      <w:pPr>
        <w:spacing w:after="0" w:line="174" w:lineRule="exact"/>
        <w:rPr>
          <w:rFonts w:ascii="Arial" w:cs="Arial" w:eastAsia="Arial" w:hAnsi="Arial"/>
          <w:sz w:val="22"/>
          <w:szCs w:val="22"/>
          <w:color w:val="auto"/>
        </w:rPr>
      </w:pPr>
    </w:p>
    <w:p>
      <w:pPr>
        <w:ind w:left="660" w:firstLine="644"/>
        <w:spacing w:after="0" w:line="263" w:lineRule="auto"/>
        <w:tabs>
          <w:tab w:leader="none" w:pos="1951"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subject to the terms of </w:t>
      </w:r>
      <w:r>
        <w:rPr>
          <w:rFonts w:ascii="Arial" w:cs="Arial" w:eastAsia="Arial" w:hAnsi="Arial"/>
          <w:sz w:val="22"/>
          <w:szCs w:val="22"/>
          <w:u w:val="single" w:color="auto"/>
          <w:color w:val="auto"/>
        </w:rPr>
        <w:t>Section 2.12(d)</w:t>
      </w:r>
      <w:r>
        <w:rPr>
          <w:rFonts w:ascii="Arial" w:cs="Arial" w:eastAsia="Arial" w:hAnsi="Arial"/>
          <w:sz w:val="22"/>
          <w:szCs w:val="22"/>
          <w:color w:val="auto"/>
        </w:rPr>
        <w:t xml:space="preserve">, amend the application of payments to the Term Loans pursuant to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without the consent of the Majority Term Loan Facility Lenders</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190"/>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amend, modify or waive any provision of Section 6.14 without the consent of each Lender directly affected</w:t>
      </w:r>
    </w:p>
    <w:p>
      <w:pPr>
        <w:spacing w:after="0" w:line="55" w:lineRule="exact"/>
        <w:rPr>
          <w:rFonts w:ascii="Arial" w:cs="Arial" w:eastAsia="Arial" w:hAnsi="Arial"/>
          <w:sz w:val="19"/>
          <w:szCs w:val="19"/>
          <w:u w:val="single" w:color="auto"/>
          <w:color w:val="0000FF"/>
        </w:rPr>
      </w:pPr>
    </w:p>
    <w:p>
      <w:pPr>
        <w:ind w:left="660"/>
        <w:spacing w:after="0"/>
        <w:rPr>
          <w:rFonts w:ascii="Arial" w:cs="Arial" w:eastAsia="Arial" w:hAnsi="Arial"/>
          <w:sz w:val="19"/>
          <w:szCs w:val="19"/>
          <w:u w:val="single" w:color="auto"/>
          <w:color w:val="0000FF"/>
        </w:rPr>
      </w:pPr>
      <w:r>
        <w:rPr>
          <w:rFonts w:ascii="Arial" w:cs="Arial" w:eastAsia="Arial" w:hAnsi="Arial"/>
          <w:sz w:val="22"/>
          <w:szCs w:val="22"/>
          <w:u w:val="single" w:color="auto"/>
          <w:color w:val="0000FF"/>
        </w:rPr>
        <w:t>thereby; or</w:t>
      </w:r>
    </w:p>
    <w:p>
      <w:pPr>
        <w:spacing w:after="0" w:line="201" w:lineRule="exact"/>
        <w:rPr>
          <w:rFonts w:ascii="Arial" w:cs="Arial" w:eastAsia="Arial" w:hAnsi="Arial"/>
          <w:sz w:val="19"/>
          <w:szCs w:val="19"/>
          <w:u w:val="single" w:color="auto"/>
          <w:color w:val="0000FF"/>
        </w:rPr>
      </w:pPr>
    </w:p>
    <w:p>
      <w:pPr>
        <w:ind w:left="1940" w:hanging="636"/>
        <w:spacing w:after="0"/>
        <w:tabs>
          <w:tab w:leader="none" w:pos="1940" w:val="left"/>
        </w:tabs>
        <w:numPr>
          <w:ilvl w:val="0"/>
          <w:numId w:val="190"/>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amend, modify or waive Section 2.11(e) without the consent of the Majority Term Loan Facility Lenders.</w:t>
      </w:r>
    </w:p>
    <w:p>
      <w:pPr>
        <w:spacing w:after="0" w:line="25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 xml:space="preserve">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 Any such waiver, amendment, supplement or modification shall be effected by a written instrument signed by the parties required to sign pursuant to the foregoing provisions of this Section; </w:t>
      </w:r>
      <w:r>
        <w:rPr>
          <w:rFonts w:ascii="Arial" w:cs="Arial" w:eastAsia="Arial" w:hAnsi="Arial"/>
          <w:sz w:val="22"/>
          <w:szCs w:val="22"/>
          <w:u w:val="single" w:color="auto"/>
          <w:color w:val="auto"/>
        </w:rPr>
        <w:t>provided</w:t>
      </w:r>
      <w:r>
        <w:rPr>
          <w:rFonts w:ascii="Arial" w:cs="Arial" w:eastAsia="Arial" w:hAnsi="Arial"/>
          <w:sz w:val="22"/>
          <w:szCs w:val="22"/>
          <w:color w:val="auto"/>
        </w:rPr>
        <w:t>, that delivery of an executed signature page of any such instrument by facsimile transmission shall be effective as delivery of a manually executed counterpart thereof.</w:t>
      </w:r>
    </w:p>
    <w:p>
      <w:pPr>
        <w:spacing w:after="0" w:line="200"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For the avoidance of doubt, this Agreement and any other Loan Document may be amended (or amended and restated) with the written consent of the Required Lenders, the Administrative Agent and each Loan Party to each relevant Loan Document (x) to add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1240"/>
          </w:cols>
          <w:pgMar w:left="320" w:top="1428" w:right="339" w:bottom="1440" w:gutter="0" w:footer="0" w:header="0"/>
        </w:sectPr>
      </w:pPr>
    </w:p>
    <w:bookmarkStart w:id="238" w:name="page239"/>
    <w:bookmarkEnd w:id="238"/>
    <w:p>
      <w:pPr>
        <w:jc w:val="both"/>
        <w:spacing w:after="0" w:line="292" w:lineRule="auto"/>
        <w:rPr>
          <w:sz w:val="20"/>
          <w:szCs w:val="20"/>
          <w:color w:val="auto"/>
        </w:rPr>
      </w:pPr>
      <w:r>
        <w:rPr>
          <w:rFonts w:ascii="Arial" w:cs="Arial" w:eastAsia="Arial" w:hAnsi="Arial"/>
          <w:sz w:val="19"/>
          <w:szCs w:val="19"/>
          <w:color w:val="auto"/>
        </w:rPr>
        <w:t>more additional credit facilities to this Agreement and to permit the extensions of credit from time to time outstanding thereunder and the accrued interest and fees in respect thereof (collectively, the “</w:t>
      </w:r>
      <w:r>
        <w:rPr>
          <w:rFonts w:ascii="Arial" w:cs="Arial" w:eastAsia="Arial" w:hAnsi="Arial"/>
          <w:sz w:val="19"/>
          <w:szCs w:val="19"/>
          <w:u w:val="single" w:color="auto"/>
          <w:color w:val="auto"/>
        </w:rPr>
        <w:t>Additional Extensions of Credit</w:t>
      </w:r>
      <w:r>
        <w:rPr>
          <w:rFonts w:ascii="Arial" w:cs="Arial" w:eastAsia="Arial" w:hAnsi="Arial"/>
          <w:sz w:val="19"/>
          <w:szCs w:val="19"/>
          <w:color w:val="auto"/>
        </w:rPr>
        <w:t xml:space="preserve">”) to share ratably in the benefits of this Agreement and the other Loan Documents with the Term Loans and Revolving Extensions of Credit and the accrued interest and fees in respect thereof and (y) to include appropriately the Lenders holding such credit facilities in any determination of the Required Lenders and Majority Revolving Facility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shall permit the Additional Extensions of Credit to share ratably with or with preference to the Loans in the application of mandatory prepayments without the consent of the Majority Term Loan Facility Lenders.</w:t>
      </w:r>
    </w:p>
    <w:p>
      <w:pPr>
        <w:spacing w:after="0" w:line="15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In addition, notwithstanding the foregoing, this Agreement may be amended with the written consent of the Administrative Agent, the Borrower and the Lenders providing the relevant Replacement Term Loans (as defined below) to permit the refinancing or modification of the outstanding Term Loans (“</w:t>
      </w:r>
      <w:r>
        <w:rPr>
          <w:rFonts w:ascii="Arial" w:cs="Arial" w:eastAsia="Arial" w:hAnsi="Arial"/>
          <w:sz w:val="19"/>
          <w:szCs w:val="19"/>
          <w:u w:val="single" w:color="auto"/>
          <w:color w:val="auto"/>
        </w:rPr>
        <w:t>Refinanced Term Loans</w:t>
      </w:r>
      <w:r>
        <w:rPr>
          <w:rFonts w:ascii="Arial" w:cs="Arial" w:eastAsia="Arial" w:hAnsi="Arial"/>
          <w:sz w:val="19"/>
          <w:szCs w:val="19"/>
          <w:color w:val="auto"/>
        </w:rPr>
        <w:t>”) in whole or in part with one or more new replacement “B” term loan tranches hereunder (“</w:t>
      </w:r>
      <w:r>
        <w:rPr>
          <w:rFonts w:ascii="Arial" w:cs="Arial" w:eastAsia="Arial" w:hAnsi="Arial"/>
          <w:sz w:val="19"/>
          <w:szCs w:val="19"/>
          <w:u w:val="single" w:color="auto"/>
          <w:color w:val="auto"/>
        </w:rPr>
        <w:t>Replacement Term Loans</w:t>
      </w:r>
      <w:r>
        <w:rPr>
          <w:rFonts w:ascii="Arial" w:cs="Arial" w:eastAsia="Arial" w:hAnsi="Arial"/>
          <w:sz w:val="19"/>
          <w:szCs w:val="19"/>
          <w:color w:val="auto"/>
        </w:rPr>
        <w:t>”) or with one or more additional series of senior unsecured notes, senior secured notes secured by the Collateral on a pari passu basis with the Term Loan Facility or secured notes or loans that are junior in right of security in the Collateral (any such notes, the “</w:t>
      </w:r>
      <w:r>
        <w:rPr>
          <w:rFonts w:ascii="Arial" w:cs="Arial" w:eastAsia="Arial" w:hAnsi="Arial"/>
          <w:sz w:val="19"/>
          <w:szCs w:val="19"/>
          <w:u w:val="single" w:color="auto"/>
          <w:color w:val="auto"/>
        </w:rPr>
        <w:t>Refinancing Notes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aggregate principal amount of such Replacement Term Loans shall not exceed the aggregate principal amount of such Refinanced Term Loans plus the amount of any fees, premiums, original issue discount and accrued interest associated therewith, and costs and expenses related thereto, and such Term Loan Facility being refinanced or replaced will be permanently reduced substantially simultaneously with the incurrence or issuance thereof, (b) any Replacement Term Loans or Refinancing Notes do not mature earlier than Refinanced Term Loans or have a weighted average life to maturity shorter than the weighted after life to maturity of the Refinanced Term Loans, (c) Replacement Term Loans and Refinancing Notes may not be guaranteed by any Person other than Borrower or Subsidiary Guarantor, (d) any Refinancing Notes are not subject to any amortization prior to final maturity and are not subject to mandatory redemption or prepayment (except customary asset sales or change of control offers or similar provisions or AHYDO payments, in each case that could result in prepayments), (e) to the extent secured, any such Replacement Term Loans or Refinancing Notes shall not be secured by any lien on any asset that does not also secure the Refinanced Term Loans and shall not have a more senior lien priority than the Refinanced Term Loans and will be subject to intercreditor arrangements reasonably acceptable to the Administrative Agent, (f) all other terms applicable to such Replacement Term Loans and Refinancing Notes shall be (as determined by the Borrower in good faith) substantially identical to, or (when taken as a whole) less favorable to the Lenders or investors providing such Replacement Term Loans or Refinancing Notes, as applicable, than, those applicable to such Refinanced Term Loans, except to the extent necessary to provide for covenants and other terms applicable to any period after the latest final maturity of the Term Loans in effect immediately prior to such refinancing or as are incorporated into this Agreement for the benefit of all existing Lenders at the time of such refinancing, and</w:t>
      </w:r>
    </w:p>
    <w:p>
      <w:pPr>
        <w:spacing w:after="0" w:line="13" w:lineRule="exact"/>
        <w:rPr>
          <w:sz w:val="20"/>
          <w:szCs w:val="20"/>
          <w:color w:val="auto"/>
        </w:rPr>
      </w:pPr>
    </w:p>
    <w:p>
      <w:pPr>
        <w:ind w:left="320" w:hanging="312"/>
        <w:spacing w:after="0"/>
        <w:tabs>
          <w:tab w:leader="none" w:pos="32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parties agree the MFN Provision shall not apply to such Replacement Term Loans or Refinancing Notes.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92" w:lineRule="exact"/>
        <w:rPr>
          <w:rFonts w:ascii="Arial" w:cs="Arial" w:eastAsia="Arial" w:hAnsi="Arial"/>
          <w:sz w:val="22"/>
          <w:szCs w:val="22"/>
          <w:color w:val="auto"/>
        </w:rPr>
      </w:pPr>
    </w:p>
    <w:p>
      <w:pPr>
        <w:ind w:left="5460"/>
        <w:spacing w:after="0"/>
        <w:rPr>
          <w:rFonts w:ascii="Arial" w:cs="Arial" w:eastAsia="Arial" w:hAnsi="Arial"/>
          <w:sz w:val="22"/>
          <w:szCs w:val="22"/>
          <w:color w:val="auto"/>
        </w:rPr>
      </w:pPr>
      <w:r>
        <w:rPr>
          <w:rFonts w:ascii="Arial" w:cs="Arial" w:eastAsia="Arial" w:hAnsi="Arial"/>
          <w:sz w:val="22"/>
          <w:szCs w:val="22"/>
          <w:color w:val="auto"/>
        </w:rPr>
        <w:t>149</w:t>
      </w:r>
    </w:p>
    <w:p>
      <w:pPr>
        <w:sectPr>
          <w:pgSz w:w="11900" w:h="16838" w:orient="portrait"/>
          <w:cols w:equalWidth="0" w:num="1">
            <w:col w:w="11240"/>
          </w:cols>
          <w:pgMar w:left="320" w:top="1428" w:right="339" w:bottom="1440" w:gutter="0" w:footer="0" w:header="0"/>
        </w:sectPr>
      </w:pPr>
    </w:p>
    <w:bookmarkStart w:id="239" w:name="page240"/>
    <w:bookmarkEnd w:id="239"/>
    <w:p>
      <w:pPr>
        <w:jc w:val="both"/>
        <w:ind w:firstLine="1296"/>
        <w:spacing w:after="0" w:line="287" w:lineRule="auto"/>
        <w:rPr>
          <w:sz w:val="20"/>
          <w:szCs w:val="20"/>
          <w:color w:val="auto"/>
        </w:rPr>
      </w:pPr>
      <w:r>
        <w:rPr>
          <w:rFonts w:ascii="Arial" w:cs="Arial" w:eastAsia="Arial" w:hAnsi="Arial"/>
          <w:sz w:val="19"/>
          <w:szCs w:val="19"/>
          <w:color w:val="auto"/>
        </w:rPr>
        <w:t xml:space="preserve">In addition, notwithstanding the foregoing, this Agreement, including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the other Loan Documents may be amended (or amended and restated) pursuant to </w:t>
      </w:r>
      <w:r>
        <w:rPr>
          <w:rFonts w:ascii="Arial" w:cs="Arial" w:eastAsia="Arial" w:hAnsi="Arial"/>
          <w:sz w:val="19"/>
          <w:szCs w:val="19"/>
          <w:u w:val="single" w:color="auto"/>
          <w:color w:val="auto"/>
        </w:rPr>
        <w:t>Section 2.25</w:t>
      </w:r>
      <w:r>
        <w:rPr>
          <w:rFonts w:ascii="Arial" w:cs="Arial" w:eastAsia="Arial" w:hAnsi="Arial"/>
          <w:sz w:val="19"/>
          <w:szCs w:val="19"/>
          <w:color w:val="auto"/>
        </w:rPr>
        <w:t xml:space="preserve"> in order to add Incremental Term Loans or Revolving Credit Commitment Increases to this Agreement and (a) to permit the extensions of credit from time to time outstanding thereunder and the accrued interest and fees in respect thereof to share ratably in the benefits of this Agreement (including the rights of the lenders holding Incremental Term Loans to share ratably with the Term Facility in prepayments pursuant to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and the other Loan Documents with the Term Loans and Revolving Credit Loans and the accrued interest and fees in respect thereof, (b) to include appropriately the Lenders holding such credit facilities in any determination of the required consent of the Lenders pursuant to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(c) to amend any other provision of the Loan Documents so that the Incremental Facilities are appropriately incorporated (including this </w:t>
      </w:r>
      <w:r>
        <w:rPr>
          <w:rFonts w:ascii="Arial" w:cs="Arial" w:eastAsia="Arial" w:hAnsi="Arial"/>
          <w:sz w:val="19"/>
          <w:szCs w:val="19"/>
          <w:u w:val="single" w:color="auto"/>
          <w:color w:val="auto"/>
        </w:rPr>
        <w:t>Section 10.1</w:t>
      </w:r>
      <w:r>
        <w:rPr>
          <w:rFonts w:ascii="Arial" w:cs="Arial" w:eastAsia="Arial" w:hAnsi="Arial"/>
          <w:sz w:val="19"/>
          <w:szCs w:val="19"/>
          <w:color w:val="auto"/>
        </w:rPr>
        <w:t>)</w:t>
      </w:r>
      <w:r>
        <w:rPr>
          <w:rFonts w:ascii="Arial" w:cs="Arial" w:eastAsia="Arial" w:hAnsi="Arial"/>
          <w:sz w:val="19"/>
          <w:szCs w:val="19"/>
          <w:u w:val="single" w:color="auto"/>
          <w:color w:val="0000FF"/>
        </w:rPr>
        <w:t>; provided that, for the avoidance of</w:t>
      </w:r>
      <w:r>
        <w:rPr>
          <w:rFonts w:ascii="Arial" w:cs="Arial" w:eastAsia="Arial" w:hAnsi="Arial"/>
          <w:sz w:val="19"/>
          <w:szCs w:val="19"/>
          <w:color w:val="auto"/>
        </w:rPr>
        <w:t xml:space="preserve"> </w:t>
      </w:r>
      <w:r>
        <w:rPr>
          <w:rFonts w:ascii="Arial" w:cs="Arial" w:eastAsia="Arial" w:hAnsi="Arial"/>
          <w:sz w:val="19"/>
          <w:szCs w:val="19"/>
          <w:u w:val="single" w:color="auto"/>
          <w:color w:val="0000FF"/>
        </w:rPr>
        <w:t xml:space="preserve">doubt, </w:t>
      </w:r>
      <w:r>
        <w:rPr>
          <w:rFonts w:ascii="Arial" w:cs="Arial" w:eastAsia="Arial" w:hAnsi="Arial"/>
          <w:sz w:val="19"/>
          <w:szCs w:val="19"/>
          <w:u w:val="single" w:color="auto"/>
          <w:color w:val="008000"/>
        </w:rPr>
        <w:t>this Agreement and the other Loan Documents</w:t>
      </w:r>
      <w:r>
        <w:rPr>
          <w:rFonts w:ascii="Arial" w:cs="Arial" w:eastAsia="Arial" w:hAnsi="Arial"/>
          <w:sz w:val="19"/>
          <w:szCs w:val="19"/>
          <w:u w:val="single" w:color="auto"/>
          <w:color w:val="0000FF"/>
        </w:rPr>
        <w:t xml:space="preserve"> may not be amended to add Incremental Facilities that are not Incremental Term Loans without the consent of the Majority Term Loan Facility Lenders</w:t>
      </w:r>
      <w:r>
        <w:rPr>
          <w:rFonts w:ascii="Arial" w:cs="Arial" w:eastAsia="Arial" w:hAnsi="Arial"/>
          <w:sz w:val="19"/>
          <w:szCs w:val="19"/>
          <w:color w:val="000000"/>
        </w:rPr>
        <w:t>.</w:t>
      </w:r>
    </w:p>
    <w:p>
      <w:pPr>
        <w:spacing w:after="0" w:line="16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In addition, notwithstanding the foregoing, if the Required Lenders shall have approved any amendment, the Borrower shall be permitted to replace any non-consenting Lender with another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replacement lender shall purchase at par, all Loans and other amounts owing to such replaced Lender on or prior to the date of replacement, (ii) the Borrower shall be liable to such replaced Lender under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if any Eurodollar Loan owing to such replaced Lender shall be purchased other than on the last day of the Interest Period relating thereto (as if such purchase constituted a prepayment of such Loans), (iii) such replacement lender, if not already a Lender, shall be reasonably satisfactory to the Administrative Agent and, with respect to the replacement of a Revolving Credit Lender, each Issuing Lender (such consent not to be unreasonably withheld), (iv) the replaced Lender shall be obligated to make such replacement in accordance with the provisions of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be obligated to pay the registration and processing fee referred to therein), (v) such replacement Lender shall consent to the proposed amendment and (vi) any such replacement shall not be deemed to be a waiver of any rights the Borrower, the Administrative Agent or any other Lender shall have against the replaced Lender or of the replaced Lender against the Borrower.</w:t>
      </w:r>
    </w:p>
    <w:p>
      <w:pPr>
        <w:spacing w:after="0" w:line="200" w:lineRule="exact"/>
        <w:rPr>
          <w:sz w:val="20"/>
          <w:szCs w:val="20"/>
          <w:color w:val="auto"/>
        </w:rPr>
      </w:pPr>
    </w:p>
    <w:p>
      <w:pPr>
        <w:spacing w:after="0" w:line="220" w:lineRule="exact"/>
        <w:rPr>
          <w:sz w:val="20"/>
          <w:szCs w:val="20"/>
          <w:color w:val="auto"/>
        </w:rPr>
      </w:pPr>
    </w:p>
    <w:p>
      <w:pPr>
        <w:jc w:val="both"/>
        <w:ind w:firstLine="437"/>
        <w:spacing w:after="0" w:line="253" w:lineRule="auto"/>
        <w:rPr>
          <w:sz w:val="20"/>
          <w:szCs w:val="20"/>
          <w:color w:val="auto"/>
        </w:rPr>
      </w:pPr>
      <w:r>
        <w:rPr>
          <w:rFonts w:ascii="Arial" w:cs="Arial" w:eastAsia="Arial" w:hAnsi="Arial"/>
          <w:sz w:val="22"/>
          <w:szCs w:val="22"/>
          <w:color w:val="auto"/>
        </w:rPr>
        <w:t xml:space="preserve">In addition, notwithstanding the foregoing, (i) the financial covenant set forth in </w:t>
      </w:r>
      <w:r>
        <w:rPr>
          <w:rFonts w:ascii="Arial" w:cs="Arial" w:eastAsia="Arial" w:hAnsi="Arial"/>
          <w:sz w:val="22"/>
          <w:szCs w:val="22"/>
          <w:u w:val="single" w:color="auto"/>
          <w:color w:val="auto"/>
        </w:rPr>
        <w:t>Section 7.1(b)</w:t>
      </w:r>
      <w:r>
        <w:rPr>
          <w:rFonts w:ascii="Arial" w:cs="Arial" w:eastAsia="Arial" w:hAnsi="Arial"/>
          <w:sz w:val="22"/>
          <w:szCs w:val="22"/>
          <w:color w:val="auto"/>
        </w:rPr>
        <w:t>, and (ii) conditions precedent to borrowing under the Revolving Credit Facility, may, in each case, be amended, modified or waived with only (and only with) the consent of the Majority Revolving Credit Facility Lenders.</w:t>
      </w:r>
    </w:p>
    <w:p>
      <w:pPr>
        <w:spacing w:after="0" w:line="212" w:lineRule="exact"/>
        <w:rPr>
          <w:sz w:val="20"/>
          <w:szCs w:val="20"/>
          <w:color w:val="auto"/>
        </w:rPr>
      </w:pPr>
    </w:p>
    <w:p>
      <w:pPr>
        <w:jc w:val="both"/>
        <w:ind w:firstLine="715"/>
        <w:spacing w:after="0" w:line="248" w:lineRule="auto"/>
        <w:rPr>
          <w:sz w:val="20"/>
          <w:szCs w:val="20"/>
          <w:color w:val="auto"/>
        </w:rPr>
      </w:pPr>
      <w:r>
        <w:rPr>
          <w:rFonts w:ascii="Arial" w:cs="Arial" w:eastAsia="Arial" w:hAnsi="Arial"/>
          <w:sz w:val="22"/>
          <w:szCs w:val="22"/>
          <w:color w:val="auto"/>
        </w:rPr>
        <w:t>In addition, notwithstanding the foregoing, no Defaulting Lender shall have any right to approve or disapprove any amendment, waiver or consent hereunder, except (x) that the Commitment of such Defaulting Lender may not be increased or extended without the consent of such Defaulting Lender and (y) for any such amendment, waiver or consent that treats such Defaulting Lender disproportionately and adversely from the other Lenders (other than because of its status as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1240"/>
          </w:cols>
          <w:pgMar w:left="320" w:top="1428" w:right="339" w:bottom="1440" w:gutter="0" w:footer="0" w:header="0"/>
        </w:sectPr>
      </w:pPr>
    </w:p>
    <w:bookmarkStart w:id="240" w:name="page241"/>
    <w:bookmarkEnd w:id="240"/>
    <w:p>
      <w:pPr>
        <w:jc w:val="both"/>
        <w:ind w:firstLine="1296"/>
        <w:spacing w:after="0" w:line="287" w:lineRule="auto"/>
        <w:rPr>
          <w:sz w:val="20"/>
          <w:szCs w:val="20"/>
          <w:color w:val="auto"/>
        </w:rPr>
      </w:pPr>
      <w:r>
        <w:rPr>
          <w:rFonts w:ascii="Arial" w:cs="Arial" w:eastAsia="Arial" w:hAnsi="Arial"/>
          <w:sz w:val="19"/>
          <w:szCs w:val="19"/>
          <w:u w:val="single" w:color="auto"/>
          <w:color w:val="0000FF"/>
        </w:rPr>
        <w:t xml:space="preserve">In addition, notwithstanding the foregoing, by its acquisition of Loans or Commitments, each relevant Affiliated Lender shall be deemed to have acknowledged and agreed that the Loans or Commitments held by such Affiliated Lender shall be disregarded in both the numerator and denominator in the calculation of any Required Lender, Majority Facility Lender, Majority Term Loan Facility Lender, Majority Revolving Credit Facility Lenders, or any other Lender vote (and the Loans or Commitments held by such Affiliated Lender shall be deemed to be voted </w:t>
      </w:r>
      <w:r>
        <w:rPr>
          <w:rFonts w:ascii="Arial" w:cs="Arial" w:eastAsia="Arial" w:hAnsi="Arial"/>
          <w:sz w:val="19"/>
          <w:szCs w:val="19"/>
          <w:i w:val="1"/>
          <w:iCs w:val="1"/>
          <w:u w:val="single" w:color="auto"/>
          <w:color w:val="0000FF"/>
        </w:rPr>
        <w:t>pro rata</w:t>
      </w:r>
      <w:r>
        <w:rPr>
          <w:rFonts w:ascii="Arial" w:cs="Arial" w:eastAsia="Arial" w:hAnsi="Arial"/>
          <w:sz w:val="19"/>
          <w:szCs w:val="19"/>
          <w:u w:val="single" w:color="auto"/>
          <w:color w:val="0000FF"/>
        </w:rPr>
        <w:t xml:space="preserve"> along with the other Lenders that are not Affiliated Lenders); provided that (x) such Affiliated Lender shall have the right to vote (and the Loans or Commitments held by such Affiliated Lender shall not be so disregarded) with respect to any amendment, modification, waiver, consent or other action that requires the vote of all Lenders or all Lenders directly or adversely affected thereby, as the case may be, and (y) no amendment, modification, waiver, consent or other action shall (i) disproportionately affect such Affiliated Lender in its capacity as a Lender as compared to other Lenders of the same Class that are not Affiliated Lenders or (ii) deprive any Affiliated Lender of its share of any payments which the Lenders are entitled to share on a </w:t>
      </w:r>
      <w:r>
        <w:rPr>
          <w:rFonts w:ascii="Arial" w:cs="Arial" w:eastAsia="Arial" w:hAnsi="Arial"/>
          <w:sz w:val="19"/>
          <w:szCs w:val="19"/>
          <w:i w:val="1"/>
          <w:iCs w:val="1"/>
          <w:u w:val="single" w:color="auto"/>
          <w:color w:val="0000FF"/>
        </w:rPr>
        <w:t>pro rata</w:t>
      </w:r>
      <w:r>
        <w:rPr>
          <w:rFonts w:ascii="Arial" w:cs="Arial" w:eastAsia="Arial" w:hAnsi="Arial"/>
          <w:sz w:val="19"/>
          <w:szCs w:val="19"/>
          <w:u w:val="single" w:color="auto"/>
          <w:color w:val="0000FF"/>
        </w:rPr>
        <w:t xml:space="preserve"> basis hereunder, in each case without the written consent of such Affiliated Lender.</w:t>
      </w:r>
    </w:p>
    <w:p>
      <w:pPr>
        <w:spacing w:after="0" w:line="200" w:lineRule="exact"/>
        <w:rPr>
          <w:sz w:val="20"/>
          <w:szCs w:val="20"/>
          <w:color w:val="auto"/>
        </w:rPr>
      </w:pPr>
    </w:p>
    <w:p>
      <w:pPr>
        <w:spacing w:after="0" w:line="220"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u w:val="single" w:color="auto"/>
          <w:color w:val="0000FF"/>
        </w:rPr>
        <w:t>In addition, notwithstanding the foregoing, the Loans and Commitments of all Debt Fund Affiliates shall not account for more than 49.9% of the amounts included in determining whether the Required Lenders, Majority Facility Lenders, Majority Term Loan Facility Lenders, or Majority Revolving Credit Facility Lenders have (A) consented to any amendment, modification, waiver, consent or other action with respect to any of the terms of any Loan Document or any departure by any Loan Party therefrom or (B) directed or required the Administrative Agent or any Lender to undertake any action (or refrain from taking any action) with respect to any Loan Document.</w:t>
      </w:r>
    </w:p>
    <w:p>
      <w:pPr>
        <w:spacing w:after="0" w:line="19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In addition, notwithstanding the foregoing, 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75"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and demands to or upon the respective parties hereto to be effective shall be in writing (including by telecopy or other electronic transmission), and, unless otherwise expressly provided herein, shall be deemed to have been duly given or made when delivered, or three Business Days after being deposited in the mail, postage prepaid, or, in the case of telecopy or other electronic transmission notice, when received, addressed (a) in the case of the Borrower and the Administrative Agent, as follows and (b) in the case of the Lenders, as set forth in an administrative questionnaire delivered to the Administrative Agent or on Schedule I to the Lender Addendum to which such Lender is a party or, in the case of a Lender which becomes a party to this Agreement pursuant to an Assignment and Acceptance, in such Assignment and Acceptance or (c) in the case of any party, to such other address as such party may hereafter notify to 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1240"/>
          </w:cols>
          <w:pgMar w:left="320" w:top="1428" w:right="339" w:bottom="1440" w:gutter="0" w:footer="0" w:header="0"/>
        </w:sectPr>
      </w:pPr>
    </w:p>
    <w:bookmarkStart w:id="241" w:name="page242"/>
    <w:bookmarkEnd w:id="241"/>
    <w:p>
      <w:pPr>
        <w:ind w:left="660"/>
        <w:spacing w:after="0"/>
        <w:tabs>
          <w:tab w:leader="none" w:pos="2120" w:val="left"/>
        </w:tabs>
        <w:rPr>
          <w:sz w:val="20"/>
          <w:szCs w:val="20"/>
          <w:color w:val="auto"/>
        </w:rPr>
      </w:pPr>
      <w:r>
        <w:rPr>
          <w:rFonts w:ascii="Arial" w:cs="Arial" w:eastAsia="Arial" w:hAnsi="Arial"/>
          <w:sz w:val="22"/>
          <w:szCs w:val="22"/>
          <w:color w:val="auto"/>
        </w:rPr>
        <w:t>The Borrower:</w:t>
      </w:r>
      <w:r>
        <w:rPr>
          <w:sz w:val="20"/>
          <w:szCs w:val="20"/>
          <w:color w:val="auto"/>
        </w:rPr>
        <w:tab/>
      </w:r>
      <w:r>
        <w:rPr>
          <w:rFonts w:ascii="Arial" w:cs="Arial" w:eastAsia="Arial" w:hAnsi="Arial"/>
          <w:sz w:val="19"/>
          <w:szCs w:val="19"/>
          <w:color w:val="auto"/>
        </w:rPr>
        <w:t>National CineMedia, LLC</w:t>
      </w:r>
    </w:p>
    <w:p>
      <w:pPr>
        <w:ind w:left="3220"/>
        <w:spacing w:after="0" w:line="204" w:lineRule="auto"/>
        <w:rPr>
          <w:sz w:val="20"/>
          <w:szCs w:val="20"/>
          <w:color w:val="auto"/>
        </w:rPr>
      </w:pPr>
      <w:r>
        <w:rPr>
          <w:rFonts w:ascii="Arial" w:cs="Arial" w:eastAsia="Arial" w:hAnsi="Arial"/>
          <w:sz w:val="22"/>
          <w:szCs w:val="22"/>
          <w:color w:val="auto"/>
        </w:rPr>
        <w:t>6300 South Syracuse Way, Suite 300</w:t>
      </w:r>
    </w:p>
    <w:p>
      <w:pPr>
        <w:ind w:left="3220"/>
        <w:spacing w:after="0" w:line="205" w:lineRule="auto"/>
        <w:rPr>
          <w:sz w:val="20"/>
          <w:szCs w:val="20"/>
          <w:color w:val="auto"/>
        </w:rPr>
      </w:pPr>
      <w:r>
        <w:rPr>
          <w:rFonts w:ascii="Arial" w:cs="Arial" w:eastAsia="Arial" w:hAnsi="Arial"/>
          <w:sz w:val="22"/>
          <w:szCs w:val="22"/>
          <w:color w:val="auto"/>
        </w:rPr>
        <w:t>Centennial, CO 80111</w:t>
      </w:r>
    </w:p>
    <w:p>
      <w:pPr>
        <w:ind w:left="3220"/>
        <w:spacing w:after="0" w:line="205" w:lineRule="auto"/>
        <w:rPr>
          <w:sz w:val="20"/>
          <w:szCs w:val="20"/>
          <w:color w:val="auto"/>
        </w:rPr>
      </w:pPr>
      <w:r>
        <w:rPr>
          <w:rFonts w:ascii="Arial" w:cs="Arial" w:eastAsia="Arial" w:hAnsi="Arial"/>
          <w:sz w:val="22"/>
          <w:szCs w:val="22"/>
          <w:color w:val="auto"/>
        </w:rPr>
        <w:t>Attention: Ted Watson, Senior Vice President, Finance</w:t>
      </w:r>
    </w:p>
    <w:p>
      <w:pPr>
        <w:ind w:left="3220"/>
        <w:spacing w:after="0" w:line="218" w:lineRule="auto"/>
        <w:rPr>
          <w:sz w:val="20"/>
          <w:szCs w:val="20"/>
          <w:color w:val="auto"/>
        </w:rPr>
      </w:pPr>
      <w:r>
        <w:rPr>
          <w:rFonts w:ascii="Arial" w:cs="Arial" w:eastAsia="Arial" w:hAnsi="Arial"/>
          <w:sz w:val="22"/>
          <w:szCs w:val="22"/>
          <w:color w:val="auto"/>
        </w:rPr>
        <w:t>Email: ted.watson@ncm.com</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Telephone: (303) 792-8218</w:t>
      </w:r>
    </w:p>
    <w:p>
      <w:pPr>
        <w:spacing w:after="0" w:line="183"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9"/>
          <w:szCs w:val="19"/>
          <w:color w:val="auto"/>
        </w:rPr>
        <w:t>National CineMedia, LLC</w:t>
      </w:r>
    </w:p>
    <w:p>
      <w:pPr>
        <w:ind w:left="3220"/>
        <w:spacing w:after="0" w:line="204" w:lineRule="auto"/>
        <w:rPr>
          <w:sz w:val="20"/>
          <w:szCs w:val="20"/>
          <w:color w:val="auto"/>
        </w:rPr>
      </w:pPr>
      <w:r>
        <w:rPr>
          <w:rFonts w:ascii="Arial" w:cs="Arial" w:eastAsia="Arial" w:hAnsi="Arial"/>
          <w:sz w:val="22"/>
          <w:szCs w:val="22"/>
          <w:color w:val="auto"/>
        </w:rPr>
        <w:t>6300 South Syracuse Way, Suite 300</w:t>
      </w:r>
    </w:p>
    <w:p>
      <w:pPr>
        <w:ind w:left="3220"/>
        <w:spacing w:after="0" w:line="231" w:lineRule="auto"/>
        <w:rPr>
          <w:sz w:val="20"/>
          <w:szCs w:val="20"/>
          <w:color w:val="auto"/>
        </w:rPr>
      </w:pPr>
      <w:r>
        <w:rPr>
          <w:rFonts w:ascii="Arial" w:cs="Arial" w:eastAsia="Arial" w:hAnsi="Arial"/>
          <w:sz w:val="22"/>
          <w:szCs w:val="22"/>
          <w:color w:val="auto"/>
        </w:rPr>
        <w:t>Centennial, CO 80111</w:t>
      </w:r>
    </w:p>
    <w:p>
      <w:pPr>
        <w:ind w:left="860"/>
        <w:spacing w:after="0" w:line="218" w:lineRule="auto"/>
        <w:rPr>
          <w:sz w:val="20"/>
          <w:szCs w:val="20"/>
          <w:color w:val="auto"/>
        </w:rPr>
      </w:pPr>
      <w:r>
        <w:rPr>
          <w:rFonts w:ascii="Arial" w:cs="Arial" w:eastAsia="Arial" w:hAnsi="Arial"/>
          <w:sz w:val="22"/>
          <w:szCs w:val="22"/>
          <w:color w:val="auto"/>
        </w:rPr>
        <w:t>Attention: Sarah Hilty, Senior Vice President, General Counsel and Secretary</w:t>
      </w:r>
    </w:p>
    <w:p>
      <w:pPr>
        <w:ind w:left="3220"/>
        <w:spacing w:after="0" w:line="205" w:lineRule="auto"/>
        <w:rPr>
          <w:sz w:val="20"/>
          <w:szCs w:val="20"/>
          <w:color w:val="auto"/>
        </w:rPr>
      </w:pPr>
      <w:r>
        <w:rPr>
          <w:rFonts w:ascii="Arial" w:cs="Arial" w:eastAsia="Arial" w:hAnsi="Arial"/>
          <w:sz w:val="22"/>
          <w:szCs w:val="22"/>
          <w:color w:val="auto"/>
        </w:rPr>
        <w:t>Email: sarah.hilty@ncm.com</w:t>
      </w:r>
    </w:p>
    <w:p>
      <w:pPr>
        <w:ind w:left="3220"/>
        <w:spacing w:after="0"/>
        <w:rPr>
          <w:sz w:val="20"/>
          <w:szCs w:val="20"/>
          <w:color w:val="auto"/>
        </w:rPr>
      </w:pPr>
      <w:r>
        <w:rPr>
          <w:rFonts w:ascii="Arial" w:cs="Arial" w:eastAsia="Arial" w:hAnsi="Arial"/>
          <w:sz w:val="22"/>
          <w:szCs w:val="22"/>
          <w:color w:val="auto"/>
        </w:rPr>
        <w:t>Telephone: (303) 792-7015</w:t>
      </w:r>
    </w:p>
    <w:p>
      <w:pPr>
        <w:spacing w:after="0" w:line="188" w:lineRule="exact"/>
        <w:rPr>
          <w:sz w:val="20"/>
          <w:szCs w:val="20"/>
          <w:color w:val="auto"/>
        </w:rPr>
      </w:pPr>
    </w:p>
    <w:p>
      <w:pPr>
        <w:ind w:left="660"/>
        <w:spacing w:after="0"/>
        <w:tabs>
          <w:tab w:leader="none" w:pos="2400" w:val="left"/>
        </w:tabs>
        <w:rPr>
          <w:sz w:val="20"/>
          <w:szCs w:val="20"/>
          <w:color w:val="auto"/>
        </w:rPr>
      </w:pPr>
      <w:r>
        <w:rPr>
          <w:rFonts w:ascii="Arial" w:cs="Arial" w:eastAsia="Arial" w:hAnsi="Arial"/>
          <w:sz w:val="22"/>
          <w:szCs w:val="22"/>
          <w:color w:val="auto"/>
        </w:rPr>
        <w:t>With a copy to:</w:t>
      </w:r>
      <w:r>
        <w:rPr>
          <w:sz w:val="20"/>
          <w:szCs w:val="20"/>
          <w:color w:val="auto"/>
        </w:rPr>
        <w:tab/>
      </w:r>
      <w:r>
        <w:rPr>
          <w:rFonts w:ascii="Arial" w:cs="Arial" w:eastAsia="Arial" w:hAnsi="Arial"/>
          <w:sz w:val="18"/>
          <w:szCs w:val="18"/>
          <w:color w:val="auto"/>
        </w:rPr>
        <w:t>Wilmer Cutler Pickering Hale and Dorr LLP</w:t>
      </w:r>
    </w:p>
    <w:p>
      <w:pPr>
        <w:spacing w:after="0" w:line="10"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1225 Seventeenth St., Suite 2600</w:t>
      </w:r>
    </w:p>
    <w:p>
      <w:pPr>
        <w:ind w:left="3240"/>
        <w:spacing w:after="0"/>
        <w:rPr>
          <w:sz w:val="20"/>
          <w:szCs w:val="20"/>
          <w:color w:val="auto"/>
        </w:rPr>
      </w:pPr>
      <w:r>
        <w:rPr>
          <w:rFonts w:ascii="Arial" w:cs="Arial" w:eastAsia="Arial" w:hAnsi="Arial"/>
          <w:sz w:val="20"/>
          <w:szCs w:val="20"/>
          <w:color w:val="auto"/>
        </w:rPr>
        <w:t>Denver, CO 80202</w:t>
      </w:r>
    </w:p>
    <w:p>
      <w:pPr>
        <w:ind w:left="3240"/>
        <w:spacing w:after="0"/>
        <w:rPr>
          <w:sz w:val="20"/>
          <w:szCs w:val="20"/>
          <w:color w:val="auto"/>
        </w:rPr>
      </w:pPr>
      <w:r>
        <w:rPr>
          <w:rFonts w:ascii="Arial" w:cs="Arial" w:eastAsia="Arial" w:hAnsi="Arial"/>
          <w:sz w:val="20"/>
          <w:szCs w:val="20"/>
          <w:color w:val="auto"/>
        </w:rPr>
        <w:t>Attention: Chalyse Robinson</w:t>
      </w:r>
    </w:p>
    <w:p>
      <w:pPr>
        <w:ind w:left="3240"/>
        <w:spacing w:after="0"/>
        <w:rPr>
          <w:sz w:val="20"/>
          <w:szCs w:val="20"/>
          <w:color w:val="auto"/>
        </w:rPr>
      </w:pPr>
      <w:r>
        <w:rPr>
          <w:rFonts w:ascii="Arial" w:cs="Arial" w:eastAsia="Arial" w:hAnsi="Arial"/>
          <w:sz w:val="20"/>
          <w:szCs w:val="20"/>
          <w:color w:val="auto"/>
        </w:rPr>
        <w:t>Email: chalyse.robinson@wilmerhale.com</w:t>
      </w:r>
    </w:p>
    <w:p>
      <w:pPr>
        <w:ind w:left="3240"/>
        <w:spacing w:after="0"/>
        <w:rPr>
          <w:sz w:val="20"/>
          <w:szCs w:val="20"/>
          <w:color w:val="auto"/>
        </w:rPr>
      </w:pPr>
      <w:r>
        <w:rPr>
          <w:rFonts w:ascii="Arial" w:cs="Arial" w:eastAsia="Arial" w:hAnsi="Arial"/>
          <w:sz w:val="20"/>
          <w:szCs w:val="20"/>
          <w:color w:val="auto"/>
        </w:rPr>
        <w:t>Telephone: (720) 598-3442</w:t>
      </w:r>
    </w:p>
    <w:p>
      <w:pPr>
        <w:spacing w:after="0" w:line="203" w:lineRule="exact"/>
        <w:rPr>
          <w:sz w:val="20"/>
          <w:szCs w:val="20"/>
          <w:color w:val="auto"/>
        </w:rPr>
      </w:pPr>
    </w:p>
    <w:p>
      <w:pPr>
        <w:ind w:left="660"/>
        <w:spacing w:after="0"/>
        <w:tabs>
          <w:tab w:leader="none" w:pos="3180" w:val="left"/>
        </w:tabs>
        <w:rPr>
          <w:sz w:val="20"/>
          <w:szCs w:val="20"/>
          <w:color w:val="auto"/>
        </w:rPr>
      </w:pPr>
      <w:r>
        <w:rPr>
          <w:rFonts w:ascii="Arial" w:cs="Arial" w:eastAsia="Arial" w:hAnsi="Arial"/>
          <w:sz w:val="22"/>
          <w:szCs w:val="22"/>
          <w:color w:val="auto"/>
        </w:rPr>
        <w:t>The Administrative Agent:</w:t>
      </w:r>
      <w:r>
        <w:rPr>
          <w:sz w:val="20"/>
          <w:szCs w:val="20"/>
          <w:color w:val="auto"/>
        </w:rPr>
        <w:tab/>
      </w:r>
      <w:r>
        <w:rPr>
          <w:rFonts w:ascii="Arial" w:cs="Arial" w:eastAsia="Arial" w:hAnsi="Arial"/>
          <w:sz w:val="19"/>
          <w:szCs w:val="19"/>
          <w:color w:val="auto"/>
        </w:rPr>
        <w:t>JPMorgan Chase Bank, N.A.</w:t>
      </w:r>
    </w:p>
    <w:p>
      <w:pPr>
        <w:ind w:left="3220"/>
        <w:spacing w:after="0" w:line="230" w:lineRule="auto"/>
        <w:rPr>
          <w:sz w:val="20"/>
          <w:szCs w:val="20"/>
          <w:color w:val="auto"/>
        </w:rPr>
      </w:pPr>
      <w:r>
        <w:rPr>
          <w:rFonts w:ascii="Arial" w:cs="Arial" w:eastAsia="Arial" w:hAnsi="Arial"/>
          <w:sz w:val="22"/>
          <w:szCs w:val="22"/>
          <w:color w:val="auto"/>
        </w:rPr>
        <w:t>10 South Dearborn Street, Floor L2</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Chicago, IL 60603</w:t>
      </w:r>
    </w:p>
    <w:p>
      <w:pPr>
        <w:spacing w:after="0" w:line="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Fax No.: 1 (302) 634-3301</w:t>
      </w:r>
    </w:p>
    <w:p>
      <w:pPr>
        <w:spacing w:after="0" w:line="196"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Issuing Lender:</w:t>
      </w:r>
      <w:r>
        <w:rPr>
          <w:sz w:val="20"/>
          <w:szCs w:val="20"/>
          <w:color w:val="auto"/>
        </w:rPr>
        <w:tab/>
      </w:r>
      <w:r>
        <w:rPr>
          <w:rFonts w:ascii="Arial" w:cs="Arial" w:eastAsia="Arial" w:hAnsi="Arial"/>
          <w:sz w:val="19"/>
          <w:szCs w:val="19"/>
          <w:color w:val="auto"/>
        </w:rPr>
        <w:t>JPMorgan Chase Bank, N.A.</w:t>
      </w:r>
    </w:p>
    <w:p>
      <w:pPr>
        <w:ind w:left="3220"/>
        <w:spacing w:after="0" w:line="204" w:lineRule="auto"/>
        <w:rPr>
          <w:sz w:val="20"/>
          <w:szCs w:val="20"/>
          <w:color w:val="auto"/>
        </w:rPr>
      </w:pPr>
      <w:r>
        <w:rPr>
          <w:rFonts w:ascii="Arial" w:cs="Arial" w:eastAsia="Arial" w:hAnsi="Arial"/>
          <w:sz w:val="22"/>
          <w:szCs w:val="22"/>
          <w:color w:val="auto"/>
        </w:rPr>
        <w:t>10 South Dearborn Street</w:t>
      </w:r>
    </w:p>
    <w:p>
      <w:pPr>
        <w:ind w:left="3220"/>
        <w:spacing w:after="0" w:line="205" w:lineRule="auto"/>
        <w:rPr>
          <w:sz w:val="20"/>
          <w:szCs w:val="20"/>
          <w:color w:val="auto"/>
        </w:rPr>
      </w:pPr>
      <w:r>
        <w:rPr>
          <w:rFonts w:ascii="Arial" w:cs="Arial" w:eastAsia="Arial" w:hAnsi="Arial"/>
          <w:sz w:val="22"/>
          <w:szCs w:val="22"/>
          <w:color w:val="auto"/>
        </w:rPr>
        <w:t>Chicago, IL 60603</w:t>
      </w:r>
    </w:p>
    <w:p>
      <w:pPr>
        <w:ind w:left="3220"/>
        <w:spacing w:after="0" w:line="218" w:lineRule="auto"/>
        <w:rPr>
          <w:sz w:val="20"/>
          <w:szCs w:val="20"/>
          <w:color w:val="auto"/>
        </w:rPr>
      </w:pPr>
      <w:r>
        <w:rPr>
          <w:rFonts w:ascii="Arial" w:cs="Arial" w:eastAsia="Arial" w:hAnsi="Arial"/>
          <w:sz w:val="22"/>
          <w:szCs w:val="22"/>
          <w:color w:val="auto"/>
        </w:rPr>
        <w:t>Email: Chicago.LC.Agency.Activity.Team@JPMChase.com</w:t>
      </w:r>
    </w:p>
    <w:p>
      <w:pPr>
        <w:ind w:left="3220"/>
        <w:spacing w:after="0" w:line="205" w:lineRule="auto"/>
        <w:rPr>
          <w:sz w:val="20"/>
          <w:szCs w:val="20"/>
          <w:color w:val="auto"/>
        </w:rPr>
      </w:pPr>
      <w:r>
        <w:rPr>
          <w:rFonts w:ascii="Arial" w:cs="Arial" w:eastAsia="Arial" w:hAnsi="Arial"/>
          <w:sz w:val="22"/>
          <w:szCs w:val="22"/>
          <w:color w:val="auto"/>
        </w:rPr>
        <w:t>Telephone: (855) 609-0059</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Fax No.: (214) 307-6874</w:t>
      </w:r>
    </w:p>
    <w:p>
      <w:pPr>
        <w:spacing w:after="0" w:line="183"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color w:val="auto"/>
        </w:rPr>
        <w:t>Swing Line Lender:</w:t>
      </w:r>
      <w:r>
        <w:rPr>
          <w:sz w:val="20"/>
          <w:szCs w:val="20"/>
          <w:color w:val="auto"/>
        </w:rPr>
        <w:tab/>
      </w:r>
      <w:r>
        <w:rPr>
          <w:rFonts w:ascii="Arial" w:cs="Arial" w:eastAsia="Arial" w:hAnsi="Arial"/>
          <w:sz w:val="19"/>
          <w:szCs w:val="19"/>
          <w:color w:val="auto"/>
        </w:rPr>
        <w:t>JPMorgan Chase Bank, N.A.</w:t>
      </w:r>
    </w:p>
    <w:p>
      <w:pPr>
        <w:ind w:left="3220"/>
        <w:spacing w:after="0" w:line="204" w:lineRule="auto"/>
        <w:rPr>
          <w:sz w:val="20"/>
          <w:szCs w:val="20"/>
          <w:color w:val="auto"/>
        </w:rPr>
      </w:pPr>
      <w:r>
        <w:rPr>
          <w:rFonts w:ascii="Arial" w:cs="Arial" w:eastAsia="Arial" w:hAnsi="Arial"/>
          <w:sz w:val="22"/>
          <w:szCs w:val="22"/>
          <w:color w:val="auto"/>
        </w:rPr>
        <w:t>Attention: Pastell Jenkins</w:t>
      </w:r>
    </w:p>
    <w:p>
      <w:pPr>
        <w:ind w:left="3220"/>
        <w:spacing w:after="0" w:line="205" w:lineRule="auto"/>
        <w:rPr>
          <w:sz w:val="20"/>
          <w:szCs w:val="20"/>
          <w:color w:val="auto"/>
        </w:rPr>
      </w:pPr>
      <w:r>
        <w:rPr>
          <w:rFonts w:ascii="Arial" w:cs="Arial" w:eastAsia="Arial" w:hAnsi="Arial"/>
          <w:sz w:val="22"/>
          <w:szCs w:val="22"/>
          <w:color w:val="auto"/>
        </w:rPr>
        <w:t>Email: Pastell.Jenkins@chase.com; JPM.Agency.servicing.1@jpmorgan.com</w:t>
      </w:r>
    </w:p>
    <w:p>
      <w:pPr>
        <w:ind w:left="3220"/>
        <w:spacing w:after="0" w:line="205" w:lineRule="auto"/>
        <w:rPr>
          <w:sz w:val="20"/>
          <w:szCs w:val="20"/>
          <w:color w:val="auto"/>
        </w:rPr>
      </w:pPr>
      <w:r>
        <w:rPr>
          <w:rFonts w:ascii="Arial" w:cs="Arial" w:eastAsia="Arial" w:hAnsi="Arial"/>
          <w:sz w:val="22"/>
          <w:szCs w:val="22"/>
          <w:color w:val="auto"/>
        </w:rPr>
        <w:t>Telephone: (312) 732-2568</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Fax No.: (844) 490-5665</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notice, request or demand to or upon the Administrative Agent, any Issuing Lender or any Lender shall not be effective until received.</w:t>
      </w:r>
    </w:p>
    <w:p>
      <w:pPr>
        <w:spacing w:after="0" w:line="17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notices pursuant to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unless otherwise agreed by the Administrative Agent and the applicable Lender. The Administrative Agent or the Borrower may, in its discretion, agree to accept notices and other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1240"/>
          </w:cols>
          <w:pgMar w:left="320" w:top="1422" w:right="339" w:bottom="1440" w:gutter="0" w:footer="0" w:header="0"/>
        </w:sectPr>
      </w:pPr>
    </w:p>
    <w:bookmarkStart w:id="242" w:name="page243"/>
    <w:bookmarkEnd w:id="242"/>
    <w:p>
      <w:pPr>
        <w:jc w:val="both"/>
        <w:spacing w:after="0" w:line="263" w:lineRule="auto"/>
        <w:rPr>
          <w:sz w:val="20"/>
          <w:szCs w:val="20"/>
          <w:color w:val="auto"/>
        </w:rPr>
      </w:pPr>
      <w:r>
        <w:rPr>
          <w:rFonts w:ascii="Arial" w:cs="Arial" w:eastAsia="Arial" w:hAnsi="Arial"/>
          <w:sz w:val="22"/>
          <w:szCs w:val="22"/>
          <w:color w:val="auto"/>
        </w:rPr>
        <w:t xml:space="preserve">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17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47"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Survival of Representations and Warranties</w:t>
      </w:r>
      <w:r>
        <w:rPr>
          <w:rFonts w:ascii="Arial" w:cs="Arial" w:eastAsia="Arial" w:hAnsi="Arial"/>
          <w:sz w:val="19"/>
          <w:szCs w:val="19"/>
          <w:color w:val="auto"/>
        </w:rPr>
        <w:t>. All representations and warranties made herein,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33"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Payment of Expenses</w:t>
      </w:r>
      <w:r>
        <w:rPr>
          <w:rFonts w:ascii="Arial" w:cs="Arial" w:eastAsia="Arial" w:hAnsi="Arial"/>
          <w:sz w:val="19"/>
          <w:szCs w:val="19"/>
          <w:color w:val="auto"/>
        </w:rPr>
        <w:t>. The Borrower agrees (a) (x) to pay or reimburse the Administrative Agent, the Lead Arrangers, the Bookrunners and the Co-Manager for all their reasonable and documented out-of-pocket costs</w:t>
      </w:r>
      <w:r>
        <w:rPr>
          <w:rFonts w:ascii="Arial" w:cs="Arial" w:eastAsia="Arial" w:hAnsi="Arial"/>
          <w:sz w:val="19"/>
          <w:szCs w:val="19"/>
          <w:u w:val="single" w:color="auto"/>
          <w:color w:val="0000FF"/>
        </w:rPr>
        <w:t>, fees</w:t>
      </w:r>
      <w:r>
        <w:rPr>
          <w:rFonts w:ascii="Arial" w:cs="Arial" w:eastAsia="Arial" w:hAnsi="Arial"/>
          <w:sz w:val="19"/>
          <w:szCs w:val="19"/>
          <w:color w:val="auto"/>
        </w:rPr>
        <w:t xml:space="preserve"> and expenses incurred in connection with the syndication of the Facilities (other than fees payable to syndicate members) and the development, preparation and execution of, and any amendment, supplement or modification to, this Agreement and the other Loan Documents and any other documents prepared in connection herewith or therewith, and the consummation and administration of the transactions contemplated hereby and thereby, including, without limitation, the reasonable and documented fees and disbursements of one firm of counsel to the Administrative Agent, the Lead Arrangers and the Bookrunners, taken as a whole (and, by a single firm of local counsel in each appropriate jurisdiction for the Administrative Agent, the Lead Arrangers, the Bookrunners and the Co-Manager, and, solely if representation by a single counsel would be inappropriate based on the advice of legal counsel due to the existence of an actual conflict of interest, one additional outside counsel to all such Persons subject to such conflict, taken as a whole) and the charges of Intralinks, </w:t>
      </w:r>
      <w:r>
        <w:rPr>
          <w:rFonts w:ascii="Arial" w:cs="Arial" w:eastAsia="Arial" w:hAnsi="Arial"/>
          <w:sz w:val="19"/>
          <w:szCs w:val="19"/>
          <w:color w:val="FF0000"/>
          <w:strike w:val="1"/>
        </w:rPr>
        <w:t>and</w:t>
      </w:r>
      <w:r>
        <w:rPr>
          <w:rFonts w:ascii="Arial" w:cs="Arial" w:eastAsia="Arial" w:hAnsi="Arial"/>
          <w:sz w:val="19"/>
          <w:szCs w:val="19"/>
          <w:color w:val="auto"/>
        </w:rPr>
        <w:t xml:space="preserve"> (y) to pay or reimburse each Lender, the Administrative Agent, each Lead Arranger, each Bookrunner and the Co-Manager</w:t>
      </w:r>
      <w:r>
        <w:rPr>
          <w:rFonts w:ascii="Arial" w:cs="Arial" w:eastAsia="Arial" w:hAnsi="Arial"/>
          <w:sz w:val="19"/>
          <w:szCs w:val="19"/>
          <w:u w:val="single" w:color="auto"/>
          <w:color w:val="0000FF"/>
        </w:rPr>
        <w:t>,</w:t>
      </w:r>
      <w:r>
        <w:rPr>
          <w:rFonts w:ascii="Arial" w:cs="Arial" w:eastAsia="Arial" w:hAnsi="Arial"/>
          <w:sz w:val="19"/>
          <w:szCs w:val="19"/>
          <w:color w:val="auto"/>
        </w:rPr>
        <w:t xml:space="preserve"> for all their reasonable and documented out-of-pocket costs and expenses incurred in connection with the enforcement or preservation of any rights under this Agreement, the other Loan Documents and any other documents prepared in connection herewith or therewith, including, without limitation, the reasonable and documented fees and disbursements of one firm of counsel to the Lenders, the Administrative Agent, the Lead Arrangers, the Bookrunners and the Co-Manager, taken as a whole (and, by a single firm of local counsel to such Persons, taken as a whole, in each appropriate jurisdiction, and, solely if representation by a single counsel would be inappropriate based on the advice of legal counsel due to the existence of an actual conflict of interest, one additional outside counsel to all such Persons subject to such conflict, taken as a whole) and </w:t>
      </w:r>
      <w:r>
        <w:rPr>
          <w:rFonts w:ascii="Arial" w:cs="Arial" w:eastAsia="Arial" w:hAnsi="Arial"/>
          <w:sz w:val="19"/>
          <w:szCs w:val="19"/>
          <w:u w:val="single" w:color="auto"/>
          <w:color w:val="0000FF"/>
        </w:rPr>
        <w:t>(z) to pay in full in cash all reasonable and documented out-of-pocket fees and expenses payable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to Gibson, Dunn &amp; Crutcher LLP, as legal counsel to the ad hoc group of Lenders, in connection with the syndication, negotiation, documentation, execution and delivery of Amendment No. 2, and</w:t>
      </w:r>
      <w:r>
        <w:rPr>
          <w:rFonts w:ascii="Arial" w:cs="Arial" w:eastAsia="Arial" w:hAnsi="Arial"/>
          <w:sz w:val="19"/>
          <w:szCs w:val="19"/>
          <w:color w:val="0000FF"/>
        </w:rPr>
        <w:t xml:space="preserve"> </w:t>
      </w:r>
      <w:r>
        <w:rPr>
          <w:rFonts w:ascii="Arial" w:cs="Arial" w:eastAsia="Arial" w:hAnsi="Arial"/>
          <w:sz w:val="19"/>
          <w:szCs w:val="19"/>
          <w:color w:val="000000"/>
        </w:rPr>
        <w:t>(b) to pay, indemnify or reimburse each Lender,</w:t>
      </w:r>
      <w:r>
        <w:rPr>
          <w:rFonts w:ascii="Arial" w:cs="Arial" w:eastAsia="Arial" w:hAnsi="Arial"/>
          <w:sz w:val="19"/>
          <w:szCs w:val="19"/>
          <w:color w:val="0000FF"/>
        </w:rPr>
        <w:t xml:space="preserve"> </w:t>
      </w:r>
      <w:r>
        <w:rPr>
          <w:rFonts w:ascii="Arial" w:cs="Arial" w:eastAsia="Arial" w:hAnsi="Arial"/>
          <w:sz w:val="19"/>
          <w:szCs w:val="19"/>
          <w:color w:val="000000"/>
        </w:rPr>
        <w:t>the Administrative Agent, their respective affiliates, and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1240"/>
          </w:cols>
          <w:pgMar w:left="320" w:top="1428" w:right="339" w:bottom="1440" w:gutter="0" w:footer="0" w:header="0"/>
        </w:sectPr>
      </w:pPr>
    </w:p>
    <w:bookmarkStart w:id="243" w:name="page244"/>
    <w:bookmarkEnd w:id="243"/>
    <w:p>
      <w:pPr>
        <w:jc w:val="both"/>
        <w:spacing w:after="0" w:line="285" w:lineRule="auto"/>
        <w:rPr>
          <w:sz w:val="20"/>
          <w:szCs w:val="20"/>
          <w:color w:val="auto"/>
        </w:rPr>
      </w:pPr>
      <w:r>
        <w:rPr>
          <w:rFonts w:ascii="Arial" w:cs="Arial" w:eastAsia="Arial" w:hAnsi="Arial"/>
          <w:sz w:val="19"/>
          <w:szCs w:val="19"/>
          <w:color w:val="auto"/>
        </w:rPr>
        <w:t>officers, directors, trustees, employees, advisors, agents and controlling persons (each, an “</w:t>
      </w:r>
      <w:r>
        <w:rPr>
          <w:rFonts w:ascii="Arial" w:cs="Arial" w:eastAsia="Arial" w:hAnsi="Arial"/>
          <w:sz w:val="19"/>
          <w:szCs w:val="19"/>
          <w:u w:val="single" w:color="auto"/>
          <w:color w:val="auto"/>
        </w:rPr>
        <w:t>Indemnitee</w:t>
      </w:r>
      <w:r>
        <w:rPr>
          <w:rFonts w:ascii="Arial" w:cs="Arial" w:eastAsia="Arial" w:hAnsi="Arial"/>
          <w:sz w:val="19"/>
          <w:szCs w:val="19"/>
          <w:color w:val="auto"/>
        </w:rPr>
        <w:t>”) for, and hold each Indemnitee harmless from and against any and all other liabilities, obligations, losses, damages, penalties, actions, judgments, suits, costs, expenses or disbursements of any kind or nature whatsoever incurred by an Indemnitee or asserted against any Indemnitee arising out of, in connection with, or as a result of (i) the execution or delivery of this Agreement, any other Loan Document or any agreement or instrument contemplated hereby or thereby, the performance by the parties hereto or thereto of their respective obligations hereunder or thereunder or the consummation of the transactions contemplated hereby or thereby,</w:t>
      </w:r>
    </w:p>
    <w:p>
      <w:pPr>
        <w:jc w:val="both"/>
        <w:ind w:firstLine="8"/>
        <w:spacing w:after="0" w:line="283" w:lineRule="auto"/>
        <w:tabs>
          <w:tab w:leader="none" w:pos="326"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any Loan or Letter of Credit or the use or proposed use of the proceeds thereof (including any refusal by any Issuing Lender to honor a demand for payment under a Letter of Credit if the documents presented in connection with such demand do not strictly comply with the terms of such Letter of Credit), (iii) any actual or alleged presence or release of, or exposure to, any Materials of Environmental Concern, any failure to comply with Environmental Law or any claim, litigation, investigation or proceeding pursuant to Environmental Law relating to any Materials of Environmental Concern related in any way to the Borrower or any of its Subsidiaries or any or of their respective properties, or (iv) any actual or prospective claim, litigation, investigation or proceeding relating to any of the foregoing, whether based on contract, tort or any other theory, and whether or not such claim, litigation, investigation or proceeding are brought by the Borrower, its equity holders, affiliates, creditors or any other person and regardless of whether any Indemnitee is a party thereto (all the foregoing in this </w:t>
      </w:r>
      <w:r>
        <w:rPr>
          <w:rFonts w:ascii="Arial" w:cs="Arial" w:eastAsia="Arial" w:hAnsi="Arial"/>
          <w:sz w:val="19"/>
          <w:szCs w:val="19"/>
          <w:u w:val="single" w:color="auto"/>
          <w:color w:val="auto"/>
        </w:rPr>
        <w:t>clause (b)</w:t>
      </w:r>
      <w:r>
        <w:rPr>
          <w:rFonts w:ascii="Arial" w:cs="Arial" w:eastAsia="Arial" w:hAnsi="Arial"/>
          <w:sz w:val="19"/>
          <w:szCs w:val="19"/>
          <w:color w:val="auto"/>
        </w:rPr>
        <w:t>, collectively, the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have no obligation hereunder to any Indemnitee with respect to Indemnified Liabilities (i) to the extent such Indemnified Liabilities are found by a final and nonappealable decision of a court of competent jurisdiction to have resulted from the gross negligence, bad faith or willful misconduct of such Indemnitee, (ii) arising from a material breach of such Indemnitee’s obligations hereunder, as finally determined by a court of competent jurisdiction in a final, nonappealable judgment or (iii) arising from any claim, actions, suits, inquiries, litigation, investigation or proceeding that does not involve an act or omission or the Borrower or any of its affiliates and that is brought by an Indemnitee against any other Indemnitee (other than any claim, actions, suits, inquiries, litigation, investigation or proceeding against the Administrative Agent in its capacity as such),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shall not apply with respect to Taxes other than any Taxes expressly referenced in this Section 10.5 or that represent losses or damages arising from non-Tax claim. Each Indemnitee shall be obligated to refund or return any and all amounts paid by any Borrower pursuant to this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to such Indemnitee for any fees, expenses, or damages to the extent such Indemnitee is not entitled to payment of such amounts in accordance with the terms hereof. The Borrower acknowledges that information and documents relating to the Facilities may be transmitted through a Platform, and, notwithstanding anything herein to the contrary, that the Administrative Agent is not responsible for approving or vetting the representatives or contacts of any Lender that are added to any such Platform and that no Indemnitee shall be liable for any damages arising from the unauthorized use by others of information or documents occurring as a result of such information or documents being transmitted in such manner unless resulting from such Indemnitee’s gross negligence, bad faith or willful misconduct, and neither the Borrower nor any Indemnitee shall be liable for any special, indirect, consequential or punitive damages in connection with the Facilities. The Borrower shall have the right to undertake, conduct and control through counsel of its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154</w:t>
      </w:r>
    </w:p>
    <w:p>
      <w:pPr>
        <w:sectPr>
          <w:pgSz w:w="11900" w:h="16838" w:orient="portrait"/>
          <w:cols w:equalWidth="0" w:num="1">
            <w:col w:w="11240"/>
          </w:cols>
          <w:pgMar w:left="320" w:top="1428" w:right="339" w:bottom="1440" w:gutter="0" w:footer="0" w:header="0"/>
        </w:sectPr>
      </w:pPr>
    </w:p>
    <w:bookmarkStart w:id="244" w:name="page245"/>
    <w:bookmarkEnd w:id="244"/>
    <w:p>
      <w:pPr>
        <w:jc w:val="both"/>
        <w:spacing w:after="0" w:line="284" w:lineRule="auto"/>
        <w:rPr>
          <w:sz w:val="20"/>
          <w:szCs w:val="20"/>
          <w:color w:val="auto"/>
        </w:rPr>
      </w:pPr>
      <w:r>
        <w:rPr>
          <w:rFonts w:ascii="Arial" w:cs="Arial" w:eastAsia="Arial" w:hAnsi="Arial"/>
          <w:sz w:val="19"/>
          <w:szCs w:val="19"/>
          <w:color w:val="auto"/>
        </w:rPr>
        <w:t xml:space="preserve">choosing (which counsel shall be acceptable to the applicable Indemnitee acting reasonably), the conduct and settlement of claims with respect to the related Indemnified Liabilities, and such Indemnitee shall cooperate with the Borrower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permit such Indemnitee to participate in such conduct and settlement through counsel chosen by such Indemnitee. Notwithstanding the foregoing, each Indemnitee shall have the right to employ its own counsel if such Indemnitee reasonably determines that (i) the Borrower’s counsel is not defending any claim or proceeding in a manner reasonably acceptable to such Indemnitee or (ii) the interest of the Borrower and such Indemnitee have become adverse in any such claim or cause of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any event, the Borrower shall only be liable for the reasonable and documented out-of-pocket legal expenses of one counsel for all such Indemnitees, taken as a whole. If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the immediately preceding sentence is applicable, at the option of the applicable Indemnitee, its attorneys shall control the resolution of any such claim with respect to the related Indemnified Liabilities. The Borrower shall not, without the prior written consent of each Indemnitee affected thereby, effect the settlement or compromise of, or consent to the entry of any judgment with respect to, any pending or threatened action or claim in respect of which indemnification may be sought hereunder (whether or not such Indemnitee is an actual or potential party to such action or claim) unless such settlement, compromise or judgment (a) includes an unconditional release of such Indemnitee from all liability arising out of such action or claim, (b) does not include a statement as to or an admission of fault, culpability or a failure to act by or on behalf of such Indemnitee and (c) does not require such Indemnitee to pay any form of consideration to any party or parties (including, without limitation, the payment of money) in connection therewith. Without limiting the foregoing, and to the extent permitted by applicable law, the Borrower agrees not to assert and to cause its Subsidiaries not to assert, and hereby waives and agrees to cause its Subsidiaries so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until all Obligations (other than obligations in respect of any Specified Hedge Agreement and other than indemnity obligations that survive the termination of this Agreement and for which no notice of a claim has been received by the Borrower as of such termination) have been paid in full, all Commitments have terminated or expired and no Letter of Credit shall be outstanding. All amounts due under this Section shall be payable not later than 30 days (x) after written demand thereof, in the case of any indemnification obligations and (y) in the case of reimbursement of costs and expenses, after receipt of an invoice relating thereto, setting forth such expenses in reasonable detail and together with backup documentation supporting such reimbursement requests. The agreements in this Section shall survive repayment of the Loans and all other amounts payable hereunder. This paragraph shall not apply with respect to Taxes other than any Taxes that represent losses, claims or damages arising from any non-Tax claim.</w:t>
      </w:r>
    </w:p>
    <w:p>
      <w:pPr>
        <w:spacing w:after="0" w:line="200" w:lineRule="exact"/>
        <w:rPr>
          <w:sz w:val="20"/>
          <w:szCs w:val="20"/>
          <w:color w:val="auto"/>
        </w:rPr>
      </w:pPr>
    </w:p>
    <w:p>
      <w:pPr>
        <w:spacing w:after="0" w:line="215"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u w:val="single" w:color="auto"/>
          <w:color w:val="auto"/>
        </w:rPr>
        <w:t>Successors and Assigns; Participations and AssignmentS</w:t>
      </w:r>
      <w:r>
        <w:rPr>
          <w:rFonts w:ascii="Arial" w:cs="Arial" w:eastAsia="Arial" w:hAnsi="Arial"/>
          <w:sz w:val="21"/>
          <w:szCs w:val="21"/>
          <w:color w:val="auto"/>
        </w:rPr>
        <w:t>. (a) This Agreement shall be binding upon and inure to the benefit of the Borrower, the Lenders, the Administrative Agent, all future holders of the Loans and their respective successors and assigns, except that (i) the Borrower may not assign or transfer any of its rights or obligations under this Agreement without the prior written consent of the Administrative Agent and each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1240"/>
          </w:cols>
          <w:pgMar w:left="320" w:top="1428" w:right="339" w:bottom="1440" w:gutter="0" w:footer="0" w:header="0"/>
        </w:sectPr>
      </w:pPr>
    </w:p>
    <w:bookmarkStart w:id="245" w:name="page246"/>
    <w:bookmarkEnd w:id="245"/>
    <w:p>
      <w:pPr>
        <w:ind w:left="320" w:hanging="312"/>
        <w:spacing w:after="0"/>
        <w:tabs>
          <w:tab w:leader="none" w:pos="32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no Lender may assign or otherwise transfer its rights or obligations hereunder except in accordance with this Agreement.</w:t>
      </w:r>
    </w:p>
    <w:p>
      <w:pPr>
        <w:spacing w:after="0" w:line="254" w:lineRule="exact"/>
        <w:rPr>
          <w:rFonts w:ascii="Arial" w:cs="Arial" w:eastAsia="Arial" w:hAnsi="Arial"/>
          <w:sz w:val="19"/>
          <w:szCs w:val="19"/>
          <w:color w:val="auto"/>
        </w:rPr>
      </w:pPr>
    </w:p>
    <w:p>
      <w:pPr>
        <w:jc w:val="both"/>
        <w:ind w:firstLine="1304"/>
        <w:spacing w:after="0" w:line="283" w:lineRule="auto"/>
        <w:tabs>
          <w:tab w:leader="none" w:pos="1941"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Any Lender may, without the consent of the Borrower, in accordance with applicable law, at any time sell to one or more banks, financial institutions or other entities, in each case other than any Disqualified Institution (but only if the DQ List has been posted pursuant to </w:t>
      </w:r>
      <w:r>
        <w:rPr>
          <w:rFonts w:ascii="Arial" w:cs="Arial" w:eastAsia="Arial" w:hAnsi="Arial"/>
          <w:sz w:val="19"/>
          <w:szCs w:val="19"/>
          <w:u w:val="single" w:color="auto"/>
          <w:color w:val="auto"/>
        </w:rPr>
        <w:t>Section 10.6(i)(iv)(A)</w:t>
      </w:r>
      <w:r>
        <w:rPr>
          <w:rFonts w:ascii="Arial" w:cs="Arial" w:eastAsia="Arial" w:hAnsi="Arial"/>
          <w:sz w:val="19"/>
          <w:szCs w:val="19"/>
          <w:color w:val="auto"/>
        </w:rPr>
        <w:t xml:space="preserve"> hereof or otherwise provided to such Lender), a Defaulting Lender, a natural person or to any entity that such Lender has knowledge is a competitor (or an affiliate of a known competitor) of the Borrower or any Founding Member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participating interests in any Loan owing to such Lender, any Commitment of such Lender or any other interest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for all purposes under this Agreement and the other Loan Documents, and the Borrower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that a Lender may agree with a Participant that it will not consent to any amendment, waiver or consent that would require the consent of all Lenders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without the consent of such Participant. The Borrower agrees that each Participant shall, to the maximum extent permitted by applicable law, be deemed to have the right of setoff provided under </w:t>
      </w:r>
      <w:r>
        <w:rPr>
          <w:rFonts w:ascii="Arial" w:cs="Arial" w:eastAsia="Arial" w:hAnsi="Arial"/>
          <w:sz w:val="19"/>
          <w:szCs w:val="19"/>
          <w:u w:val="single" w:color="auto"/>
          <w:color w:val="auto"/>
        </w:rPr>
        <w:t>Section 10.7(b)</w:t>
      </w:r>
      <w:r>
        <w:rPr>
          <w:rFonts w:ascii="Arial" w:cs="Arial" w:eastAsia="Arial" w:hAnsi="Arial"/>
          <w:sz w:val="19"/>
          <w:szCs w:val="19"/>
          <w:color w:val="auto"/>
        </w:rPr>
        <w:t xml:space="preserve">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purchasing such participating interest, such Participant shall be deemed to have agreed to share with the Lenders the proceeds thereof as provided in </w:t>
      </w:r>
      <w:r>
        <w:rPr>
          <w:rFonts w:ascii="Arial" w:cs="Arial" w:eastAsia="Arial" w:hAnsi="Arial"/>
          <w:sz w:val="19"/>
          <w:szCs w:val="19"/>
          <w:u w:val="single" w:color="auto"/>
          <w:color w:val="auto"/>
        </w:rPr>
        <w:t>Section 10.7(a)</w:t>
      </w:r>
      <w:r>
        <w:rPr>
          <w:rFonts w:ascii="Arial" w:cs="Arial" w:eastAsia="Arial" w:hAnsi="Arial"/>
          <w:sz w:val="19"/>
          <w:szCs w:val="19"/>
          <w:color w:val="auto"/>
        </w:rPr>
        <w:t xml:space="preserve"> as fully as if such Participant were a Lender hereunder. The Borrower also agrees that each Participant shall be entitled to the benefits of, and subject to the requirements of, </w:t>
      </w:r>
      <w:r>
        <w:rPr>
          <w:rFonts w:ascii="Arial" w:cs="Arial" w:eastAsia="Arial" w:hAnsi="Arial"/>
          <w:sz w:val="19"/>
          <w:szCs w:val="19"/>
          <w:u w:val="single" w:color="auto"/>
          <w:color w:val="auto"/>
        </w:rPr>
        <w:t>Sections 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w:t>
      </w:r>
      <w:r>
        <w:rPr>
          <w:rFonts w:ascii="Arial" w:cs="Arial" w:eastAsia="Arial" w:hAnsi="Arial"/>
          <w:sz w:val="19"/>
          <w:szCs w:val="19"/>
          <w:u w:val="single" w:color="auto"/>
          <w:color w:val="auto"/>
        </w:rPr>
        <w:t>2.21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2.23</w:t>
      </w:r>
      <w:r>
        <w:rPr>
          <w:rFonts w:ascii="Arial" w:cs="Arial" w:eastAsia="Arial" w:hAnsi="Arial"/>
          <w:sz w:val="19"/>
          <w:szCs w:val="19"/>
          <w:color w:val="auto"/>
        </w:rPr>
        <w:t xml:space="preserve"> with respect to its participation in the Commitments and the Loans outstanding from time to time as if such Participant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w:t>
      </w:r>
      <w:r>
        <w:rPr>
          <w:rFonts w:ascii="Arial" w:cs="Arial" w:eastAsia="Arial" w:hAnsi="Arial"/>
          <w:sz w:val="19"/>
          <w:szCs w:val="19"/>
          <w:u w:val="single" w:color="auto"/>
          <w:color w:val="auto"/>
        </w:rPr>
        <w:t>Section 2.20</w:t>
      </w:r>
      <w:r>
        <w:rPr>
          <w:rFonts w:ascii="Arial" w:cs="Arial" w:eastAsia="Arial" w:hAnsi="Arial"/>
          <w:sz w:val="19"/>
          <w:szCs w:val="19"/>
          <w:color w:val="auto"/>
        </w:rPr>
        <w:t xml:space="preserve">, such Participant shall have complied with the requirements of said Section,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no Participant shall be entitled to receive any greater amount pursuant to any such Section than the transferor Lender would have been entitled to receive in respect of the amount of the participation transferred by such transferor Lender to such Participant had no such transfer occurred, except to the extent such entitlement to receive a greater payment results from a Change in Law that occurs after the Participant acquired the applicable participation. Each Lender that sells a participation shall, acting solely for this purpose as a non-fiduciary agent of the Borrower, maintain a register on which it enters the name and address of each Participant and the principal amounts of (and stated interest on)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156</w:t>
      </w:r>
    </w:p>
    <w:p>
      <w:pPr>
        <w:sectPr>
          <w:pgSz w:w="11900" w:h="16838" w:orient="portrait"/>
          <w:cols w:equalWidth="0" w:num="1">
            <w:col w:w="11240"/>
          </w:cols>
          <w:pgMar w:left="320" w:top="1428" w:right="339" w:bottom="1440" w:gutter="0" w:footer="0" w:header="0"/>
        </w:sectPr>
      </w:pPr>
    </w:p>
    <w:bookmarkStart w:id="246" w:name="page247"/>
    <w:bookmarkEnd w:id="246"/>
    <w:p>
      <w:pPr>
        <w:jc w:val="both"/>
        <w:spacing w:after="0" w:line="294" w:lineRule="auto"/>
        <w:rPr>
          <w:sz w:val="20"/>
          <w:szCs w:val="20"/>
          <w:color w:val="auto"/>
        </w:rPr>
      </w:pPr>
      <w:r>
        <w:rPr>
          <w:rFonts w:ascii="Arial" w:cs="Arial" w:eastAsia="Arial" w:hAnsi="Arial"/>
          <w:sz w:val="19"/>
          <w:szCs w:val="19"/>
          <w:color w:val="auto"/>
        </w:rPr>
        <w:t>any Person except to the extent that such disclosure is necessary to establish that such commitment, loan, letter of credit or other obligation is in registered form under Section 5f.103-1(c) of the United States Treasury Regulations and Section 1.163-5(b) of the proposed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49" w:lineRule="exact"/>
        <w:rPr>
          <w:sz w:val="20"/>
          <w:szCs w:val="20"/>
          <w:color w:val="auto"/>
        </w:rPr>
      </w:pPr>
    </w:p>
    <w:p>
      <w:pPr>
        <w:jc w:val="both"/>
        <w:ind w:firstLine="1304"/>
        <w:spacing w:after="0" w:line="284" w:lineRule="auto"/>
        <w:tabs>
          <w:tab w:leader="none" w:pos="193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Any Lender (an “</w:t>
      </w:r>
      <w:r>
        <w:rPr>
          <w:rFonts w:ascii="Arial" w:cs="Arial" w:eastAsia="Arial" w:hAnsi="Arial"/>
          <w:sz w:val="19"/>
          <w:szCs w:val="19"/>
          <w:u w:val="single" w:color="auto"/>
          <w:color w:val="auto"/>
        </w:rPr>
        <w:t>Assignor</w:t>
      </w:r>
      <w:r>
        <w:rPr>
          <w:rFonts w:ascii="Arial" w:cs="Arial" w:eastAsia="Arial" w:hAnsi="Arial"/>
          <w:sz w:val="19"/>
          <w:szCs w:val="19"/>
          <w:color w:val="auto"/>
        </w:rPr>
        <w:t>”) may, in accordance with applicable law and upon written notice to the Administrative Agent, at any time and from time to time assign to any Lender or any Affiliate, Related Fund or Control Investment Affiliate thereof, in each case other than to any Disqualified Institution, a Defaulting Lender, a natural person or an entity that such Lender has knowledge is a is a competitor (or an affiliate of a known competitor) of the Borrower or any Founding Member or, with the consent of the Borrower and the Administrative Agent and, in the case of any assignment of Revolving Credit Commitments only, the written consent of the Issuing Lender and the Swing Line Lender (which, in each case, shall not be unreasonably withheld or delayed (it being understood that the Borrower shall have the right to waive its consent rights hereunder by notice to the Administrative Agent)), to an additional bank, financial institution or other entity (an “</w:t>
      </w:r>
      <w:r>
        <w:rPr>
          <w:rFonts w:ascii="Arial" w:cs="Arial" w:eastAsia="Arial" w:hAnsi="Arial"/>
          <w:sz w:val="19"/>
          <w:szCs w:val="19"/>
          <w:u w:val="single" w:color="auto"/>
          <w:color w:val="auto"/>
        </w:rPr>
        <w:t>Assignee</w:t>
      </w:r>
      <w:r>
        <w:rPr>
          <w:rFonts w:ascii="Arial" w:cs="Arial" w:eastAsia="Arial" w:hAnsi="Arial"/>
          <w:sz w:val="19"/>
          <w:szCs w:val="19"/>
          <w:color w:val="auto"/>
        </w:rPr>
        <w:t xml:space="preserve">”) all or any part of its rights and obligations under this Agreement pursuant to an Assignment and Acceptance, substantially in the form of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or any other form (including electronic records generated by the use of an electronic Platform) approved by the Administrative Agent (an “</w:t>
      </w:r>
      <w:r>
        <w:rPr>
          <w:rFonts w:ascii="Arial" w:cs="Arial" w:eastAsia="Arial" w:hAnsi="Arial"/>
          <w:sz w:val="19"/>
          <w:szCs w:val="19"/>
          <w:u w:val="single" w:color="auto"/>
          <w:color w:val="auto"/>
        </w:rPr>
        <w:t>Assignment and Acceptance</w:t>
      </w:r>
      <w:r>
        <w:rPr>
          <w:rFonts w:ascii="Arial" w:cs="Arial" w:eastAsia="Arial" w:hAnsi="Arial"/>
          <w:sz w:val="19"/>
          <w:szCs w:val="19"/>
          <w:color w:val="auto"/>
        </w:rPr>
        <w:t xml:space="preserve">”), executed by such Assignee and such Assignor (and, where the consent of the Borrower, the Administrative Agent or the Issuing Lender or the Swing Line Lender is required pursuant to the foregoing provisions, by the Borrower and such other Persons) and delivered to the Administrative Agent for its acceptance and recording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assignment to an Assignee (other than any Lender or any Affiliate or Related Fund thereof) shall be in an aggregate principal amount of less than $500,000 in the case of the assignment of any Term Loans or $5,000,000 in the case of the assignment of any Revolving Credit Commitments (other than in the case of an assignment of all of a Lender’s interests under this Agreement), unless otherwise agreed by the Borrower and the Administrative Agent. Upon such execution, delivery, acceptance and recording, from and after the effective date determined pursuant to such Assignment and Acceptance, (x) the Assignee thereunder shall be a party hereto and, to the extent provided in such Assignment and Acceptance, have the rights and obligations of a Lender hereunder with Commitments and/or Loans as set forth therein, and (y) the Assignor thereunder shall, to the extent provided in such Assignment and Acceptance, be released from its obligations under this Agreement (and, in the case of an Assignment and Acceptance covering all of an Assignor’s rights and obligations under this Agreement, such Assignor shall cease to be a party hereto, except as to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xml:space="preserve">, </w:t>
      </w:r>
      <w:r>
        <w:rPr>
          <w:rFonts w:ascii="Arial" w:cs="Arial" w:eastAsia="Arial" w:hAnsi="Arial"/>
          <w:sz w:val="19"/>
          <w:szCs w:val="19"/>
          <w:u w:val="single" w:color="auto"/>
          <w:color w:val="auto"/>
        </w:rPr>
        <w:t>2.23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10.5</w:t>
      </w:r>
      <w:r>
        <w:rPr>
          <w:rFonts w:ascii="Arial" w:cs="Arial" w:eastAsia="Arial" w:hAnsi="Arial"/>
          <w:sz w:val="19"/>
          <w:szCs w:val="19"/>
          <w:color w:val="auto"/>
        </w:rPr>
        <w:t xml:space="preserve"> in respect of the period prior to such effective date). Notwithstanding any provision of this Section, (i) the consent of the Borrower shall not be required for any assignment that occurs at any time when any Event of Default pursuant to </w:t>
      </w:r>
      <w:r>
        <w:rPr>
          <w:rFonts w:ascii="Arial" w:cs="Arial" w:eastAsia="Arial" w:hAnsi="Arial"/>
          <w:sz w:val="19"/>
          <w:szCs w:val="19"/>
          <w:u w:val="single" w:color="auto"/>
          <w:color w:val="auto"/>
        </w:rPr>
        <w:t>Section 8(a)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8(f)</w:t>
      </w:r>
      <w:r>
        <w:rPr>
          <w:rFonts w:ascii="Arial" w:cs="Arial" w:eastAsia="Arial" w:hAnsi="Arial"/>
          <w:sz w:val="19"/>
          <w:szCs w:val="19"/>
          <w:color w:val="auto"/>
        </w:rPr>
        <w:t xml:space="preserve"> shall have occurred and be continuing, and (ii) the Borrower shall be deemed to have consented to any such assignment unless it shall object thereto by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ectPr>
          <w:pgSz w:w="11900" w:h="16838" w:orient="portrait"/>
          <w:cols w:equalWidth="0" w:num="1">
            <w:col w:w="11240"/>
          </w:cols>
          <w:pgMar w:left="320" w:top="1428" w:right="339" w:bottom="1440" w:gutter="0" w:footer="0" w:header="0"/>
        </w:sectPr>
      </w:pPr>
    </w:p>
    <w:bookmarkStart w:id="247" w:name="page248"/>
    <w:bookmarkEnd w:id="247"/>
    <w:p>
      <w:pPr>
        <w:jc w:val="both"/>
        <w:spacing w:after="0" w:line="247" w:lineRule="auto"/>
        <w:rPr>
          <w:sz w:val="20"/>
          <w:szCs w:val="20"/>
          <w:color w:val="auto"/>
        </w:rPr>
      </w:pPr>
      <w:r>
        <w:rPr>
          <w:rFonts w:ascii="Arial" w:cs="Arial" w:eastAsia="Arial" w:hAnsi="Arial"/>
          <w:sz w:val="22"/>
          <w:szCs w:val="22"/>
          <w:color w:val="auto"/>
        </w:rPr>
        <w:t xml:space="preserve">notice to the Administrative Agent within 10 Business Days after having received notice thereof. For purposes of the minimum assignment amounts set forth in this paragraph, multiple assignments to or by two or more Related Funds shall be aggregated. Any assignment or transfer by a Lender of rights or obligations under this Agreement that does not comply with this </w:t>
      </w:r>
      <w:r>
        <w:rPr>
          <w:rFonts w:ascii="Arial" w:cs="Arial" w:eastAsia="Arial" w:hAnsi="Arial"/>
          <w:sz w:val="22"/>
          <w:szCs w:val="22"/>
          <w:u w:val="single" w:color="auto"/>
          <w:color w:val="auto"/>
        </w:rPr>
        <w:t>Section 10.6</w:t>
      </w:r>
      <w:r>
        <w:rPr>
          <w:rFonts w:ascii="Arial" w:cs="Arial" w:eastAsia="Arial" w:hAnsi="Arial"/>
          <w:sz w:val="22"/>
          <w:szCs w:val="22"/>
          <w:color w:val="auto"/>
        </w:rPr>
        <w:t xml:space="preserve"> (other than with respect to Disqualified Lenders), whether or not such assignment or transfer is reflected in the Register, shall be treated for purposes of this Agreement as a sale by such Lender of a participation in such rights and obligations in accordance with paragraph (b) of this </w:t>
      </w:r>
      <w:r>
        <w:rPr>
          <w:rFonts w:ascii="Arial" w:cs="Arial" w:eastAsia="Arial" w:hAnsi="Arial"/>
          <w:sz w:val="22"/>
          <w:szCs w:val="22"/>
          <w:u w:val="single" w:color="auto"/>
          <w:color w:val="auto"/>
        </w:rPr>
        <w:t>Section 10.6</w:t>
      </w:r>
      <w:r>
        <w:rPr>
          <w:rFonts w:ascii="Arial" w:cs="Arial" w:eastAsia="Arial" w:hAnsi="Arial"/>
          <w:sz w:val="22"/>
          <w:szCs w:val="22"/>
          <w:color w:val="auto"/>
        </w:rPr>
        <w:t>.</w:t>
      </w:r>
    </w:p>
    <w:p>
      <w:pPr>
        <w:spacing w:after="0" w:line="193" w:lineRule="exact"/>
        <w:rPr>
          <w:sz w:val="20"/>
          <w:szCs w:val="20"/>
          <w:color w:val="auto"/>
        </w:rPr>
      </w:pPr>
    </w:p>
    <w:p>
      <w:pPr>
        <w:jc w:val="both"/>
        <w:ind w:firstLine="1304"/>
        <w:spacing w:after="0" w:line="286" w:lineRule="auto"/>
        <w:tabs>
          <w:tab w:leader="none" w:pos="1941"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The Administrative Agent shall, acting solely for this purpose as an agent on behalf of the Borrower, maintain at its address referred to in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 copy of each Assignment and Acceptance delivered to it and a register (the “</w:t>
      </w:r>
      <w:r>
        <w:rPr>
          <w:rFonts w:ascii="Arial" w:cs="Arial" w:eastAsia="Arial" w:hAnsi="Arial"/>
          <w:sz w:val="19"/>
          <w:szCs w:val="19"/>
          <w:u w:val="single" w:color="auto"/>
          <w:color w:val="auto"/>
        </w:rPr>
        <w:t>Register</w:t>
      </w:r>
      <w:r>
        <w:rPr>
          <w:rFonts w:ascii="Arial" w:cs="Arial" w:eastAsia="Arial" w:hAnsi="Arial"/>
          <w:sz w:val="19"/>
          <w:szCs w:val="19"/>
          <w:color w:val="auto"/>
        </w:rPr>
        <w:t>”) for the recordation of the names and addresses of the Lenders and the Commitment of, and principal amount of the (and stated interest on) Loans owing to, each Lender from time to time. The entries in the Register shall be conclusive, in the absence of manifest error, and the Borrower, the Administrative Agent and the Lenders shall treat each Person whose name is recorded in the Register as the owner of the Loans and any Notes evidencing such Loans recorded therein for all purposes of this Agreement. Any assignment of any Loan, whether or not evidenced by a Note, shall be effective only upon appropriate entries with respect thereto being made in the Register (and each Note shall expressly so provide). Any assignment or transfer of all or part of a Loan evidenced by a Note shall be registered on the Register only upon surrender for registration of assignment or transfer of the Note evidencing such Loan, accompanied by a duly executed Assignment and Acceptance; thereupon, if requested by the designated Assignee, one or more new Notes in the same aggregate principal amount shall be issued to such designated Assignee, and the old Notes shall be returned by the Administrative Agent to the Borrower marked “canceled”. The Register shall be available for inspection by the Borrower or any Lender (with respect to any entry relating to such Lender’s Loans) at any reasonable time and from time to time upon reasonable prior notice.</w:t>
      </w:r>
    </w:p>
    <w:p>
      <w:pPr>
        <w:spacing w:after="0" w:line="161" w:lineRule="exact"/>
        <w:rPr>
          <w:rFonts w:ascii="Arial" w:cs="Arial" w:eastAsia="Arial" w:hAnsi="Arial"/>
          <w:sz w:val="19"/>
          <w:szCs w:val="19"/>
          <w:color w:val="auto"/>
        </w:rPr>
      </w:pPr>
    </w:p>
    <w:p>
      <w:pPr>
        <w:jc w:val="both"/>
        <w:ind w:firstLine="1304"/>
        <w:spacing w:after="0" w:line="285" w:lineRule="auto"/>
        <w:tabs>
          <w:tab w:leader="none" w:pos="1939"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Upon its receipt of an Assignment and Acceptance executed by an Assignor and an Assignee (and, in any case where the consent of any other Person is required by </w:t>
      </w:r>
      <w:r>
        <w:rPr>
          <w:rFonts w:ascii="Arial" w:cs="Arial" w:eastAsia="Arial" w:hAnsi="Arial"/>
          <w:sz w:val="19"/>
          <w:szCs w:val="19"/>
          <w:u w:val="single" w:color="auto"/>
          <w:color w:val="auto"/>
        </w:rPr>
        <w:t>Section 10.6(b)</w:t>
      </w:r>
      <w:r>
        <w:rPr>
          <w:rFonts w:ascii="Arial" w:cs="Arial" w:eastAsia="Arial" w:hAnsi="Arial"/>
          <w:sz w:val="19"/>
          <w:szCs w:val="19"/>
          <w:color w:val="auto"/>
        </w:rPr>
        <w:t>, by each such other Person) together with payment to the Administrative Agent of a registration and processing fee of $3,500 (which registration and processing fee may only be waived or reduced in the sole discretion of the Administrative Agent) (except that no such registration and processing fee shall be payable (y) in connection with an assignment by or to the Administrative Agent or (z) in the case of an Assignee which is an affiliate or Related Fund of a Lender or a Person under common management with a Lender), the Administrative Agent shall</w:t>
      </w:r>
    </w:p>
    <w:p>
      <w:pPr>
        <w:jc w:val="both"/>
        <w:ind w:firstLine="8"/>
        <w:spacing w:after="0" w:line="290" w:lineRule="auto"/>
        <w:tabs>
          <w:tab w:leader="none" w:pos="30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promptly accept such Assignment and Acceptance and (ii) on the effective date determined pursuant thereto record the information contained therein in the Register and give notice of such acceptance and recordation to the Borrower. On or prior to such effective date, the Borrower, at its own expense, upon request and upon receipt by the Borrower of the old Notes (if any) for cancellation, shall execute and deliver to the Administrative Agent (in exchange for the Revolving Credit Note and/or applicable Term Notes, as the case may be, of the assigning Lender) a new Revolving Credit Note and/or applicable Term Notes, as the case may be, to such Assignee in an amount equal to the Revolving Credit Commitment and/or applicable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1240"/>
          </w:cols>
          <w:pgMar w:left="320" w:top="1428" w:right="339" w:bottom="1440" w:gutter="0" w:footer="0" w:header="0"/>
        </w:sectPr>
      </w:pPr>
    </w:p>
    <w:bookmarkStart w:id="248" w:name="page249"/>
    <w:bookmarkEnd w:id="248"/>
    <w:p>
      <w:pPr>
        <w:jc w:val="both"/>
        <w:spacing w:after="0" w:line="263" w:lineRule="auto"/>
        <w:rPr>
          <w:sz w:val="20"/>
          <w:szCs w:val="20"/>
          <w:color w:val="auto"/>
        </w:rPr>
      </w:pPr>
      <w:r>
        <w:rPr>
          <w:rFonts w:ascii="Arial" w:cs="Arial" w:eastAsia="Arial" w:hAnsi="Arial"/>
          <w:sz w:val="21"/>
          <w:szCs w:val="21"/>
          <w:color w:val="auto"/>
        </w:rPr>
        <w:t>Loans, as the case may be, assumed or acquired by it pursuant to such Assignment and Acceptance and, if the Assignor has retained a Revolving Credit Commitment and/or Term Loans, as the case may be, upon request, a new Revolving Credit Note and/or Term Notes, as the case may be, to the Assignor in an amount equal to the Revolving Credit Commitment and/or applicable Term Loans, as the case may be, retained by it hereunder. Such new Note or Notes shall be dated the Closing Date and shall otherwise be in the form of the Note or Notes replaced thereby.</w:t>
      </w:r>
    </w:p>
    <w:p>
      <w:pPr>
        <w:spacing w:after="0" w:line="175" w:lineRule="exact"/>
        <w:rPr>
          <w:sz w:val="20"/>
          <w:szCs w:val="20"/>
          <w:color w:val="auto"/>
        </w:rPr>
      </w:pPr>
    </w:p>
    <w:p>
      <w:pPr>
        <w:jc w:val="both"/>
        <w:ind w:firstLine="1304"/>
        <w:spacing w:after="0" w:line="247" w:lineRule="auto"/>
        <w:tabs>
          <w:tab w:leader="none" w:pos="1941"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xml:space="preserve">For avoidance of doubt, the parties to this Agreement acknowledge that the provisions of this Section concerning assignments of Loans and Notes relate only to absolute assignments and that such provisions do not prohibit assignments creating security interests in Loans and Notes, including, without limitation, any pledge or assignment by a Lender of any Loan or Note to any Federal Reserve Bank in accordance with applicable law;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92" w:lineRule="exact"/>
        <w:rPr>
          <w:rFonts w:ascii="Arial" w:cs="Arial" w:eastAsia="Arial" w:hAnsi="Arial"/>
          <w:sz w:val="22"/>
          <w:szCs w:val="22"/>
          <w:color w:val="auto"/>
        </w:rPr>
      </w:pPr>
    </w:p>
    <w:p>
      <w:pPr>
        <w:jc w:val="both"/>
        <w:ind w:firstLine="1304"/>
        <w:spacing w:after="0" w:line="284" w:lineRule="auto"/>
        <w:tabs>
          <w:tab w:leader="none" w:pos="1944" w:val="left"/>
        </w:tabs>
        <w:numPr>
          <w:ilvl w:val="0"/>
          <w:numId w:val="197"/>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any Lender (a “</w:t>
      </w:r>
      <w:r>
        <w:rPr>
          <w:rFonts w:ascii="Arial" w:cs="Arial" w:eastAsia="Arial" w:hAnsi="Arial"/>
          <w:sz w:val="19"/>
          <w:szCs w:val="19"/>
          <w:u w:val="single" w:color="auto"/>
          <w:color w:val="auto"/>
        </w:rPr>
        <w:t>Granting Lender</w:t>
      </w:r>
      <w:r>
        <w:rPr>
          <w:rFonts w:ascii="Arial" w:cs="Arial" w:eastAsia="Arial" w:hAnsi="Arial"/>
          <w:sz w:val="19"/>
          <w:szCs w:val="19"/>
          <w:color w:val="auto"/>
        </w:rPr>
        <w:t>”) may grant to a special purpose funding vehicle (an “</w:t>
      </w:r>
      <w:r>
        <w:rPr>
          <w:rFonts w:ascii="Arial" w:cs="Arial" w:eastAsia="Arial" w:hAnsi="Arial"/>
          <w:sz w:val="19"/>
          <w:szCs w:val="19"/>
          <w:u w:val="single" w:color="auto"/>
          <w:color w:val="auto"/>
        </w:rPr>
        <w:t>SPC</w:t>
      </w:r>
      <w:r>
        <w:rPr>
          <w:rFonts w:ascii="Arial" w:cs="Arial" w:eastAsia="Arial" w:hAnsi="Arial"/>
          <w:sz w:val="19"/>
          <w:szCs w:val="19"/>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Each party hereto hereby agrees that no SPC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indebtedness 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in this </w:t>
      </w:r>
      <w:r>
        <w:rPr>
          <w:rFonts w:ascii="Arial" w:cs="Arial" w:eastAsia="Arial" w:hAnsi="Arial"/>
          <w:sz w:val="19"/>
          <w:szCs w:val="19"/>
          <w:u w:val="single" w:color="auto"/>
          <w:color w:val="auto"/>
        </w:rPr>
        <w:t>Section 10.6(f)</w:t>
      </w:r>
      <w:r>
        <w:rPr>
          <w:rFonts w:ascii="Arial" w:cs="Arial" w:eastAsia="Arial" w:hAnsi="Arial"/>
          <w:sz w:val="19"/>
          <w:szCs w:val="19"/>
          <w:color w:val="auto"/>
        </w:rPr>
        <w:t xml:space="preserve">, any SPC may (A) with notice to, but without the prior written consent of, the Borrower and the Administrative Agent and without paying any processing fee therefor, assign all or a portion of its interests in any Loans to the Granting Lender, or with the prior written consent of the Borrower and the Administrative Agent (which consent shall not be unreasonably withheld) to any financial institutions providing liquidity and/or credit support to or for the account of such SPC to support the funding or maintenance of Loans, and (B) disclose on a confidential basis any non-public information relating to its Loans to any rating agency, commercial paper dealer or provider of any surety, guarantee or credit or liquidity enhancement to such SPC;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non-public information with respect to the Borrower may be disclosed only with the Borrower’s consent which will not be unreasonably withheld. In addition to the consent requirements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may not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159</w:t>
      </w:r>
    </w:p>
    <w:p>
      <w:pPr>
        <w:sectPr>
          <w:pgSz w:w="11900" w:h="16838" w:orient="portrait"/>
          <w:cols w:equalWidth="0" w:num="1">
            <w:col w:w="11240"/>
          </w:cols>
          <w:pgMar w:left="320" w:top="1428" w:right="33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without the written consent of any SPC with Loans outstanding at the time of such proposed amendment.</w:t>
      </w:r>
    </w:p>
    <w:p>
      <w:pPr>
        <w:spacing w:after="0" w:line="220" w:lineRule="exact"/>
        <w:rPr>
          <w:sz w:val="20"/>
          <w:szCs w:val="20"/>
          <w:color w:val="auto"/>
        </w:rPr>
      </w:pPr>
    </w:p>
    <w:p>
      <w:pPr>
        <w:jc w:val="both"/>
        <w:ind w:firstLine="1304"/>
        <w:spacing w:after="0" w:line="253" w:lineRule="auto"/>
        <w:tabs>
          <w:tab w:leader="none" w:pos="193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xml:space="preserve">Notwithstanding the foregoing or anything to the contrary set forth herein, any Lender may, at any time, without any consent, assign all or a portion of its rights and obligations under this Agreement (including Loans or Commitments) </w:t>
      </w:r>
      <w:r>
        <w:rPr>
          <w:rFonts w:ascii="Arial" w:cs="Arial" w:eastAsia="Arial" w:hAnsi="Arial"/>
          <w:sz w:val="22"/>
          <w:szCs w:val="22"/>
          <w:u w:val="single" w:color="auto"/>
          <w:color w:val="0000FF"/>
        </w:rPr>
        <w:t>for cash</w:t>
      </w:r>
      <w:r>
        <w:rPr>
          <w:rFonts w:ascii="Arial" w:cs="Arial" w:eastAsia="Arial" w:hAnsi="Arial"/>
          <w:sz w:val="22"/>
          <w:szCs w:val="22"/>
          <w:color w:val="0000FF"/>
        </w:rPr>
        <w:t xml:space="preserve"> </w:t>
      </w:r>
      <w:r>
        <w:rPr>
          <w:rFonts w:ascii="Arial" w:cs="Arial" w:eastAsia="Arial" w:hAnsi="Arial"/>
          <w:sz w:val="22"/>
          <w:szCs w:val="22"/>
          <w:color w:val="000000"/>
        </w:rPr>
        <w:t>to the Borrower in accordance with</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Section 2.11(c)</w:t>
      </w:r>
      <w:r>
        <w:rPr>
          <w:rFonts w:ascii="Arial" w:cs="Arial" w:eastAsia="Arial" w:hAnsi="Arial"/>
          <w:sz w:val="22"/>
          <w:szCs w:val="22"/>
          <w:color w:val="0000FF"/>
        </w:rPr>
        <w:t xml:space="preserve"> </w:t>
      </w:r>
      <w:r>
        <w:rPr>
          <w:rFonts w:ascii="Arial" w:cs="Arial" w:eastAsia="Arial" w:hAnsi="Arial"/>
          <w:sz w:val="22"/>
          <w:szCs w:val="22"/>
          <w:color w:val="000000"/>
        </w:rPr>
        <w:t>on a non-pro rata basis.</w:t>
      </w:r>
    </w:p>
    <w:p>
      <w:pPr>
        <w:spacing w:after="0" w:line="185" w:lineRule="exact"/>
        <w:rPr>
          <w:rFonts w:ascii="Arial" w:cs="Arial" w:eastAsia="Arial" w:hAnsi="Arial"/>
          <w:sz w:val="22"/>
          <w:szCs w:val="22"/>
          <w:color w:val="auto"/>
        </w:rPr>
      </w:pPr>
    </w:p>
    <w:p>
      <w:pPr>
        <w:jc w:val="both"/>
        <w:ind w:firstLine="1304"/>
        <w:spacing w:after="0" w:line="288" w:lineRule="auto"/>
        <w:tabs>
          <w:tab w:leader="none" w:pos="1939" w:val="left"/>
        </w:tabs>
        <w:numPr>
          <w:ilvl w:val="0"/>
          <w:numId w:val="198"/>
        </w:numPr>
        <w:rPr>
          <w:rFonts w:ascii="Arial" w:cs="Arial" w:eastAsia="Arial" w:hAnsi="Arial"/>
          <w:sz w:val="19"/>
          <w:szCs w:val="19"/>
          <w:color w:val="auto"/>
        </w:rPr>
      </w:pPr>
      <w:r>
        <w:rPr>
          <w:rFonts w:ascii="Arial" w:cs="Arial" w:eastAsia="Arial" w:hAnsi="Arial"/>
          <w:sz w:val="19"/>
          <w:szCs w:val="19"/>
          <w:color w:val="auto"/>
        </w:rPr>
        <w:t>(i) No assignment or participation shall be made to any Person that was a Disqualified Institution as of the date (the “</w:t>
      </w:r>
      <w:r>
        <w:rPr>
          <w:rFonts w:ascii="Arial" w:cs="Arial" w:eastAsia="Arial" w:hAnsi="Arial"/>
          <w:sz w:val="19"/>
          <w:szCs w:val="19"/>
          <w:u w:val="single" w:color="auto"/>
          <w:color w:val="auto"/>
        </w:rPr>
        <w:t>Trade Date</w:t>
      </w:r>
      <w:r>
        <w:rPr>
          <w:rFonts w:ascii="Arial" w:cs="Arial" w:eastAsia="Arial" w:hAnsi="Arial"/>
          <w:sz w:val="19"/>
          <w:szCs w:val="19"/>
          <w:color w:val="auto"/>
        </w:rPr>
        <w:t>”) on which the assigning Lender entered into a binding agreement to sell and assign all or a portion of its rights and obligations under this Agreement to such Person (unless the Borrower has consented to such assignment in writing in its sole and absolute discretion, in which case such Person will not be considered a Disqualified Institution for the purpose of such assignment or participation). For the avoidance of doubt, with respect to any assignee that becomes a Disqualified Institution after the applicable Trade Date (including as a result of the delivery of a notice pursuant to, and/or the expiration of the notice period referred to in, the definition of “</w:t>
      </w:r>
      <w:r>
        <w:rPr>
          <w:rFonts w:ascii="Arial" w:cs="Arial" w:eastAsia="Arial" w:hAnsi="Arial"/>
          <w:sz w:val="19"/>
          <w:szCs w:val="19"/>
          <w:u w:val="single" w:color="auto"/>
          <w:color w:val="auto"/>
        </w:rPr>
        <w:t>Disqualified Institution</w:t>
      </w:r>
      <w:r>
        <w:rPr>
          <w:rFonts w:ascii="Arial" w:cs="Arial" w:eastAsia="Arial" w:hAnsi="Arial"/>
          <w:sz w:val="19"/>
          <w:szCs w:val="19"/>
          <w:color w:val="auto"/>
        </w:rPr>
        <w:t>”), (x) such assignee shall not retroactively be disqualified from becoming a Lender and (y) the execution by the Borrower of an Assignment and Assumption with respect to such assignee will not by itself result in such assignee no longer being considered a Disqualified Institution. Any assignment in violation of this clause (i)(i) shall not be void, but the other provisions of this clause (i) shall apply.</w:t>
      </w:r>
    </w:p>
    <w:p>
      <w:pPr>
        <w:spacing w:after="0" w:line="159" w:lineRule="exact"/>
        <w:rPr>
          <w:sz w:val="20"/>
          <w:szCs w:val="20"/>
          <w:color w:val="auto"/>
        </w:rPr>
      </w:pPr>
    </w:p>
    <w:p>
      <w:pPr>
        <w:jc w:val="both"/>
        <w:ind w:firstLine="1304"/>
        <w:spacing w:after="0" w:line="288" w:lineRule="auto"/>
        <w:tabs>
          <w:tab w:leader="none" w:pos="1621" w:val="left"/>
        </w:tabs>
        <w:numPr>
          <w:ilvl w:val="1"/>
          <w:numId w:val="199"/>
        </w:numPr>
        <w:rPr>
          <w:rFonts w:ascii="Arial" w:cs="Arial" w:eastAsia="Arial" w:hAnsi="Arial"/>
          <w:sz w:val="19"/>
          <w:szCs w:val="19"/>
          <w:color w:val="auto"/>
        </w:rPr>
      </w:pPr>
      <w:r>
        <w:rPr>
          <w:rFonts w:ascii="Arial" w:cs="Arial" w:eastAsia="Arial" w:hAnsi="Arial"/>
          <w:sz w:val="19"/>
          <w:szCs w:val="19"/>
          <w:color w:val="auto"/>
        </w:rPr>
        <w:t>If any assignment or participation is made to any Disqualified Institution without the Borrower’s prior written consent in violation of clause (i)(i) above, or if any Person becomes a Disqualified Institution after the applicable Trade Date, the Borrower may, at its sole expense and effort, upon notice to the applicable Disqualified Institution and the Administrative Agent,</w:t>
      </w:r>
    </w:p>
    <w:p>
      <w:pPr>
        <w:jc w:val="both"/>
        <w:ind w:firstLine="8"/>
        <w:spacing w:after="0" w:line="281" w:lineRule="auto"/>
        <w:tabs>
          <w:tab w:leader="none" w:pos="39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terminate any Revolving Credit Commitment of such Disqualified Institution and repay all obligations of the Borrower owing to such Disqualified Institution in connection with such Revolving Credit Commitment, (B) in the case of outstanding Term Loans held by Disqualified Institutions, purchase or prepay such Term Loan by paying the lesser of (x) the principal amount thereof and (y) the amount that such Disqualified Institution paid to acquire such Term Loans of such Term Loans, in each case plus accrued interest, accrued fees and all other amounts (other than principal amounts) payable to it hereunder and/or</w:t>
      </w:r>
    </w:p>
    <w:p>
      <w:pPr>
        <w:spacing w:after="0" w:line="3" w:lineRule="exact"/>
        <w:rPr>
          <w:rFonts w:ascii="Arial" w:cs="Arial" w:eastAsia="Arial" w:hAnsi="Arial"/>
          <w:sz w:val="19"/>
          <w:szCs w:val="19"/>
          <w:color w:val="auto"/>
        </w:rPr>
      </w:pPr>
    </w:p>
    <w:p>
      <w:pPr>
        <w:jc w:val="both"/>
        <w:ind w:firstLine="8"/>
        <w:spacing w:after="0" w:line="244" w:lineRule="auto"/>
        <w:tabs>
          <w:tab w:leader="none" w:pos="35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require such Disqualified Institution to assign, without recourse (in accordance with and subject to the restrictions contained in this Section 10.6, all of its interest, rights and obligations under this Agreement to one or more Assignees at the lesser of (x) the principal amount thereof and (y) the amount that such Disqualified Institution paid to acquire such interests, rights and obligations of such Term Loans, in each case plus accrued interest, accrued fees and all other amounts (other than principal amounts) payable to it hereunder.</w:t>
      </w:r>
    </w:p>
    <w:p>
      <w:pPr>
        <w:spacing w:after="0" w:line="194" w:lineRule="exact"/>
        <w:rPr>
          <w:rFonts w:ascii="Arial" w:cs="Arial" w:eastAsia="Arial" w:hAnsi="Arial"/>
          <w:sz w:val="22"/>
          <w:szCs w:val="22"/>
          <w:color w:val="auto"/>
        </w:rPr>
      </w:pPr>
    </w:p>
    <w:p>
      <w:pPr>
        <w:ind w:left="1860" w:hanging="556"/>
        <w:spacing w:after="0"/>
        <w:tabs>
          <w:tab w:leader="none" w:pos="1860" w:val="left"/>
        </w:tabs>
        <w:numPr>
          <w:ilvl w:val="1"/>
          <w:numId w:val="201"/>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Disqualified Institutions (A) will not</w:t>
      </w:r>
    </w:p>
    <w:p>
      <w:pPr>
        <w:spacing w:after="0" w:line="55" w:lineRule="exact"/>
        <w:rPr>
          <w:rFonts w:ascii="Arial" w:cs="Arial" w:eastAsia="Arial" w:hAnsi="Arial"/>
          <w:sz w:val="19"/>
          <w:szCs w:val="19"/>
          <w:color w:val="auto"/>
        </w:rPr>
      </w:pPr>
    </w:p>
    <w:p>
      <w:pPr>
        <w:jc w:val="both"/>
        <w:spacing w:after="0" w:line="262" w:lineRule="auto"/>
        <w:rPr>
          <w:rFonts w:ascii="Arial" w:cs="Arial" w:eastAsia="Arial" w:hAnsi="Arial"/>
          <w:sz w:val="19"/>
          <w:szCs w:val="19"/>
          <w:color w:val="auto"/>
        </w:rPr>
      </w:pPr>
      <w:r>
        <w:rPr>
          <w:rFonts w:ascii="Arial" w:cs="Arial" w:eastAsia="Arial" w:hAnsi="Arial"/>
          <w:sz w:val="21"/>
          <w:szCs w:val="21"/>
          <w:color w:val="auto"/>
        </w:rPr>
        <w:t>(x)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ectPr>
          <w:pgSz w:w="11900" w:h="16838" w:orient="portrait"/>
          <w:cols w:equalWidth="0" w:num="1">
            <w:col w:w="11240"/>
          </w:cols>
          <w:pgMar w:left="320" w:top="1428" w:right="339" w:bottom="1440" w:gutter="0" w:footer="0" w:header="0"/>
        </w:sectPr>
      </w:pPr>
    </w:p>
    <w:bookmarkStart w:id="250" w:name="page251"/>
    <w:bookmarkEnd w:id="250"/>
    <w:p>
      <w:pPr>
        <w:jc w:val="both"/>
        <w:spacing w:after="0" w:line="287" w:lineRule="auto"/>
        <w:rPr>
          <w:sz w:val="20"/>
          <w:szCs w:val="20"/>
          <w:color w:val="auto"/>
        </w:rPr>
      </w:pPr>
      <w:r>
        <w:rPr>
          <w:rFonts w:ascii="Arial" w:cs="Arial" w:eastAsia="Arial" w:hAnsi="Arial"/>
          <w:sz w:val="19"/>
          <w:szCs w:val="19"/>
          <w:color w:val="auto"/>
        </w:rPr>
        <w:t>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each Disqualified Institution party hereto hereby agrees (1) not to vote on such Plan, (2) if such Disqualified Institution does vote on such Plan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spacing w:after="0" w:line="163" w:lineRule="exact"/>
        <w:rPr>
          <w:sz w:val="20"/>
          <w:szCs w:val="20"/>
          <w:color w:val="auto"/>
        </w:rPr>
      </w:pPr>
    </w:p>
    <w:p>
      <w:pPr>
        <w:ind w:left="1840" w:hanging="536"/>
        <w:spacing w:after="0"/>
        <w:tabs>
          <w:tab w:leader="none" w:pos="1840" w:val="left"/>
        </w:tabs>
        <w:numPr>
          <w:ilvl w:val="1"/>
          <w:numId w:val="202"/>
        </w:numPr>
        <w:rPr>
          <w:rFonts w:ascii="Arial" w:cs="Arial" w:eastAsia="Arial" w:hAnsi="Arial"/>
          <w:sz w:val="19"/>
          <w:szCs w:val="19"/>
          <w:color w:val="auto"/>
        </w:rPr>
      </w:pPr>
      <w:r>
        <w:rPr>
          <w:rFonts w:ascii="Arial" w:cs="Arial" w:eastAsia="Arial" w:hAnsi="Arial"/>
          <w:sz w:val="19"/>
          <w:szCs w:val="19"/>
          <w:color w:val="auto"/>
        </w:rPr>
        <w:t>The Administrative Agent shall, and the Borrower hereby expressly authorizes the Administrative Agent, to</w:t>
      </w:r>
    </w:p>
    <w:p>
      <w:pPr>
        <w:spacing w:after="0" w:line="55" w:lineRule="exact"/>
        <w:rPr>
          <w:rFonts w:ascii="Arial" w:cs="Arial" w:eastAsia="Arial" w:hAnsi="Arial"/>
          <w:sz w:val="19"/>
          <w:szCs w:val="19"/>
          <w:color w:val="auto"/>
        </w:rPr>
      </w:pPr>
    </w:p>
    <w:p>
      <w:pPr>
        <w:jc w:val="both"/>
        <w:ind w:firstLine="8"/>
        <w:spacing w:after="0" w:line="292" w:lineRule="auto"/>
        <w:tabs>
          <w:tab w:leader="none" w:pos="35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post the list of Disqualified Institutions provided by the Borrower and any updates thereto from time to time (collectively, the “</w:t>
      </w:r>
      <w:r>
        <w:rPr>
          <w:rFonts w:ascii="Arial" w:cs="Arial" w:eastAsia="Arial" w:hAnsi="Arial"/>
          <w:sz w:val="19"/>
          <w:szCs w:val="19"/>
          <w:u w:val="single" w:color="auto"/>
          <w:color w:val="auto"/>
        </w:rPr>
        <w:t>DQ List</w:t>
      </w:r>
      <w:r>
        <w:rPr>
          <w:rFonts w:ascii="Arial" w:cs="Arial" w:eastAsia="Arial" w:hAnsi="Arial"/>
          <w:sz w:val="19"/>
          <w:szCs w:val="19"/>
          <w:color w:val="auto"/>
        </w:rPr>
        <w:t xml:space="preserve">”) on the Platform, including that portion of the Platform that is designated for “public side” Lenders and/or (B) provide the DQ List to each Lender requesting the same;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or potential Lender agrees to maintain the confidentiality of the DQ List (which agreement may be by way of a “click through” or other affirmative action on the part of the recipient to access the DQ List and acknowledge its confidentiality obligations in respect thereof).</w:t>
      </w:r>
    </w:p>
    <w:p>
      <w:pPr>
        <w:spacing w:after="0" w:line="151"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10.7 </w:t>
      </w:r>
      <w:r>
        <w:rPr>
          <w:rFonts w:ascii="Arial" w:cs="Arial" w:eastAsia="Arial" w:hAnsi="Arial"/>
          <w:sz w:val="21"/>
          <w:szCs w:val="21"/>
          <w:u w:val="single" w:color="auto"/>
          <w:color w:val="auto"/>
        </w:rPr>
        <w:t>Adjustments; Set-off</w:t>
      </w:r>
      <w:r>
        <w:rPr>
          <w:rFonts w:ascii="Arial" w:cs="Arial" w:eastAsia="Arial" w:hAnsi="Arial"/>
          <w:sz w:val="21"/>
          <w:szCs w:val="21"/>
          <w:color w:val="auto"/>
        </w:rPr>
        <w:t>. (a) Except to the extent that this Agreement provides for payments to be allocated to a particular Lender or to the Lenders under a particular Facility, if any Lender (a “</w:t>
      </w:r>
      <w:r>
        <w:rPr>
          <w:rFonts w:ascii="Arial" w:cs="Arial" w:eastAsia="Arial" w:hAnsi="Arial"/>
          <w:sz w:val="21"/>
          <w:szCs w:val="21"/>
          <w:u w:val="single" w:color="auto"/>
          <w:color w:val="auto"/>
        </w:rPr>
        <w:t>Benefitted Lender</w:t>
      </w:r>
      <w:r>
        <w:rPr>
          <w:rFonts w:ascii="Arial" w:cs="Arial" w:eastAsia="Arial" w:hAnsi="Arial"/>
          <w:sz w:val="21"/>
          <w:szCs w:val="21"/>
          <w:color w:val="auto"/>
        </w:rPr>
        <w:t xml:space="preserve">”) shall at any time receive any payment of all or part of the Obligations owing to it, or receive any collateral in respect thereof (whether voluntarily or involuntarily, by set-off, pursuant to events or proceedings of the nature referred to in </w:t>
      </w:r>
      <w:r>
        <w:rPr>
          <w:rFonts w:ascii="Arial" w:cs="Arial" w:eastAsia="Arial" w:hAnsi="Arial"/>
          <w:sz w:val="21"/>
          <w:szCs w:val="21"/>
          <w:u w:val="single" w:color="auto"/>
          <w:color w:val="auto"/>
        </w:rPr>
        <w:t>Section 8(f)</w:t>
      </w:r>
      <w:r>
        <w:rPr>
          <w:rFonts w:ascii="Arial" w:cs="Arial" w:eastAsia="Arial" w:hAnsi="Arial"/>
          <w:sz w:val="21"/>
          <w:szCs w:val="21"/>
          <w:color w:val="auto"/>
        </w:rPr>
        <w:t xml:space="preserve">, or otherwise), in a greater proportion than any such payment to or collateral received by any other Lender, if any, in respect of such other Lender’s Obligations, such Benefitted Lender shall purchase for cash from the other Lenders a participating interest in such portion of each such other Lender’s Obligations, or shall provide such other Lenders with the benefits of any such collateral, as shall be necessary to cause such Benefitted Lender to share the excess payment or benefits of such collateral ratably with each of the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82" w:lineRule="exact"/>
        <w:rPr>
          <w:sz w:val="20"/>
          <w:szCs w:val="20"/>
          <w:color w:val="auto"/>
        </w:rPr>
      </w:pPr>
    </w:p>
    <w:p>
      <w:pPr>
        <w:jc w:val="both"/>
        <w:ind w:firstLine="1304"/>
        <w:spacing w:after="0" w:line="302" w:lineRule="auto"/>
        <w:tabs>
          <w:tab w:leader="none" w:pos="1939" w:val="left"/>
        </w:tabs>
        <w:numPr>
          <w:ilvl w:val="0"/>
          <w:numId w:val="204"/>
        </w:numPr>
        <w:rPr>
          <w:rFonts w:ascii="Arial" w:cs="Arial" w:eastAsia="Arial" w:hAnsi="Arial"/>
          <w:sz w:val="19"/>
          <w:szCs w:val="19"/>
          <w:u w:val="single" w:color="auto"/>
          <w:color w:val="0000FF"/>
        </w:rPr>
      </w:pPr>
      <w:r>
        <w:rPr>
          <w:rFonts w:ascii="Arial" w:cs="Arial" w:eastAsia="Arial" w:hAnsi="Arial"/>
          <w:sz w:val="19"/>
          <w:szCs w:val="19"/>
          <w:color w:val="FF0000"/>
          <w:strike w:val="1"/>
        </w:rPr>
        <w:t>(a)</w:t>
      </w:r>
      <w:r>
        <w:rPr>
          <w:rFonts w:ascii="Arial" w:cs="Arial" w:eastAsia="Arial" w:hAnsi="Arial"/>
          <w:sz w:val="19"/>
          <w:szCs w:val="19"/>
          <w:color w:val="FF0000"/>
        </w:rPr>
        <w:t xml:space="preserve"> </w:t>
      </w:r>
      <w:r>
        <w:rPr>
          <w:rFonts w:ascii="Arial" w:cs="Arial" w:eastAsia="Arial" w:hAnsi="Arial"/>
          <w:sz w:val="19"/>
          <w:szCs w:val="19"/>
          <w:color w:val="000000"/>
        </w:rPr>
        <w:t>In addition to any rights and remedies of the Lenders provided by law, each Lender shall have the right,</w:t>
      </w:r>
      <w:r>
        <w:rPr>
          <w:rFonts w:ascii="Arial" w:cs="Arial" w:eastAsia="Arial" w:hAnsi="Arial"/>
          <w:sz w:val="19"/>
          <w:szCs w:val="19"/>
          <w:color w:val="FF0000"/>
        </w:rPr>
        <w:t xml:space="preserve"> </w:t>
      </w:r>
      <w:r>
        <w:rPr>
          <w:rFonts w:ascii="Arial" w:cs="Arial" w:eastAsia="Arial" w:hAnsi="Arial"/>
          <w:sz w:val="19"/>
          <w:szCs w:val="19"/>
          <w:color w:val="000000"/>
        </w:rPr>
        <w:t>without prior notice to the Borrower, any such notice being expressly waived by the Borrower to the extent permitted by applicable law, upon the occurrence and during the continuance of any Event of Default, to set off and appropriate and apply against any amount becoming due and payable by the Borrower hereunder or under any other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161</w:t>
      </w:r>
    </w:p>
    <w:p>
      <w:pPr>
        <w:sectPr>
          <w:pgSz w:w="11900" w:h="16838" w:orient="portrait"/>
          <w:cols w:equalWidth="0" w:num="1">
            <w:col w:w="11240"/>
          </w:cols>
          <w:pgMar w:left="320" w:top="1428" w:right="339" w:bottom="1440" w:gutter="0" w:footer="0" w:header="0"/>
        </w:sectPr>
      </w:pPr>
    </w:p>
    <w:bookmarkStart w:id="251" w:name="page252"/>
    <w:bookmarkEnd w:id="251"/>
    <w:p>
      <w:pPr>
        <w:jc w:val="both"/>
        <w:spacing w:after="0" w:line="261" w:lineRule="auto"/>
        <w:rPr>
          <w:sz w:val="20"/>
          <w:szCs w:val="20"/>
          <w:color w:val="auto"/>
        </w:rPr>
      </w:pPr>
      <w:r>
        <w:rPr>
          <w:rFonts w:ascii="Arial" w:cs="Arial" w:eastAsia="Arial" w:hAnsi="Arial"/>
          <w:sz w:val="21"/>
          <w:szCs w:val="21"/>
          <w:color w:val="auto"/>
        </w:rPr>
        <w:t xml:space="preserve">Document (whether at stated maturity, by acceleration or otherwise)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Administrative Agent after any such setoff and application made by such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validity of such setoff and application.</w:t>
      </w:r>
    </w:p>
    <w:p>
      <w:pPr>
        <w:spacing w:after="0" w:line="17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or of a Lender Addendum by facsimile transmission shall be effective as delivery of a manually executed counterpart hereof. A set of the copies of this Agreement signed by all the parties shall be lodged with the Borrower and the Administrative Agent.</w:t>
      </w:r>
    </w:p>
    <w:p>
      <w:pPr>
        <w:spacing w:after="0" w:line="19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and the other Loan Documents represent the entire agreement of the Borrower, the Administrative Agent, the Lead Arrangers, the Bookrunners and the Co-Managers with respect to the subject matter hereof and thereof, and there are no promises, undertakings, representations or warranties by any Lead Arranger, any Bookrunner, the Co-Manager, the Administrative Agent or any Lender relative to subject matter hereof not expressly set forth or referred to herein or in the other Loan Documents.</w:t>
      </w:r>
    </w:p>
    <w:p>
      <w:pPr>
        <w:spacing w:after="0" w:line="18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AND THE RIGHTS AND OBLIGATIONS OF THE PARTIES UNDER THIS AGREEMENT SHALL BE GOVERNED BY, AND CONSTRUED AND INTERPRETED IN ACCORDANCE WITH, THE LAW OF THE STATE OF NEW YORK.</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Submission To Jurisdiction; Waivers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48" w:lineRule="auto"/>
        <w:tabs>
          <w:tab w:leader="none" w:pos="1941" w:val="left"/>
        </w:tabs>
        <w:numPr>
          <w:ilvl w:val="0"/>
          <w:numId w:val="205"/>
        </w:numPr>
        <w:rPr>
          <w:rFonts w:ascii="Arial" w:cs="Arial" w:eastAsia="Arial" w:hAnsi="Arial"/>
          <w:sz w:val="22"/>
          <w:szCs w:val="22"/>
          <w:color w:val="auto"/>
        </w:rPr>
      </w:pPr>
      <w:r>
        <w:rPr>
          <w:rFonts w:ascii="Arial" w:cs="Arial" w:eastAsia="Arial" w:hAnsi="Arial"/>
          <w:sz w:val="22"/>
          <w:szCs w:val="22"/>
          <w:color w:val="auto"/>
        </w:rPr>
        <w:t>Each of the Lenders and the Administrative Agent hereby irrevocably and unconditionally agrees that, notwithstanding the governing law provisions of any applicable Loan Document, any claims brought against the Administrative Agent by any Lender or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91" w:lineRule="exact"/>
        <w:rPr>
          <w:rFonts w:ascii="Arial" w:cs="Arial" w:eastAsia="Arial" w:hAnsi="Arial"/>
          <w:sz w:val="22"/>
          <w:szCs w:val="22"/>
          <w:color w:val="auto"/>
        </w:rPr>
      </w:pPr>
    </w:p>
    <w:p>
      <w:pPr>
        <w:ind w:firstLine="1304"/>
        <w:spacing w:after="0" w:line="263" w:lineRule="auto"/>
        <w:tabs>
          <w:tab w:leader="none" w:pos="1939" w:val="left"/>
        </w:tabs>
        <w:numPr>
          <w:ilvl w:val="0"/>
          <w:numId w:val="205"/>
        </w:numPr>
        <w:rPr>
          <w:rFonts w:ascii="Arial" w:cs="Arial" w:eastAsia="Arial" w:hAnsi="Arial"/>
          <w:sz w:val="22"/>
          <w:szCs w:val="22"/>
          <w:color w:val="auto"/>
        </w:rPr>
      </w:pPr>
      <w:r>
        <w:rPr>
          <w:rFonts w:ascii="Arial" w:cs="Arial" w:eastAsia="Arial" w:hAnsi="Arial"/>
          <w:sz w:val="22"/>
          <w:szCs w:val="22"/>
          <w:color w:val="auto"/>
        </w:rPr>
        <w:t>Each of the parties hereto hereby irrevocably and unconditionally submits, for itself and its property, to the exclusive jurisdiction of the United States District Court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162</w:t>
      </w:r>
    </w:p>
    <w:p>
      <w:pPr>
        <w:sectPr>
          <w:pgSz w:w="11900" w:h="16838" w:orient="portrait"/>
          <w:cols w:equalWidth="0" w:num="1">
            <w:col w:w="11240"/>
          </w:cols>
          <w:pgMar w:left="320" w:top="1428" w:right="339" w:bottom="1440" w:gutter="0" w:footer="0" w:header="0"/>
        </w:sectPr>
      </w:pPr>
    </w:p>
    <w:bookmarkStart w:id="252" w:name="page253"/>
    <w:bookmarkEnd w:id="252"/>
    <w:p>
      <w:pPr>
        <w:jc w:val="both"/>
        <w:spacing w:after="0" w:line="257" w:lineRule="auto"/>
        <w:rPr>
          <w:sz w:val="20"/>
          <w:szCs w:val="20"/>
          <w:color w:val="auto"/>
        </w:rPr>
      </w:pPr>
      <w:r>
        <w:rPr>
          <w:rFonts w:ascii="Arial" w:cs="Arial" w:eastAsia="Arial" w:hAnsi="Arial"/>
          <w:sz w:val="21"/>
          <w:szCs w:val="21"/>
          <w:color w:val="auto"/>
        </w:rPr>
        <w:t>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Affiliates or their respective directors, officers, employees, agents and advisors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Issuing Lender or any Lender may otherwise have to bring any action or proceeding relating to this Agreement against the Borrower, any Loan Party or its properties in the courts of any jurisdiction.</w:t>
      </w:r>
    </w:p>
    <w:p>
      <w:pPr>
        <w:spacing w:after="0" w:line="191" w:lineRule="exact"/>
        <w:rPr>
          <w:sz w:val="20"/>
          <w:szCs w:val="20"/>
          <w:color w:val="auto"/>
        </w:rPr>
      </w:pPr>
    </w:p>
    <w:p>
      <w:pPr>
        <w:jc w:val="both"/>
        <w:ind w:firstLine="1304"/>
        <w:spacing w:after="0" w:line="263" w:lineRule="auto"/>
        <w:tabs>
          <w:tab w:leader="none" w:pos="1941" w:val="left"/>
        </w:tabs>
        <w:numPr>
          <w:ilvl w:val="0"/>
          <w:numId w:val="206"/>
        </w:numPr>
        <w:rPr>
          <w:rFonts w:ascii="Arial" w:cs="Arial" w:eastAsia="Arial" w:hAnsi="Arial"/>
          <w:sz w:val="21"/>
          <w:szCs w:val="21"/>
          <w:color w:val="auto"/>
        </w:rPr>
      </w:pPr>
      <w:r>
        <w:rPr>
          <w:rFonts w:ascii="Arial" w:cs="Arial" w:eastAsia="Arial" w:hAnsi="Arial"/>
          <w:sz w:val="21"/>
          <w:szCs w:val="21"/>
          <w:color w:val="auto"/>
        </w:rPr>
        <w:t xml:space="preserve">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w:t>
      </w:r>
      <w:r>
        <w:rPr>
          <w:rFonts w:ascii="Arial" w:cs="Arial" w:eastAsia="Arial" w:hAnsi="Arial"/>
          <w:sz w:val="21"/>
          <w:szCs w:val="21"/>
          <w:u w:val="single" w:color="auto"/>
          <w:color w:val="auto"/>
        </w:rPr>
        <w:t>Section 10.12</w:t>
      </w:r>
      <w:r>
        <w:rPr>
          <w:rFonts w:ascii="Arial" w:cs="Arial" w:eastAsia="Arial" w:hAnsi="Arial"/>
          <w:sz w:val="21"/>
          <w:szCs w:val="21"/>
          <w:color w:val="auto"/>
        </w:rPr>
        <w:t>. Each of the parties hereto hereby irrevocably waives, to the fullest extent permitted by law, the defense of an inconvenient forum to the maintenance of such action or proceeding in any such court.</w:t>
      </w:r>
    </w:p>
    <w:p>
      <w:pPr>
        <w:spacing w:after="0" w:line="175" w:lineRule="exact"/>
        <w:rPr>
          <w:rFonts w:ascii="Arial" w:cs="Arial" w:eastAsia="Arial" w:hAnsi="Arial"/>
          <w:sz w:val="21"/>
          <w:szCs w:val="21"/>
          <w:color w:val="auto"/>
        </w:rPr>
      </w:pPr>
    </w:p>
    <w:p>
      <w:pPr>
        <w:ind w:right="60" w:firstLine="1304"/>
        <w:spacing w:after="0" w:line="253" w:lineRule="auto"/>
        <w:tabs>
          <w:tab w:leader="none" w:pos="1939" w:val="left"/>
        </w:tabs>
        <w:numPr>
          <w:ilvl w:val="0"/>
          <w:numId w:val="206"/>
        </w:numPr>
        <w:rPr>
          <w:rFonts w:ascii="Arial" w:cs="Arial" w:eastAsia="Arial" w:hAnsi="Arial"/>
          <w:sz w:val="22"/>
          <w:szCs w:val="22"/>
          <w:color w:val="auto"/>
        </w:rPr>
      </w:pPr>
      <w:r>
        <w:rPr>
          <w:rFonts w:ascii="Arial" w:cs="Arial" w:eastAsia="Arial" w:hAnsi="Arial"/>
          <w:sz w:val="22"/>
          <w:szCs w:val="22"/>
          <w:color w:val="auto"/>
        </w:rPr>
        <w:t xml:space="preserve">Each party to this Agreement irrevocably consents to service of process in the manner provided for notices in </w:t>
      </w:r>
      <w:r>
        <w:rPr>
          <w:rFonts w:ascii="Arial" w:cs="Arial" w:eastAsia="Arial" w:hAnsi="Arial"/>
          <w:sz w:val="22"/>
          <w:szCs w:val="22"/>
          <w:u w:val="single" w:color="auto"/>
          <w:color w:val="auto"/>
        </w:rPr>
        <w:t>Section 10.2</w:t>
      </w:r>
      <w:r>
        <w:rPr>
          <w:rFonts w:ascii="Arial" w:cs="Arial" w:eastAsia="Arial" w:hAnsi="Arial"/>
          <w:sz w:val="22"/>
          <w:szCs w:val="22"/>
          <w:color w:val="auto"/>
        </w:rPr>
        <w:t>. Nothing in this Agreement will affect the right of any party to this Agreement to serve process in any other manner permitted by law.</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41" w:val="left"/>
        </w:tabs>
        <w:numPr>
          <w:ilvl w:val="0"/>
          <w:numId w:val="206"/>
        </w:numPr>
        <w:rPr>
          <w:rFonts w:ascii="Arial" w:cs="Arial" w:eastAsia="Arial" w:hAnsi="Arial"/>
          <w:sz w:val="22"/>
          <w:szCs w:val="22"/>
          <w:color w:val="auto"/>
        </w:rPr>
      </w:pPr>
      <w:r>
        <w:rPr>
          <w:rFonts w:ascii="Arial" w:cs="Arial" w:eastAsia="Arial" w:hAnsi="Arial"/>
          <w:sz w:val="22"/>
          <w:szCs w:val="22"/>
          <w:color w:val="auto"/>
        </w:rPr>
        <w:t>The Borrower hereby irrevocably and unconditionally together with each Lender, the Administrative Agent, each Lead Arranger, each Bookrunner and the Co-Manager waives, to the maximum extent not prohibited by law, any right it may have to claim or recover in any legal action or proceeding referred to in this Section any special, exemplary, punitive or consequential damages.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Acknowledgments</w:t>
      </w:r>
      <w:r>
        <w:rPr>
          <w:rFonts w:ascii="Arial" w:cs="Arial" w:eastAsia="Arial" w:hAnsi="Arial"/>
          <w:sz w:val="22"/>
          <w:szCs w:val="22"/>
          <w:color w:val="auto"/>
        </w:rPr>
        <w:t>. The Borrower hereby acknowledges that:</w:t>
      </w:r>
    </w:p>
    <w:p>
      <w:pPr>
        <w:spacing w:after="0" w:line="220" w:lineRule="exact"/>
        <w:rPr>
          <w:sz w:val="20"/>
          <w:szCs w:val="20"/>
          <w:color w:val="auto"/>
        </w:rPr>
      </w:pPr>
    </w:p>
    <w:p>
      <w:pPr>
        <w:ind w:left="1940" w:hanging="636"/>
        <w:spacing w:after="0"/>
        <w:tabs>
          <w:tab w:leader="none" w:pos="1940" w:val="left"/>
        </w:tabs>
        <w:numPr>
          <w:ilvl w:val="0"/>
          <w:numId w:val="207"/>
        </w:numPr>
        <w:rPr>
          <w:rFonts w:ascii="Arial" w:cs="Arial" w:eastAsia="Arial" w:hAnsi="Arial"/>
          <w:sz w:val="19"/>
          <w:szCs w:val="19"/>
          <w:color w:val="auto"/>
        </w:rPr>
      </w:pPr>
      <w:r>
        <w:rPr>
          <w:rFonts w:ascii="Arial" w:cs="Arial" w:eastAsia="Arial" w:hAnsi="Arial"/>
          <w:sz w:val="19"/>
          <w:szCs w:val="19"/>
          <w:color w:val="auto"/>
        </w:rPr>
        <w:t>it has been advised by counsel in the negotiation, execution and delivery of this Agreement and the other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Loan Documents;</w:t>
      </w:r>
    </w:p>
    <w:p>
      <w:pPr>
        <w:spacing w:after="0" w:line="201" w:lineRule="exact"/>
        <w:rPr>
          <w:rFonts w:ascii="Arial" w:cs="Arial" w:eastAsia="Arial" w:hAnsi="Arial"/>
          <w:sz w:val="19"/>
          <w:szCs w:val="19"/>
          <w:color w:val="auto"/>
        </w:rPr>
      </w:pPr>
    </w:p>
    <w:p>
      <w:pPr>
        <w:jc w:val="both"/>
        <w:ind w:firstLine="1304"/>
        <w:spacing w:after="0" w:line="247" w:lineRule="auto"/>
        <w:tabs>
          <w:tab w:leader="none" w:pos="1939" w:val="left"/>
        </w:tabs>
        <w:numPr>
          <w:ilvl w:val="0"/>
          <w:numId w:val="207"/>
        </w:numPr>
        <w:rPr>
          <w:rFonts w:ascii="Arial" w:cs="Arial" w:eastAsia="Arial" w:hAnsi="Arial"/>
          <w:sz w:val="22"/>
          <w:szCs w:val="22"/>
          <w:color w:val="auto"/>
        </w:rPr>
      </w:pPr>
      <w:r>
        <w:rPr>
          <w:rFonts w:ascii="Arial" w:cs="Arial" w:eastAsia="Arial" w:hAnsi="Arial"/>
          <w:sz w:val="22"/>
          <w:szCs w:val="22"/>
          <w:color w:val="auto"/>
        </w:rPr>
        <w:t>in connection with all aspects of each transaction contemplated hereby (including in connection with any amendment, waiver or other modification hereof or of any other Loan Document), the Borrower acknowledges and agrees, and acknowledges its Affiliates’ understanding, that: (x) (i) no fiduciary, advisory or agency relationship between the Borrower and its Subsidiaries, any Lead Arranger, the Administrative Agent, any Issuing Lender, any Swing Line Lender or any Lender is intended to be or has been created in respect of the transactions contemplated hereby or by the other Loan Documents, irrespective of whether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163</w:t>
      </w:r>
    </w:p>
    <w:p>
      <w:pPr>
        <w:sectPr>
          <w:pgSz w:w="11900" w:h="16838" w:orient="portrait"/>
          <w:cols w:equalWidth="0" w:num="1">
            <w:col w:w="11240"/>
          </w:cols>
          <w:pgMar w:left="320" w:top="1428" w:right="339" w:bottom="1440" w:gutter="0" w:footer="0" w:header="0"/>
        </w:sectPr>
      </w:pPr>
    </w:p>
    <w:bookmarkStart w:id="253" w:name="page254"/>
    <w:bookmarkEnd w:id="253"/>
    <w:p>
      <w:pPr>
        <w:jc w:val="both"/>
        <w:spacing w:after="0" w:line="284" w:lineRule="auto"/>
        <w:rPr>
          <w:sz w:val="20"/>
          <w:szCs w:val="20"/>
          <w:color w:val="auto"/>
        </w:rPr>
      </w:pPr>
      <w:r>
        <w:rPr>
          <w:rFonts w:ascii="Arial" w:cs="Arial" w:eastAsia="Arial" w:hAnsi="Arial"/>
          <w:sz w:val="19"/>
          <w:szCs w:val="19"/>
          <w:color w:val="auto"/>
        </w:rPr>
        <w:t>Lead Arranger, the Administrative Agent, any Issuing Lender, any Swing Line Lender or any Lender has advised or is advising the Borrower or any Subsidiary on other matters, (ii) the arranging and other services regarding this Agreement provided by the Arranger, the Administrative Agent, the Issuing Lenders, the Swing Line Lenders and the Lenders are arm’s-length commercial transactions between the Borrower and its Affiliates, on the one hand, and the Lead Arrangers, the Administrative Agent, the Issuing Lenders, the Swing Line Lenders and the Lenders, on the other hand, (iii) the Borrower has consulted its own legal, accounting, regulatory and tax advisors to the extent that it has deemed appropriate and (iv) the Borrower is capable of evaluating, and understands and accepts, the terms, risks and conditions of the transactions contemplated hereby and by the other Loan Documents; and (y) (i) the Lead Arrangers, the Administrative Agent, the Issuing Lenders, the Swing Line Lenders and the Lenders each is and has been acting solely as a principal and, except as expressly agreed in writing by the relevant parties, has not been, is not, and will not be acting as an advisor, agent or fiduciary for the Borrower or any of its Affiliates, or any other Person; (ii) none of the Lead Arrangers, the Administrative Agent, the Issuing Lenders, the Swing Line Lenders and the Lenders has any obligation to the Borrower or any of its Affiliates with respect to the transactions contemplated hereby except those obligations expressly set forth herein and in the other Loan Documents; and (iii) the Lead Arrangers, the Administrative Agent, the Issuing Lenders, the Swing Line Lenders and the Lenders and their respective Affiliates may be engaged, for their own accounts or the accounts of customers, in a broad range of transactions that involve interests that differ from those of the Borrower and its Affiliates, and none of the LeadArrangers, the Administrative Agent, the Issuing Lenders, the Swing Line Lenders and the Lenders has any obligation to disclose any of such interests to the Borrower or its Affiliates. To the fullest extent permitted by law, the Borrower hereby waives and releases any claims that it may have against any of the Lead Arrangers, the Administrative Agent, the Issuing Lenders, the Swing Line Lenders and the Lenders with respect to any breach or alleged breach of agency or fiduciary duty in connection with any aspect of any transaction contemplated hereby; and</w:t>
      </w:r>
    </w:p>
    <w:p>
      <w:pPr>
        <w:spacing w:after="0" w:line="175" w:lineRule="exact"/>
        <w:rPr>
          <w:sz w:val="20"/>
          <w:szCs w:val="20"/>
          <w:color w:val="auto"/>
        </w:rPr>
      </w:pPr>
    </w:p>
    <w:p>
      <w:pPr>
        <w:jc w:val="both"/>
        <w:ind w:firstLine="1304"/>
        <w:spacing w:after="0" w:line="253" w:lineRule="auto"/>
        <w:tabs>
          <w:tab w:leader="none" w:pos="1941" w:val="left"/>
        </w:tabs>
        <w:numPr>
          <w:ilvl w:val="0"/>
          <w:numId w:val="208"/>
        </w:numPr>
        <w:rPr>
          <w:rFonts w:ascii="Arial" w:cs="Arial" w:eastAsia="Arial" w:hAnsi="Arial"/>
          <w:sz w:val="22"/>
          <w:szCs w:val="22"/>
          <w:color w:val="auto"/>
        </w:rPr>
      </w:pPr>
      <w:r>
        <w:rPr>
          <w:rFonts w:ascii="Arial" w:cs="Arial" w:eastAsia="Arial" w:hAnsi="Arial"/>
          <w:sz w:val="22"/>
          <w:szCs w:val="22"/>
          <w:color w:val="auto"/>
        </w:rPr>
        <w:t>no joint venture is created hereby or by the other Loan Documents or otherwise exists by virtue of the transactions contemplated hereby among the Lead Arrangers, the Bookrunners, the Co-Manager, the Administrative Agent and the Lenders or among the Borrower and the Lenders.</w:t>
      </w:r>
    </w:p>
    <w:p>
      <w:pPr>
        <w:spacing w:after="0" w:line="185"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10.14 </w:t>
      </w:r>
      <w:r>
        <w:rPr>
          <w:rFonts w:ascii="Arial" w:cs="Arial" w:eastAsia="Arial" w:hAnsi="Arial"/>
          <w:sz w:val="21"/>
          <w:szCs w:val="21"/>
          <w:u w:val="single" w:color="auto"/>
          <w:color w:val="auto"/>
        </w:rPr>
        <w:t>Confidentiality</w:t>
      </w:r>
      <w:r>
        <w:rPr>
          <w:rFonts w:ascii="Arial" w:cs="Arial" w:eastAsia="Arial" w:hAnsi="Arial"/>
          <w:sz w:val="21"/>
          <w:szCs w:val="21"/>
          <w:color w:val="auto"/>
        </w:rPr>
        <w:t>. The Lead Arrangers, the Bookrunners, the Co-Manager, the Administrative Agent and the Lenders agrees to keep confidential all non-public information provided to it by any Loan Party pursuant to this Agreement or the other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non-public information that is provided after the date of this Agreement is explicitly designated and marked by such Loan Party as confidential);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nothing herein shall prevent any Lead Arranger, Bookrunner, Co-Manager, Agent or Lender from disclosing any such information (a) to any Lead Arranger, any Bookrunner, the Co-Manager, the Administrative Agent, any other Lender or any affiliate of any thereof in connection with the transactions contemplated hereby or on a “need to know” basis (it being understood that any such Person to whom such disclosure is made will be informed of the confidential nature of such information and the requirement to maintain it as confidential and that such Lead Arranger, Bookrunner, the Co-Manager, Agent or Lender, as the case may be, shall be responsible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ectPr>
          <w:pgSz w:w="11900" w:h="16838" w:orient="portrait"/>
          <w:cols w:equalWidth="0" w:num="1">
            <w:col w:w="11240"/>
          </w:cols>
          <w:pgMar w:left="320" w:top="1428" w:right="339" w:bottom="1440" w:gutter="0" w:footer="0" w:header="0"/>
        </w:sectPr>
      </w:pPr>
    </w:p>
    <w:bookmarkStart w:id="254" w:name="page255"/>
    <w:bookmarkEnd w:id="254"/>
    <w:p>
      <w:pPr>
        <w:jc w:val="both"/>
        <w:spacing w:after="0" w:line="286" w:lineRule="auto"/>
        <w:rPr>
          <w:sz w:val="20"/>
          <w:szCs w:val="20"/>
          <w:color w:val="auto"/>
        </w:rPr>
      </w:pPr>
      <w:r>
        <w:rPr>
          <w:rFonts w:ascii="Arial" w:cs="Arial" w:eastAsia="Arial" w:hAnsi="Arial"/>
          <w:sz w:val="19"/>
          <w:szCs w:val="19"/>
          <w:color w:val="auto"/>
        </w:rPr>
        <w:t>compliance or breach by such Person with this Section), (b) to any Participant or Assignee (each, a “</w:t>
      </w:r>
      <w:r>
        <w:rPr>
          <w:rFonts w:ascii="Arial" w:cs="Arial" w:eastAsia="Arial" w:hAnsi="Arial"/>
          <w:sz w:val="19"/>
          <w:szCs w:val="19"/>
          <w:u w:val="single" w:color="auto"/>
          <w:color w:val="auto"/>
        </w:rPr>
        <w:t>Transferee</w:t>
      </w:r>
      <w:r>
        <w:rPr>
          <w:rFonts w:ascii="Arial" w:cs="Arial" w:eastAsia="Arial" w:hAnsi="Arial"/>
          <w:sz w:val="19"/>
          <w:szCs w:val="19"/>
          <w:color w:val="auto"/>
        </w:rPr>
        <w:t>”) or prospective Transferee (in each case other than any entity that such Lender has knowledge is a competitor (or an affiliate of a known competitor) of the Borrower or any Founding Member) that agrees to comply with the provisions of this Section or substantially equivalent provisions pursuant to an agreement as to which the Loan Parties are express and intended third party beneficiaries,</w:t>
      </w:r>
    </w:p>
    <w:p>
      <w:pPr>
        <w:spacing w:after="0" w:line="3" w:lineRule="exact"/>
        <w:rPr>
          <w:sz w:val="20"/>
          <w:szCs w:val="20"/>
          <w:color w:val="auto"/>
        </w:rPr>
      </w:pPr>
    </w:p>
    <w:p>
      <w:pPr>
        <w:jc w:val="both"/>
        <w:ind w:firstLine="8"/>
        <w:spacing w:after="0" w:line="281" w:lineRule="auto"/>
        <w:tabs>
          <w:tab w:leader="none" w:pos="332" w:val="left"/>
        </w:tabs>
        <w:numPr>
          <w:ilvl w:val="0"/>
          <w:numId w:val="209"/>
        </w:numPr>
        <w:rPr>
          <w:rFonts w:ascii="Arial" w:cs="Arial" w:eastAsia="Arial" w:hAnsi="Arial"/>
          <w:sz w:val="19"/>
          <w:szCs w:val="19"/>
          <w:color w:val="auto"/>
        </w:rPr>
      </w:pPr>
      <w:r>
        <w:rPr>
          <w:rFonts w:ascii="Arial" w:cs="Arial" w:eastAsia="Arial" w:hAnsi="Arial"/>
          <w:sz w:val="19"/>
          <w:szCs w:val="19"/>
          <w:color w:val="auto"/>
        </w:rPr>
        <w:t>to any of its employees, directors, agents, attorneys, accountants and other professional advisors in connection with the transactions contemplated hereby or on a “need to know” basis (it being understood that any such Person to whom such disclosure is made will be informed of the confidential nature of such information and the requirement to maintain it as confidential and that such Lead Arranger, Bookrunner, Co-Manager, Agent or Lender, as the case may be, shall be responsible for the compliance or breach by such Person with this Section), (d) to any financial institution that is a direct or indirect contractual counterparty in swap agreements or such contractual counterparty’s professional advisor (so long as such contractual counterparty or professional advisor to such contractual counterparty agrees to be bound by the provisions of this Section),</w:t>
      </w:r>
    </w:p>
    <w:p>
      <w:pPr>
        <w:spacing w:after="0" w:line="4" w:lineRule="exact"/>
        <w:rPr>
          <w:rFonts w:ascii="Arial" w:cs="Arial" w:eastAsia="Arial" w:hAnsi="Arial"/>
          <w:sz w:val="19"/>
          <w:szCs w:val="19"/>
          <w:color w:val="auto"/>
        </w:rPr>
      </w:pPr>
    </w:p>
    <w:p>
      <w:pPr>
        <w:jc w:val="both"/>
        <w:ind w:firstLine="8"/>
        <w:spacing w:after="0" w:line="284" w:lineRule="auto"/>
        <w:tabs>
          <w:tab w:leader="none" w:pos="313"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upon the request or demand of any Governmental Authority having jurisdiction over it, (f) in response to any order of any court or other Governmental Authority or as may otherwise be required pursuant to any Requirement of Law, (g) in connection with any litigation or similar proceeding relating to the rights and duties of the parties hereto and to any other Loan Document under this Agreement or the other Loan Documents, (h) that has been publicly disclosed other than in breach of this Section, (i) to the National Association of Insurance Commissioners or any similar organization or any nationally recognized rating agency that requires access to information about a Lender’s investment portfolio in connection with ratings issued with respect to such Lender, (j) in connection with the exercise of any remedy hereunder or under any other Loan Document or (k) to the extent becomes available to the Administrative Agent, any Lender, any Issuing Lender or any of their respective Affiliates on a nonconfidential basis from a source other than the Borrower who did not acquire such information as a result of a breach of this </w:t>
      </w:r>
      <w:r>
        <w:rPr>
          <w:rFonts w:ascii="Arial" w:cs="Arial" w:eastAsia="Arial" w:hAnsi="Arial"/>
          <w:sz w:val="19"/>
          <w:szCs w:val="19"/>
          <w:u w:val="single" w:color="auto"/>
          <w:color w:val="auto"/>
        </w:rPr>
        <w:t>Section 10.14</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unless prohibited by applicable law, with respect to </w:t>
      </w:r>
      <w:r>
        <w:rPr>
          <w:rFonts w:ascii="Arial" w:cs="Arial" w:eastAsia="Arial" w:hAnsi="Arial"/>
          <w:sz w:val="19"/>
          <w:szCs w:val="19"/>
          <w:u w:val="single" w:color="auto"/>
          <w:color w:val="auto"/>
        </w:rPr>
        <w:t>clauses (e)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the Administrative Agent, the Lead Arrangers, the Bookrunners, the Co-Manager and the Lenders agrees to use its reasonable efforts to give the Borrower prompt notice of any such request for such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or any Lender in connection with the administration of this Agreement, the other Loan Documents, and the Commitments.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10.15  </w:t>
      </w:r>
      <w:r>
        <w:rPr>
          <w:rFonts w:ascii="Arial" w:cs="Arial" w:eastAsia="Arial" w:hAnsi="Arial"/>
          <w:sz w:val="22"/>
          <w:szCs w:val="22"/>
          <w:u w:val="single" w:color="auto"/>
          <w:color w:val="auto"/>
        </w:rPr>
        <w:t>Release of Collateral and Guarantee Obligations</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48" w:lineRule="auto"/>
        <w:tabs>
          <w:tab w:leader="none" w:pos="1941"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Upon any Disposition of Property by any Loan Party of any Collateral that is permitted by the Loan Documents to any person that is not a Loan Party, or, upon the effectiveness of any written consent to the release of the security interest or Lien granted under the Security Documents in any Collateral pursuant to </w:t>
      </w:r>
      <w:r>
        <w:rPr>
          <w:rFonts w:ascii="Arial" w:cs="Arial" w:eastAsia="Arial" w:hAnsi="Arial"/>
          <w:sz w:val="22"/>
          <w:szCs w:val="22"/>
          <w:u w:val="single" w:color="auto"/>
          <w:color w:val="auto"/>
        </w:rPr>
        <w:t>Section 10.1</w:t>
      </w:r>
      <w:r>
        <w:rPr>
          <w:rFonts w:ascii="Arial" w:cs="Arial" w:eastAsia="Arial" w:hAnsi="Arial"/>
          <w:sz w:val="22"/>
          <w:szCs w:val="22"/>
          <w:color w:val="auto"/>
        </w:rPr>
        <w:t>, the security interests and Liens in such Collateral shall be automatically released, and the Administrative Agent shall (without notice to, or vote or consent of, any Lender or any affiliate of any Lender that is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ectPr>
          <w:pgSz w:w="11900" w:h="16838" w:orient="portrait"/>
          <w:cols w:equalWidth="0" w:num="1">
            <w:col w:w="11240"/>
          </w:cols>
          <w:pgMar w:left="320" w:top="1428" w:right="339" w:bottom="1440" w:gutter="0" w:footer="0" w:header="0"/>
        </w:sectPr>
      </w:pPr>
    </w:p>
    <w:bookmarkStart w:id="255" w:name="page256"/>
    <w:bookmarkEnd w:id="255"/>
    <w:p>
      <w:pPr>
        <w:spacing w:after="0"/>
        <w:rPr>
          <w:sz w:val="20"/>
          <w:szCs w:val="20"/>
          <w:color w:val="auto"/>
        </w:rPr>
      </w:pPr>
      <w:r>
        <w:rPr>
          <w:rFonts w:ascii="Arial" w:cs="Arial" w:eastAsia="Arial" w:hAnsi="Arial"/>
          <w:sz w:val="19"/>
          <w:szCs w:val="19"/>
          <w:color w:val="auto"/>
        </w:rPr>
        <w:t>to any Specified Hedge Agreement) take such actions as shall be reasonably required by the Borrower to evidence such release.</w:t>
      </w:r>
    </w:p>
    <w:p>
      <w:pPr>
        <w:spacing w:after="0" w:line="254" w:lineRule="exact"/>
        <w:rPr>
          <w:sz w:val="20"/>
          <w:szCs w:val="20"/>
          <w:color w:val="auto"/>
        </w:rPr>
      </w:pPr>
    </w:p>
    <w:p>
      <w:pPr>
        <w:jc w:val="both"/>
        <w:ind w:firstLine="1304"/>
        <w:spacing w:after="0" w:line="286" w:lineRule="auto"/>
        <w:tabs>
          <w:tab w:leader="none" w:pos="1939" w:val="left"/>
        </w:tabs>
        <w:numPr>
          <w:ilvl w:val="0"/>
          <w:numId w:val="212"/>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or any other Loan Document, when the Obligations have been Discharged in Full, then (i) the Collateral shall be released from the Liens created by the Security Documents and the Security Documents and all rights and obligations (other than those expressly stated to survive such termination) of the Administrative Agent, any Lender or any other secured party and each Loan Party under the Security Documents shall terminate, all without delivery of any instrument or performance of any act by any Person and (ii) upon request of the Borrower, the Administrative Agent shall (without notice to, or vote or consent of, any Lender, or any affiliate of any Lender that is a party to any Specified Hedge Agreement) take such actions as shall be required to release its security interest in all Collateral, and to release all guarantee obligations under any Loan Document, whether or not on the date of such release there may be outstanding Obligations in respect of Specified Hedge Agreements.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 had not been made.</w:t>
      </w:r>
    </w:p>
    <w:p>
      <w:pPr>
        <w:spacing w:after="0" w:line="162"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10.16 </w:t>
      </w:r>
      <w:r>
        <w:rPr>
          <w:rFonts w:ascii="Arial" w:cs="Arial" w:eastAsia="Arial" w:hAnsi="Arial"/>
          <w:sz w:val="19"/>
          <w:szCs w:val="19"/>
          <w:u w:val="single" w:color="auto"/>
          <w:color w:val="auto"/>
        </w:rPr>
        <w:t>Accounting Changes</w:t>
      </w:r>
      <w:r>
        <w:rPr>
          <w:rFonts w:ascii="Arial" w:cs="Arial" w:eastAsia="Arial" w:hAnsi="Arial"/>
          <w:sz w:val="19"/>
          <w:szCs w:val="19"/>
          <w:color w:val="auto"/>
        </w:rPr>
        <w:t>. In the event that any “Accounting Change” (as defined below) shall occur and such change results in a change in the method of calculation of financial covenants, standards or terms in this Agreement, then the Borrower and the Administrative Agent agree to enter into negotiations in order to amend such provisions of this Agreement so as to equitably reflect such Accounting Change with the desired result that the criteria for evaluating the Borrower’s financial condition shall be the same after such Accounting Change as if such Accounting Change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 had not occurred. “Accounting Change” refers to any change in accounting principles required by the promulgation of any rule, regulation, pronouncement or opinion by the Financial Accounting Standards Board of the American Institute of Certified Public Accountants or, if applicable, the SEC.</w:t>
      </w:r>
    </w:p>
    <w:p>
      <w:pPr>
        <w:spacing w:after="0" w:line="159" w:lineRule="exact"/>
        <w:rPr>
          <w:sz w:val="20"/>
          <w:szCs w:val="20"/>
          <w:color w:val="auto"/>
        </w:rPr>
      </w:pPr>
    </w:p>
    <w:p>
      <w:pPr>
        <w:jc w:val="both"/>
        <w:ind w:firstLine="1296"/>
        <w:spacing w:after="0" w:line="343" w:lineRule="auto"/>
        <w:rPr>
          <w:sz w:val="20"/>
          <w:szCs w:val="20"/>
          <w:color w:val="auto"/>
        </w:rPr>
      </w:pPr>
      <w:r>
        <w:rPr>
          <w:rFonts w:ascii="Arial" w:cs="Arial" w:eastAsia="Arial" w:hAnsi="Arial"/>
          <w:sz w:val="19"/>
          <w:szCs w:val="19"/>
          <w:color w:val="auto"/>
        </w:rPr>
        <w:t xml:space="preserve">10.17 </w:t>
      </w:r>
      <w:r>
        <w:rPr>
          <w:rFonts w:ascii="Arial" w:cs="Arial" w:eastAsia="Arial" w:hAnsi="Arial"/>
          <w:sz w:val="19"/>
          <w:szCs w:val="19"/>
          <w:u w:val="single" w:color="auto"/>
          <w:color w:val="auto"/>
        </w:rPr>
        <w:t>Delivery of Lender Addenda</w:t>
      </w:r>
      <w:r>
        <w:rPr>
          <w:rFonts w:ascii="Arial" w:cs="Arial" w:eastAsia="Arial" w:hAnsi="Arial"/>
          <w:sz w:val="19"/>
          <w:szCs w:val="19"/>
          <w:color w:val="auto"/>
        </w:rPr>
        <w:t>. Each initial Lender shall become a party to this Agreement by delivering to the Administrative Agent a Lender Addendum duly executed by such Lender, the Borrower and the Administrative Agent.</w:t>
      </w:r>
    </w:p>
    <w:p>
      <w:pPr>
        <w:spacing w:after="0" w:line="98"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22"/>
          <w:szCs w:val="22"/>
          <w:color w:val="auto"/>
        </w:rPr>
        <w:t xml:space="preserve">10.18 </w:t>
      </w:r>
      <w:r>
        <w:rPr>
          <w:rFonts w:ascii="Arial" w:cs="Arial" w:eastAsia="Arial" w:hAnsi="Arial"/>
          <w:sz w:val="22"/>
          <w:szCs w:val="22"/>
          <w:b w:val="1"/>
          <w:bCs w:val="1"/>
          <w:u w:val="single" w:color="auto"/>
          <w:color w:val="auto"/>
        </w:rPr>
        <w:t>WAIVERS OF JURY TRIAL</w:t>
      </w:r>
      <w:r>
        <w:rPr>
          <w:rFonts w:ascii="Arial" w:cs="Arial" w:eastAsia="Arial" w:hAnsi="Arial"/>
          <w:sz w:val="22"/>
          <w:szCs w:val="22"/>
          <w:b w:val="1"/>
          <w:bCs w:val="1"/>
          <w:color w:val="auto"/>
        </w:rPr>
        <w:t>. THE BORROWER, THE ADMINISTRATIVE AGENT AND THE</w:t>
      </w:r>
      <w:r>
        <w:rPr>
          <w:rFonts w:ascii="Arial" w:cs="Arial" w:eastAsia="Arial" w:hAnsi="Arial"/>
          <w:sz w:val="22"/>
          <w:szCs w:val="22"/>
          <w:color w:val="auto"/>
        </w:rPr>
        <w:t xml:space="preserve"> </w:t>
      </w:r>
      <w:r>
        <w:rPr>
          <w:rFonts w:ascii="Arial" w:cs="Arial" w:eastAsia="Arial" w:hAnsi="Arial"/>
          <w:sz w:val="22"/>
          <w:szCs w:val="22"/>
          <w:b w:val="1"/>
          <w:bCs w:val="1"/>
          <w:color w:val="auto"/>
        </w:rPr>
        <w:t>LENDERS HEREBY IRREVOCABLY AND UNCONDITIONALLY WAIVE TRIAL BY JURY IN ANY LEGAL ACTION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ectPr>
          <w:pgSz w:w="11900" w:h="16838" w:orient="portrait"/>
          <w:cols w:equalWidth="0" w:num="1">
            <w:col w:w="11240"/>
          </w:cols>
          <w:pgMar w:left="320" w:top="1428" w:right="339" w:bottom="1440" w:gutter="0" w:footer="0" w:header="0"/>
        </w:sectPr>
      </w:pPr>
    </w:p>
    <w:bookmarkStart w:id="256" w:name="page257"/>
    <w:bookmarkEnd w:id="256"/>
    <w:p>
      <w:pPr>
        <w:jc w:val="both"/>
        <w:spacing w:after="0" w:line="269" w:lineRule="auto"/>
        <w:rPr>
          <w:sz w:val="20"/>
          <w:szCs w:val="20"/>
          <w:color w:val="auto"/>
        </w:rPr>
      </w:pPr>
      <w:r>
        <w:rPr>
          <w:rFonts w:ascii="Arial" w:cs="Arial" w:eastAsia="Arial" w:hAnsi="Arial"/>
          <w:sz w:val="22"/>
          <w:szCs w:val="22"/>
          <w:b w:val="1"/>
          <w:bCs w:val="1"/>
          <w:color w:val="auto"/>
        </w:rPr>
        <w:t>PROCEEDING RELATING TO THIS AGREEMENT OR ANY OTHER LOAN DOCUMENT AND FOR ANY COUNTERCLAIM THEREIN.</w:t>
      </w:r>
    </w:p>
    <w:p>
      <w:pPr>
        <w:spacing w:after="0" w:line="168"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10.19 </w:t>
      </w:r>
      <w:r>
        <w:rPr>
          <w:rFonts w:ascii="Arial" w:cs="Arial" w:eastAsia="Arial" w:hAnsi="Arial"/>
          <w:sz w:val="21"/>
          <w:szCs w:val="21"/>
          <w:u w:val="single" w:color="auto"/>
          <w:color w:val="auto"/>
        </w:rPr>
        <w:t>Intercreditor Agreement</w:t>
      </w:r>
      <w:r>
        <w:rPr>
          <w:rFonts w:ascii="Arial" w:cs="Arial" w:eastAsia="Arial" w:hAnsi="Arial"/>
          <w:sz w:val="21"/>
          <w:szCs w:val="21"/>
          <w:color w:val="auto"/>
        </w:rPr>
        <w:t>. Notwithstanding anything to the contrary contained in this Agreement, if at any time the Administrative Agent shall enter into the Intercreditor Agreement and the Intercreditor Agreement shall remain outstanding, the rights granted to the Secured Parties hereunder and under the other Loan Documents, the lien and security interest granted to the Administrative Agent pursuant to this Agreement or any other Loan Document and the exercise of any right or remedy by the Administrative Agent hereunder or under any other Loan Document shall be subject to the terms and conditions of the Intercreditor Agreement. In the event of any conflict between the terms of this Agreement, any other Loan Document and the Intercreditor Agreement, the terms of the Intercreditor Agreement shall govern and control with respect to any right or remedy, and no right, power or remedy granted to the Administrative Agent hereunder or under any other Loan Document shall be exercised by the Administrative Agent and no direction shall be given by the Administrative Agent in contravention of the Intercreditor Agreement.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10.20  </w:t>
      </w:r>
      <w:r>
        <w:rPr>
          <w:rFonts w:ascii="Arial" w:cs="Arial" w:eastAsia="Arial" w:hAnsi="Arial"/>
          <w:sz w:val="22"/>
          <w:szCs w:val="22"/>
          <w:u w:val="single" w:color="auto"/>
          <w:color w:val="auto"/>
        </w:rPr>
        <w:t>Acknowledgement and Consent to Bail-In of</w:t>
      </w:r>
      <w:r>
        <w:rPr>
          <w:rFonts w:ascii="Arial" w:cs="Arial" w:eastAsia="Arial" w:hAnsi="Arial"/>
          <w:sz w:val="22"/>
          <w:szCs w:val="22"/>
          <w:color w:val="auto"/>
        </w:rPr>
        <w:t xml:space="preserve"> </w:t>
      </w:r>
      <w:r>
        <w:rPr>
          <w:rFonts w:ascii="Arial" w:cs="Arial" w:eastAsia="Arial" w:hAnsi="Arial"/>
          <w:sz w:val="22"/>
          <w:szCs w:val="22"/>
          <w:u w:val="single" w:color="auto"/>
          <w:color w:val="FF0000"/>
          <w:strike w:val="1"/>
        </w:rPr>
        <w:t>EEA</w:t>
      </w:r>
      <w:r>
        <w:rPr>
          <w:rFonts w:ascii="Arial" w:cs="Arial" w:eastAsia="Arial" w:hAnsi="Arial"/>
          <w:sz w:val="22"/>
          <w:szCs w:val="22"/>
          <w:u w:val="single" w:color="auto"/>
          <w:color w:val="0000FF"/>
        </w:rPr>
        <w:t>Affected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Financial Institution</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Notwithstanding anything to the contrary in any Loan Document or in any other agreement, arrangement or understanding among any such parties, each party hereto acknowledges that any liability of any </w:t>
      </w:r>
      <w:r>
        <w:rPr>
          <w:rFonts w:ascii="Arial" w:cs="Arial" w:eastAsia="Arial" w:hAnsi="Arial"/>
          <w:sz w:val="19"/>
          <w:szCs w:val="19"/>
          <w:color w:val="FF0000"/>
          <w:strike w:val="1"/>
        </w:rPr>
        <w:t>EEA</w:t>
      </w:r>
      <w:r>
        <w:rPr>
          <w:rFonts w:ascii="Arial" w:cs="Arial" w:eastAsia="Arial" w:hAnsi="Arial"/>
          <w:sz w:val="19"/>
          <w:szCs w:val="19"/>
          <w:u w:val="single" w:color="auto"/>
          <w:color w:val="0000FF"/>
        </w:rPr>
        <w:t>Affected</w:t>
      </w:r>
      <w:r>
        <w:rPr>
          <w:rFonts w:ascii="Arial" w:cs="Arial" w:eastAsia="Arial" w:hAnsi="Arial"/>
          <w:sz w:val="19"/>
          <w:szCs w:val="19"/>
          <w:color w:val="auto"/>
        </w:rPr>
        <w:t xml:space="preserve"> Financial Institution arising under any Loan Document, to the extent such liability is unsecured, may be subject to the write-down and conversion powers of an </w:t>
      </w:r>
      <w:r>
        <w:rPr>
          <w:rFonts w:ascii="Arial" w:cs="Arial" w:eastAsia="Arial" w:hAnsi="Arial"/>
          <w:sz w:val="19"/>
          <w:szCs w:val="19"/>
          <w:color w:val="FF0000"/>
          <w:strike w:val="1"/>
        </w:rPr>
        <w:t>EEA</w:t>
      </w:r>
      <w:r>
        <w:rPr>
          <w:rFonts w:ascii="Arial" w:cs="Arial" w:eastAsia="Arial" w:hAnsi="Arial"/>
          <w:sz w:val="19"/>
          <w:szCs w:val="19"/>
          <w:u w:val="single" w:color="auto"/>
          <w:color w:val="0000FF"/>
        </w:rPr>
        <w:t>Affected</w:t>
      </w:r>
      <w:r>
        <w:rPr>
          <w:rFonts w:ascii="Arial" w:cs="Arial" w:eastAsia="Arial" w:hAnsi="Arial"/>
          <w:sz w:val="19"/>
          <w:szCs w:val="19"/>
          <w:color w:val="FF0000"/>
        </w:rPr>
        <w:t xml:space="preserve"> </w:t>
      </w:r>
      <w:r>
        <w:rPr>
          <w:rFonts w:ascii="Arial" w:cs="Arial" w:eastAsia="Arial" w:hAnsi="Arial"/>
          <w:sz w:val="19"/>
          <w:szCs w:val="19"/>
          <w:color w:val="000000"/>
        </w:rPr>
        <w:t>Resolution Authority and agrees and consents to, and acknowledges and agrees to be bound by:</w:t>
      </w:r>
    </w:p>
    <w:p>
      <w:pPr>
        <w:spacing w:after="0" w:line="142" w:lineRule="exact"/>
        <w:rPr>
          <w:sz w:val="20"/>
          <w:szCs w:val="20"/>
          <w:color w:val="auto"/>
        </w:rPr>
      </w:pPr>
    </w:p>
    <w:p>
      <w:pPr>
        <w:ind w:right="20" w:firstLine="1304"/>
        <w:spacing w:after="0" w:line="343" w:lineRule="auto"/>
        <w:tabs>
          <w:tab w:leader="none" w:pos="1941"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the application of any Write-Down and Conversion Powers by </w:t>
      </w:r>
      <w:r>
        <w:rPr>
          <w:rFonts w:ascii="Arial" w:cs="Arial" w:eastAsia="Arial" w:hAnsi="Arial"/>
          <w:sz w:val="19"/>
          <w:szCs w:val="19"/>
          <w:color w:val="FF0000"/>
          <w:strike w:val="1"/>
        </w:rPr>
        <w:t>an EEA</w:t>
      </w:r>
      <w:r>
        <w:rPr>
          <w:rFonts w:ascii="Arial" w:cs="Arial" w:eastAsia="Arial" w:hAnsi="Arial"/>
          <w:sz w:val="19"/>
          <w:szCs w:val="19"/>
          <w:u w:val="single" w:color="auto"/>
          <w:color w:val="0000FF"/>
        </w:rPr>
        <w:t>the applicable</w:t>
      </w:r>
      <w:r>
        <w:rPr>
          <w:rFonts w:ascii="Arial" w:cs="Arial" w:eastAsia="Arial" w:hAnsi="Arial"/>
          <w:sz w:val="19"/>
          <w:szCs w:val="19"/>
          <w:color w:val="auto"/>
        </w:rPr>
        <w:t xml:space="preserve"> Resolution Authority to any such liabilities which may be payable to it by any party hereto that is an </w:t>
      </w:r>
      <w:r>
        <w:rPr>
          <w:rFonts w:ascii="Arial" w:cs="Arial" w:eastAsia="Arial" w:hAnsi="Arial"/>
          <w:sz w:val="19"/>
          <w:szCs w:val="19"/>
          <w:color w:val="FF0000"/>
          <w:strike w:val="1"/>
        </w:rPr>
        <w:t>EEA</w:t>
      </w:r>
      <w:r>
        <w:rPr>
          <w:rFonts w:ascii="Arial" w:cs="Arial" w:eastAsia="Arial" w:hAnsi="Arial"/>
          <w:sz w:val="19"/>
          <w:szCs w:val="19"/>
          <w:u w:val="single" w:color="auto"/>
          <w:color w:val="0000FF"/>
        </w:rPr>
        <w:t>Affected</w:t>
      </w:r>
      <w:r>
        <w:rPr>
          <w:rFonts w:ascii="Arial" w:cs="Arial" w:eastAsia="Arial" w:hAnsi="Arial"/>
          <w:sz w:val="19"/>
          <w:szCs w:val="19"/>
          <w:color w:val="auto"/>
        </w:rPr>
        <w:t xml:space="preserve"> Financial Institution; and</w:t>
      </w:r>
    </w:p>
    <w:p>
      <w:pPr>
        <w:spacing w:after="0" w:line="104" w:lineRule="exact"/>
        <w:rPr>
          <w:rFonts w:ascii="Arial" w:cs="Arial" w:eastAsia="Arial" w:hAnsi="Arial"/>
          <w:sz w:val="19"/>
          <w:szCs w:val="19"/>
          <w:color w:val="auto"/>
        </w:rPr>
      </w:pPr>
    </w:p>
    <w:p>
      <w:pPr>
        <w:ind w:left="1940" w:hanging="636"/>
        <w:spacing w:after="0"/>
        <w:tabs>
          <w:tab w:leader="none" w:pos="194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20" w:lineRule="exact"/>
        <w:rPr>
          <w:sz w:val="20"/>
          <w:szCs w:val="20"/>
          <w:color w:val="auto"/>
        </w:rPr>
      </w:pPr>
    </w:p>
    <w:p>
      <w:pPr>
        <w:ind w:left="1940" w:hanging="636"/>
        <w:spacing w:after="0"/>
        <w:tabs>
          <w:tab w:leader="none" w:pos="194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195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a conversion of all, or a portion of, such liability into shares or other instruments of ownership in such </w:t>
      </w:r>
      <w:r>
        <w:rPr>
          <w:rFonts w:ascii="Arial" w:cs="Arial" w:eastAsia="Arial" w:hAnsi="Arial"/>
          <w:sz w:val="22"/>
          <w:szCs w:val="22"/>
          <w:color w:val="FF0000"/>
          <w:strike w:val="1"/>
        </w:rPr>
        <w:t>EEA</w:t>
      </w:r>
      <w:r>
        <w:rPr>
          <w:rFonts w:ascii="Arial" w:cs="Arial" w:eastAsia="Arial" w:hAnsi="Arial"/>
          <w:sz w:val="22"/>
          <w:szCs w:val="22"/>
          <w:u w:val="single" w:color="auto"/>
          <w:color w:val="0000FF"/>
        </w:rPr>
        <w:t>Affected</w:t>
      </w:r>
      <w:r>
        <w:rPr>
          <w:rFonts w:ascii="Arial" w:cs="Arial" w:eastAsia="Arial" w:hAnsi="Arial"/>
          <w:sz w:val="22"/>
          <w:szCs w:val="22"/>
          <w:color w:val="FF0000"/>
        </w:rPr>
        <w:t xml:space="preserve"> </w:t>
      </w:r>
      <w:r>
        <w:rPr>
          <w:rFonts w:ascii="Arial" w:cs="Arial" w:eastAsia="Arial" w:hAnsi="Arial"/>
          <w:sz w:val="22"/>
          <w:szCs w:val="22"/>
          <w:color w:val="000000"/>
        </w:rPr>
        <w:t>Financial Institution, its parent entity, or a bridge institution that may be issued to it or otherwise conferred</w:t>
      </w:r>
      <w:r>
        <w:rPr>
          <w:rFonts w:ascii="Arial" w:cs="Arial" w:eastAsia="Arial" w:hAnsi="Arial"/>
          <w:sz w:val="22"/>
          <w:szCs w:val="22"/>
          <w:color w:val="FF0000"/>
        </w:rPr>
        <w:t xml:space="preserve"> </w:t>
      </w:r>
      <w:r>
        <w:rPr>
          <w:rFonts w:ascii="Arial" w:cs="Arial" w:eastAsia="Arial" w:hAnsi="Arial"/>
          <w:sz w:val="22"/>
          <w:szCs w:val="22"/>
          <w:color w:val="000000"/>
        </w:rPr>
        <w:t>on it, and that such shares or other instruments of ownership will be accepted by it in lieu of any rights with respect to any such liability under any Loan Document; or</w:t>
      </w:r>
    </w:p>
    <w:p>
      <w:pPr>
        <w:spacing w:after="0" w:line="187" w:lineRule="exact"/>
        <w:rPr>
          <w:rFonts w:ascii="Arial" w:cs="Arial" w:eastAsia="Arial" w:hAnsi="Arial"/>
          <w:sz w:val="22"/>
          <w:szCs w:val="22"/>
          <w:color w:val="auto"/>
        </w:rPr>
      </w:pPr>
    </w:p>
    <w:p>
      <w:pPr>
        <w:ind w:left="660" w:firstLine="644"/>
        <w:spacing w:after="0" w:line="263" w:lineRule="auto"/>
        <w:tabs>
          <w:tab w:leader="none" w:pos="195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the variation of the terms of such liability in connection with the exercise of the Write-Down and Conversion Powers of </w:t>
      </w:r>
      <w:r>
        <w:rPr>
          <w:rFonts w:ascii="Arial" w:cs="Arial" w:eastAsia="Arial" w:hAnsi="Arial"/>
          <w:sz w:val="22"/>
          <w:szCs w:val="22"/>
          <w:color w:val="FF0000"/>
          <w:strike w:val="1"/>
        </w:rPr>
        <w:t>any EEA</w:t>
      </w:r>
      <w:r>
        <w:rPr>
          <w:rFonts w:ascii="Arial" w:cs="Arial" w:eastAsia="Arial" w:hAnsi="Arial"/>
          <w:sz w:val="22"/>
          <w:szCs w:val="22"/>
          <w:u w:val="single" w:color="auto"/>
          <w:color w:val="0000FF"/>
        </w:rPr>
        <w:t>the applicable</w:t>
      </w:r>
      <w:r>
        <w:rPr>
          <w:rFonts w:ascii="Arial" w:cs="Arial" w:eastAsia="Arial" w:hAnsi="Arial"/>
          <w:sz w:val="22"/>
          <w:szCs w:val="22"/>
          <w:color w:val="auto"/>
        </w:rPr>
        <w:t xml:space="preserve">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ectPr>
          <w:pgSz w:w="11900" w:h="16838" w:orient="portrait"/>
          <w:cols w:equalWidth="0" w:num="1">
            <w:col w:w="11240"/>
          </w:cols>
          <w:pgMar w:left="320" w:top="1422" w:right="339" w:bottom="1440" w:gutter="0" w:footer="0" w:header="0"/>
        </w:sectPr>
      </w:pPr>
    </w:p>
    <w:bookmarkStart w:id="257" w:name="page258"/>
    <w:bookmarkEnd w:id="257"/>
    <w:p>
      <w:pPr>
        <w:jc w:val="both"/>
        <w:ind w:firstLine="1296"/>
        <w:spacing w:after="0" w:line="284" w:lineRule="auto"/>
        <w:rPr>
          <w:sz w:val="20"/>
          <w:szCs w:val="20"/>
          <w:color w:val="auto"/>
        </w:rPr>
      </w:pPr>
      <w:r>
        <w:rPr>
          <w:rFonts w:ascii="Arial" w:cs="Arial" w:eastAsia="Arial" w:hAnsi="Arial"/>
          <w:sz w:val="19"/>
          <w:szCs w:val="19"/>
          <w:u w:val="single" w:color="auto"/>
          <w:color w:val="0000FF"/>
        </w:rPr>
        <w:t>10.21 Acknowledgement Regarding Any Supported QFCs. To the extent that the Loan Documents provide support, through a guarantee or otherwise, for Hedge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obligation in or under such Supported QFC and such QFC Credit Support, and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w:t>
      </w:r>
      <w:r>
        <w:rPr>
          <w:rFonts w:ascii="Arial" w:cs="Arial" w:eastAsia="Arial" w:hAnsi="Arial"/>
          <w:sz w:val="19"/>
          <w:szCs w:val="19"/>
          <w:u w:val="single" w:color="auto"/>
          <w:color w:val="0E32E1"/>
        </w:rPr>
        <w:t>t limitation of the foregoing, it is understood and agreed that rights and remedies of the parties</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E32E1"/>
        </w:rPr>
        <w:t>with respect to a Defaulting Lender shall in no event affect the rights of any Covered Party with respect to a Supported QFC or any FC Credit Support.</w:t>
      </w:r>
    </w:p>
    <w:p>
      <w:pPr>
        <w:spacing w:after="0" w:line="200" w:lineRule="exact"/>
        <w:rPr>
          <w:sz w:val="20"/>
          <w:szCs w:val="20"/>
          <w:color w:val="auto"/>
        </w:rPr>
      </w:pPr>
    </w:p>
    <w:p>
      <w:pPr>
        <w:spacing w:after="0" w:line="23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u w:val="single" w:color="auto"/>
          <w:color w:val="0E32E1"/>
        </w:rPr>
        <w:t>10.22 Syndication. Following the Amendment No. 2 Effective Date, the Borrower, each other Loan Party, the Administrative Agent and each Backstop Party (as defined in Amendment No. 2) shall be obligated to participate in a syndication process (the “Syndication”) for the assignment of a proportionate share of New Incremental Loans in accordance with syndication procedures (the “Syndication Procedures”) acceptable to each of the Administrative Agent and the Backstop Parties (each in their sole discretion), in consultation with the Borrower. The Borrower, the Administrative Agent and the Backstop Parties shall use commercially reasonable efforts to cause the Syndication to commence no later than four (4) Business Days following the New Incremental Loan Funding Date, including, without limitation, by using commercially reasonable efforts to post the Syndication Procedures to the Platform, no later than four (4) Business Days following the New Incremental Loan Funding</w:t>
      </w:r>
      <w:r>
        <w:rPr>
          <w:rFonts w:ascii="Arial" w:cs="Arial" w:eastAsia="Arial" w:hAnsi="Arial"/>
          <w:sz w:val="19"/>
          <w:szCs w:val="19"/>
          <w:color w:val="0E32E1"/>
        </w:rPr>
        <w:t xml:space="preserve"> </w:t>
      </w:r>
      <w:r>
        <w:rPr>
          <w:rFonts w:ascii="Arial" w:cs="Arial" w:eastAsia="Arial" w:hAnsi="Arial"/>
          <w:sz w:val="19"/>
          <w:szCs w:val="19"/>
          <w:u w:val="single" w:color="auto"/>
          <w:color w:val="0F7F40"/>
        </w:rPr>
        <w:t>Date; provided, however, that</w:t>
      </w:r>
      <w:r>
        <w:rPr>
          <w:rFonts w:ascii="Arial" w:cs="Arial" w:eastAsia="Arial" w:hAnsi="Arial"/>
          <w:sz w:val="19"/>
          <w:szCs w:val="19"/>
          <w:color w:val="0E32E1"/>
        </w:rPr>
        <w:t xml:space="preserve"> the Syndication must be completed on or prior to April 30, 2021, unless a later time is </w:t>
      </w:r>
      <w:r>
        <w:rPr>
          <w:rFonts w:ascii="Arial" w:cs="Arial" w:eastAsia="Arial" w:hAnsi="Arial"/>
          <w:sz w:val="19"/>
          <w:szCs w:val="19"/>
          <w:u w:val="single" w:color="auto"/>
          <w:color w:val="0E32E1"/>
        </w:rPr>
        <w:t>agreed by each Backstop Party in its sole discretion; provided, further, however, that the obligations of the Administrative Agent and each Backstop Party under this Section 10.22 shall terminate on April 30, 2021 or such earlier date or later date acceptable to both the Administrative Agent and each Backstop Party (each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-544830</wp:posOffset>
            </wp:positionV>
            <wp:extent cx="49644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4964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ectPr>
          <w:pgSz w:w="11900" w:h="16838" w:orient="portrait"/>
          <w:cols w:equalWidth="0" w:num="1">
            <w:col w:w="11240"/>
          </w:cols>
          <w:pgMar w:left="320" w:top="1428" w:right="339" w:bottom="1440" w:gutter="0" w:footer="0" w:header="0"/>
        </w:sectPr>
      </w:pPr>
    </w:p>
    <w:bookmarkStart w:id="258" w:name="page259"/>
    <w:bookmarkEnd w:id="2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169</w:t>
      </w:r>
    </w:p>
    <w:p>
      <w:pPr>
        <w:sectPr>
          <w:pgSz w:w="11900" w:h="16838" w:orient="portrait"/>
          <w:cols w:equalWidth="0" w:num="1">
            <w:col w:w="9019"/>
          </w:cols>
          <w:pgMar w:left="1440" w:top="1440" w:right="1440" w:bottom="1440" w:gutter="0" w:footer="0" w:header="0"/>
        </w:sectPr>
      </w:pPr>
    </w:p>
    <w:bookmarkStart w:id="259" w:name="page260"/>
    <w:bookmarkEnd w:id="259"/>
    <w:p>
      <w:pPr>
        <w:spacing w:after="0" w:line="204"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IN WITNESS WHEREOF, the parties hereto have caused this Agreement to be duly executed and delivered by their proper and duly authorized officers as of the day and year first above written.</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NATIONAL CINEMEDIA,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Borrower</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342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260" w:name="page261"/>
    <w:bookmarkEnd w:id="260"/>
    <w:p>
      <w:pPr>
        <w:ind w:left="2780"/>
        <w:spacing w:after="0"/>
        <w:rPr>
          <w:sz w:val="20"/>
          <w:szCs w:val="20"/>
          <w:color w:val="auto"/>
        </w:rPr>
      </w:pPr>
      <w:r>
        <w:rPr>
          <w:rFonts w:ascii="Arial" w:cs="Arial" w:eastAsia="Arial" w:hAnsi="Arial"/>
          <w:sz w:val="19"/>
          <w:szCs w:val="19"/>
          <w:b w:val="1"/>
          <w:bCs w:val="1"/>
          <w:color w:val="auto"/>
        </w:rPr>
        <w:t>JPMORGAN CHASE BANK, N.A.,</w:t>
      </w:r>
    </w:p>
    <w:p>
      <w:pPr>
        <w:spacing w:after="0" w:line="33"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as Administrative Agent and Lender</w:t>
      </w:r>
    </w:p>
    <w:p>
      <w:pPr>
        <w:spacing w:after="0" w:line="200" w:lineRule="exact"/>
        <w:rPr>
          <w:sz w:val="20"/>
          <w:szCs w:val="20"/>
          <w:color w:val="auto"/>
        </w:rPr>
      </w:pPr>
    </w:p>
    <w:p>
      <w:pPr>
        <w:spacing w:after="0" w:line="29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342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Credit Agreement</w:t>
      </w:r>
      <w:r>
        <w:rPr>
          <w:rFonts w:ascii="Arial" w:cs="Arial" w:eastAsia="Arial" w:hAnsi="Arial"/>
          <w:sz w:val="16"/>
          <w:szCs w:val="16"/>
          <w:color w:val="auto"/>
        </w:rPr>
        <w:t>]</w:t>
      </w:r>
    </w:p>
    <w:p>
      <w:pPr>
        <w:sectPr>
          <w:pgSz w:w="11900" w:h="16838" w:orient="portrait"/>
          <w:cols w:equalWidth="0" w:num="1">
            <w:col w:w="9019"/>
          </w:cols>
          <w:pgMar w:left="1440" w:top="1413" w:right="1440" w:bottom="1440" w:gutter="0" w:footer="0" w:header="0"/>
        </w:sectPr>
      </w:pPr>
    </w:p>
    <w:bookmarkStart w:id="261" w:name="page262"/>
    <w:bookmarkEnd w:id="261"/>
    <w:p>
      <w:pPr>
        <w:spacing w:after="0" w:line="198" w:lineRule="exact"/>
        <w:rPr>
          <w:sz w:val="20"/>
          <w:szCs w:val="20"/>
          <w:color w:val="auto"/>
        </w:rPr>
      </w:pPr>
    </w:p>
    <w:p>
      <w:pPr>
        <w:ind w:left="2780"/>
        <w:spacing w:after="0" w:line="269" w:lineRule="auto"/>
        <w:rPr>
          <w:sz w:val="20"/>
          <w:szCs w:val="20"/>
          <w:color w:val="auto"/>
        </w:rPr>
      </w:pPr>
      <w:r>
        <w:rPr>
          <w:rFonts w:ascii="Arial" w:cs="Arial" w:eastAsia="Arial" w:hAnsi="Arial"/>
          <w:sz w:val="22"/>
          <w:szCs w:val="22"/>
          <w:b w:val="1"/>
          <w:bCs w:val="1"/>
          <w:color w:val="auto"/>
        </w:rPr>
        <w:t>MERRILL LYNCH, PIERCE, FENNER &amp; SMITH INCORPORATED</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as Lender</w:t>
      </w:r>
    </w:p>
    <w:p>
      <w:pPr>
        <w:spacing w:after="0" w:line="200" w:lineRule="exact"/>
        <w:rPr>
          <w:sz w:val="20"/>
          <w:szCs w:val="20"/>
          <w:color w:val="auto"/>
        </w:rPr>
      </w:pPr>
    </w:p>
    <w:p>
      <w:pPr>
        <w:spacing w:after="0" w:line="23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342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w:t>
      </w:r>
      <w:r>
        <w:rPr>
          <w:rFonts w:ascii="Arial" w:cs="Arial" w:eastAsia="Arial" w:hAnsi="Arial"/>
          <w:sz w:val="18"/>
          <w:szCs w:val="18"/>
          <w:color w:val="auto"/>
        </w:rPr>
        <w:t>]</w:t>
      </w:r>
    </w:p>
    <w:p>
      <w:pPr>
        <w:sectPr>
          <w:pgSz w:w="11900" w:h="16838" w:orient="portrait"/>
          <w:cols w:equalWidth="0" w:num="1">
            <w:col w:w="9420"/>
          </w:cols>
          <w:pgMar w:left="1440" w:top="1440" w:right="1039" w:bottom="1440" w:gutter="0" w:footer="0" w:header="0"/>
        </w:sectPr>
      </w:pPr>
    </w:p>
    <w:bookmarkStart w:id="262" w:name="page263"/>
    <w:bookmarkEnd w:id="262"/>
    <w:p>
      <w:pPr>
        <w:spacing w:after="0" w:line="19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ROYAL BANK OF CANADA</w:t>
      </w:r>
      <w:r>
        <w:rPr>
          <w:rFonts w:ascii="Arial" w:cs="Arial" w:eastAsia="Arial" w:hAnsi="Arial"/>
          <w:sz w:val="22"/>
          <w:szCs w:val="22"/>
          <w:color w:val="auto"/>
        </w:rPr>
        <w:t>,</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Credit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63" w:name="page264"/>
    <w:bookmarkEnd w:id="263"/>
    <w:p>
      <w:pPr>
        <w:spacing w:after="0" w:line="198"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BARCLAYS BANK PLC</w:t>
      </w:r>
      <w:r>
        <w:rPr>
          <w:rFonts w:ascii="Arial" w:cs="Arial" w:eastAsia="Arial" w:hAnsi="Arial"/>
          <w:sz w:val="22"/>
          <w:szCs w:val="22"/>
          <w:color w:val="auto"/>
        </w:rPr>
        <w:t>,</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Credit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64" w:name="page265"/>
    <w:bookmarkEnd w:id="264"/>
    <w:p>
      <w:pPr>
        <w:spacing w:after="0" w:line="198" w:lineRule="exact"/>
        <w:rPr>
          <w:sz w:val="20"/>
          <w:szCs w:val="20"/>
          <w:color w:val="auto"/>
        </w:rPr>
      </w:pPr>
    </w:p>
    <w:p>
      <w:pPr>
        <w:ind w:left="2780"/>
        <w:spacing w:after="0"/>
        <w:rPr>
          <w:sz w:val="20"/>
          <w:szCs w:val="20"/>
          <w:color w:val="auto"/>
        </w:rPr>
      </w:pPr>
      <w:r>
        <w:rPr>
          <w:rFonts w:ascii="Arial" w:cs="Arial" w:eastAsia="Arial" w:hAnsi="Arial"/>
          <w:sz w:val="21"/>
          <w:szCs w:val="21"/>
          <w:b w:val="1"/>
          <w:bCs w:val="1"/>
          <w:color w:val="auto"/>
        </w:rPr>
        <w:t>ZB, N.A. dba VECTRA BANK COLORADO</w:t>
      </w:r>
      <w:r>
        <w:rPr>
          <w:rFonts w:ascii="Arial" w:cs="Arial" w:eastAsia="Arial" w:hAnsi="Arial"/>
          <w:sz w:val="21"/>
          <w:szCs w:val="21"/>
          <w:color w:val="auto"/>
        </w:rPr>
        <w:t>,</w:t>
      </w:r>
    </w:p>
    <w:p>
      <w:pPr>
        <w:spacing w:after="0" w:line="3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Lender</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w:t>
      </w: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bookmarkStart w:id="265" w:name="page266"/>
    <w:bookmarkEnd w:id="265"/>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B</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Commercial Tort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Credit Agreement</w:t>
      </w:r>
      <w:r>
        <w:rPr>
          <w:rFonts w:ascii="Arial" w:cs="Arial" w:eastAsia="Arial" w:hAnsi="Arial"/>
          <w:sz w:val="16"/>
          <w:szCs w:val="16"/>
          <w:color w:val="auto"/>
        </w:rPr>
        <w:t>]</w:t>
      </w:r>
    </w:p>
    <w:p>
      <w:pPr>
        <w:sectPr>
          <w:pgSz w:w="11900" w:h="16838" w:orient="portrait"/>
          <w:cols w:equalWidth="0" w:num="1">
            <w:col w:w="9019"/>
          </w:cols>
          <w:pgMar w:left="1440" w:top="1440" w:right="1440"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71" w:lineRule="exact"/>
        <w:rPr>
          <w:sz w:val="20"/>
          <w:szCs w:val="20"/>
          <w:color w:val="auto"/>
        </w:rPr>
      </w:pPr>
    </w:p>
    <w:p>
      <w:pPr>
        <w:ind w:left="680" w:hanging="186"/>
        <w:spacing w:after="0"/>
        <w:tabs>
          <w:tab w:leader="none" w:pos="6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100" w:firstLine="494"/>
        <w:spacing w:after="0" w:line="342" w:lineRule="auto"/>
        <w:tabs>
          <w:tab w:leader="none" w:pos="666" w:val="left"/>
        </w:tabs>
        <w:numPr>
          <w:ilvl w:val="0"/>
          <w:numId w:val="2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494"/>
        <w:spacing w:after="0" w:line="277" w:lineRule="auto"/>
        <w:tabs>
          <w:tab w:leader="none" w:pos="66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440"/>
        <w:spacing w:after="0" w:line="263" w:lineRule="auto"/>
        <w:tabs>
          <w:tab w:leader="none" w:pos="122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200"/>
        <w:spacing w:after="0" w:line="263" w:lineRule="auto"/>
        <w:tabs>
          <w:tab w:leader="none" w:pos="123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320"/>
        <w:spacing w:after="0" w:line="342" w:lineRule="auto"/>
        <w:tabs>
          <w:tab w:leader="none" w:pos="1225" w:val="left"/>
        </w:tabs>
        <w:numPr>
          <w:ilvl w:val="1"/>
          <w:numId w:val="2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spacing w:after="0" w:line="263" w:lineRule="auto"/>
        <w:tabs>
          <w:tab w:leader="none" w:pos="123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60" w:firstLine="494"/>
        <w:spacing w:after="0" w:line="308" w:lineRule="auto"/>
        <w:tabs>
          <w:tab w:leader="none" w:pos="666"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40"/>
        <w:spacing w:after="0" w:line="308" w:lineRule="auto"/>
        <w:tabs>
          <w:tab w:leader="none" w:pos="1225"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20"/>
        <w:spacing w:after="0" w:line="277" w:lineRule="auto"/>
        <w:tabs>
          <w:tab w:leader="none" w:pos="123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4580" w:type="dxa"/>
            <w:vAlign w:val="bottom"/>
          </w:tcPr>
          <w:p>
            <w:pPr>
              <w:spacing w:after="0"/>
              <w:rPr>
                <w:sz w:val="20"/>
                <w:szCs w:val="20"/>
                <w:color w:val="auto"/>
              </w:rPr>
            </w:pPr>
            <w:r>
              <w:rPr>
                <w:rFonts w:ascii="Arial" w:cs="Arial" w:eastAsia="Arial" w:hAnsi="Arial"/>
                <w:sz w:val="18"/>
                <w:szCs w:val="18"/>
                <w:color w:val="auto"/>
              </w:rPr>
              <w:t>Date: May 10, 2021</w:t>
            </w: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F. Lesinski</w:t>
            </w:r>
          </w:p>
        </w:tc>
      </w:tr>
      <w:tr>
        <w:trPr>
          <w:trHeight w:val="222"/>
        </w:trPr>
        <w:tc>
          <w:tcPr>
            <w:tcW w:w="458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Thomas F. Lesinski</w:t>
            </w:r>
          </w:p>
        </w:tc>
      </w:tr>
      <w:tr>
        <w:trPr>
          <w:trHeight w:val="230"/>
        </w:trPr>
        <w:tc>
          <w:tcPr>
            <w:tcW w:w="458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4580" w:type="dxa"/>
            <w:vAlign w:val="bottom"/>
          </w:tcPr>
          <w:p>
            <w:pPr>
              <w:spacing w:after="0"/>
              <w:rPr>
                <w:sz w:val="21"/>
                <w:szCs w:val="21"/>
                <w:color w:val="auto"/>
              </w:rPr>
            </w:pPr>
          </w:p>
        </w:tc>
        <w:tc>
          <w:tcPr>
            <w:tcW w:w="66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Interim Principal Financial Officer)</w:t>
            </w:r>
          </w:p>
        </w:tc>
      </w:tr>
    </w:tbl>
    <w:p>
      <w:pPr>
        <w:sectPr>
          <w:pgSz w:w="11900" w:h="16838" w:orient="portrait"/>
          <w:cols w:equalWidth="0" w:num="1">
            <w:col w:w="11240"/>
          </w:cols>
          <w:pgMar w:left="320" w:top="891"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April 1, 2021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95" w:lineRule="exact"/>
        <w:rPr>
          <w:sz w:val="20"/>
          <w:szCs w:val="20"/>
          <w:color w:val="auto"/>
        </w:rPr>
      </w:pPr>
    </w:p>
    <w:p>
      <w:pPr>
        <w:ind w:left="680" w:hanging="186"/>
        <w:spacing w:after="0"/>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Date: May 10, 2021</w:t>
            </w: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F. Lesinski</w:t>
            </w:r>
          </w:p>
        </w:tc>
      </w:tr>
      <w:tr>
        <w:trPr>
          <w:trHeight w:val="229"/>
        </w:trPr>
        <w:tc>
          <w:tcPr>
            <w:tcW w:w="430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Thomas F. Lesinski</w:t>
            </w:r>
          </w:p>
        </w:tc>
      </w:tr>
      <w:tr>
        <w:trPr>
          <w:trHeight w:val="230"/>
        </w:trPr>
        <w:tc>
          <w:tcPr>
            <w:tcW w:w="4300" w:type="dxa"/>
            <w:vAlign w:val="bottom"/>
          </w:tcPr>
          <w:p>
            <w:pPr>
              <w:spacing w:after="0"/>
              <w:rPr>
                <w:sz w:val="20"/>
                <w:szCs w:val="20"/>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4300" w:type="dxa"/>
            <w:vAlign w:val="bottom"/>
          </w:tcPr>
          <w:p>
            <w:pPr>
              <w:spacing w:after="0"/>
              <w:rPr>
                <w:sz w:val="21"/>
                <w:szCs w:val="21"/>
                <w:color w:val="auto"/>
              </w:rPr>
            </w:pPr>
          </w:p>
        </w:tc>
        <w:tc>
          <w:tcPr>
            <w:tcW w:w="69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Interim Principal Financial Officer)</w:t>
            </w:r>
          </w:p>
        </w:tc>
      </w:tr>
    </w:tbl>
    <w:p>
      <w:pPr>
        <w:spacing w:after="0" w:line="2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
      <w:numFmt w:val="bullet"/>
      <w:start w:val="1"/>
    </w:lvl>
  </w:abstractNum>
  <w:abstractNum w:abstractNumId="3">
    <w:nsid w:val="51088277"/>
    <w:multiLevelType w:val="hybridMultilevel"/>
    <w:lvl w:ilvl="0">
      <w:lvlJc w:val="left"/>
      <w:lvlText w:val="•"/>
      <w:numFmt w:val="bullet"/>
      <w:start w:val="1"/>
    </w:lvl>
  </w:abstractNum>
  <w:abstractNum w:abstractNumId="4">
    <w:nsid w:val="1CA0C5FA"/>
    <w:multiLevelType w:val="hybridMultilevel"/>
    <w:lvl w:ilvl="0">
      <w:lvlJc w:val="left"/>
      <w:lvlText w:val="(%1)"/>
      <w:numFmt w:val="decimal"/>
      <w:start w:val="1"/>
    </w:lvl>
  </w:abstractNum>
  <w:abstractNum w:abstractNumId="5">
    <w:nsid w:val="53584BCB"/>
    <w:multiLevelType w:val="hybridMultilevel"/>
    <w:lvl w:ilvl="0">
      <w:lvlJc w:val="left"/>
      <w:lvlText w:val="(%1)"/>
      <w:numFmt w:val="decimal"/>
      <w:start w:val="1"/>
    </w:lvl>
  </w:abstractNum>
  <w:abstractNum w:abstractNumId="6">
    <w:nsid w:val="415E286C"/>
    <w:multiLevelType w:val="hybridMultilevel"/>
    <w:lvl w:ilvl="0">
      <w:lvlJc w:val="left"/>
      <w:lvlText w:val="(%1)"/>
      <w:numFmt w:val="decimal"/>
      <w:start w:val="1"/>
    </w:lvl>
  </w:abstractNum>
  <w:abstractNum w:abstractNumId="7">
    <w:nsid w:val="7C58FD05"/>
    <w:multiLevelType w:val="hybridMultilevel"/>
    <w:lvl w:ilvl="0">
      <w:lvlJc w:val="left"/>
      <w:lvlText w:val="(%1)"/>
      <w:numFmt w:val="decimal"/>
      <w:start w:val="1"/>
    </w:lvl>
  </w:abstractNum>
  <w:abstractNum w:abstractNumId="8">
    <w:nsid w:val="23D86AAC"/>
    <w:multiLevelType w:val="hybridMultilevel"/>
    <w:lvl w:ilvl="0">
      <w:lvlJc w:val="left"/>
      <w:lvlText w:val="(%1)"/>
      <w:numFmt w:val="decimal"/>
      <w:start w:val="1"/>
    </w:lvl>
  </w:abstractNum>
  <w:abstractNum w:abstractNumId="9">
    <w:nsid w:val="45E6D486"/>
    <w:multiLevelType w:val="hybridMultilevel"/>
    <w:lvl w:ilvl="0">
      <w:lvlJc w:val="left"/>
      <w:lvlText w:val="(%1)"/>
      <w:numFmt w:val="decimal"/>
      <w:start w:val="1"/>
    </w:lvl>
  </w:abstractNum>
  <w:abstractNum w:abstractNumId="10">
    <w:nsid w:val="5C10FE21"/>
    <w:multiLevelType w:val="hybridMultilevel"/>
    <w:lvl w:ilvl="0">
      <w:lvlJc w:val="left"/>
      <w:lvlText w:val="%1"/>
      <w:numFmt w:val="decimal"/>
      <w:start w:val="1"/>
    </w:lvl>
    <w:lvl w:ilvl="1">
      <w:lvlJc w:val="left"/>
      <w:lvlText w:val="(%2)"/>
      <w:numFmt w:val="decimal"/>
      <w:start w:val="1"/>
    </w:lvl>
  </w:abstractNum>
  <w:abstractNum w:abstractNumId="11">
    <w:nsid w:val="E7FFA2B"/>
    <w:multiLevelType w:val="hybridMultilevel"/>
    <w:lvl w:ilvl="0">
      <w:lvlJc w:val="left"/>
      <w:lvlText w:val="%1."/>
      <w:numFmt w:val="decimal"/>
      <w:start w:val="10"/>
    </w:lvl>
    <w:lvl w:ilvl="1">
      <w:lvlJc w:val="left"/>
      <w:lvlText w:val="%2"/>
      <w:numFmt w:val="decimal"/>
      <w:start w:val="1"/>
    </w:lvl>
  </w:abstractNum>
  <w:abstractNum w:abstractNumId="12">
    <w:nsid w:val="3C5991AA"/>
    <w:multiLevelType w:val="hybridMultilevel"/>
    <w:lvl w:ilvl="0">
      <w:lvlJc w:val="left"/>
      <w:lvlText w:val="•"/>
      <w:numFmt w:val="bullet"/>
      <w:start w:val="1"/>
    </w:lvl>
  </w:abstractNum>
  <w:abstractNum w:abstractNumId="13">
    <w:nsid w:val="4BD8591A"/>
    <w:multiLevelType w:val="hybridMultilevel"/>
    <w:lvl w:ilvl="0">
      <w:lvlJc w:val="left"/>
      <w:lvlText w:val="•"/>
      <w:numFmt w:val="bullet"/>
      <w:start w:val="1"/>
    </w:lvl>
  </w:abstractNum>
  <w:abstractNum w:abstractNumId="14">
    <w:nsid w:val="78DF6A55"/>
    <w:multiLevelType w:val="hybridMultilevel"/>
    <w:lvl w:ilvl="0">
      <w:lvlJc w:val="left"/>
      <w:lvlText w:val="(%1)"/>
      <w:numFmt w:val="decimal"/>
      <w:start w:val="1"/>
    </w:lvl>
  </w:abstractNum>
  <w:abstractNum w:abstractNumId="15">
    <w:nsid w:val="39B7AAA2"/>
    <w:multiLevelType w:val="hybridMultilevel"/>
    <w:lvl w:ilvl="0">
      <w:lvlJc w:val="left"/>
      <w:lvlText w:val="(%1)"/>
      <w:numFmt w:val="decimal"/>
      <w:start w:val="1"/>
    </w:lvl>
  </w:abstractNum>
  <w:abstractNum w:abstractNumId="16">
    <w:nsid w:val="2B0D8DBE"/>
    <w:multiLevelType w:val="hybridMultilevel"/>
    <w:lvl w:ilvl="0">
      <w:lvlJc w:val="left"/>
      <w:lvlText w:val="(%1)"/>
      <w:numFmt w:val="decimal"/>
      <w:start w:val="1"/>
    </w:lvl>
  </w:abstractNum>
  <w:abstractNum w:abstractNumId="17">
    <w:nsid w:val="6C80EC70"/>
    <w:multiLevelType w:val="hybridMultilevel"/>
    <w:lvl w:ilvl="0">
      <w:lvlJc w:val="left"/>
      <w:lvlText w:val="(%1)"/>
      <w:numFmt w:val="decimal"/>
      <w:start w:val="1"/>
    </w:lvl>
  </w:abstractNum>
  <w:abstractNum w:abstractNumId="18">
    <w:nsid w:val="379E21B5"/>
    <w:multiLevelType w:val="hybridMultilevel"/>
    <w:lvl w:ilvl="0">
      <w:lvlJc w:val="left"/>
      <w:lvlText w:val="(%1)"/>
      <w:numFmt w:val="decimal"/>
      <w:start w:val="1"/>
    </w:lvl>
  </w:abstractNum>
  <w:abstractNum w:abstractNumId="19">
    <w:nsid w:val="69E373"/>
    <w:multiLevelType w:val="hybridMultilevel"/>
    <w:lvl w:ilvl="0">
      <w:lvlJc w:val="left"/>
      <w:lvlText w:val="•"/>
      <w:numFmt w:val="bullet"/>
      <w:start w:val="1"/>
    </w:lvl>
    <w:lvl w:ilvl="1">
      <w:lvlJc w:val="left"/>
      <w:lvlText w:val="•"/>
      <w:numFmt w:val="bullet"/>
      <w:start w:val="1"/>
    </w:lvl>
  </w:abstractNum>
  <w:abstractNum w:abstractNumId="20">
    <w:nsid w:val="2C27173B"/>
    <w:multiLevelType w:val="hybridMultilevel"/>
    <w:lvl w:ilvl="0">
      <w:lvlJc w:val="left"/>
      <w:lvlText w:val="•"/>
      <w:numFmt w:val="bullet"/>
      <w:start w:val="1"/>
    </w:lvl>
  </w:abstractNum>
  <w:abstractNum w:abstractNumId="21">
    <w:nsid w:val="4C9B0904"/>
    <w:multiLevelType w:val="hybridMultilevel"/>
    <w:lvl w:ilvl="0">
      <w:lvlJc w:val="left"/>
      <w:lvlText w:val="*"/>
      <w:numFmt w:val="bullet"/>
      <w:start w:val="1"/>
    </w:lvl>
  </w:abstractNum>
  <w:abstractNum w:abstractNumId="22">
    <w:nsid w:val="6AA7B75C"/>
    <w:multiLevelType w:val="hybridMultilevel"/>
    <w:lvl w:ilvl="0">
      <w:lvlJc w:val="left"/>
      <w:lvlText w:val="**"/>
      <w:numFmt w:val="bullet"/>
      <w:start w:val="1"/>
    </w:lvl>
  </w:abstractNum>
  <w:abstractNum w:abstractNumId="23">
    <w:nsid w:val="1DF029D3"/>
    <w:multiLevelType w:val="hybridMultilevel"/>
    <w:lvl w:ilvl="0">
      <w:lvlJc w:val="left"/>
      <w:lvlText w:val="(%1)"/>
      <w:numFmt w:val="decimal"/>
      <w:start w:val="1"/>
    </w:lvl>
  </w:abstractNum>
  <w:abstractNum w:abstractNumId="24">
    <w:nsid w:val="5675FF36"/>
    <w:multiLevelType w:val="hybridMultilevel"/>
    <w:lvl w:ilvl="0">
      <w:lvlJc w:val="left"/>
      <w:lvlText w:val="(%1)"/>
      <w:numFmt w:val="lowerLetter"/>
      <w:start w:val="1"/>
    </w:lvl>
  </w:abstractNum>
  <w:abstractNum w:abstractNumId="25">
    <w:nsid w:val="3DD15094"/>
    <w:multiLevelType w:val="hybridMultilevel"/>
    <w:lvl w:ilvl="0">
      <w:lvlJc w:val="left"/>
      <w:lvlText w:val="(%1)"/>
      <w:numFmt w:val="lowerLetter"/>
      <w:start w:val="3"/>
    </w:lvl>
  </w:abstractNum>
  <w:abstractNum w:abstractNumId="26">
    <w:nsid w:val="3DB012B3"/>
    <w:multiLevelType w:val="hybridMultilevel"/>
    <w:lvl w:ilvl="0">
      <w:lvlJc w:val="left"/>
      <w:lvlText w:val="(%1)"/>
      <w:numFmt w:val="lowerLetter"/>
      <w:start w:val="1"/>
    </w:lvl>
  </w:abstractNum>
  <w:abstractNum w:abstractNumId="27">
    <w:nsid w:val="2708C9AF"/>
    <w:multiLevelType w:val="hybridMultilevel"/>
    <w:lvl w:ilvl="0">
      <w:lvlJc w:val="left"/>
      <w:lvlText w:val="(%1)"/>
      <w:numFmt w:val="lowerLetter"/>
      <w:start w:val="4"/>
    </w:lvl>
  </w:abstractNum>
  <w:abstractNum w:abstractNumId="28">
    <w:nsid w:val="5B25ACE2"/>
    <w:multiLevelType w:val="hybridMultilevel"/>
    <w:lvl w:ilvl="0">
      <w:lvlJc w:val="left"/>
      <w:lvlText w:val="(%1)"/>
      <w:numFmt w:val="lowerLetter"/>
      <w:start w:val="1"/>
    </w:lvl>
  </w:abstractNum>
  <w:abstractNum w:abstractNumId="29">
    <w:nsid w:val="175DFCF0"/>
    <w:multiLevelType w:val="hybridMultilevel"/>
    <w:lvl w:ilvl="0">
      <w:lvlJc w:val="left"/>
      <w:lvlText w:val="(%1)"/>
      <w:numFmt w:val="lowerLetter"/>
      <w:start w:val="1"/>
    </w:lvl>
    <w:lvl w:ilvl="1">
      <w:lvlJc w:val="left"/>
      <w:lvlText w:val="(%2)"/>
      <w:numFmt w:val="lowerRoman"/>
      <w:start w:val="1"/>
    </w:lvl>
  </w:abstractNum>
  <w:abstractNum w:abstractNumId="30">
    <w:nsid w:val="4F97E3E4"/>
    <w:multiLevelType w:val="hybridMultilevel"/>
    <w:lvl w:ilvl="0">
      <w:lvlJc w:val="left"/>
      <w:lvlText w:val="%1"/>
      <w:numFmt w:val="upperLetter"/>
      <w:start w:val="40"/>
    </w:lvl>
  </w:abstractNum>
  <w:abstractNum w:abstractNumId="31">
    <w:nsid w:val="53B0A9E"/>
    <w:multiLevelType w:val="hybridMultilevel"/>
    <w:lvl w:ilvl="0">
      <w:lvlJc w:val="left"/>
      <w:lvlText w:val="1"/>
      <w:numFmt w:val="bullet"/>
      <w:start w:val="1"/>
    </w:lvl>
  </w:abstractNum>
  <w:abstractNum w:abstractNumId="32">
    <w:nsid w:val="34FD6B4F"/>
    <w:multiLevelType w:val="hybridMultilevel"/>
    <w:lvl w:ilvl="0">
      <w:lvlJc w:val="left"/>
      <w:lvlText w:val="(%1)"/>
      <w:numFmt w:val="lowerLetter"/>
      <w:start w:val="1"/>
    </w:lvl>
  </w:abstractNum>
  <w:abstractNum w:abstractNumId="33">
    <w:nsid w:val="5915FF32"/>
    <w:multiLevelType w:val="hybridMultilevel"/>
    <w:lvl w:ilvl="0">
      <w:lvlJc w:val="left"/>
      <w:lvlText w:val="(%1)"/>
      <w:numFmt w:val="lowerLetter"/>
      <w:start w:val="1"/>
    </w:lvl>
  </w:abstractNum>
  <w:abstractNum w:abstractNumId="34">
    <w:nsid w:val="56438D15"/>
    <w:multiLevelType w:val="hybridMultilevel"/>
    <w:lvl w:ilvl="0">
      <w:lvlJc w:val="left"/>
      <w:lvlText w:val="(%1)"/>
      <w:numFmt w:val="decimal"/>
      <w:start w:val="519"/>
    </w:lvl>
  </w:abstractNum>
  <w:abstractNum w:abstractNumId="35">
    <w:nsid w:val="519E3149"/>
    <w:multiLevelType w:val="hybridMultilevel"/>
    <w:lvl w:ilvl="0">
      <w:lvlJc w:val="left"/>
      <w:lvlText w:val="(%1)"/>
      <w:numFmt w:val="lowerLetter"/>
      <w:start w:val="1"/>
    </w:lvl>
  </w:abstractNum>
  <w:abstractNum w:abstractNumId="36">
    <w:nsid w:val="2C6E4AFD"/>
    <w:multiLevelType w:val="hybridMultilevel"/>
    <w:lvl w:ilvl="0">
      <w:lvlJc w:val="left"/>
      <w:lvlText w:val="(%1)"/>
      <w:numFmt w:val="decimal"/>
      <w:start w:val="1"/>
    </w:lvl>
  </w:abstractNum>
  <w:abstractNum w:abstractNumId="37">
    <w:nsid w:val="17A1B582"/>
    <w:multiLevelType w:val="hybridMultilevel"/>
    <w:lvl w:ilvl="0">
      <w:lvlJc w:val="left"/>
      <w:lvlText w:val="(%1)"/>
      <w:numFmt w:val="lowerLetter"/>
      <w:start w:val="2"/>
    </w:lvl>
  </w:abstractNum>
  <w:abstractNum w:abstractNumId="38">
    <w:nsid w:val="4DF72E4E"/>
    <w:multiLevelType w:val="hybridMultilevel"/>
    <w:lvl w:ilvl="0">
      <w:lvlJc w:val="left"/>
      <w:lvlText w:val="(%1)"/>
      <w:numFmt w:val="lowerRoman"/>
      <w:start w:val="4"/>
    </w:lvl>
  </w:abstractNum>
  <w:abstractNum w:abstractNumId="39">
    <w:nsid w:val="5046B5A9"/>
    <w:multiLevelType w:val="hybridMultilevel"/>
    <w:lvl w:ilvl="0">
      <w:lvlJc w:val="left"/>
      <w:lvlText w:val="(%1)"/>
      <w:numFmt w:val="lowerRoman"/>
      <w:start w:val="16"/>
    </w:lvl>
  </w:abstractNum>
  <w:abstractNum w:abstractNumId="40">
    <w:nsid w:val="5D888A08"/>
    <w:multiLevelType w:val="hybridMultilevel"/>
    <w:lvl w:ilvl="0">
      <w:lvlJc w:val="left"/>
      <w:lvlText w:val="2"/>
      <w:numFmt w:val="bullet"/>
      <w:start w:val="1"/>
    </w:lvl>
  </w:abstractNum>
  <w:abstractNum w:abstractNumId="41">
    <w:nsid w:val="2A082C70"/>
    <w:multiLevelType w:val="hybridMultilevel"/>
    <w:lvl w:ilvl="0">
      <w:lvlJc w:val="left"/>
      <w:lvlText w:val="(%1)"/>
      <w:numFmt w:val="lowerLetter"/>
      <w:start w:val="1"/>
    </w:lvl>
  </w:abstractNum>
  <w:abstractNum w:abstractNumId="42">
    <w:nsid w:val="5EC6AFD4"/>
    <w:multiLevelType w:val="hybridMultilevel"/>
    <w:lvl w:ilvl="0">
      <w:lvlJc w:val="left"/>
      <w:lvlText w:val="(%1)"/>
      <w:numFmt w:val="lowerLetter"/>
      <w:start w:val="2"/>
    </w:lvl>
  </w:abstractNum>
  <w:abstractNum w:abstractNumId="43">
    <w:nsid w:val="19E21BB2"/>
    <w:multiLevelType w:val="hybridMultilevel"/>
    <w:lvl w:ilvl="0">
      <w:lvlJc w:val="left"/>
      <w:lvlText w:val="(%1)"/>
      <w:numFmt w:val="lowerLetter"/>
      <w:start w:val="1"/>
    </w:lvl>
  </w:abstractNum>
  <w:abstractNum w:abstractNumId="44">
    <w:nsid w:val="75E0858A"/>
    <w:multiLevelType w:val="hybridMultilevel"/>
    <w:lvl w:ilvl="0">
      <w:lvlJc w:val="left"/>
      <w:lvlText w:val="(%1)"/>
      <w:numFmt w:val="lowerLetter"/>
      <w:start w:val="6"/>
    </w:lvl>
  </w:abstractNum>
  <w:abstractNum w:abstractNumId="45">
    <w:nsid w:val="57A61A29"/>
    <w:multiLevelType w:val="hybridMultilevel"/>
    <w:lvl w:ilvl="0">
      <w:lvlJc w:val="left"/>
      <w:lvlText w:val="(%1)"/>
      <w:numFmt w:val="lowerLetter"/>
      <w:start w:val="2"/>
    </w:lvl>
  </w:abstractNum>
  <w:abstractNum w:abstractNumId="46">
    <w:nsid w:val="5399C654"/>
    <w:multiLevelType w:val="hybridMultilevel"/>
    <w:lvl w:ilvl="0">
      <w:lvlJc w:val="left"/>
      <w:lvlText w:val="(%1)"/>
      <w:numFmt w:val="lowerLetter"/>
      <w:start w:val="4"/>
    </w:lvl>
  </w:abstractNum>
  <w:abstractNum w:abstractNumId="47">
    <w:nsid w:val="20EE1348"/>
    <w:multiLevelType w:val="hybridMultilevel"/>
    <w:lvl w:ilvl="0">
      <w:lvlJc w:val="left"/>
      <w:lvlText w:val="(%1)"/>
      <w:numFmt w:val="lowerLetter"/>
      <w:start w:val="35"/>
    </w:lvl>
  </w:abstractNum>
  <w:abstractNum w:abstractNumId="48">
    <w:nsid w:val="4427069A"/>
    <w:multiLevelType w:val="hybridMultilevel"/>
    <w:lvl w:ilvl="0">
      <w:lvlJc w:val="left"/>
      <w:lvlText w:val="(%1)"/>
      <w:numFmt w:val="lowerRoman"/>
      <w:start w:val="2"/>
    </w:lvl>
  </w:abstractNum>
  <w:abstractNum w:abstractNumId="49">
    <w:nsid w:val="B37E80A"/>
    <w:multiLevelType w:val="hybridMultilevel"/>
    <w:lvl w:ilvl="0">
      <w:lvlJc w:val="left"/>
      <w:lvlText w:val="(%1)"/>
      <w:numFmt w:val="lowerRoman"/>
      <w:start w:val="4"/>
    </w:lvl>
  </w:abstractNum>
  <w:abstractNum w:abstractNumId="50">
    <w:nsid w:val="2157F6BC"/>
    <w:multiLevelType w:val="hybridMultilevel"/>
    <w:lvl w:ilvl="0">
      <w:lvlJc w:val="left"/>
      <w:lvlText w:val="(%1)"/>
      <w:numFmt w:val="lowerLetter"/>
      <w:start w:val="1"/>
    </w:lvl>
  </w:abstractNum>
  <w:abstractNum w:abstractNumId="51">
    <w:nsid w:val="704E1DD5"/>
    <w:multiLevelType w:val="hybridMultilevel"/>
    <w:lvl w:ilvl="0">
      <w:lvlJc w:val="left"/>
      <w:lvlText w:val="(%1)"/>
      <w:numFmt w:val="lowerLetter"/>
      <w:start w:val="2"/>
    </w:lvl>
  </w:abstractNum>
  <w:abstractNum w:abstractNumId="52">
    <w:nsid w:val="57D2F10E"/>
    <w:multiLevelType w:val="hybridMultilevel"/>
    <w:lvl w:ilvl="0">
      <w:lvlJc w:val="left"/>
      <w:lvlText w:val="(%1)"/>
      <w:numFmt w:val="lowerLetter"/>
      <w:start w:val="8"/>
    </w:lvl>
  </w:abstractNum>
  <w:abstractNum w:abstractNumId="53">
    <w:nsid w:val="BFFAE18"/>
    <w:multiLevelType w:val="hybridMultilevel"/>
    <w:lvl w:ilvl="0">
      <w:lvlJc w:val="left"/>
      <w:lvlText w:val="(%1)"/>
      <w:numFmt w:val="decimal"/>
      <w:start w:val="1"/>
    </w:lvl>
  </w:abstractNum>
  <w:abstractNum w:abstractNumId="54">
    <w:nsid w:val="E3E47A8"/>
    <w:multiLevelType w:val="hybridMultilevel"/>
    <w:lvl w:ilvl="0">
      <w:lvlJc w:val="left"/>
      <w:lvlText w:val="(%1)"/>
      <w:numFmt w:val="lowerLetter"/>
      <w:start w:val="1"/>
    </w:lvl>
  </w:abstractNum>
  <w:abstractNum w:abstractNumId="55">
    <w:nsid w:val="2E48F044"/>
    <w:multiLevelType w:val="hybridMultilevel"/>
    <w:lvl w:ilvl="0">
      <w:lvlJc w:val="left"/>
      <w:lvlText w:val="(%1)"/>
      <w:numFmt w:val="lowerLetter"/>
      <w:start w:val="2"/>
    </w:lvl>
  </w:abstractNum>
  <w:abstractNum w:abstractNumId="56">
    <w:nsid w:val="49D0FEAC"/>
    <w:multiLevelType w:val="hybridMultilevel"/>
    <w:lvl w:ilvl="0">
      <w:lvlJc w:val="left"/>
      <w:lvlText w:val="(%1)"/>
      <w:numFmt w:val="lowerLetter"/>
      <w:start w:val="4"/>
    </w:lvl>
  </w:abstractNum>
  <w:abstractNum w:abstractNumId="57">
    <w:nsid w:val="4BEE5A5B"/>
    <w:multiLevelType w:val="hybridMultilevel"/>
    <w:lvl w:ilvl="0">
      <w:lvlJc w:val="left"/>
      <w:lvlText w:val="(%1)"/>
      <w:numFmt w:val="lowerLetter"/>
      <w:start w:val="2"/>
    </w:lvl>
  </w:abstractNum>
  <w:abstractNum w:abstractNumId="58">
    <w:nsid w:val="5551B9F3"/>
    <w:multiLevelType w:val="hybridMultilevel"/>
    <w:lvl w:ilvl="0">
      <w:lvlJc w:val="left"/>
      <w:lvlText w:val="(%1)"/>
      <w:numFmt w:val="lowerLetter"/>
      <w:start w:val="1"/>
    </w:lvl>
  </w:abstractNum>
  <w:abstractNum w:abstractNumId="59">
    <w:nsid w:val="24F6AB8E"/>
    <w:multiLevelType w:val="hybridMultilevel"/>
    <w:lvl w:ilvl="0">
      <w:lvlJc w:val="left"/>
      <w:lvlText w:val="(%1)"/>
      <w:numFmt w:val="lowerLetter"/>
      <w:start w:val="2"/>
    </w:lvl>
  </w:abstractNum>
  <w:abstractNum w:abstractNumId="60">
    <w:nsid w:val="634C574C"/>
    <w:multiLevelType w:val="hybridMultilevel"/>
    <w:lvl w:ilvl="0">
      <w:lvlJc w:val="left"/>
      <w:lvlText w:val="(%1)"/>
      <w:numFmt w:val="lowerLetter"/>
      <w:start w:val="3"/>
    </w:lvl>
  </w:abstractNum>
  <w:abstractNum w:abstractNumId="61">
    <w:nsid w:val="24E99DD7"/>
    <w:multiLevelType w:val="hybridMultilevel"/>
    <w:lvl w:ilvl="0">
      <w:lvlJc w:val="left"/>
      <w:lvlText w:val="(%1)"/>
      <w:numFmt w:val="lowerRoman"/>
      <w:start w:val="1"/>
    </w:lvl>
  </w:abstractNum>
  <w:abstractNum w:abstractNumId="62">
    <w:nsid w:val="2A31B62D"/>
    <w:multiLevelType w:val="hybridMultilevel"/>
    <w:lvl w:ilvl="0">
      <w:lvlJc w:val="left"/>
      <w:lvlText w:val="%1"/>
      <w:numFmt w:val="lowerLetter"/>
      <w:start w:val="1"/>
    </w:lvl>
    <w:lvl w:ilvl="1">
      <w:lvlJc w:val="left"/>
      <w:lvlText w:val="(%2)"/>
      <w:numFmt w:val="lowerLetter"/>
      <w:start w:val="2"/>
    </w:lvl>
  </w:abstractNum>
  <w:abstractNum w:abstractNumId="63">
    <w:nsid w:val="1849C29B"/>
    <w:multiLevelType w:val="hybridMultilevel"/>
    <w:lvl w:ilvl="0">
      <w:lvlJc w:val="left"/>
      <w:lvlText w:val="(%1)"/>
      <w:numFmt w:val="lowerLetter"/>
      <w:start w:val="61"/>
    </w:lvl>
    <w:lvl w:ilvl="1">
      <w:lvlJc w:val="left"/>
      <w:lvlText w:val="(%2)"/>
      <w:numFmt w:val="lowerLetter"/>
      <w:start w:val="4"/>
    </w:lvl>
  </w:abstractNum>
  <w:abstractNum w:abstractNumId="64">
    <w:nsid w:val="7DFF9D09"/>
    <w:multiLevelType w:val="hybridMultilevel"/>
    <w:lvl w:ilvl="0">
      <w:lvlJc w:val="left"/>
      <w:lvlText w:val="(%1)"/>
      <w:numFmt w:val="lowerLetter"/>
      <w:start w:val="2"/>
    </w:lvl>
  </w:abstractNum>
  <w:abstractNum w:abstractNumId="65">
    <w:nsid w:val="754342"/>
    <w:multiLevelType w:val="hybridMultilevel"/>
    <w:lvl w:ilvl="0">
      <w:lvlJc w:val="left"/>
      <w:lvlText w:val="(%1)"/>
      <w:numFmt w:val="lowerLetter"/>
      <w:start w:val="1"/>
    </w:lvl>
  </w:abstractNum>
  <w:abstractNum w:abstractNumId="66">
    <w:nsid w:val="69E7F3E5"/>
    <w:multiLevelType w:val="hybridMultilevel"/>
    <w:lvl w:ilvl="0">
      <w:lvlJc w:val="left"/>
      <w:lvlText w:val="(%1)"/>
      <w:numFmt w:val="lowerLetter"/>
      <w:start w:val="2"/>
    </w:lvl>
  </w:abstractNum>
  <w:abstractNum w:abstractNumId="67">
    <w:nsid w:val="2A6DE806"/>
    <w:multiLevelType w:val="hybridMultilevel"/>
    <w:lvl w:ilvl="0">
      <w:lvlJc w:val="left"/>
      <w:lvlText w:val="(%1)"/>
      <w:numFmt w:val="lowerLetter"/>
      <w:start w:val="2"/>
    </w:lvl>
  </w:abstractNum>
  <w:abstractNum w:abstractNumId="68">
    <w:nsid w:val="1816F8C4"/>
    <w:multiLevelType w:val="hybridMultilevel"/>
    <w:lvl w:ilvl="0">
      <w:lvlJc w:val="left"/>
      <w:lvlText w:val="(%1)"/>
      <w:numFmt w:val="lowerLetter"/>
      <w:start w:val="3"/>
    </w:lvl>
  </w:abstractNum>
  <w:abstractNum w:abstractNumId="69">
    <w:nsid w:val="37DF2233"/>
    <w:multiLevelType w:val="hybridMultilevel"/>
    <w:lvl w:ilvl="0">
      <w:lvlJc w:val="left"/>
      <w:lvlText w:val="(%1)"/>
      <w:numFmt w:val="lowerRoman"/>
      <w:start w:val="1"/>
    </w:lvl>
    <w:lvl w:ilvl="1">
      <w:lvlJc w:val="left"/>
      <w:lvlText w:val="(%2)"/>
      <w:numFmt w:val="upperLetter"/>
      <w:start w:val="1"/>
    </w:lvl>
  </w:abstractNum>
  <w:abstractNum w:abstractNumId="70">
    <w:nsid w:val="7AB49DAF"/>
    <w:multiLevelType w:val="hybridMultilevel"/>
    <w:lvl w:ilvl="0">
      <w:lvlJc w:val="left"/>
      <w:lvlText w:val="(%1)"/>
      <w:numFmt w:val="upperLetter"/>
      <w:start w:val="2"/>
    </w:lvl>
  </w:abstractNum>
  <w:abstractNum w:abstractNumId="71">
    <w:nsid w:val="759F82CD"/>
    <w:multiLevelType w:val="hybridMultilevel"/>
    <w:lvl w:ilvl="0">
      <w:lvlJc w:val="left"/>
      <w:lvlText w:val="%1"/>
      <w:numFmt w:val="upperLetter"/>
      <w:start w:val="1"/>
    </w:lvl>
    <w:lvl w:ilvl="1">
      <w:lvlJc w:val="left"/>
      <w:lvlText w:val="(%2)"/>
      <w:numFmt w:val="upperLetter"/>
      <w:start w:val="1"/>
    </w:lvl>
  </w:abstractNum>
  <w:abstractNum w:abstractNumId="72">
    <w:nsid w:val="61E74EA3"/>
    <w:multiLevelType w:val="hybridMultilevel"/>
    <w:lvl w:ilvl="0">
      <w:lvlJc w:val="left"/>
      <w:lvlText w:val="(%1)"/>
      <w:numFmt w:val="upperLetter"/>
      <w:start w:val="9"/>
    </w:lvl>
    <w:lvl w:ilvl="1">
      <w:lvlJc w:val="left"/>
      <w:lvlText w:val="%2"/>
      <w:numFmt w:val="upperLetter"/>
      <w:start w:val="1"/>
    </w:lvl>
  </w:abstractNum>
  <w:abstractNum w:abstractNumId="73">
    <w:nsid w:val="597B4D84"/>
    <w:multiLevelType w:val="hybridMultilevel"/>
    <w:lvl w:ilvl="0">
      <w:lvlJc w:val="left"/>
      <w:lvlText w:val="(%1)"/>
      <w:numFmt w:val="upperLetter"/>
      <w:start w:val="35"/>
    </w:lvl>
    <w:lvl w:ilvl="1">
      <w:lvlJc w:val="left"/>
      <w:lvlText w:val="(%2)"/>
      <w:numFmt w:val="upperLetter"/>
      <w:start w:val="2"/>
    </w:lvl>
  </w:abstractNum>
  <w:abstractNum w:abstractNumId="74">
    <w:nsid w:val="F819E7F"/>
    <w:multiLevelType w:val="hybridMultilevel"/>
    <w:lvl w:ilvl="0">
      <w:lvlJc w:val="left"/>
      <w:lvlText w:val="(%1)"/>
      <w:numFmt w:val="upperLetter"/>
      <w:start w:val="3"/>
    </w:lvl>
  </w:abstractNum>
  <w:abstractNum w:abstractNumId="75">
    <w:nsid w:val="57C7D42D"/>
    <w:multiLevelType w:val="hybridMultilevel"/>
    <w:lvl w:ilvl="0">
      <w:lvlJc w:val="left"/>
      <w:lvlText w:val="(%1)"/>
      <w:numFmt w:val="upperLetter"/>
      <w:start w:val="1"/>
    </w:lvl>
  </w:abstractNum>
  <w:abstractNum w:abstractNumId="76">
    <w:nsid w:val="312167AD"/>
    <w:multiLevelType w:val="hybridMultilevel"/>
    <w:lvl w:ilvl="0">
      <w:lvlJc w:val="left"/>
      <w:lvlText w:val="(%1)"/>
      <w:numFmt w:val="upperLetter"/>
      <w:start w:val="3"/>
    </w:lvl>
  </w:abstractNum>
  <w:abstractNum w:abstractNumId="77">
    <w:nsid w:val="631B64D4"/>
    <w:multiLevelType w:val="hybridMultilevel"/>
    <w:lvl w:ilvl="0">
      <w:lvlJc w:val="left"/>
      <w:lvlText w:val="(%1)"/>
      <w:numFmt w:val="lowerLetter"/>
      <w:start w:val="4"/>
    </w:lvl>
  </w:abstractNum>
  <w:abstractNum w:abstractNumId="78">
    <w:nsid w:val="78B5E776"/>
    <w:multiLevelType w:val="hybridMultilevel"/>
    <w:lvl w:ilvl="0">
      <w:lvlJc w:val="left"/>
      <w:lvlText w:val="(%1)"/>
      <w:numFmt w:val="lowerLetter"/>
      <w:start w:val="5"/>
    </w:lvl>
  </w:abstractNum>
  <w:abstractNum w:abstractNumId="79">
    <w:nsid w:val="75486E47"/>
    <w:multiLevelType w:val="hybridMultilevel"/>
    <w:lvl w:ilvl="0">
      <w:lvlJc w:val="left"/>
      <w:lvlText w:val="(%1)"/>
      <w:numFmt w:val="lowerLetter"/>
      <w:start w:val="1"/>
    </w:lvl>
  </w:abstractNum>
  <w:abstractNum w:abstractNumId="80">
    <w:nsid w:val="6E534CDE"/>
    <w:multiLevelType w:val="hybridMultilevel"/>
    <w:lvl w:ilvl="0">
      <w:lvlJc w:val="left"/>
      <w:lvlText w:val="(%1)"/>
      <w:numFmt w:val="lowerLetter"/>
      <w:start w:val="4"/>
    </w:lvl>
  </w:abstractNum>
  <w:abstractNum w:abstractNumId="81">
    <w:nsid w:val="1A0DDE32"/>
    <w:multiLevelType w:val="hybridMultilevel"/>
    <w:lvl w:ilvl="0">
      <w:lvlJc w:val="left"/>
      <w:lvlText w:val="(%1)"/>
      <w:numFmt w:val="lowerLetter"/>
      <w:start w:val="35"/>
    </w:lvl>
    <w:lvl w:ilvl="1">
      <w:lvlJc w:val="left"/>
      <w:lvlText w:val="(%2)"/>
      <w:numFmt w:val="lowerLetter"/>
      <w:start w:val="2"/>
    </w:lvl>
  </w:abstractNum>
  <w:abstractNum w:abstractNumId="82">
    <w:nsid w:val="65968C1C"/>
    <w:multiLevelType w:val="hybridMultilevel"/>
    <w:lvl w:ilvl="0">
      <w:lvlJc w:val="left"/>
      <w:lvlText w:val="(%1)"/>
      <w:numFmt w:val="lowerLetter"/>
      <w:start w:val="2"/>
    </w:lvl>
  </w:abstractNum>
  <w:abstractNum w:abstractNumId="83">
    <w:nsid w:val="46263DEC"/>
    <w:multiLevelType w:val="hybridMultilevel"/>
    <w:lvl w:ilvl="0">
      <w:lvlJc w:val="left"/>
      <w:lvlText w:val="(%1)"/>
      <w:numFmt w:val="lowerLetter"/>
      <w:start w:val="2"/>
    </w:lvl>
  </w:abstractNum>
  <w:abstractNum w:abstractNumId="84">
    <w:nsid w:val="260D8C4A"/>
    <w:multiLevelType w:val="hybridMultilevel"/>
    <w:lvl w:ilvl="0">
      <w:lvlJc w:val="left"/>
      <w:lvlText w:val="(%1)"/>
      <w:numFmt w:val="lowerLetter"/>
      <w:start w:val="1"/>
    </w:lvl>
  </w:abstractNum>
  <w:abstractNum w:abstractNumId="85">
    <w:nsid w:val="73D4D3C4"/>
    <w:multiLevelType w:val="hybridMultilevel"/>
    <w:lvl w:ilvl="0">
      <w:lvlJc w:val="left"/>
      <w:lvlText w:val="(%1)"/>
      <w:numFmt w:val="lowerLetter"/>
      <w:start w:val="4"/>
    </w:lvl>
  </w:abstractNum>
  <w:abstractNum w:abstractNumId="86">
    <w:nsid w:val="746F2E30"/>
    <w:multiLevelType w:val="hybridMultilevel"/>
    <w:lvl w:ilvl="0">
      <w:lvlJc w:val="left"/>
      <w:lvlText w:val="(%1)"/>
      <w:numFmt w:val="lowerLetter"/>
      <w:start w:val="2"/>
    </w:lvl>
  </w:abstractNum>
  <w:abstractNum w:abstractNumId="87">
    <w:nsid w:val="6FDE8AF6"/>
    <w:multiLevelType w:val="hybridMultilevel"/>
    <w:lvl w:ilvl="0">
      <w:lvlJc w:val="left"/>
      <w:lvlText w:val="(%1)"/>
      <w:numFmt w:val="lowerLetter"/>
      <w:start w:val="3"/>
    </w:lvl>
  </w:abstractNum>
  <w:abstractNum w:abstractNumId="88">
    <w:nsid w:val="3FC32E20"/>
    <w:multiLevelType w:val="hybridMultilevel"/>
    <w:lvl w:ilvl="0">
      <w:lvlJc w:val="left"/>
      <w:lvlText w:val="(%1)"/>
      <w:numFmt w:val="lowerLetter"/>
      <w:start w:val="7"/>
    </w:lvl>
  </w:abstractNum>
  <w:abstractNum w:abstractNumId="89">
    <w:nsid w:val="49C0E823"/>
    <w:multiLevelType w:val="hybridMultilevel"/>
    <w:lvl w:ilvl="0">
      <w:lvlJc w:val="left"/>
      <w:lvlText w:val="(%1)"/>
      <w:numFmt w:val="lowerRoman"/>
      <w:start w:val="1"/>
    </w:lvl>
  </w:abstractNum>
  <w:abstractNum w:abstractNumId="90">
    <w:nsid w:val="14D53685"/>
    <w:multiLevelType w:val="hybridMultilevel"/>
    <w:lvl w:ilvl="0">
      <w:lvlJc w:val="left"/>
      <w:lvlText w:val="(%1)"/>
      <w:numFmt w:val="lowerLetter"/>
      <w:start w:val="2"/>
    </w:lvl>
  </w:abstractNum>
  <w:abstractNum w:abstractNumId="91">
    <w:nsid w:val="230F856C"/>
    <w:multiLevelType w:val="hybridMultilevel"/>
    <w:lvl w:ilvl="0">
      <w:lvlJc w:val="left"/>
      <w:lvlText w:val="(%1)"/>
      <w:numFmt w:val="lowerLetter"/>
      <w:start w:val="2"/>
    </w:lvl>
  </w:abstractNum>
  <w:abstractNum w:abstractNumId="92">
    <w:nsid w:val="6EAA85FB"/>
    <w:multiLevelType w:val="hybridMultilevel"/>
    <w:lvl w:ilvl="0">
      <w:lvlJc w:val="left"/>
      <w:lvlText w:val="(%1)"/>
      <w:numFmt w:val="lowerLetter"/>
      <w:start w:val="5"/>
    </w:lvl>
  </w:abstractNum>
  <w:abstractNum w:abstractNumId="93">
    <w:nsid w:val="3F06ECB2"/>
    <w:multiLevelType w:val="hybridMultilevel"/>
    <w:lvl w:ilvl="0">
      <w:lvlJc w:val="left"/>
      <w:lvlText w:val="(%1)"/>
      <w:numFmt w:val="lowerRoman"/>
      <w:start w:val="2"/>
    </w:lvl>
    <w:lvl w:ilvl="1">
      <w:lvlJc w:val="left"/>
      <w:lvlText w:val="(%2)"/>
      <w:numFmt w:val="upperLetter"/>
      <w:start w:val="8"/>
    </w:lvl>
    <w:lvl w:ilvl="2">
      <w:lvlJc w:val="left"/>
      <w:lvlText w:val="(%3)"/>
      <w:numFmt w:val="upperLetter"/>
      <w:start w:val="1"/>
    </w:lvl>
  </w:abstractNum>
  <w:abstractNum w:abstractNumId="94">
    <w:nsid w:val="3B594807"/>
    <w:multiLevelType w:val="hybridMultilevel"/>
    <w:lvl w:ilvl="0">
      <w:lvlJc w:val="left"/>
      <w:lvlText w:val="(%1)"/>
      <w:numFmt w:val="upperLetter"/>
      <w:start w:val="35"/>
    </w:lvl>
  </w:abstractNum>
  <w:abstractNum w:abstractNumId="95">
    <w:nsid w:val="6CAA2304"/>
    <w:multiLevelType w:val="hybridMultilevel"/>
    <w:lvl w:ilvl="0">
      <w:lvlJc w:val="left"/>
      <w:lvlText w:val="(%1)"/>
      <w:numFmt w:val="upperLetter"/>
      <w:start w:val="61"/>
    </w:lvl>
  </w:abstractNum>
  <w:abstractNum w:abstractNumId="96">
    <w:nsid w:val="3F7C2FF4"/>
    <w:multiLevelType w:val="hybridMultilevel"/>
    <w:lvl w:ilvl="0">
      <w:lvlJc w:val="left"/>
      <w:lvlText w:val="(%1)"/>
      <w:numFmt w:val="lowerLetter"/>
      <w:start w:val="61"/>
    </w:lvl>
    <w:lvl w:ilvl="1">
      <w:lvlJc w:val="left"/>
      <w:lvlText w:val="(%2)"/>
      <w:numFmt w:val="lowerLetter"/>
      <w:start w:val="6"/>
    </w:lvl>
  </w:abstractNum>
  <w:abstractNum w:abstractNumId="97">
    <w:nsid w:val="25413BEC"/>
    <w:multiLevelType w:val="hybridMultilevel"/>
    <w:lvl w:ilvl="0">
      <w:lvlJc w:val="left"/>
      <w:lvlText w:val="(%1)"/>
      <w:numFmt w:val="lowerLetter"/>
      <w:start w:val="8"/>
    </w:lvl>
  </w:abstractNum>
  <w:abstractNum w:abstractNumId="98">
    <w:nsid w:val="17180B0B"/>
    <w:multiLevelType w:val="hybridMultilevel"/>
    <w:lvl w:ilvl="0">
      <w:lvlJc w:val="left"/>
      <w:lvlText w:val="%1"/>
      <w:numFmt w:val="lowerLetter"/>
      <w:start w:val="1"/>
    </w:lvl>
    <w:lvl w:ilvl="1">
      <w:lvlJc w:val="left"/>
      <w:lvlText w:val="(%2)"/>
      <w:numFmt w:val="lowerLetter"/>
      <w:start w:val="1"/>
    </w:lvl>
  </w:abstractNum>
  <w:abstractNum w:abstractNumId="99">
    <w:nsid w:val="579328B9"/>
    <w:multiLevelType w:val="hybridMultilevel"/>
    <w:lvl w:ilvl="0">
      <w:lvlJc w:val="left"/>
      <w:lvlText w:val="(%1)"/>
      <w:numFmt w:val="lowerLetter"/>
      <w:start w:val="2"/>
    </w:lvl>
    <w:lvl w:ilvl="1">
      <w:lvlJc w:val="left"/>
      <w:lvlText w:val="%2"/>
      <w:numFmt w:val="lowerLetter"/>
      <w:start w:val="1"/>
    </w:lvl>
  </w:abstractNum>
  <w:abstractNum w:abstractNumId="100">
    <w:nsid w:val="5D205E20"/>
    <w:multiLevelType w:val="hybridMultilevel"/>
    <w:lvl w:ilvl="0">
      <w:lvlJc w:val="left"/>
      <w:lvlText w:val="(%1)"/>
      <w:numFmt w:val="lowerLetter"/>
      <w:start w:val="2"/>
    </w:lvl>
  </w:abstractNum>
  <w:abstractNum w:abstractNumId="101">
    <w:nsid w:val="11CCA8BA"/>
    <w:multiLevelType w:val="hybridMultilevel"/>
    <w:lvl w:ilvl="0">
      <w:lvlJc w:val="left"/>
      <w:lvlText w:val="(%1)"/>
      <w:numFmt w:val="lowerRoman"/>
      <w:start w:val="1"/>
    </w:lvl>
  </w:abstractNum>
  <w:abstractNum w:abstractNumId="102">
    <w:nsid w:val="4D32AB86"/>
    <w:multiLevelType w:val="hybridMultilevel"/>
    <w:lvl w:ilvl="0">
      <w:lvlJc w:val="left"/>
      <w:lvlText w:val="(%1)"/>
      <w:numFmt w:val="lowerLetter"/>
      <w:start w:val="3"/>
    </w:lvl>
  </w:abstractNum>
  <w:abstractNum w:abstractNumId="103">
    <w:nsid w:val="3F07ACC3"/>
    <w:multiLevelType w:val="hybridMultilevel"/>
    <w:lvl w:ilvl="0">
      <w:lvlJc w:val="left"/>
      <w:lvlText w:val="(%1)"/>
      <w:numFmt w:val="lowerRoman"/>
      <w:start w:val="1"/>
    </w:lvl>
    <w:lvl w:ilvl="1">
      <w:lvlJc w:val="left"/>
      <w:lvlText w:val="(%2)"/>
      <w:numFmt w:val="lowerRoman"/>
      <w:start w:val="9"/>
    </w:lvl>
    <w:lvl w:ilvl="2">
      <w:lvlJc w:val="left"/>
      <w:lvlText w:val="(%3)"/>
      <w:numFmt w:val="upperLetter"/>
      <w:start w:val="1"/>
    </w:lvl>
  </w:abstractNum>
  <w:abstractNum w:abstractNumId="104">
    <w:nsid w:val="6B47F63E"/>
    <w:multiLevelType w:val="hybridMultilevel"/>
    <w:lvl w:ilvl="0">
      <w:lvlJc w:val="left"/>
      <w:lvlText w:val="(%1)"/>
      <w:numFmt w:val="upperLetter"/>
      <w:start w:val="3"/>
    </w:lvl>
    <w:lvl w:ilvl="1">
      <w:lvlJc w:val="left"/>
      <w:lvlText w:val="(%2)"/>
      <w:numFmt w:val="upperLetter"/>
      <w:start w:val="9"/>
    </w:lvl>
  </w:abstractNum>
  <w:abstractNum w:abstractNumId="105">
    <w:nsid w:val="5CB44A05"/>
    <w:multiLevelType w:val="hybridMultilevel"/>
    <w:lvl w:ilvl="0">
      <w:lvlJc w:val="left"/>
      <w:lvlText w:val="%1"/>
      <w:numFmt w:val="upperLetter"/>
      <w:start w:val="1"/>
    </w:lvl>
    <w:lvl w:ilvl="1">
      <w:lvlJc w:val="left"/>
      <w:lvlText w:val="(%2)"/>
      <w:numFmt w:val="upperLetter"/>
      <w:start w:val="35"/>
    </w:lvl>
  </w:abstractNum>
  <w:abstractNum w:abstractNumId="106">
    <w:nsid w:val="16CF80F1"/>
    <w:multiLevelType w:val="hybridMultilevel"/>
    <w:lvl w:ilvl="0">
      <w:lvlJc w:val="left"/>
      <w:lvlText w:val="(%1)"/>
      <w:numFmt w:val="upperLetter"/>
      <w:start w:val="4"/>
    </w:lvl>
    <w:lvl w:ilvl="1">
      <w:lvlJc w:val="left"/>
      <w:lvlText w:val="%2"/>
      <w:numFmt w:val="upperLetter"/>
      <w:start w:val="1"/>
    </w:lvl>
  </w:abstractNum>
  <w:abstractNum w:abstractNumId="107">
    <w:nsid w:val="1C695DEC"/>
    <w:multiLevelType w:val="hybridMultilevel"/>
    <w:lvl w:ilvl="0">
      <w:lvlJc w:val="left"/>
      <w:lvlText w:val="%1"/>
      <w:numFmt w:val="lowerRoman"/>
      <w:start w:val="1"/>
    </w:lvl>
    <w:lvl w:ilvl="1">
      <w:lvlJc w:val="left"/>
      <w:lvlText w:val="(%2)"/>
      <w:numFmt w:val="upperLetter"/>
      <w:start w:val="5"/>
    </w:lvl>
  </w:abstractNum>
  <w:abstractNum w:abstractNumId="108">
    <w:nsid w:val="3FCFAED9"/>
    <w:multiLevelType w:val="hybridMultilevel"/>
    <w:lvl w:ilvl="0">
      <w:lvlJc w:val="left"/>
      <w:lvlText w:val="(%1)"/>
      <w:numFmt w:val="lowerRoman"/>
      <w:start w:val="2"/>
    </w:lvl>
    <w:lvl w:ilvl="1">
      <w:lvlJc w:val="left"/>
      <w:lvlText w:val="%2"/>
      <w:numFmt w:val="upperLetter"/>
      <w:start w:val="1"/>
    </w:lvl>
  </w:abstractNum>
  <w:abstractNum w:abstractNumId="109">
    <w:nsid w:val="F856867"/>
    <w:multiLevelType w:val="hybridMultilevel"/>
    <w:lvl w:ilvl="0">
      <w:lvlJc w:val="left"/>
      <w:lvlText w:val="(%1)"/>
      <w:numFmt w:val="upperLetter"/>
      <w:start w:val="1"/>
    </w:lvl>
  </w:abstractNum>
  <w:abstractNum w:abstractNumId="110">
    <w:nsid w:val="11B1CC33"/>
    <w:multiLevelType w:val="hybridMultilevel"/>
    <w:lvl w:ilvl="0">
      <w:lvlJc w:val="left"/>
      <w:lvlText w:val="(%1)"/>
      <w:numFmt w:val="lowerLetter"/>
      <w:start w:val="2"/>
    </w:lvl>
  </w:abstractNum>
  <w:abstractNum w:abstractNumId="111">
    <w:nsid w:val="2E22FBB7"/>
    <w:multiLevelType w:val="hybridMultilevel"/>
    <w:lvl w:ilvl="0">
      <w:lvlJc w:val="left"/>
      <w:lvlText w:val="(%1)"/>
      <w:numFmt w:val="lowerRoman"/>
      <w:start w:val="7"/>
    </w:lvl>
  </w:abstractNum>
  <w:abstractNum w:abstractNumId="112">
    <w:nsid w:val="29934699"/>
    <w:multiLevelType w:val="hybridMultilevel"/>
    <w:lvl w:ilvl="0">
      <w:lvlJc w:val="left"/>
      <w:lvlText w:val="(%1)"/>
      <w:numFmt w:val="lowerLetter"/>
      <w:start w:val="4"/>
    </w:lvl>
  </w:abstractNum>
  <w:abstractNum w:abstractNumId="113">
    <w:nsid w:val="77485850"/>
    <w:multiLevelType w:val="hybridMultilevel"/>
    <w:lvl w:ilvl="0">
      <w:lvlJc w:val="left"/>
      <w:lvlText w:val="(%1)"/>
      <w:numFmt w:val="lowerLetter"/>
      <w:start w:val="5"/>
    </w:lvl>
  </w:abstractNum>
  <w:abstractNum w:abstractNumId="114">
    <w:nsid w:val="744939A3"/>
    <w:multiLevelType w:val="hybridMultilevel"/>
    <w:lvl w:ilvl="0">
      <w:lvlJc w:val="left"/>
      <w:lvlText w:val="(%1)"/>
      <w:numFmt w:val="lowerLetter"/>
      <w:start w:val="7"/>
    </w:lvl>
  </w:abstractNum>
  <w:abstractNum w:abstractNumId="115">
    <w:nsid w:val="4FA0D2E3"/>
    <w:multiLevelType w:val="hybridMultilevel"/>
    <w:lvl w:ilvl="0">
      <w:lvlJc w:val="left"/>
      <w:lvlText w:val="(%1)"/>
      <w:numFmt w:val="lowerLetter"/>
      <w:start w:val="1"/>
    </w:lvl>
  </w:abstractNum>
  <w:abstractNum w:abstractNumId="116">
    <w:nsid w:val="6B1D2C14"/>
    <w:multiLevelType w:val="hybridMultilevel"/>
    <w:lvl w:ilvl="0">
      <w:lvlJc w:val="left"/>
      <w:lvlText w:val="(%1)"/>
      <w:numFmt w:val="lowerRoman"/>
      <w:start w:val="1"/>
    </w:lvl>
  </w:abstractNum>
  <w:abstractNum w:abstractNumId="117">
    <w:nsid w:val="68B867D3"/>
    <w:multiLevelType w:val="hybridMultilevel"/>
    <w:lvl w:ilvl="0">
      <w:lvlJc w:val="left"/>
      <w:lvlText w:val="(%1)"/>
      <w:numFmt w:val="lowerRoman"/>
      <w:start w:val="3"/>
    </w:lvl>
  </w:abstractNum>
  <w:abstractNum w:abstractNumId="118">
    <w:nsid w:val="3F7F5DD9"/>
    <w:multiLevelType w:val="hybridMultilevel"/>
    <w:lvl w:ilvl="0">
      <w:lvlJc w:val="left"/>
      <w:lvlText w:val="(%1)"/>
      <w:numFmt w:val="lowerLetter"/>
      <w:start w:val="4"/>
    </w:lvl>
  </w:abstractNum>
  <w:abstractNum w:abstractNumId="119">
    <w:nsid w:val="2AE05A34"/>
    <w:multiLevelType w:val="hybridMultilevel"/>
    <w:lvl w:ilvl="0">
      <w:lvlJc w:val="left"/>
      <w:lvlText w:val="(%1)"/>
      <w:numFmt w:val="lowerLetter"/>
      <w:start w:val="5"/>
    </w:lvl>
  </w:abstractNum>
  <w:abstractNum w:abstractNumId="120">
    <w:nsid w:val="32794FF7"/>
    <w:multiLevelType w:val="hybridMultilevel"/>
    <w:lvl w:ilvl="0">
      <w:lvlJc w:val="left"/>
      <w:lvlText w:val="(%1)"/>
      <w:numFmt w:val="lowerLetter"/>
      <w:start w:val="1"/>
    </w:lvl>
  </w:abstractNum>
  <w:abstractNum w:abstractNumId="121">
    <w:nsid w:val="5454945E"/>
    <w:multiLevelType w:val="hybridMultilevel"/>
    <w:lvl w:ilvl="0">
      <w:lvlJc w:val="left"/>
      <w:lvlText w:val="(%1)"/>
      <w:numFmt w:val="decimal"/>
      <w:start w:val="1"/>
    </w:lvl>
  </w:abstractNum>
  <w:abstractNum w:abstractNumId="122">
    <w:nsid w:val="4DEFDFA0"/>
    <w:multiLevelType w:val="hybridMultilevel"/>
    <w:lvl w:ilvl="0">
      <w:lvlJc w:val="left"/>
      <w:lvlText w:val="(%1)"/>
      <w:numFmt w:val="decimal"/>
      <w:start w:val="1"/>
    </w:lvl>
  </w:abstractNum>
  <w:abstractNum w:abstractNumId="123">
    <w:nsid w:val="2123D5F2"/>
    <w:multiLevelType w:val="hybridMultilevel"/>
    <w:lvl w:ilvl="0">
      <w:lvlJc w:val="left"/>
      <w:lvlText w:val="(%1)"/>
      <w:numFmt w:val="lowerLetter"/>
      <w:start w:val="2"/>
    </w:lvl>
  </w:abstractNum>
  <w:abstractNum w:abstractNumId="124">
    <w:nsid w:val="135B8110"/>
    <w:multiLevelType w:val="hybridMultilevel"/>
    <w:lvl w:ilvl="0">
      <w:lvlJc w:val="left"/>
      <w:lvlText w:val="(%1)"/>
      <w:numFmt w:val="lowerLetter"/>
      <w:start w:val="3"/>
    </w:lvl>
  </w:abstractNum>
  <w:abstractNum w:abstractNumId="125">
    <w:nsid w:val="94927A8"/>
    <w:multiLevelType w:val="hybridMultilevel"/>
    <w:lvl w:ilvl="0">
      <w:lvlJc w:val="left"/>
      <w:lvlText w:val="(%1)"/>
      <w:numFmt w:val="lowerLetter"/>
      <w:start w:val="6"/>
    </w:lvl>
  </w:abstractNum>
  <w:abstractNum w:abstractNumId="126">
    <w:nsid w:val="DCDF8F6"/>
    <w:multiLevelType w:val="hybridMultilevel"/>
    <w:lvl w:ilvl="0">
      <w:lvlJc w:val="left"/>
      <w:lvlText w:val="%1"/>
      <w:numFmt w:val="lowerLetter"/>
      <w:start w:val="1"/>
    </w:lvl>
    <w:lvl w:ilvl="1">
      <w:lvlJc w:val="left"/>
      <w:lvlText w:val="(%2)"/>
      <w:numFmt w:val="lowerLetter"/>
      <w:start w:val="1"/>
    </w:lvl>
  </w:abstractNum>
  <w:abstractNum w:abstractNumId="127">
    <w:nsid w:val="52D7B105"/>
    <w:multiLevelType w:val="hybridMultilevel"/>
    <w:lvl w:ilvl="0">
      <w:lvlJc w:val="left"/>
      <w:lvlText w:val="(%1)"/>
      <w:numFmt w:val="lowerLetter"/>
      <w:start w:val="1"/>
    </w:lvl>
    <w:lvl w:ilvl="1">
      <w:lvlJc w:val="left"/>
      <w:lvlText w:val="%2"/>
      <w:numFmt w:val="lowerLetter"/>
      <w:start w:val="1"/>
    </w:lvl>
  </w:abstractNum>
  <w:abstractNum w:abstractNumId="128">
    <w:nsid w:val="2E8A6394"/>
    <w:multiLevelType w:val="hybridMultilevel"/>
    <w:lvl w:ilvl="0">
      <w:lvlJc w:val="left"/>
      <w:lvlText w:val="(%1)"/>
      <w:numFmt w:val="lowerLetter"/>
      <w:start w:val="2"/>
    </w:lvl>
  </w:abstractNum>
  <w:abstractNum w:abstractNumId="129">
    <w:nsid w:val="24E60401"/>
    <w:multiLevelType w:val="hybridMultilevel"/>
    <w:lvl w:ilvl="0">
      <w:lvlJc w:val="left"/>
      <w:lvlText w:val="(%1)"/>
      <w:numFmt w:val="lowerLetter"/>
      <w:start w:val="2"/>
    </w:lvl>
  </w:abstractNum>
  <w:abstractNum w:abstractNumId="130">
    <w:nsid w:val="2A6AD9BE"/>
    <w:multiLevelType w:val="hybridMultilevel"/>
    <w:lvl w:ilvl="0">
      <w:lvlJc w:val="left"/>
      <w:lvlText w:val="(%1)"/>
      <w:numFmt w:val="lowerLetter"/>
      <w:start w:val="2"/>
    </w:lvl>
  </w:abstractNum>
  <w:abstractNum w:abstractNumId="131">
    <w:nsid w:val="BAAC1B4"/>
    <w:multiLevelType w:val="hybridMultilevel"/>
    <w:lvl w:ilvl="0">
      <w:lvlJc w:val="left"/>
      <w:lvlText w:val="(%1)"/>
      <w:numFmt w:val="lowerLetter"/>
      <w:start w:val="1"/>
    </w:lvl>
  </w:abstractNum>
  <w:abstractNum w:abstractNumId="132">
    <w:nsid w:val="36B2ACBC"/>
    <w:multiLevelType w:val="hybridMultilevel"/>
    <w:lvl w:ilvl="0">
      <w:lvlJc w:val="left"/>
      <w:lvlText w:val="(%1)"/>
      <w:numFmt w:val="lowerLetter"/>
      <w:start w:val="1"/>
    </w:lvl>
  </w:abstractNum>
  <w:abstractNum w:abstractNumId="133">
    <w:nsid w:val="779D8544"/>
    <w:multiLevelType w:val="hybridMultilevel"/>
    <w:lvl w:ilvl="0">
      <w:lvlJc w:val="left"/>
      <w:lvlText w:val="(%1)"/>
      <w:numFmt w:val="lowerLetter"/>
      <w:start w:val="1"/>
    </w:lvl>
  </w:abstractNum>
  <w:abstractNum w:abstractNumId="134">
    <w:nsid w:val="4AB26E78"/>
    <w:multiLevelType w:val="hybridMultilevel"/>
    <w:lvl w:ilvl="0">
      <w:lvlJc w:val="left"/>
      <w:lvlText w:val="(%1)"/>
      <w:numFmt w:val="lowerLetter"/>
      <w:start w:val="6"/>
    </w:lvl>
  </w:abstractNum>
  <w:abstractNum w:abstractNumId="135">
    <w:nsid w:val="21FAA2FA"/>
    <w:multiLevelType w:val="hybridMultilevel"/>
    <w:lvl w:ilvl="0">
      <w:lvlJc w:val="left"/>
      <w:lvlText w:val="(%1)"/>
      <w:numFmt w:val="lowerLetter"/>
      <w:start w:val="2"/>
    </w:lvl>
  </w:abstractNum>
  <w:abstractNum w:abstractNumId="136">
    <w:nsid w:val="5451CF49"/>
    <w:multiLevelType w:val="hybridMultilevel"/>
    <w:lvl w:ilvl="0">
      <w:lvlJc w:val="left"/>
      <w:lvlText w:val="(%1)"/>
      <w:numFmt w:val="lowerLetter"/>
      <w:start w:val="2"/>
    </w:lvl>
  </w:abstractNum>
  <w:abstractNum w:abstractNumId="137">
    <w:nsid w:val="6181EF69"/>
    <w:multiLevelType w:val="hybridMultilevel"/>
    <w:lvl w:ilvl="0">
      <w:lvlJc w:val="left"/>
      <w:lvlText w:val="(%1)"/>
      <w:numFmt w:val="lowerLetter"/>
      <w:start w:val="1"/>
    </w:lvl>
  </w:abstractNum>
  <w:abstractNum w:abstractNumId="138">
    <w:nsid w:val="3E6400E6"/>
    <w:multiLevelType w:val="hybridMultilevel"/>
    <w:lvl w:ilvl="0">
      <w:lvlJc w:val="left"/>
      <w:lvlText w:val="(%1)"/>
      <w:numFmt w:val="upperLetter"/>
      <w:start w:val="1"/>
    </w:lvl>
  </w:abstractNum>
  <w:abstractNum w:abstractNumId="139">
    <w:nsid w:val="14217E23"/>
    <w:multiLevelType w:val="hybridMultilevel"/>
    <w:lvl w:ilvl="0">
      <w:lvlJc w:val="left"/>
      <w:lvlText w:val="(%1)"/>
      <w:numFmt w:val="lowerLetter"/>
      <w:start w:val="1"/>
    </w:lvl>
  </w:abstractNum>
  <w:abstractNum w:abstractNumId="140">
    <w:nsid w:val="710757D0"/>
    <w:multiLevelType w:val="hybridMultilevel"/>
    <w:lvl w:ilvl="0">
      <w:lvlJc w:val="left"/>
      <w:lvlText w:val="(%1)"/>
      <w:numFmt w:val="lowerLetter"/>
      <w:start w:val="6"/>
    </w:lvl>
  </w:abstractNum>
  <w:abstractNum w:abstractNumId="141">
    <w:nsid w:val="5015CD1A"/>
    <w:multiLevelType w:val="hybridMultilevel"/>
    <w:lvl w:ilvl="0">
      <w:lvlJc w:val="left"/>
      <w:lvlText w:val="(%1)"/>
      <w:numFmt w:val="lowerLetter"/>
      <w:start w:val="1"/>
    </w:lvl>
  </w:abstractNum>
  <w:abstractNum w:abstractNumId="142">
    <w:nsid w:val="424479DA"/>
    <w:multiLevelType w:val="hybridMultilevel"/>
    <w:lvl w:ilvl="0">
      <w:lvlJc w:val="left"/>
      <w:lvlText w:val="(%1)"/>
      <w:numFmt w:val="lowerLetter"/>
      <w:start w:val="1"/>
    </w:lvl>
  </w:abstractNum>
  <w:abstractNum w:abstractNumId="143">
    <w:nsid w:val="1A9A9E69"/>
    <w:multiLevelType w:val="hybridMultilevel"/>
    <w:lvl w:ilvl="0">
      <w:lvlJc w:val="left"/>
      <w:lvlText w:val="(%1)"/>
      <w:numFmt w:val="lowerLetter"/>
      <w:start w:val="2"/>
    </w:lvl>
  </w:abstractNum>
  <w:abstractNum w:abstractNumId="144">
    <w:nsid w:val="475E256A"/>
    <w:multiLevelType w:val="hybridMultilevel"/>
    <w:lvl w:ilvl="0">
      <w:lvlJc w:val="left"/>
      <w:lvlText w:val="(%1)"/>
      <w:numFmt w:val="lowerLetter"/>
      <w:start w:val="1"/>
    </w:lvl>
  </w:abstractNum>
  <w:abstractNum w:abstractNumId="145">
    <w:nsid w:val="368DB37E"/>
    <w:multiLevelType w:val="hybridMultilevel"/>
    <w:lvl w:ilvl="0">
      <w:lvlJc w:val="left"/>
      <w:lvlText w:val="%1"/>
      <w:numFmt w:val="lowerLetter"/>
      <w:start w:val="1"/>
    </w:lvl>
    <w:lvl w:ilvl="1">
      <w:lvlJc w:val="left"/>
      <w:lvlText w:val="(%2)"/>
      <w:numFmt w:val="lowerLetter"/>
      <w:start w:val="1"/>
    </w:lvl>
  </w:abstractNum>
  <w:abstractNum w:abstractNumId="146">
    <w:nsid w:val="6A3B714C"/>
    <w:multiLevelType w:val="hybridMultilevel"/>
    <w:lvl w:ilvl="0">
      <w:lvlJc w:val="left"/>
      <w:lvlText w:val="(%1)"/>
      <w:numFmt w:val="lowerLetter"/>
      <w:start w:val="25"/>
    </w:lvl>
    <w:lvl w:ilvl="1">
      <w:lvlJc w:val="left"/>
      <w:lvlText w:val="(%2)"/>
      <w:numFmt w:val="lowerLetter"/>
      <w:start w:val="2"/>
    </w:lvl>
  </w:abstractNum>
  <w:abstractNum w:abstractNumId="147">
    <w:nsid w:val="327B517E"/>
    <w:multiLevelType w:val="hybridMultilevel"/>
    <w:lvl w:ilvl="0">
      <w:lvlJc w:val="left"/>
      <w:lvlText w:val="(%1)"/>
      <w:numFmt w:val="lowerLetter"/>
      <w:start w:val="4"/>
    </w:lvl>
  </w:abstractNum>
  <w:abstractNum w:abstractNumId="148">
    <w:nsid w:val="1F461B51"/>
    <w:multiLevelType w:val="hybridMultilevel"/>
    <w:lvl w:ilvl="0">
      <w:lvlJc w:val="left"/>
      <w:lvlText w:val="(%1)"/>
      <w:numFmt w:val="lowerLetter"/>
      <w:start w:val="1"/>
    </w:lvl>
  </w:abstractNum>
  <w:abstractNum w:abstractNumId="149">
    <w:nsid w:val="29BACF25"/>
    <w:multiLevelType w:val="hybridMultilevel"/>
    <w:lvl w:ilvl="0">
      <w:lvlJc w:val="left"/>
      <w:lvlText w:val="(%1)"/>
      <w:numFmt w:val="lowerLetter"/>
      <w:start w:val="1"/>
    </w:lvl>
  </w:abstractNum>
  <w:abstractNum w:abstractNumId="150">
    <w:nsid w:val="5D5BABB3"/>
    <w:multiLevelType w:val="hybridMultilevel"/>
    <w:lvl w:ilvl="0">
      <w:lvlJc w:val="left"/>
      <w:lvlText w:val="%1"/>
      <w:numFmt w:val="lowerLetter"/>
      <w:start w:val="1"/>
    </w:lvl>
    <w:lvl w:ilvl="1">
      <w:lvlJc w:val="left"/>
      <w:lvlText w:val="(%2)"/>
      <w:numFmt w:val="lowerLetter"/>
      <w:start w:val="1"/>
    </w:lvl>
  </w:abstractNum>
  <w:abstractNum w:abstractNumId="151">
    <w:nsid w:val="51BF6B48"/>
    <w:multiLevelType w:val="hybridMultilevel"/>
    <w:lvl w:ilvl="0">
      <w:lvlJc w:val="left"/>
      <w:lvlText w:val="(%1)"/>
      <w:numFmt w:val="lowerLetter"/>
      <w:start w:val="35"/>
    </w:lvl>
    <w:lvl w:ilvl="1">
      <w:lvlJc w:val="left"/>
      <w:lvlText w:val="%2"/>
      <w:numFmt w:val="lowerLetter"/>
      <w:start w:val="1"/>
    </w:lvl>
  </w:abstractNum>
  <w:abstractNum w:abstractNumId="152">
    <w:nsid w:val="7E0F6384"/>
    <w:multiLevelType w:val="hybridMultilevel"/>
    <w:lvl w:ilvl="0">
      <w:lvlJc w:val="left"/>
      <w:lvlText w:val="(%1)"/>
      <w:numFmt w:val="lowerLetter"/>
      <w:start w:val="2"/>
    </w:lvl>
  </w:abstractNum>
  <w:abstractNum w:abstractNumId="153">
    <w:nsid w:val="2B4B8B53"/>
    <w:multiLevelType w:val="hybridMultilevel"/>
    <w:lvl w:ilvl="0">
      <w:lvlJc w:val="left"/>
      <w:lvlText w:val="(%1)"/>
      <w:numFmt w:val="lowerLetter"/>
      <w:start w:val="1"/>
    </w:lvl>
  </w:abstractNum>
  <w:abstractNum w:abstractNumId="154">
    <w:nsid w:val="72E3413A"/>
    <w:multiLevelType w:val="hybridMultilevel"/>
    <w:lvl w:ilvl="0">
      <w:lvlJc w:val="left"/>
      <w:lvlText w:val="(%1)"/>
      <w:numFmt w:val="lowerLetter"/>
      <w:start w:val="1"/>
    </w:lvl>
  </w:abstractNum>
  <w:abstractNum w:abstractNumId="155">
    <w:nsid w:val="116AE494"/>
    <w:multiLevelType w:val="hybridMultilevel"/>
    <w:lvl w:ilvl="0">
      <w:lvlJc w:val="left"/>
      <w:lvlText w:val="(%1)"/>
      <w:numFmt w:val="lowerLetter"/>
      <w:start w:val="1"/>
    </w:lvl>
  </w:abstractNum>
  <w:abstractNum w:abstractNumId="156">
    <w:nsid w:val="3494B2FB"/>
    <w:multiLevelType w:val="hybridMultilevel"/>
    <w:lvl w:ilvl="0">
      <w:lvlJc w:val="left"/>
      <w:lvlText w:val="(%1)"/>
      <w:numFmt w:val="lowerLetter"/>
      <w:start w:val="6"/>
    </w:lvl>
  </w:abstractNum>
  <w:abstractNum w:abstractNumId="157">
    <w:nsid w:val="B13A31"/>
    <w:multiLevelType w:val="hybridMultilevel"/>
    <w:lvl w:ilvl="0">
      <w:lvlJc w:val="left"/>
      <w:lvlText w:val="(%1)"/>
      <w:numFmt w:val="lowerLetter"/>
      <w:start w:val="14"/>
    </w:lvl>
  </w:abstractNum>
  <w:abstractNum w:abstractNumId="158">
    <w:nsid w:val="64429599"/>
    <w:multiLevelType w:val="hybridMultilevel"/>
    <w:lvl w:ilvl="0">
      <w:lvlJc w:val="left"/>
      <w:lvlText w:val="(%1)"/>
      <w:numFmt w:val="lowerLetter"/>
      <w:start w:val="1"/>
    </w:lvl>
  </w:abstractNum>
  <w:abstractNum w:abstractNumId="159">
    <w:nsid w:val="631F1690"/>
    <w:multiLevelType w:val="hybridMultilevel"/>
    <w:lvl w:ilvl="0">
      <w:lvlJc w:val="left"/>
      <w:lvlText w:val="%1"/>
      <w:numFmt w:val="upperLetter"/>
      <w:start w:val="1"/>
    </w:lvl>
    <w:lvl w:ilvl="1">
      <w:lvlJc w:val="left"/>
      <w:lvlText w:val="(%2)"/>
      <w:numFmt w:val="lowerLetter"/>
      <w:start w:val="6"/>
    </w:lvl>
  </w:abstractNum>
  <w:abstractNum w:abstractNumId="160">
    <w:nsid w:val="25973E32"/>
    <w:multiLevelType w:val="hybridMultilevel"/>
    <w:lvl w:ilvl="0">
      <w:lvlJc w:val="left"/>
      <w:lvlText w:val="(%1)"/>
      <w:numFmt w:val="upperLetter"/>
      <w:start w:val="1"/>
    </w:lvl>
    <w:lvl w:ilvl="1">
      <w:lvlJc w:val="left"/>
      <w:lvlText w:val="(%2)"/>
      <w:numFmt w:val="lowerLetter"/>
      <w:start w:val="7"/>
    </w:lvl>
  </w:abstractNum>
  <w:abstractNum w:abstractNumId="161">
    <w:nsid w:val="EAD6F57"/>
    <w:multiLevelType w:val="hybridMultilevel"/>
    <w:lvl w:ilvl="0">
      <w:lvlJc w:val="left"/>
      <w:lvlText w:val="(%1)"/>
      <w:numFmt w:val="lowerLetter"/>
      <w:start w:val="13"/>
    </w:lvl>
  </w:abstractNum>
  <w:abstractNum w:abstractNumId="162">
    <w:nsid w:val="6EC9D844"/>
    <w:multiLevelType w:val="hybridMultilevel"/>
    <w:lvl w:ilvl="0">
      <w:lvlJc w:val="left"/>
      <w:lvlText w:val="(%1)"/>
      <w:numFmt w:val="lowerLetter"/>
      <w:start w:val="14"/>
    </w:lvl>
  </w:abstractNum>
  <w:abstractNum w:abstractNumId="163">
    <w:nsid w:val="5C49EAEE"/>
    <w:multiLevelType w:val="hybridMultilevel"/>
    <w:lvl w:ilvl="0">
      <w:lvlJc w:val="left"/>
      <w:lvlText w:val="(%1)"/>
      <w:numFmt w:val="lowerLetter"/>
      <w:start w:val="20"/>
    </w:lvl>
  </w:abstractNum>
  <w:abstractNum w:abstractNumId="164">
    <w:nsid w:val="64AF49B"/>
    <w:multiLevelType w:val="hybridMultilevel"/>
    <w:lvl w:ilvl="0">
      <w:lvlJc w:val="left"/>
      <w:lvlText w:val="(%1)"/>
      <w:numFmt w:val="lowerLetter"/>
      <w:start w:val="1"/>
    </w:lvl>
  </w:abstractNum>
  <w:abstractNum w:abstractNumId="165">
    <w:nsid w:val="397C46BC"/>
    <w:multiLevelType w:val="hybridMultilevel"/>
    <w:lvl w:ilvl="0">
      <w:lvlJc w:val="left"/>
      <w:lvlText w:val="(%1)"/>
      <w:numFmt w:val="lowerLetter"/>
      <w:start w:val="4"/>
    </w:lvl>
  </w:abstractNum>
  <w:abstractNum w:abstractNumId="166">
    <w:nsid w:val="7E448DE9"/>
    <w:multiLevelType w:val="hybridMultilevel"/>
    <w:lvl w:ilvl="0">
      <w:lvlJc w:val="left"/>
      <w:lvlText w:val="(%1)"/>
      <w:numFmt w:val="lowerLetter"/>
      <w:start w:val="1"/>
    </w:lvl>
  </w:abstractNum>
  <w:abstractNum w:abstractNumId="167">
    <w:nsid w:val="5A9CC3E5"/>
    <w:multiLevelType w:val="hybridMultilevel"/>
    <w:lvl w:ilvl="0">
      <w:lvlJc w:val="left"/>
      <w:lvlText w:val="(%1)"/>
      <w:numFmt w:val="lowerLetter"/>
      <w:start w:val="10"/>
    </w:lvl>
  </w:abstractNum>
  <w:abstractNum w:abstractNumId="168">
    <w:nsid w:val="1AFE3625"/>
    <w:multiLevelType w:val="hybridMultilevel"/>
    <w:lvl w:ilvl="0">
      <w:lvlJc w:val="left"/>
      <w:lvlText w:val="(%1)"/>
      <w:numFmt w:val="lowerLetter"/>
      <w:start w:val="1"/>
    </w:lvl>
  </w:abstractNum>
  <w:abstractNum w:abstractNumId="169">
    <w:nsid w:val="3CA88ECF"/>
    <w:multiLevelType w:val="hybridMultilevel"/>
    <w:lvl w:ilvl="0">
      <w:lvlJc w:val="left"/>
      <w:lvlText w:val="%1"/>
      <w:numFmt w:val="lowerLetter"/>
      <w:start w:val="1"/>
    </w:lvl>
    <w:lvl w:ilvl="1">
      <w:lvlJc w:val="left"/>
      <w:lvlText w:val="(%2)"/>
      <w:numFmt w:val="lowerLetter"/>
      <w:start w:val="6"/>
    </w:lvl>
  </w:abstractNum>
  <w:abstractNum w:abstractNumId="170">
    <w:nsid w:val="6EBE4208"/>
    <w:multiLevelType w:val="hybridMultilevel"/>
    <w:lvl w:ilvl="0">
      <w:lvlJc w:val="left"/>
      <w:lvlText w:val="(%1)"/>
      <w:numFmt w:val="lowerLetter"/>
      <w:start w:val="26"/>
    </w:lvl>
    <w:lvl w:ilvl="1">
      <w:lvlJc w:val="left"/>
      <w:lvlText w:val="(%2)"/>
      <w:numFmt w:val="lowerLetter"/>
      <w:start w:val="9"/>
    </w:lvl>
  </w:abstractNum>
  <w:abstractNum w:abstractNumId="171">
    <w:nsid w:val="C058DF5"/>
    <w:multiLevelType w:val="hybridMultilevel"/>
    <w:lvl w:ilvl="0">
      <w:lvlJc w:val="left"/>
      <w:lvlText w:val="(%1)"/>
      <w:numFmt w:val="lowerLetter"/>
      <w:start w:val="2"/>
    </w:lvl>
  </w:abstractNum>
  <w:abstractNum w:abstractNumId="172">
    <w:nsid w:val="CBE5BE9"/>
    <w:multiLevelType w:val="hybridMultilevel"/>
    <w:lvl w:ilvl="0">
      <w:lvlJc w:val="left"/>
      <w:lvlText w:val="(%1)"/>
      <w:numFmt w:val="lowerLetter"/>
      <w:start w:val="1"/>
    </w:lvl>
  </w:abstractNum>
  <w:abstractNum w:abstractNumId="173">
    <w:nsid w:val="3102BBE2"/>
    <w:multiLevelType w:val="hybridMultilevel"/>
    <w:lvl w:ilvl="0">
      <w:lvlJc w:val="left"/>
      <w:lvlText w:val="%1"/>
      <w:numFmt w:val="lowerLetter"/>
      <w:start w:val="1"/>
    </w:lvl>
    <w:lvl w:ilvl="1">
      <w:lvlJc w:val="left"/>
      <w:lvlText w:val="(%2)"/>
      <w:numFmt w:val="lowerLetter"/>
      <w:start w:val="9"/>
    </w:lvl>
  </w:abstractNum>
  <w:abstractNum w:abstractNumId="174">
    <w:nsid w:val="26A02C5E"/>
    <w:multiLevelType w:val="hybridMultilevel"/>
    <w:lvl w:ilvl="0">
      <w:lvlJc w:val="left"/>
      <w:lvlText w:val="(%1)"/>
      <w:numFmt w:val="lowerLetter"/>
      <w:start w:val="22"/>
    </w:lvl>
    <w:lvl w:ilvl="1">
      <w:lvlJc w:val="left"/>
      <w:lvlText w:val="(%2)"/>
      <w:numFmt w:val="lowerLetter"/>
      <w:start w:val="13"/>
    </w:lvl>
  </w:abstractNum>
  <w:abstractNum w:abstractNumId="175">
    <w:nsid w:val="541C8153"/>
    <w:multiLevelType w:val="hybridMultilevel"/>
    <w:lvl w:ilvl="0">
      <w:lvlJc w:val="left"/>
      <w:lvlText w:val="(%1)"/>
      <w:numFmt w:val="lowerLetter"/>
      <w:start w:val="15"/>
    </w:lvl>
  </w:abstractNum>
  <w:abstractNum w:abstractNumId="176">
    <w:nsid w:val="67906F60"/>
    <w:multiLevelType w:val="hybridMultilevel"/>
    <w:lvl w:ilvl="0">
      <w:lvlJc w:val="left"/>
      <w:lvlText w:val="(%1)"/>
      <w:numFmt w:val="lowerLetter"/>
      <w:start w:val="26"/>
    </w:lvl>
  </w:abstractNum>
  <w:abstractNum w:abstractNumId="177">
    <w:nsid w:val="10DB9DAA"/>
    <w:multiLevelType w:val="hybridMultilevel"/>
    <w:lvl w:ilvl="0">
      <w:lvlJc w:val="left"/>
      <w:lvlText w:val="(%1)"/>
      <w:numFmt w:val="lowerLetter"/>
      <w:start w:val="1"/>
    </w:lvl>
  </w:abstractNum>
  <w:abstractNum w:abstractNumId="178">
    <w:nsid w:val="697D2D2"/>
    <w:multiLevelType w:val="hybridMultilevel"/>
    <w:lvl w:ilvl="0">
      <w:lvlJc w:val="left"/>
      <w:lvlText w:val="(%1)"/>
      <w:numFmt w:val="lowerLetter"/>
      <w:start w:val="3"/>
    </w:lvl>
  </w:abstractNum>
  <w:abstractNum w:abstractNumId="179">
    <w:nsid w:val="6D68AB2"/>
    <w:multiLevelType w:val="hybridMultilevel"/>
    <w:lvl w:ilvl="0">
      <w:lvlJc w:val="left"/>
      <w:lvlText w:val="(%1)"/>
      <w:numFmt w:val="lowerLetter"/>
      <w:start w:val="61"/>
    </w:lvl>
    <w:lvl w:ilvl="1">
      <w:lvlJc w:val="left"/>
      <w:lvlText w:val="(%2)"/>
      <w:numFmt w:val="lowerLetter"/>
      <w:start w:val="7"/>
    </w:lvl>
  </w:abstractNum>
  <w:abstractNum w:abstractNumId="180">
    <w:nsid w:val="3A966CD0"/>
    <w:multiLevelType w:val="hybridMultilevel"/>
    <w:lvl w:ilvl="0">
      <w:lvlJc w:val="left"/>
      <w:lvlText w:val="(%1)"/>
      <w:numFmt w:val="lowerLetter"/>
      <w:start w:val="12"/>
    </w:lvl>
  </w:abstractNum>
  <w:abstractNum w:abstractNumId="181">
    <w:nsid w:val="63F37E85"/>
    <w:multiLevelType w:val="hybridMultilevel"/>
    <w:lvl w:ilvl="0">
      <w:lvlJc w:val="left"/>
      <w:lvlText w:val="%1"/>
      <w:numFmt w:val="lowerLetter"/>
      <w:start w:val="1"/>
    </w:lvl>
    <w:lvl w:ilvl="1">
      <w:lvlJc w:val="left"/>
      <w:lvlText w:val="(%2)"/>
      <w:numFmt w:val="lowerLetter"/>
      <w:start w:val="1"/>
    </w:lvl>
  </w:abstractNum>
  <w:abstractNum w:abstractNumId="182">
    <w:nsid w:val="5895F5FA"/>
    <w:multiLevelType w:val="hybridMultilevel"/>
    <w:lvl w:ilvl="0">
      <w:lvlJc w:val="left"/>
      <w:lvlText w:val="(%1)"/>
      <w:numFmt w:val="lowerLetter"/>
      <w:start w:val="25"/>
    </w:lvl>
    <w:lvl w:ilvl="1">
      <w:lvlJc w:val="left"/>
      <w:lvlText w:val="%2"/>
      <w:numFmt w:val="lowerLetter"/>
      <w:start w:val="1"/>
    </w:lvl>
  </w:abstractNum>
  <w:abstractNum w:abstractNumId="183">
    <w:nsid w:val="38A5D054"/>
    <w:multiLevelType w:val="hybridMultilevel"/>
    <w:lvl w:ilvl="0">
      <w:lvlJc w:val="left"/>
      <w:lvlText w:val="(%1)"/>
      <w:numFmt w:val="lowerRoman"/>
      <w:start w:val="1"/>
    </w:lvl>
  </w:abstractNum>
  <w:abstractNum w:abstractNumId="184">
    <w:nsid w:val="F3F09D8"/>
    <w:multiLevelType w:val="hybridMultilevel"/>
    <w:lvl w:ilvl="0">
      <w:lvlJc w:val="left"/>
      <w:lvlText w:val="(%1)"/>
      <w:numFmt w:val="lowerLetter"/>
      <w:start w:val="2"/>
    </w:lvl>
  </w:abstractNum>
  <w:abstractNum w:abstractNumId="185">
    <w:nsid w:val="4B793735"/>
    <w:multiLevelType w:val="hybridMultilevel"/>
    <w:lvl w:ilvl="0">
      <w:lvlJc w:val="left"/>
      <w:lvlText w:val="(%1)"/>
      <w:numFmt w:val="lowerRoman"/>
      <w:start w:val="1"/>
    </w:lvl>
  </w:abstractNum>
  <w:abstractNum w:abstractNumId="186">
    <w:nsid w:val="4A10B4E8"/>
    <w:multiLevelType w:val="hybridMultilevel"/>
    <w:lvl w:ilvl="0">
      <w:lvlJc w:val="left"/>
      <w:lvlText w:val="(%1)"/>
      <w:numFmt w:val="lowerRoman"/>
      <w:start w:val="2"/>
    </w:lvl>
  </w:abstractNum>
  <w:abstractNum w:abstractNumId="187">
    <w:nsid w:val="43D3BCD4"/>
    <w:multiLevelType w:val="hybridMultilevel"/>
    <w:lvl w:ilvl="0">
      <w:lvlJc w:val="left"/>
      <w:lvlText w:val="(%1)"/>
      <w:numFmt w:val="lowerLetter"/>
      <w:start w:val="3"/>
    </w:lvl>
  </w:abstractNum>
  <w:abstractNum w:abstractNumId="188">
    <w:nsid w:val="4C2A7166"/>
    <w:multiLevelType w:val="hybridMultilevel"/>
    <w:lvl w:ilvl="0">
      <w:lvlJc w:val="left"/>
      <w:lvlText w:val="(%1)"/>
      <w:numFmt w:val="lowerRoman"/>
      <w:start w:val="1"/>
    </w:lvl>
  </w:abstractNum>
  <w:abstractNum w:abstractNumId="189">
    <w:nsid w:val="2E534A82"/>
    <w:multiLevelType w:val="hybridMultilevel"/>
    <w:lvl w:ilvl="0">
      <w:lvlJc w:val="left"/>
      <w:lvlText w:val="(%1)"/>
      <w:numFmt w:val="lowerRoman"/>
      <w:start w:val="4"/>
    </w:lvl>
  </w:abstractNum>
  <w:abstractNum w:abstractNumId="190">
    <w:nsid w:val="26F2D364"/>
    <w:multiLevelType w:val="hybridMultilevel"/>
    <w:lvl w:ilvl="0">
      <w:lvlJc w:val="left"/>
      <w:lvlText w:val="(%1)"/>
      <w:numFmt w:val="lowerLetter"/>
      <w:start w:val="7"/>
    </w:lvl>
  </w:abstractNum>
  <w:abstractNum w:abstractNumId="191">
    <w:nsid w:val="71C1AF98"/>
    <w:multiLevelType w:val="hybridMultilevel"/>
    <w:lvl w:ilvl="0">
      <w:lvlJc w:val="left"/>
      <w:lvlText w:val="(%1)"/>
      <w:numFmt w:val="lowerRoman"/>
      <w:start w:val="2"/>
    </w:lvl>
  </w:abstractNum>
  <w:abstractNum w:abstractNumId="192">
    <w:nsid w:val="3D00B9D9"/>
    <w:multiLevelType w:val="hybridMultilevel"/>
    <w:lvl w:ilvl="0">
      <w:lvlJc w:val="left"/>
      <w:lvlText w:val="(%1)"/>
      <w:numFmt w:val="lowerLetter"/>
      <w:start w:val="35"/>
    </w:lvl>
    <w:lvl w:ilvl="1">
      <w:lvlJc w:val="left"/>
      <w:lvlText w:val="(%2)"/>
      <w:numFmt w:val="lowerLetter"/>
      <w:start w:val="1"/>
    </w:lvl>
  </w:abstractNum>
  <w:abstractNum w:abstractNumId="193">
    <w:nsid w:val="15BCABA8"/>
    <w:multiLevelType w:val="hybridMultilevel"/>
    <w:lvl w:ilvl="0">
      <w:lvlJc w:val="left"/>
      <w:lvlText w:val="(%1)"/>
      <w:numFmt w:val="lowerLetter"/>
      <w:start w:val="2"/>
    </w:lvl>
  </w:abstractNum>
  <w:abstractNum w:abstractNumId="194">
    <w:nsid w:val="4E0B9A87"/>
    <w:multiLevelType w:val="hybridMultilevel"/>
    <w:lvl w:ilvl="0">
      <w:lvlJc w:val="left"/>
      <w:lvlText w:val="%1"/>
      <w:numFmt w:val="lowerLetter"/>
      <w:start w:val="1"/>
    </w:lvl>
    <w:lvl w:ilvl="1">
      <w:lvlJc w:val="left"/>
      <w:lvlText w:val="(%2)"/>
      <w:numFmt w:val="lowerLetter"/>
      <w:start w:val="3"/>
    </w:lvl>
  </w:abstractNum>
  <w:abstractNum w:abstractNumId="195">
    <w:nsid w:val="434BAE75"/>
    <w:multiLevelType w:val="hybridMultilevel"/>
    <w:lvl w:ilvl="0">
      <w:lvlJc w:val="left"/>
      <w:lvlText w:val="(%1)"/>
      <w:numFmt w:val="lowerLetter"/>
      <w:start w:val="9"/>
    </w:lvl>
    <w:lvl w:ilvl="1">
      <w:lvlJc w:val="left"/>
      <w:lvlText w:val="%2"/>
      <w:numFmt w:val="lowerLetter"/>
      <w:start w:val="1"/>
    </w:lvl>
  </w:abstractNum>
  <w:abstractNum w:abstractNumId="196">
    <w:nsid w:val="4F38F265"/>
    <w:multiLevelType w:val="hybridMultilevel"/>
    <w:lvl w:ilvl="0">
      <w:lvlJc w:val="left"/>
      <w:lvlText w:val="(%1)"/>
      <w:numFmt w:val="lowerLetter"/>
      <w:start w:val="5"/>
    </w:lvl>
  </w:abstractNum>
  <w:abstractNum w:abstractNumId="197">
    <w:nsid w:val="4C502870"/>
    <w:multiLevelType w:val="hybridMultilevel"/>
    <w:lvl w:ilvl="0">
      <w:lvlJc w:val="left"/>
      <w:lvlText w:val="(%1)"/>
      <w:numFmt w:val="lowerLetter"/>
      <w:start w:val="7"/>
    </w:lvl>
  </w:abstractNum>
  <w:abstractNum w:abstractNumId="198">
    <w:nsid w:val="1DE8725A"/>
    <w:multiLevelType w:val="hybridMultilevel"/>
    <w:lvl w:ilvl="0">
      <w:lvlJc w:val="left"/>
      <w:lvlText w:val="%1"/>
      <w:numFmt w:val="upperLetter"/>
      <w:start w:val="1"/>
    </w:lvl>
    <w:lvl w:ilvl="1">
      <w:lvlJc w:val="left"/>
      <w:lvlText w:val="(%2)"/>
      <w:numFmt w:val="lowerRoman"/>
      <w:start w:val="2"/>
    </w:lvl>
  </w:abstractNum>
  <w:abstractNum w:abstractNumId="199">
    <w:nsid w:val="6A37288A"/>
    <w:multiLevelType w:val="hybridMultilevel"/>
    <w:lvl w:ilvl="0">
      <w:lvlJc w:val="left"/>
      <w:lvlText w:val="(%1)"/>
      <w:numFmt w:val="upperLetter"/>
      <w:start w:val="1"/>
    </w:lvl>
    <w:lvl w:ilvl="1">
      <w:lvlJc w:val="left"/>
      <w:lvlText w:val="%2"/>
      <w:numFmt w:val="lowerRoman"/>
      <w:start w:val="1"/>
    </w:lvl>
  </w:abstractNum>
  <w:abstractNum w:abstractNumId="200">
    <w:nsid w:val="8F8B73F"/>
    <w:multiLevelType w:val="hybridMultilevel"/>
    <w:lvl w:ilvl="0">
      <w:lvlJc w:val="left"/>
      <w:lvlText w:val="(%1)"/>
      <w:numFmt w:val="upperLetter"/>
      <w:start w:val="3"/>
    </w:lvl>
    <w:lvl w:ilvl="1">
      <w:lvlJc w:val="left"/>
      <w:lvlText w:val="(%2)"/>
      <w:numFmt w:val="lowerRoman"/>
      <w:start w:val="3"/>
    </w:lvl>
  </w:abstractNum>
  <w:abstractNum w:abstractNumId="201">
    <w:nsid w:val="CA6B462"/>
    <w:multiLevelType w:val="hybridMultilevel"/>
    <w:lvl w:ilvl="0">
      <w:lvlJc w:val="left"/>
      <w:lvlText w:val="%1"/>
      <w:numFmt w:val="upperLetter"/>
      <w:start w:val="1"/>
    </w:lvl>
    <w:lvl w:ilvl="1">
      <w:lvlJc w:val="left"/>
      <w:lvlText w:val="(%2)"/>
      <w:numFmt w:val="lowerRoman"/>
      <w:start w:val="4"/>
    </w:lvl>
  </w:abstractNum>
  <w:abstractNum w:abstractNumId="202">
    <w:nsid w:val="763CB680"/>
    <w:multiLevelType w:val="hybridMultilevel"/>
    <w:lvl w:ilvl="0">
      <w:lvlJc w:val="left"/>
      <w:lvlText w:val="(%1)"/>
      <w:numFmt w:val="upperLetter"/>
      <w:start w:val="1"/>
    </w:lvl>
    <w:lvl w:ilvl="1">
      <w:lvlJc w:val="left"/>
      <w:lvlText w:val="%2"/>
      <w:numFmt w:val="lowerRoman"/>
      <w:start w:val="1"/>
    </w:lvl>
  </w:abstractNum>
  <w:abstractNum w:abstractNumId="203">
    <w:nsid w:val="15B71329"/>
    <w:multiLevelType w:val="hybridMultilevel"/>
    <w:lvl w:ilvl="0">
      <w:lvlJc w:val="left"/>
      <w:lvlText w:val="(%1)"/>
      <w:numFmt w:val="lowerLetter"/>
      <w:start w:val="2"/>
    </w:lvl>
  </w:abstractNum>
  <w:abstractNum w:abstractNumId="204">
    <w:nsid w:val="3DA97044"/>
    <w:multiLevelType w:val="hybridMultilevel"/>
    <w:lvl w:ilvl="0">
      <w:lvlJc w:val="left"/>
      <w:lvlText w:val="(%1)"/>
      <w:numFmt w:val="lowerLetter"/>
      <w:start w:val="1"/>
    </w:lvl>
  </w:abstractNum>
  <w:abstractNum w:abstractNumId="205">
    <w:nsid w:val="1CDCE2DE"/>
    <w:multiLevelType w:val="hybridMultilevel"/>
    <w:lvl w:ilvl="0">
      <w:lvlJc w:val="left"/>
      <w:lvlText w:val="(%1)"/>
      <w:numFmt w:val="lowerLetter"/>
      <w:start w:val="3"/>
    </w:lvl>
  </w:abstractNum>
  <w:abstractNum w:abstractNumId="206">
    <w:nsid w:val="69D3947C"/>
    <w:multiLevelType w:val="hybridMultilevel"/>
    <w:lvl w:ilvl="0">
      <w:lvlJc w:val="left"/>
      <w:lvlText w:val="(%1)"/>
      <w:numFmt w:val="lowerLetter"/>
      <w:start w:val="1"/>
    </w:lvl>
  </w:abstractNum>
  <w:abstractNum w:abstractNumId="207">
    <w:nsid w:val="2539DFA5"/>
    <w:multiLevelType w:val="hybridMultilevel"/>
    <w:lvl w:ilvl="0">
      <w:lvlJc w:val="left"/>
      <w:lvlText w:val="(%1)"/>
      <w:numFmt w:val="lowerLetter"/>
      <w:start w:val="3"/>
    </w:lvl>
  </w:abstractNum>
  <w:abstractNum w:abstractNumId="208">
    <w:nsid w:val="2DB88089"/>
    <w:multiLevelType w:val="hybridMultilevel"/>
    <w:lvl w:ilvl="0">
      <w:lvlJc w:val="left"/>
      <w:lvlText w:val="(%1)"/>
      <w:numFmt w:val="lowerLetter"/>
      <w:start w:val="3"/>
    </w:lvl>
  </w:abstractNum>
  <w:abstractNum w:abstractNumId="209">
    <w:nsid w:val="706B674E"/>
    <w:multiLevelType w:val="hybridMultilevel"/>
    <w:lvl w:ilvl="0">
      <w:lvlJc w:val="left"/>
      <w:lvlText w:val="(%1)"/>
      <w:numFmt w:val="lowerLetter"/>
      <w:start w:val="5"/>
    </w:lvl>
  </w:abstractNum>
  <w:abstractNum w:abstractNumId="210">
    <w:nsid w:val="2C106A57"/>
    <w:multiLevelType w:val="hybridMultilevel"/>
    <w:lvl w:ilvl="0">
      <w:lvlJc w:val="left"/>
      <w:lvlText w:val="(%1)"/>
      <w:numFmt w:val="lowerLetter"/>
      <w:start w:val="1"/>
    </w:lvl>
  </w:abstractNum>
  <w:abstractNum w:abstractNumId="211">
    <w:nsid w:val="684EED59"/>
    <w:multiLevelType w:val="hybridMultilevel"/>
    <w:lvl w:ilvl="0">
      <w:lvlJc w:val="left"/>
      <w:lvlText w:val="(%1)"/>
      <w:numFmt w:val="lowerLetter"/>
      <w:start w:val="2"/>
    </w:lvl>
  </w:abstractNum>
  <w:abstractNum w:abstractNumId="212">
    <w:nsid w:val="545EE5D3"/>
    <w:multiLevelType w:val="hybridMultilevel"/>
    <w:lvl w:ilvl="0">
      <w:lvlJc w:val="left"/>
      <w:lvlText w:val="(%1)"/>
      <w:numFmt w:val="lowerLetter"/>
      <w:start w:val="1"/>
    </w:lvl>
  </w:abstractNum>
  <w:abstractNum w:abstractNumId="213">
    <w:nsid w:val="4A66051"/>
    <w:multiLevelType w:val="hybridMultilevel"/>
    <w:lvl w:ilvl="0">
      <w:lvlJc w:val="left"/>
      <w:lvlText w:val="(%1)"/>
      <w:numFmt w:val="lowerRoman"/>
      <w:start w:val="1"/>
    </w:lvl>
  </w:abstractNum>
  <w:abstractNum w:abstractNumId="214">
    <w:nsid w:val="20F4BDAD"/>
    <w:multiLevelType w:val="hybridMultilevel"/>
    <w:lvl w:ilvl="0">
      <w:lvlJc w:val="left"/>
      <w:lvlText w:val="%1."/>
      <w:numFmt w:val="decimal"/>
      <w:start w:val="1"/>
    </w:lvl>
    <w:lvl w:ilvl="1">
      <w:lvlJc w:val="left"/>
      <w:lvlText w:val="(%2)"/>
      <w:numFmt w:val="lowerLetter"/>
      <w:start w:val="1"/>
    </w:lvl>
  </w:abstractNum>
  <w:abstractNum w:abstractNumId="215">
    <w:nsid w:val="639DE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57" Type="http://schemas.openxmlformats.org/officeDocument/2006/relationships/hyperlink" Target="http://www.sec.gov/Archives/edgar/data/1377630/000137763021000073/exhibit101-2018rsamodifica.htm" TargetMode="External"/><Relationship Id="rId58" Type="http://schemas.openxmlformats.org/officeDocument/2006/relationships/hyperlink" Target="http://www.sec.gov/Archives/edgar/data/1377630/000137763021000073/exhibit102-2019rsamodifica.htm" TargetMode="External"/><Relationship Id="rId59" Type="http://schemas.openxmlformats.org/officeDocument/2006/relationships/hyperlink" Target="http://www.sec.gov/Archives/edgar/data/1377630/000137763021000073/exhibit103-2020rsamodifi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2021-05-10T16:45:53Z</dcterms:created>
  <dcterms:modified xsi:type="dcterms:W3CDTF">2021-05-10T16:45:53Z</dcterms:modified>
</cp:coreProperties>
</file>