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26,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20-2632505</w:t>
            </w:r>
          </w:p>
        </w:tc>
      </w:tr>
      <w:tr>
        <w:trPr>
          <w:trHeight w:val="149"/>
        </w:trPr>
        <w:tc>
          <w:tcPr>
            <w:tcW w:w="466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40" w:type="dxa"/>
            <w:vAlign w:val="bottom"/>
          </w:tcPr>
          <w:p>
            <w:pPr>
              <w:jc w:val="center"/>
              <w:ind w:left="18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87"/>
              </w:rPr>
              <w:t>9110 East Nichols Avenue, Suite 200</w:t>
            </w:r>
          </w:p>
        </w:tc>
        <w:tc>
          <w:tcPr>
            <w:tcW w:w="3040" w:type="dxa"/>
            <w:vAlign w:val="bottom"/>
          </w:tcPr>
          <w:p>
            <w:pPr>
              <w:spacing w:after="0"/>
              <w:rPr>
                <w:sz w:val="24"/>
                <w:szCs w:val="24"/>
                <w:color w:val="auto"/>
              </w:rPr>
            </w:pPr>
          </w:p>
        </w:tc>
      </w:tr>
      <w:tr>
        <w:trPr>
          <w:trHeight w:val="225"/>
        </w:trPr>
        <w:tc>
          <w:tcPr>
            <w:tcW w:w="466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Centennial, Colorado</w:t>
            </w:r>
          </w:p>
        </w:tc>
        <w:tc>
          <w:tcPr>
            <w:tcW w:w="3040" w:type="dxa"/>
            <w:vAlign w:val="bottom"/>
          </w:tcPr>
          <w:p>
            <w:pPr>
              <w:jc w:val="center"/>
              <w:ind w:left="1821"/>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466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40" w:type="dxa"/>
            <w:vAlign w:val="bottom"/>
          </w:tcPr>
          <w:p>
            <w:pPr>
              <w:jc w:val="center"/>
              <w:ind w:left="182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180" w:space="160"/>
            <w:col w:w="280" w:space="80"/>
            <w:col w:w="160" w:space="180"/>
            <w:col w:w="220" w:space="100"/>
            <w:col w:w="206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2013, the registrant had 123,363,471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gridSpan w:val="11"/>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6"/>
            <w:vMerge w:val="restart"/>
          </w:tcPr>
          <w:p>
            <w:pPr>
              <w:jc w:val="center"/>
              <w:ind w:right="470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360" w:type="dxa"/>
            <w:vAlign w:val="bottom"/>
            <w:gridSpan w:val="6"/>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0" w:type="dxa"/>
            <w:vAlign w:val="bottom"/>
            <w:tcBorders>
              <w:top w:val="single" w:sz="8" w:color="0000EE"/>
            </w:tcBorders>
            <w:gridSpan w:val="2"/>
          </w:tcPr>
          <w:p>
            <w:pPr>
              <w:spacing w:after="0"/>
              <w:rPr>
                <w:sz w:val="24"/>
                <w:szCs w:val="24"/>
                <w:color w:val="auto"/>
              </w:rPr>
            </w:pPr>
          </w:p>
        </w:tc>
        <w:tc>
          <w:tcPr>
            <w:tcW w:w="474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Condensed Balance Sheets</w:t>
              </w:r>
            </w:hyperlink>
          </w:p>
        </w:tc>
        <w:tc>
          <w:tcPr>
            <w:tcW w:w="694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8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Income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Statements of Comprehensive Income</w:t>
              </w:r>
            </w:hyperlink>
          </w:p>
        </w:tc>
        <w:tc>
          <w:tcPr>
            <w:tcW w:w="53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Unaudited Condensed Statements of Cash Flows</w:t>
              </w:r>
            </w:hyperlink>
          </w:p>
        </w:tc>
        <w:tc>
          <w:tcPr>
            <w:tcW w:w="61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Financial Statements</w:t>
              </w:r>
            </w:hyperlink>
          </w:p>
        </w:tc>
        <w:tc>
          <w:tcPr>
            <w:tcW w:w="58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86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5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w:t>
              </w:r>
            </w:hyperlink>
          </w:p>
        </w:tc>
        <w:tc>
          <w:tcPr>
            <w:tcW w:w="47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5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55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75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1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6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16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26,</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Receivables, net of allowance of $5.4 and $4.5, respectively</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(including $0.2 and $0.0 to founding members, respectively)</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Prepaid administrative fees to managing member</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 of accumulated depreciation of $66.6 and $63.1,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Intangible assets, net of accumulated amortization of $43.6 and $32.5, respectively</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net of accumulated amortization of $14.3 and $12.2, respectively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Other investment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481.6</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Amounts due to founding members</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due to managing member</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Accounts payable (including $0.9 and $0.9 to related party affiliates, respectively)</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non-current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tcPr>
          <w:p>
            <w:pPr>
              <w:spacing w:after="0" w:line="201" w:lineRule="exact"/>
              <w:rPr>
                <w:sz w:val="20"/>
                <w:szCs w:val="20"/>
                <w:color w:val="auto"/>
              </w:rPr>
            </w:pPr>
            <w:r>
              <w:rPr>
                <w:rFonts w:ascii="Arial" w:cs="Arial" w:eastAsia="Arial" w:hAnsi="Arial"/>
                <w:sz w:val="18"/>
                <w:szCs w:val="18"/>
                <w:color w:val="auto"/>
              </w:rPr>
              <w:t>MEMBERS’ DEFICIT (including accumulated other comprehensive loss of $14.1 and $21.9 million,</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(382.0)</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Nine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Nine</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September</w:t>
            </w: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September</w:t>
            </w: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w:t>
            </w:r>
          </w:p>
        </w:tc>
        <w:tc>
          <w:tcPr>
            <w:tcW w:w="2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w:t>
            </w: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26, 2013</w:t>
            </w:r>
          </w:p>
        </w:tc>
        <w:tc>
          <w:tcPr>
            <w:tcW w:w="3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27, 2012</w:t>
            </w:r>
          </w:p>
        </w:tc>
        <w:tc>
          <w:tcPr>
            <w:tcW w:w="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26, 2013</w:t>
            </w:r>
          </w:p>
        </w:tc>
        <w:tc>
          <w:tcPr>
            <w:tcW w:w="200" w:type="dxa"/>
            <w:vAlign w:val="bottom"/>
          </w:tcPr>
          <w:p>
            <w:pPr>
              <w:spacing w:after="0"/>
              <w:rPr>
                <w:sz w:val="14"/>
                <w:szCs w:val="14"/>
                <w:color w:val="auto"/>
              </w:rPr>
            </w:pPr>
          </w:p>
        </w:tc>
        <w:tc>
          <w:tcPr>
            <w:tcW w:w="88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91"/>
              </w:rPr>
              <w:t>27, 2012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340"/>
              <w:spacing w:after="0" w:line="201" w:lineRule="exact"/>
              <w:rPr>
                <w:sz w:val="20"/>
                <w:szCs w:val="20"/>
                <w:color w:val="auto"/>
              </w:rPr>
            </w:pPr>
            <w:r>
              <w:rPr>
                <w:rFonts w:ascii="Arial" w:cs="Arial" w:eastAsia="Arial" w:hAnsi="Arial"/>
                <w:sz w:val="18"/>
                <w:szCs w:val="18"/>
                <w:color w:val="auto"/>
                <w:w w:val="95"/>
              </w:rPr>
              <w:t>Advertising (including revenue from founding members of $11.5, $10.0, $31.6 and $30.0,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127.6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318.2</w:t>
            </w:r>
          </w:p>
        </w:tc>
        <w:tc>
          <w:tcPr>
            <w:tcW w:w="20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Fathom Events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30"/>
        </w:trPr>
        <w:tc>
          <w:tcPr>
            <w:tcW w:w="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120" w:type="dxa"/>
            <w:vAlign w:val="bottom"/>
          </w:tcPr>
          <w:p>
            <w:pPr>
              <w:ind w:left="340"/>
              <w:spacing w:after="0" w:line="201" w:lineRule="exact"/>
              <w:rPr>
                <w:sz w:val="20"/>
                <w:szCs w:val="20"/>
                <w:color w:val="auto"/>
              </w:rPr>
            </w:pPr>
            <w:r>
              <w:rPr>
                <w:rFonts w:ascii="Arial" w:cs="Arial" w:eastAsia="Arial" w:hAnsi="Arial"/>
                <w:sz w:val="18"/>
                <w:szCs w:val="18"/>
                <w:color w:val="auto"/>
                <w:w w:val="95"/>
              </w:rPr>
              <w:t>Advertising operating costs (including $1.1, $1.4, $2.6 and $3.1 to related party affiliates,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02"/>
        </w:trPr>
        <w:tc>
          <w:tcPr>
            <w:tcW w:w="20" w:type="dxa"/>
            <w:vAlign w:val="bottom"/>
          </w:tcPr>
          <w:p>
            <w:pPr>
              <w:spacing w:after="0"/>
              <w:rPr>
                <w:sz w:val="17"/>
                <w:szCs w:val="17"/>
                <w:color w:val="auto"/>
              </w:rPr>
            </w:pPr>
          </w:p>
        </w:tc>
        <w:tc>
          <w:tcPr>
            <w:tcW w:w="7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Fathom Events operating costs (including $1.3, $1.0, $3.3 and $4.2 to founding members,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Network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Theatre access fees—founding members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02"/>
        </w:trPr>
        <w:tc>
          <w:tcPr>
            <w:tcW w:w="20" w:type="dxa"/>
            <w:vAlign w:val="bottom"/>
          </w:tcPr>
          <w:p>
            <w:pPr>
              <w:spacing w:after="0"/>
              <w:rPr>
                <w:sz w:val="17"/>
                <w:szCs w:val="17"/>
                <w:color w:val="auto"/>
              </w:rPr>
            </w:pPr>
          </w:p>
        </w:tc>
        <w:tc>
          <w:tcPr>
            <w:tcW w:w="7120" w:type="dxa"/>
            <w:vAlign w:val="bottom"/>
          </w:tcPr>
          <w:p>
            <w:pPr>
              <w:ind w:left="340"/>
              <w:spacing w:after="0" w:line="201" w:lineRule="exact"/>
              <w:rPr>
                <w:sz w:val="20"/>
                <w:szCs w:val="20"/>
                <w:color w:val="auto"/>
              </w:rPr>
            </w:pPr>
            <w:r>
              <w:rPr>
                <w:rFonts w:ascii="Arial" w:cs="Arial" w:eastAsia="Arial" w:hAnsi="Arial"/>
                <w:sz w:val="18"/>
                <w:szCs w:val="18"/>
                <w:color w:val="auto"/>
                <w:w w:val="98"/>
              </w:rPr>
              <w:t>Selling and marketing costs (including $0.3, $0.4, $1.0 and $0.8 to founding members,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and other costs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Administrative fee—managing member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30"/>
        </w:trPr>
        <w:tc>
          <w:tcPr>
            <w:tcW w:w="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NON-OPERATING EXPENSES: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borrowings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Change in derivative 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terminated derivatives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Loss on swap terminations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Pr>
          <w:p>
            <w:pPr>
              <w:spacing w:after="0"/>
              <w:rPr>
                <w:sz w:val="20"/>
                <w:szCs w:val="20"/>
                <w:color w:val="auto"/>
              </w:rPr>
            </w:pPr>
          </w:p>
        </w:tc>
        <w:tc>
          <w:tcPr>
            <w:tcW w:w="7120" w:type="dxa"/>
            <w:vAlign w:val="bottom"/>
          </w:tcPr>
          <w:p>
            <w:pPr>
              <w:ind w:left="7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r>
      <w:tr>
        <w:trPr>
          <w:trHeight w:val="230"/>
        </w:trPr>
        <w:tc>
          <w:tcPr>
            <w:tcW w:w="20" w:type="dxa"/>
            <w:vAlign w:val="bottom"/>
          </w:tcPr>
          <w:p>
            <w:pPr>
              <w:spacing w:after="0"/>
              <w:rPr>
                <w:sz w:val="20"/>
                <w:szCs w:val="20"/>
                <w:color w:val="auto"/>
              </w:rPr>
            </w:pPr>
          </w:p>
        </w:tc>
        <w:tc>
          <w:tcPr>
            <w:tcW w:w="7120" w:type="dxa"/>
            <w:vAlign w:val="bottom"/>
          </w:tcPr>
          <w:p>
            <w:pPr>
              <w:ind w:left="106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Nine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10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September</w:t>
            </w:r>
          </w:p>
        </w:tc>
        <w:tc>
          <w:tcPr>
            <w:tcW w:w="11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September</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26, 2013</w:t>
            </w:r>
          </w:p>
        </w:tc>
        <w:tc>
          <w:tcPr>
            <w:tcW w:w="240" w:type="dxa"/>
            <w:vAlign w:val="bottom"/>
          </w:tcPr>
          <w:p>
            <w:pPr>
              <w:spacing w:after="0"/>
              <w:rPr>
                <w:sz w:val="14"/>
                <w:szCs w:val="14"/>
                <w:color w:val="auto"/>
              </w:rPr>
            </w:pPr>
          </w:p>
        </w:tc>
        <w:tc>
          <w:tcPr>
            <w:tcW w:w="92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1"/>
              </w:rPr>
              <w:t>27, 2012</w:t>
            </w:r>
          </w:p>
        </w:tc>
        <w:tc>
          <w:tcPr>
            <w:tcW w:w="4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26, 2013</w:t>
            </w:r>
          </w:p>
        </w:tc>
        <w:tc>
          <w:tcPr>
            <w:tcW w:w="5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27, 2012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terminated derivatives, net of tax of $0 and $0, respectively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w w:val="99"/>
              </w:rPr>
              <w:t>Net unrealized gain on cash flow hedges, net of tax of $0 and $0, respectively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r>
              <w:rPr>
                <w:rFonts w:ascii="Arial" w:cs="Arial" w:eastAsia="Arial" w:hAnsi="Arial"/>
                <w:sz w:val="18"/>
                <w:szCs w:val="18"/>
                <w:u w:val="single" w:color="auto"/>
                <w:color w:val="auto"/>
              </w:rPr>
              <w:t>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26, 2013</w:t>
            </w:r>
          </w:p>
        </w:tc>
        <w:tc>
          <w:tcPr>
            <w:tcW w:w="5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27,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56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Non-cash share-based compensation</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Net unrealized gain on hedging transactions</w:t>
            </w:r>
          </w:p>
        </w:tc>
        <w:tc>
          <w:tcPr>
            <w:tcW w:w="44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terminated derivatives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Amortization of debt issuance costs</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Write-off of debt issuance costs and other non-operating items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Loss on swap terminations</w:t>
            </w:r>
          </w:p>
        </w:tc>
        <w:tc>
          <w:tcPr>
            <w:tcW w:w="44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swap terminations</w:t>
            </w: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net</w:t>
            </w: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due to founding members and managing member</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Payment from founding members for intangible assets</w:t>
            </w:r>
          </w:p>
        </w:tc>
        <w:tc>
          <w:tcPr>
            <w:tcW w:w="44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 from affiliate circuits</w:t>
            </w: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(16.8)</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borrowings</w:t>
            </w:r>
          </w:p>
        </w:tc>
        <w:tc>
          <w:tcPr>
            <w:tcW w:w="4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Payment of debt issuance costs</w:t>
            </w:r>
          </w:p>
        </w:tc>
        <w:tc>
          <w:tcPr>
            <w:tcW w:w="4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Founding member integration payments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Distributions to founding members and managing member</w:t>
            </w:r>
          </w:p>
        </w:tc>
        <w:tc>
          <w:tcPr>
            <w:tcW w:w="44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(108.3)</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 settlement for share-based compensation</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Pr>
          <w:p>
            <w:pPr>
              <w:spacing w:after="0"/>
              <w:rPr>
                <w:sz w:val="19"/>
                <w:szCs w:val="19"/>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(97.7)</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2013</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27, 2012</w:t>
            </w: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financing and investing activity:</w:t>
            </w:r>
          </w:p>
        </w:tc>
        <w:tc>
          <w:tcPr>
            <w:tcW w:w="1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Purchase of an intangible asset with managing member equity</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rPr>
              <w:t>160.2</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cost method investment</w:t>
            </w:r>
          </w:p>
        </w:tc>
        <w:tc>
          <w:tcPr>
            <w:tcW w:w="18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8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30"/>
        </w:trPr>
        <w:tc>
          <w:tcPr>
            <w:tcW w:w="642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86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American Multi-Cinema, Inc. and AMC ShowPlace Theatres, Inc. (“AMC”), wholly owned subsidiaries of AMC Entertainment, Inc. (“AMCE”), Regal Cinemas, Inc. and Regal CineMedia Holdings, LLC, wholly owned subsidiaries of Regal Entertainment Group (“Regal”) and Cinemark Media, Inc. (“Cinemark USA”), a wholly owned subsidiary of Cinemark Holdings, Inc. (“Cinemark”). NCM LLC operates the largest digital in-theatre network in North America, allowing NCM LLC to sell advertising and Fathom Events (the “Services”) under long-term exhibitor services agreements (“ESAs”) with AMC, Regal and Cinemark. AMC, Regal and Cinemark and their affiliates are referred to in this document as “founding members”. NCM LLC also provides the Services to certain third-party theatre circuits under network affiliate agreements referred to in this document as “network affiliates”, which expire at various dates.</w:t>
      </w:r>
    </w:p>
    <w:p>
      <w:pPr>
        <w:spacing w:after="0" w:line="19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As of September 26, 2013, NCM LLC had 123,363,471 common membership units outstanding, of which 58,280,044 (47.2%) were owned by NCM, Inc., 22,032,152 (17.9%) were owned by Regal, 23,998,505 (19.5%) were owned by Cinemark and 19,052,770 (15.4%) were owned by AMC. The membership units held by the founding members are exchangeable into NCM, Inc. common stock on a one-for-one basis.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On August 1, 2013, a non-binding letter of intent was executed to spin-off Fathom Events to a new entity owned 30% by each of the founding members and 10% by NCM LLC, as described further in Note 3 </w:t>
      </w:r>
      <w:r>
        <w:rPr>
          <w:rFonts w:ascii="Arial" w:cs="Arial" w:eastAsia="Arial" w:hAnsi="Arial"/>
          <w:sz w:val="18"/>
          <w:szCs w:val="18"/>
          <w:i w:val="1"/>
          <w:iCs w:val="1"/>
          <w:color w:val="auto"/>
        </w:rPr>
        <w:t>– Related-Party Transactions</w:t>
      </w:r>
      <w:r>
        <w:rPr>
          <w:rFonts w:ascii="Arial" w:cs="Arial" w:eastAsia="Arial" w:hAnsi="Arial"/>
          <w:sz w:val="18"/>
          <w:szCs w:val="18"/>
          <w:color w:val="auto"/>
        </w:rPr>
        <w:t>. This transaction is expected to close in the fourth quarter of 2013. Fathom Events consists primarily of the Fathom Consumer Events division as the Company wound down its Fathom Business Events division during the first quarter of 2012. The Company has continued to execute business events on a periodic basis for existing long-term Fathom clients or if requested by the founding members for business meetings that they have booked directly with the client.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27, 2012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27, 2012.</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opinion of management, all adjustments (which include only normal recurring adjustments) necessary to present fairly in all material respects the financial position, results of operations and cash flows for all periods presented have been made. Certain reclassifications have been made to the prior years’ financial statements to conform to the current presentation. These reclassifications had no effect on previously reported results of operations or retained earnings. The Company’s business is seasonal and for this and other reasons operating results for interim periods may not be indicative of the Company’s full year results or future performance. As a result of the various related-party agreements discussed in Note 3-</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interest rate swaps. Actual results could differ from those estimates.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Company’s annual financial statements included in its Form 10-K filed for the fiscal year ended December 27, 2012 contain a complete discussion of the Company’s significant accounting policies.</w:t>
      </w:r>
    </w:p>
    <w:p>
      <w:pPr>
        <w:spacing w:after="0" w:line="170"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The Company derives revenue principally from advertising revenue, which includes on-screen advertising,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and lobby promotions and advertising on entertainment websites and mobile applications owned by other companies. Revenue is recognized when persuasive evidence of an arrangement exists, delivery occurs or services are rendered, the sales price is fixed and determinable and collectability is reasonably assured. The Company considers the terms of each arrangement to determine the appropriate accounting treatment.</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On-screen advertising consists of national and local advertising. National advertising is sold on a cost per thousand (“CPM”) basis, while local and regional advertising is sold on a per-screen, per-week basis. The Company recognizes national advertising as impressions (or theatre attendees) are delivered and recognizes local on-screen advertising revenue during the period in which the advertising airs. The Company recognizes revenue derived from lobby network and promotions when the advertising is displayed in theatre lobbies and recognizes revenue from branded entertainment websites and mobile applications when the online or mobile impressions are served. The Company may make contractual guarantees to deliver a specified number of impressions to view the customers’ advertising. If those contracted number of impressions are not delivered, the Company will either run additional advertising to deliver the contracted impressions at a later date, which the Company refers to as a make-good provision, or the Company will refund the fee related to the undelivered impressions. The Company defers the revenue associated with the make-good until the advertising airs to the theatre attendance specified in the advertising contract. The make-good provision is recorded within accrued expenses in the Condensed Balance Sheets. Deferred revenue consists of payments received in advance of being earned and is classified as a current liability as it is expected to be earned within the next twelve months. Fathom Events revenue is recognized in the period in which the event is held.</w:t>
      </w:r>
    </w:p>
    <w:p>
      <w:pPr>
        <w:spacing w:after="0" w:line="183"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color w:val="auto"/>
        </w:rPr>
        <w:t>— Advertising is the principal business activity of the Company and is the Company’s reportable segment under the requirements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Fathom Events is an operating segment under ASC 280, but does not meet the annual quantitative thresholds for segment reporting. The Company does not evaluate its segments on a fully allocated cost basis, nor does the Company track segment assets separately. Therefore, the measure of segment operating income net of direct expenses presented herein is not prepared on the same basis as operating income in the statements of income and the results are not indicative of what segment results of operations would have been had it been operated on a fully allocated cost basis. The Company cautions that it would be inappropriate to assume that unallocated operating costs are incurred proportional to segment revenue or any directly identifiable segment expenses. Refer to Note 8-</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7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 Bad debts are provided for using the allowance for doubtful accounts method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is reduced by dealing with large, national advertising agencies who have strong reputations in the advertising industry and clients with stable financial positions. As of September 26, 2013 and December 27, 2012, there were no advertising agency groups or individual customers through which the Company sources national advertising revenue representing more than 10% of the Company’s outstanding gross receivable balance. During the three months ended September 27, 2012, the Company had one customer which accounted for 14.0% of revenue. During the three and nine months ended September 26, 2013 and the nine months ended September 27, 2012, there were no customers that accounted for more than 10% of revenue.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NCM LLC’s fiscal year 2007 and 2008 tax returns were under examination by the Internal Revenue Service (“IRS”).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10, 2013, NCM LLC and NCM, Inc., in its capacity as tax matters partner for NCM LLC, received a “No Adjustments Letter” from the IRS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stated that the IRS completed its review of the NCM LLC tax returns for the fiscal years ended 2007 and 2008 and did not propose any adjustments to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returns. NCM, Inc. had previously contested adjustments proposed by the IRS through the administrative appeals process. The Company had not recorded any adjustment to its financial statements for this matter and as such there was no effect on the Company’s financial statements for the three and nine months ended September 26, 2013 related to the closure of these audits.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two types of share-based compensation awards: stock options and non-vested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stock. In 2013, the Company only issued non-vested (restricted) stock. Restricted stock vests upon the achievement of NCM, Inc. performance measures and service conditions or only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expected to vest. Ultimately, NCM, Inc. adjusts the expense recognized to reflect the actual vested shares following the resolution of the performance conditions. Dividends are accrued quarterly on all unvested restricted stock and are only paid when the shares vest. Compensation cost of stock options is based on the estimated grant date fair value using the Black-Scholes option pricing model, which requires that NCM, Inc. make estimates of various factors. Under the fair value recognition provisions of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the Company recognizes share-based compensation net of an estimated forfeiture rate, and therefore only recognizes compensation cost for those shares expected to vest over the requisite service period of the award.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For the three and nine months ended September 26, 2013, NCM, Inc. acquired 230,991 and 548,405 units, respectively, due to the vesting of restricted stock and exercise of stock options and contributed $3.6 million and $7.9 million to NCM LLC for the three and nine months ended September 26, 2013, respectively.</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—In February 2013, the Financial Accounting Standards Board (“FASB”) issued Accounting Standards Update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2013-02, “Other Comprehensive Income (Topic 220)”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ASU 2013-02 was effective prospectively for the Company in its first quarter of 2013.</w:t>
      </w:r>
    </w:p>
    <w:p>
      <w:pPr>
        <w:spacing w:after="0" w:line="19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w:t>
      </w:r>
    </w:p>
    <w:p>
      <w:pPr>
        <w:spacing w:after="0" w:line="121"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In accordance with NCM LLC’s Common Unit Adjustment Agreement with our founding members, on an annual basis we determine the amount of common membership units to be issued to or returned by the founding members based on theatre additions or dispositions during the previous year. During the first quarter of 2013 and 2012, we issued 4,536,014 and 651,612 common membership units to our founding members, respectively, for the rights to exclusive access to net new theatre screens and attendees added by the founding members to NCM LLC’s network during the previous year. The Company recorded a net intangible asset of $69.0 million and $9.9 million during the first quarter of 2013 and 2012, respectively, as a result of the Common Unit Adjustments. In lieu of surrendering 16,727 units in 2012, AMC paid us $0.2 million in the first quarter of 2012.</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In June 2013, NCM LLC issued 5,315,837 common membership units to Cinemark for attendees added in connection with Cinemark’s acquisition of Rave Cinemas (“Rave”) on May 28, 2013. The Company recorded a net intangible asset of $91.2 million during the three months ended June 27, 2013 for this Common Unit Adjustment. In addition, Rave had pre-existing advertising agreements for some of the theatres it owned prior to the acquisition by Cinemark, as well as prior to the acquisition of certain Rave theatres by AMC in December 2012. As a result, AMC and Cinemark will make payments pursuant to the ESAs on a quarterly basis in arrears in accordance with certain run-out provisions (“integration payments”). During the three and nine months ended September 26, 2013, the Company recorded a reduction to net intangible assets of $1.0 million and $2.1 million, respectively, related to integration payments due from AMC and Cinemark. During the three months and nine months ended September 26, 2013, the founding members paid $0.9 million and $1.1 million, respectively, in integration payments.</w:t>
      </w:r>
    </w:p>
    <w:p>
      <w:pPr>
        <w:spacing w:after="0" w:line="1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If common membership units are issued to a founding member for newly acquired theatres that are subject to an existing on-screen advertising agreement with an alternative provider, the amortization of the intangible asset commences after the existing agreement expires and NCM LLC can utilize the theatres for all of its services. Integration payments are calculated based upon the advertising cash flow that the Company would have generated if it had exclusive access to sell advertising in the theatres with pre-existing advertising agreements.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RELATED-PARTY TRANSACTIONS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Founding Member and Managing Member Transactions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the transactions between the Company and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its managing member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Three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Nine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8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Statements of Income:</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September</w:t>
            </w:r>
          </w:p>
        </w:tc>
        <w:tc>
          <w:tcPr>
            <w:tcW w:w="8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71"/>
        </w:trPr>
        <w:tc>
          <w:tcPr>
            <w:tcW w:w="8060" w:type="dxa"/>
            <w:vAlign w:val="bottom"/>
            <w:gridSpan w:val="2"/>
            <w:vMerge w:val="continue"/>
          </w:tcPr>
          <w:p>
            <w:pPr>
              <w:spacing w:after="0"/>
              <w:rPr>
                <w:sz w:val="14"/>
                <w:szCs w:val="14"/>
                <w:color w:val="auto"/>
              </w:rPr>
            </w:pPr>
          </w:p>
        </w:tc>
        <w:tc>
          <w:tcPr>
            <w:tcW w:w="6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26, 2013</w:t>
            </w:r>
          </w:p>
        </w:tc>
        <w:tc>
          <w:tcPr>
            <w:tcW w:w="8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27, 2012</w:t>
            </w:r>
          </w:p>
        </w:tc>
        <w:tc>
          <w:tcPr>
            <w:tcW w:w="100" w:type="dxa"/>
            <w:vAlign w:val="bottom"/>
          </w:tcPr>
          <w:p>
            <w:pPr>
              <w:spacing w:after="0"/>
              <w:rPr>
                <w:sz w:val="14"/>
                <w:szCs w:val="14"/>
                <w:color w:val="auto"/>
              </w:rPr>
            </w:pPr>
          </w:p>
        </w:tc>
        <w:tc>
          <w:tcPr>
            <w:tcW w:w="76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1"/>
              </w:rPr>
              <w:t>26, 2013</w:t>
            </w:r>
          </w:p>
        </w:tc>
        <w:tc>
          <w:tcPr>
            <w:tcW w:w="2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27, 2012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Advertising inventory revenue (included in Advertising revenue) </w:t>
            </w:r>
            <w:r>
              <w:rPr>
                <w:rFonts w:ascii="Arial" w:cs="Arial" w:eastAsia="Arial" w:hAnsi="Arial"/>
                <w:sz w:val="18"/>
                <w:szCs w:val="18"/>
                <w:i w:val="1"/>
                <w:iCs w:val="1"/>
                <w:color w:val="auto"/>
              </w:rPr>
              <w:t>(2)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Theatre access fee </w:t>
            </w:r>
            <w:r>
              <w:rPr>
                <w:rFonts w:ascii="Arial" w:cs="Arial" w:eastAsia="Arial" w:hAnsi="Arial"/>
                <w:sz w:val="18"/>
                <w:szCs w:val="18"/>
                <w:i w:val="1"/>
                <w:iCs w:val="1"/>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 xml:space="preserve">Revenue share from Fathom Events (included in Fathom Events operating costs) </w:t>
            </w:r>
            <w:r>
              <w:rPr>
                <w:rFonts w:ascii="Arial" w:cs="Arial" w:eastAsia="Arial" w:hAnsi="Arial"/>
                <w:sz w:val="18"/>
                <w:szCs w:val="18"/>
                <w:i w:val="1"/>
                <w:iCs w:val="1"/>
                <w:color w:val="auto"/>
              </w:rPr>
              <w:t>(4)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 xml:space="preserve">Purchase of movie tickets and concession products (included in Fathom Events operating costs) </w:t>
            </w:r>
            <w:r>
              <w:rPr>
                <w:rFonts w:ascii="Arial" w:cs="Arial" w:eastAsia="Arial" w:hAnsi="Arial"/>
                <w:sz w:val="18"/>
                <w:szCs w:val="18"/>
                <w:i w:val="1"/>
                <w:iCs w:val="1"/>
                <w:color w:val="auto"/>
                <w:w w:val="96"/>
              </w:rPr>
              <w:t>(5)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ind w:left="360"/>
              <w:spacing w:after="0"/>
              <w:rPr>
                <w:sz w:val="20"/>
                <w:szCs w:val="20"/>
                <w:color w:val="auto"/>
              </w:rPr>
            </w:pPr>
            <w:r>
              <w:rPr>
                <w:rFonts w:ascii="Arial" w:cs="Arial" w:eastAsia="Arial" w:hAnsi="Arial"/>
                <w:sz w:val="18"/>
                <w:szCs w:val="18"/>
                <w:color w:val="auto"/>
              </w:rPr>
              <w:t xml:space="preserve">Purchase of movie tickets and concession products (included in Selling and marketing costs) </w:t>
            </w:r>
            <w:r>
              <w:rPr>
                <w:rFonts w:ascii="Arial" w:cs="Arial" w:eastAsia="Arial" w:hAnsi="Arial"/>
                <w:sz w:val="18"/>
                <w:szCs w:val="18"/>
                <w:i w:val="1"/>
                <w:iCs w:val="1"/>
                <w:color w:val="auto"/>
              </w:rPr>
              <w:t>(5)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Administrative fee—managing member </w:t>
            </w:r>
            <w:r>
              <w:rPr>
                <w:rFonts w:ascii="Arial" w:cs="Arial" w:eastAsia="Arial" w:hAnsi="Arial"/>
                <w:sz w:val="18"/>
                <w:szCs w:val="18"/>
                <w:i w:val="1"/>
                <w:iCs w:val="1"/>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56"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For the three months and nine months ended September 26, 2013 and September 27, 2012, the founding members purchased 60 seconds of on-screen advertising time (with a right to purchase up to 90 seconds) from NCM LLC to satisfy their obligations under their beverage concessionaire agreements at a rate specified by the ESA at a 30 second equivalent CPM.</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 value of such purchases is calculated by reference to NCM LLC’s advertising rate card.</w:t>
      </w:r>
    </w:p>
    <w:p>
      <w:pPr>
        <w:spacing w:after="0" w:line="9" w:lineRule="exact"/>
        <w:rPr>
          <w:rFonts w:ascii="Arial" w:cs="Arial" w:eastAsia="Arial" w:hAnsi="Arial"/>
          <w:sz w:val="18"/>
          <w:szCs w:val="18"/>
          <w:i w:val="1"/>
          <w:iCs w:val="1"/>
          <w:color w:val="auto"/>
        </w:rPr>
      </w:pPr>
    </w:p>
    <w:p>
      <w:pPr>
        <w:ind w:left="460" w:right="440" w:hanging="452"/>
        <w:spacing w:after="0" w:line="250"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theatre attendee, payments per digital screen with respect to the founding member theatres included in the Company’s network and payments for access to higher quality digital cinema equipment.</w:t>
      </w: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These payments are at rates (percentage of event revenue) included in the ESAs based on the nature of the event.</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Events customers.</w:t>
      </w:r>
    </w:p>
    <w:p>
      <w:pPr>
        <w:spacing w:after="0" w:line="9" w:lineRule="exact"/>
        <w:rPr>
          <w:rFonts w:ascii="Arial" w:cs="Arial" w:eastAsia="Arial" w:hAnsi="Arial"/>
          <w:sz w:val="18"/>
          <w:szCs w:val="18"/>
          <w:i w:val="1"/>
          <w:iCs w:val="1"/>
          <w:color w:val="auto"/>
        </w:rPr>
      </w:pPr>
    </w:p>
    <w:p>
      <w:pPr>
        <w:ind w:left="460" w:right="140" w:hanging="452"/>
        <w:spacing w:after="0" w:line="253" w:lineRule="auto"/>
        <w:tabs>
          <w:tab w:leader="none" w:pos="46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Pursuant to the Management Services Agreement between NCM, Inc. and NCM LLC, NCM, Inc. provides certain specific management services to NCM LLC, including the services of the President and Chief Executive Officer, President of Sales and Marketing, Executive Vice President and Chief Financial Officer, Executive Vice President and Chief Operations Officer and Executive Vice President and General Counsel. In exchange for these services, NCM LLC reimburses NCM, Inc. for compensation paid to the officers (including share based compensation) and other expenses of the officers and for certain out-of-pocket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1700" w:type="dxa"/>
            <w:vAlign w:val="bottom"/>
            <w:gridSpan w:val="3"/>
          </w:tcPr>
          <w:p>
            <w:pPr>
              <w:ind w:left="460"/>
              <w:spacing w:after="0"/>
              <w:rPr>
                <w:sz w:val="20"/>
                <w:szCs w:val="20"/>
                <w:color w:val="auto"/>
              </w:rPr>
            </w:pPr>
            <w:r>
              <w:rPr>
                <w:rFonts w:ascii="Arial" w:cs="Arial" w:eastAsia="Arial" w:hAnsi="Arial"/>
                <w:sz w:val="14"/>
                <w:szCs w:val="14"/>
                <w:b w:val="1"/>
                <w:bCs w:val="1"/>
                <w:color w:val="auto"/>
                <w:w w:val="90"/>
              </w:rPr>
              <w:t>As of September 26,</w:t>
            </w:r>
          </w:p>
        </w:tc>
        <w:tc>
          <w:tcPr>
            <w:tcW w:w="2260" w:type="dxa"/>
            <w:vAlign w:val="bottom"/>
            <w:gridSpan w:val="4"/>
          </w:tcPr>
          <w:p>
            <w:pPr>
              <w:ind w:left="960"/>
              <w:spacing w:after="0"/>
              <w:rPr>
                <w:sz w:val="20"/>
                <w:szCs w:val="20"/>
                <w:color w:val="auto"/>
              </w:rPr>
            </w:pPr>
            <w:r>
              <w:rPr>
                <w:rFonts w:ascii="Arial" w:cs="Arial" w:eastAsia="Arial" w:hAnsi="Arial"/>
                <w:sz w:val="14"/>
                <w:szCs w:val="14"/>
                <w:b w:val="1"/>
                <w:bCs w:val="1"/>
                <w:color w:val="auto"/>
                <w:w w:val="98"/>
              </w:rPr>
              <w:t>As of December 27,</w:t>
            </w: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Purchase of movie tickets and concession products</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(included in Prepaid expenses) </w:t>
            </w:r>
            <w:r>
              <w:rPr>
                <w:rFonts w:ascii="Arial" w:cs="Arial" w:eastAsia="Arial" w:hAnsi="Arial"/>
                <w:sz w:val="18"/>
                <w:szCs w:val="18"/>
                <w:i w:val="1"/>
                <w:iCs w:val="1"/>
                <w:color w:val="auto"/>
              </w:rPr>
              <w:t>(1)</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unit adjustments and integration payments, net of</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(included in Intangible assets)</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 and marketing resale to Fathom Events customers.</w:t>
      </w:r>
    </w:p>
    <w:p>
      <w:pPr>
        <w:spacing w:after="0" w:line="23" w:lineRule="exact"/>
        <w:rPr>
          <w:rFonts w:ascii="Arial" w:cs="Arial" w:eastAsia="Arial" w:hAnsi="Arial"/>
          <w:sz w:val="18"/>
          <w:szCs w:val="18"/>
          <w:i w:val="1"/>
          <w:iCs w:val="1"/>
          <w:color w:val="auto"/>
        </w:rPr>
      </w:pPr>
    </w:p>
    <w:p>
      <w:pPr>
        <w:ind w:left="460" w:hanging="452"/>
        <w:spacing w:after="0" w:line="302" w:lineRule="auto"/>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pursuant to the terms of the NCM LLC Operating Agreement in place since the completion of NCM, Inc.’s Initial Public Offering (“IPO”), NCM LLC is required to make mandatory distributions on a proportionate basis to its members of available cash, as defined in the NCM LLC Operating Agreement, on a quarterly basis in arrears. Mandatory distributions for the three and nine months ended September 26, 2013 and September 27, 2012 are as follows (in millions):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6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September 26, 2013</w:t>
            </w:r>
          </w:p>
        </w:tc>
        <w:tc>
          <w:tcPr>
            <w:tcW w:w="400" w:type="dxa"/>
            <w:vAlign w:val="bottom"/>
          </w:tcPr>
          <w:p>
            <w:pPr>
              <w:spacing w:after="0"/>
              <w:rPr>
                <w:sz w:val="14"/>
                <w:szCs w:val="14"/>
                <w:color w:val="auto"/>
              </w:rPr>
            </w:pPr>
          </w:p>
        </w:tc>
        <w:tc>
          <w:tcPr>
            <w:tcW w:w="16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September 27, 2012</w:t>
            </w:r>
          </w:p>
        </w:tc>
        <w:tc>
          <w:tcPr>
            <w:tcW w:w="40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26, 2013</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27, 2012</w:t>
            </w:r>
          </w:p>
        </w:tc>
      </w:tr>
      <w:tr>
        <w:trPr>
          <w:trHeight w:val="210"/>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AMC</w:t>
            </w:r>
          </w:p>
        </w:tc>
        <w:tc>
          <w:tcPr>
            <w:tcW w:w="1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7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Cinemark</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25.7</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NCM, Inc.</w:t>
            </w: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32.3</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63.1</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r>
      <w:tr>
        <w:trPr>
          <w:trHeight w:val="27"/>
        </w:trPr>
        <w:tc>
          <w:tcPr>
            <w:tcW w:w="18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w:t>
            </w:r>
          </w:p>
        </w:tc>
        <w:tc>
          <w:tcPr>
            <w:tcW w:w="940" w:type="dxa"/>
            <w:vAlign w:val="bottom"/>
            <w:gridSpan w:val="2"/>
            <w:shd w:val="clear" w:color="auto" w:fill="CCEEFF"/>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65.8</w:t>
            </w:r>
          </w:p>
        </w:tc>
        <w:tc>
          <w:tcPr>
            <w:tcW w:w="8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mandatory distributions of available cash by NCM LLC to its founding members for the three months ended September 26, 2013 of $36.1 million is included in amounts due to founding members on the Condensed Balance Sheets as of September 26, 2013 and will be made in the fourth quarter of 2013. The mandatory distributions of available cash by NCM LLC to its managing member for the three months ended September 26, 2013 of $32.3 million is included in amounts due to managing member on the Condensed Balance Sheets as of September 26, 2013 and will be made in the fourth quarter of 2013.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September 26, 2013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AMC</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w:t>
            </w:r>
          </w:p>
        </w:tc>
        <w:tc>
          <w:tcPr>
            <w:tcW w:w="2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13.3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36.1</w:t>
            </w:r>
          </w:p>
        </w:tc>
        <w:tc>
          <w:tcPr>
            <w:tcW w:w="0" w:type="dxa"/>
            <w:vAlign w:val="bottom"/>
          </w:tcPr>
          <w:p>
            <w:pPr>
              <w:spacing w:after="0"/>
              <w:rPr>
                <w:sz w:val="1"/>
                <w:szCs w:val="1"/>
                <w:color w:val="auto"/>
              </w:rPr>
            </w:pPr>
          </w:p>
        </w:tc>
      </w:tr>
      <w:tr>
        <w:trPr>
          <w:trHeight w:val="223"/>
        </w:trPr>
        <w:tc>
          <w:tcPr>
            <w:tcW w:w="4220" w:type="dxa"/>
            <w:vAlign w:val="bottom"/>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12.7</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12.4</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60" w:type="dxa"/>
            <w:vAlign w:val="bottom"/>
            <w:vMerge w:val="restart"/>
          </w:tcPr>
          <w:p>
            <w:pPr>
              <w:jc w:val="right"/>
              <w:ind w:right="16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as of December 27, 2012 were comprised of the following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AMC</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$ 0.6</w:t>
            </w: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$ 0.9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20.9</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$ 5.8</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$ 7.5</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19.8</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3240" w:type="dxa"/>
            <w:vAlign w:val="bottom"/>
            <w:gridSpan w:val="4"/>
          </w:tcPr>
          <w:p>
            <w:pPr>
              <w:ind w:left="1080"/>
              <w:spacing w:after="0"/>
              <w:rPr>
                <w:sz w:val="20"/>
                <w:szCs w:val="20"/>
                <w:color w:val="auto"/>
              </w:rPr>
            </w:pPr>
            <w:r>
              <w:rPr>
                <w:rFonts w:ascii="Arial" w:cs="Arial" w:eastAsia="Arial" w:hAnsi="Arial"/>
                <w:sz w:val="14"/>
                <w:szCs w:val="14"/>
                <w:b w:val="1"/>
                <w:bCs w:val="1"/>
                <w:color w:val="auto"/>
              </w:rPr>
              <w:t>As of September 26, 2013</w:t>
            </w:r>
          </w:p>
        </w:tc>
        <w:tc>
          <w:tcPr>
            <w:tcW w:w="2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of December 27, 2012</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0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7"/>
        </w:trPr>
        <w:tc>
          <w:tcPr>
            <w:tcW w:w="3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r>
      <w:tr>
        <w:trPr>
          <w:trHeight w:val="20"/>
        </w:trPr>
        <w:tc>
          <w:tcPr>
            <w:tcW w:w="3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Common Unit Membership Redemption – </w:t>
      </w:r>
      <w:r>
        <w:rPr>
          <w:rFonts w:ascii="Arial" w:cs="Arial" w:eastAsia="Arial" w:hAnsi="Arial"/>
          <w:sz w:val="16"/>
          <w:szCs w:val="16"/>
          <w:color w:val="auto"/>
        </w:rPr>
        <w:t>The NCM LLC Operating Agreement provides a redemption right of the founding members to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membership units of NCM LLC for shares of NCM, Inc.’s common stock on a one-for-one basis, or at NCM, Inc.’s option, a cash payment equal to the market price of one share of NCM, Inc. common stock. During the third quarter of 2013, Regal exercised the redemption right of an aggregate 2,300,000 common membership units for a like number of shares of common stock. Such redemptions took place immediately prior to the closing of an underwritten public offering and the closing of an overallotment option. NCM, Inc. did not receive any proceeds from the sale of its common stock by Regal.</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Fathom Spin-off – </w:t>
      </w:r>
      <w:r>
        <w:rPr>
          <w:rFonts w:ascii="Arial" w:cs="Arial" w:eastAsia="Arial" w:hAnsi="Arial"/>
          <w:sz w:val="17"/>
          <w:szCs w:val="17"/>
          <w:color w:val="auto"/>
        </w:rPr>
        <w:t>On August 1, 2013, a non-binding letter of intent was signed amongst NCM LLC, Regal, Cinemark and AMC whereby NCM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agreed to contribute the assets of its Fathom Events division to a new entity owned 30% by each of the founding members and 10% by NCM LLC. In addition to the 10% interest, NCM LLC expects to receive $25 million in the form of a promissory note or notes as consideration for the sale. The letter of intent also provides for a transition services agreement whereby NCM LLC will agree to provide certain corporate overhead services to the new entity for a period of nine months following the closing of the transaction for a fee. The transaction is expected to close in the fourth quarter of 2013. Due to the related party nature of the transaction, the Company formed a committee of independent directors that has hired an investment banking firm to advise the committee and render an opinion as to the fairness of the transaction.</w:t>
      </w:r>
    </w:p>
    <w:p>
      <w:pPr>
        <w:spacing w:after="0" w:line="178"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Related Party Affiliates </w:t>
      </w:r>
      <w:r>
        <w:rPr>
          <w:rFonts w:ascii="Arial" w:cs="Arial" w:eastAsia="Arial" w:hAnsi="Arial"/>
          <w:sz w:val="16"/>
          <w:szCs w:val="16"/>
          <w:color w:val="auto"/>
        </w:rPr>
        <w:t>— NCM LLC enters into network affiliate agreements and Fathom agreements with network affiliates for NCM LLC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in-theatre advertising and Fathom Events at theatre locations that are owned by companies that are affiliates of certain of the founding members or directors of NCM, Inc. Related party affiliate agreements are entered into at terms that are similar to those of the Company’s other network affiliates.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Following is a summary of advertising operating costs in the Condensed Statements of Income between the Company and its related party affiliates (in millions):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Nine Months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5"/>
              </w:rPr>
              <w:t>Related Party Affiliate</w:t>
            </w:r>
          </w:p>
        </w:tc>
        <w:tc>
          <w:tcPr>
            <w:tcW w:w="190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September</w:t>
            </w: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26, 2013</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27, 2012</w:t>
            </w:r>
          </w:p>
        </w:tc>
        <w:tc>
          <w:tcPr>
            <w:tcW w:w="760" w:type="dxa"/>
            <w:vAlign w:val="bottom"/>
          </w:tcPr>
          <w:p>
            <w:pPr>
              <w:spacing w:after="0"/>
              <w:rPr>
                <w:sz w:val="14"/>
                <w:szCs w:val="14"/>
                <w:color w:val="auto"/>
              </w:rPr>
            </w:pPr>
          </w:p>
        </w:tc>
        <w:tc>
          <w:tcPr>
            <w:tcW w:w="15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September 26, 2013</w:t>
            </w:r>
          </w:p>
        </w:tc>
        <w:tc>
          <w:tcPr>
            <w:tcW w:w="380" w:type="dxa"/>
            <w:vAlign w:val="bottom"/>
          </w:tcPr>
          <w:p>
            <w:pPr>
              <w:spacing w:after="0"/>
              <w:rPr>
                <w:sz w:val="14"/>
                <w:szCs w:val="1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September 27, 2012</w:t>
            </w:r>
          </w:p>
        </w:tc>
        <w:tc>
          <w:tcPr>
            <w:tcW w:w="0" w:type="dxa"/>
            <w:vAlign w:val="bottom"/>
          </w:tcPr>
          <w:p>
            <w:pPr>
              <w:spacing w:after="0"/>
              <w:rPr>
                <w:sz w:val="1"/>
                <w:szCs w:val="1"/>
                <w:color w:val="auto"/>
              </w:rPr>
            </w:pPr>
          </w:p>
        </w:tc>
      </w:tr>
      <w:tr>
        <w:trPr>
          <w:trHeight w:val="210"/>
        </w:trPr>
        <w:tc>
          <w:tcPr>
            <w:tcW w:w="1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9"/>
              </w:rPr>
              <w:t>1.0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2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Following is a summary of the accounts payable balance between the Company and its related party affiliates included in the Condensed Balance Sheets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Related Party Affiliate</w:t>
            </w:r>
          </w:p>
        </w:tc>
        <w:tc>
          <w:tcPr>
            <w:tcW w:w="304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September 26, 2013</w:t>
            </w:r>
          </w:p>
        </w:tc>
        <w:tc>
          <w:tcPr>
            <w:tcW w:w="27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As of December 27, 2012</w:t>
            </w:r>
          </w:p>
        </w:tc>
      </w:tr>
      <w:tr>
        <w:trPr>
          <w:trHeight w:val="210"/>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Starplex </w:t>
            </w:r>
            <w:r>
              <w:rPr>
                <w:rFonts w:ascii="Arial" w:cs="Arial" w:eastAsia="Arial" w:hAnsi="Arial"/>
                <w:sz w:val="18"/>
                <w:szCs w:val="18"/>
                <w:i w:val="1"/>
                <w:iCs w:val="1"/>
                <w:color w:val="auto"/>
              </w:rPr>
              <w:t>(1)</w:t>
            </w:r>
          </w:p>
        </w:tc>
        <w:tc>
          <w:tcPr>
            <w:tcW w:w="14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860" w:type="dxa"/>
            <w:vAlign w:val="bottom"/>
            <w:gridSpan w:val="2"/>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14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16"/>
        </w:trPr>
        <w:tc>
          <w:tcPr>
            <w:tcW w:w="2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5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Starplex Operating L.P. (“Starplex”) is an affiliate of Cinemark.</w:t>
      </w:r>
    </w:p>
    <w:p>
      <w:pPr>
        <w:spacing w:after="0" w:line="23" w:lineRule="exact"/>
        <w:rPr>
          <w:rFonts w:ascii="Arial" w:cs="Arial" w:eastAsia="Arial" w:hAnsi="Arial"/>
          <w:sz w:val="18"/>
          <w:szCs w:val="18"/>
          <w:i w:val="1"/>
          <w:iCs w:val="1"/>
          <w:color w:val="auto"/>
        </w:rPr>
      </w:pPr>
    </w:p>
    <w:p>
      <w:pPr>
        <w:ind w:left="460" w:right="320" w:hanging="452"/>
        <w:spacing w:after="0" w:line="261"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Other affiliates include Showplex Cinemas, Inc. (“Showplex”), an affiliate of one of NCM, Inc.’s directors, LA Live Cinemas LLC (“LA Live”), an affiliate of Regal, and Texas Cinemas, Corp., an affiliate of one of NCM, Inc.’s directors.</w:t>
      </w:r>
    </w:p>
    <w:p>
      <w:pPr>
        <w:spacing w:after="0" w:line="18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Other Transactions </w:t>
      </w:r>
      <w:r>
        <w:rPr>
          <w:rFonts w:ascii="Arial" w:cs="Arial" w:eastAsia="Arial" w:hAnsi="Arial"/>
          <w:sz w:val="17"/>
          <w:szCs w:val="17"/>
          <w:color w:val="auto"/>
        </w:rPr>
        <w:t>–NCM LLC has an agreement with Digital Cinema Integration Partners (“DCIP”), a joint venture owned by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This agreement provides for payment of a fee to DCIP whenever the digital cinema equipment is used to exhibit a Fathom event. Such fee per event showing during non-prime times (as defined in the agreements) and showing during prime times is a standard fee that is charged to all alternative content owners (including major studios) who display their programming on the digital cinema projectors. During the three and nine months ended September 26, 2013, we paid DCIP approximately $0.1 million and $0.6 million, respectively and during the three and nine months ended September 27, 2012, we paid DCIP approximately $0.2 million and $0.6 million, respectively, under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September 26, 2013 and December 27, 2012 and the significant terms of its borrowing arrangements.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6"/>
          </w:tcPr>
          <w:p>
            <w:pPr>
              <w:ind w:left="220"/>
              <w:spacing w:after="0"/>
              <w:rPr>
                <w:sz w:val="20"/>
                <w:szCs w:val="20"/>
                <w:color w:val="auto"/>
              </w:rPr>
            </w:pPr>
            <w:r>
              <w:rPr>
                <w:rFonts w:ascii="Arial" w:cs="Arial" w:eastAsia="Arial" w:hAnsi="Arial"/>
                <w:sz w:val="14"/>
                <w:szCs w:val="14"/>
                <w:b w:val="1"/>
                <w:bCs w:val="1"/>
                <w:color w:val="auto"/>
              </w:rPr>
              <w:t>Outstanding Balance as of</w:t>
            </w:r>
          </w:p>
        </w:tc>
        <w:tc>
          <w:tcPr>
            <w:tcW w:w="1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 xml:space="preserve">Borrowings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420" w:type="dxa"/>
            <w:vAlign w:val="bottom"/>
            <w:vMerge w:val="restart"/>
          </w:tcPr>
          <w:p>
            <w:pPr>
              <w:spacing w:after="0"/>
              <w:rPr>
                <w:sz w:val="10"/>
                <w:szCs w:val="10"/>
                <w:color w:val="auto"/>
              </w:rPr>
            </w:pPr>
          </w:p>
        </w:tc>
        <w:tc>
          <w:tcPr>
            <w:tcW w:w="12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0"/>
              </w:rPr>
              <w:t>September 26, 2013</w:t>
            </w:r>
          </w:p>
        </w:tc>
        <w:tc>
          <w:tcPr>
            <w:tcW w:w="280" w:type="dxa"/>
            <w:vAlign w:val="bottom"/>
            <w:tcBorders>
              <w:top w:val="single" w:sz="8" w:color="auto"/>
            </w:tcBorders>
            <w:vMerge w:val="restart"/>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27,</w:t>
            </w:r>
          </w:p>
        </w:tc>
        <w:tc>
          <w:tcPr>
            <w:tcW w:w="58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460" w:type="dxa"/>
            <w:vAlign w:val="bottom"/>
            <w:vMerge w:val="restart"/>
          </w:tcPr>
          <w:p>
            <w:pPr>
              <w:spacing w:after="0"/>
              <w:rPr>
                <w:sz w:val="10"/>
                <w:szCs w:val="10"/>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Interest Rate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gridSpan w:val="2"/>
            <w:vMerge w:val="continue"/>
          </w:tcPr>
          <w:p>
            <w:pPr>
              <w:spacing w:after="0"/>
              <w:rPr>
                <w:sz w:val="14"/>
                <w:szCs w:val="14"/>
                <w:color w:val="auto"/>
              </w:rPr>
            </w:pPr>
          </w:p>
        </w:tc>
        <w:tc>
          <w:tcPr>
            <w:tcW w:w="342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xml:space="preserve">November 26, 2017 </w:t>
            </w:r>
            <w:r>
              <w:rPr>
                <w:rFonts w:ascii="Arial" w:cs="Arial" w:eastAsia="Arial" w:hAnsi="Arial"/>
                <w:sz w:val="18"/>
                <w:szCs w:val="18"/>
                <w:i w:val="1"/>
                <w:iCs w:val="1"/>
                <w:color w:val="auto"/>
                <w:w w:val="90"/>
              </w:rPr>
              <w:t>(1)</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265.0</w:t>
            </w:r>
          </w:p>
        </w:tc>
        <w:tc>
          <w:tcPr>
            <w:tcW w:w="21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November 26, 2019</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w:t>
            </w:r>
          </w:p>
        </w:tc>
        <w:tc>
          <w:tcPr>
            <w:tcW w:w="21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1"/>
              </w:rPr>
              <w:t>July 15, 2021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Senior Secured Notes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580" w:type="dxa"/>
            <w:vAlign w:val="bottom"/>
          </w:tcPr>
          <w:p>
            <w:pPr>
              <w:spacing w:after="0"/>
              <w:rPr>
                <w:sz w:val="19"/>
                <w:szCs w:val="19"/>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April 15, 2022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884.0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879.0</w:t>
            </w:r>
          </w:p>
        </w:tc>
        <w:tc>
          <w:tcPr>
            <w:tcW w:w="1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 portion of the revolving credit facility has a maturity date of December 31, 2014, as described in further detail below.</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1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senior secured credit facility consists of a $124.0 million revolving credit facility and a $270.0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term loan. On May 2, 2013, the Company entered into an amendment of its senior secured credit facility whereby the facility was increased from $265.0 million to $270.0 million. In connection with the amendment, the interest rates on the revolving credit facility and term loans were reduced as described further below. In addition, the Company recorded a non-cash charge of approximately $0.5 million for the write-off of net deferred issuance costs associated with the prior agreement and recorded approximately $0.7 million for certain new fees. The obligations under the facility are secured by a lien on substantially all of the assets of the Company.</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Revolving Credit Facility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18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Company’s total availability under the revolving credit facility is $124.0 million. The unused line fee is 0.50% per annum. Of the total available, $14.0 million outstanding principal of the revolving credit facility formerly held by Lehman Brothers Holdings, Inc. (“Lehman”) will not be repaid in connection with any future prepayments of the revolving credit facility amounts, but rather Lehman’s share of the revolving credit facility will be paid in full by the Company to the successor lenders, along with any accrued and unpaid fees and interest, on the revolving credit facility termination date of December 31, 2014. The maturity date applicable to any remaining outstanding principal is November 26, 2017.</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 On May 2, 2013, the Company entered into an amendment of its senior secured credit facility whereby the applicable margins on the $110.0 million portion of the revolving credit facility decreased by 25 basis points to the LIBOR index plus 2.00% or the base rate plus 1.00%. The margins on the $14.0 million portion of the revolving credit facility remained unchanged at the LIBOR index plus 1.50% or the base rate plus 0.50%. The weighted-average interest rate on the outstanding balance on the revolving credit facility as of September 26, 2013 was 1.69%.</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b w:val="1"/>
          <w:bCs w:val="1"/>
          <w:i w:val="1"/>
          <w:iCs w:val="1"/>
          <w:color w:val="auto"/>
        </w:rPr>
        <w:t>Term Loans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amendment of its senior secured credit facility on May 2, 2013, the interest rate on the term loans decreased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50 basis points to a rate at the Company’s option of either the LIBOR index plus 2.75% or the base rate (Prime Rate or the Federal Funds Effective Rate, as defined in the senior secured credit facility) plus 1.75%. The weighted-average interest rate on the term loans as of September 26, 2013 was 2.94%. Interest on the term loans is currently paid monthly.</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September 26, 2013,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debt covenants. As of September 26, 2013, the Company’s consolidated net senior secured leverage ratio was 2.9 times (versus the covenant of 6.5 times).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Senior Unsecured Notes due 2021</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5, 2011, the Company completed a private placement of $200.0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7.875% Senior Unsecured Notes (“Senior Unsecured Notes”) for which the registered exchange offering was completed on September 22, 2011. The Senior Unsecured Notes pay interest semi-annually in arrears on January 15 and July 15 of each year, which commenced January 15, 2012. The notes are subordinated to all existing and future secured debt, including indebtedness under the Company’s existing senior secured credit facility and the Senior Secured Notes defined below. The Senior Unsecured Notes contain certain covenants with which the Company was in compliance as of September 26, 2013.</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April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 Senior Secured Notes (the “Senior Secured Notes”) for which the registered exchange offering was completed on November 26, 2012. The Senior Secured Notes pay interest semi-annually in arrears on April 15 and October 15 of each year, which commenced October 15, 2012. The Senior Secured Notes are senior secured obligations of the Company, rank the same as the Company’s senior secured credit facility, subject to certain exceptions, and share in the same collateral that secures the Company’s obligations under the senior secured credit facility. The Senior Secured Notes contain certain covenants with which the Company was in compliance as of September 26, 2013.</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 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on its financial position, results of operations or cash flows.</w:t>
      </w:r>
    </w:p>
    <w:p>
      <w:pPr>
        <w:spacing w:after="0" w:line="17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Minimum Revenue Guarantees— </w:t>
      </w:r>
      <w:r>
        <w:rPr>
          <w:rFonts w:ascii="Arial" w:cs="Arial" w:eastAsia="Arial" w:hAnsi="Arial"/>
          <w:sz w:val="16"/>
          <w:szCs w:val="16"/>
          <w:color w:val="auto"/>
        </w:rPr>
        <w:t>As part of the network affiliate agreements entered into in the ordinary course of business under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sells advertising for display in various network affiliate theatre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terms range from three to 20 years, prior to any renewal periods of which some are at the option of the Company. The maximum potential amount of future payments the Company could be required to make pursuant to the minimum revenue guarantees is $32.2 million over the remaining terms of the network affiliate agreements. As of September 26, 2013 and December 27, 2012, the Company had no liabilities recorded for these obligations as such guarantees are less than the expected share of revenue paid to the affiliate.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Fair Value of Financial Instruments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carrying amount of the revolving credit facility is considered a reasonable estimate of fair value due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floating-rate terms.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the Company’s financial instruments where carrying values do not approximate fair value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22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1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September 26, 2013</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27, 2012</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660" w:type="dxa"/>
            <w:vAlign w:val="bottom"/>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w w:val="95"/>
              </w:rPr>
              <w:t>Carrying Value</w:t>
            </w: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Carrying Value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 xml:space="preserve">Fair Value </w:t>
            </w:r>
            <w:r>
              <w:rPr>
                <w:rFonts w:ascii="Arial" w:cs="Arial" w:eastAsia="Arial" w:hAnsi="Arial"/>
                <w:sz w:val="14"/>
                <w:szCs w:val="14"/>
                <w:b w:val="1"/>
                <w:bCs w:val="1"/>
                <w:i w:val="1"/>
                <w:iCs w:val="1"/>
                <w:color w:val="auto"/>
                <w:w w:val="93"/>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Term Loans</w:t>
            </w:r>
          </w:p>
        </w:tc>
        <w:tc>
          <w:tcPr>
            <w:tcW w:w="23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268.6</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Senior Unsecured Notes</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218.1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410.0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7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During the fourth quarter of 2011 and first quarter of 2012, the Company received equity securities in a privately held company as consideration for an advertising contract, which the Company accounted for as a cost method investment. The fair value of the investment has not been estimated as of September 26, 2013 or December 27, 2012 as there were no identified events or changes in circumstances that had a significant adverse effect on the fair value of the investment and it is not practicable to do so because the equity securities are not in a publicly traded company. The carrying amount of the Company’s investment was $0.8 million and $0.8 million as of September 26, 2013 and December 27, 2012,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2012, the Company terminated interest rate swap agreements that were used to hedge its interest rate risk associated with its term loan. Following the termination of the swap agreements, the variable interest rate on the Company’s $270.0 million term loan is unhedged and as of September 26, 2013 and December 27, 2012, the Company did not have any outstanding derivative assets or liabilities.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During the nine months ended September 27, 2012, the Company paid breakage fees of $40.2 million which represented the settlement of the Company’s loss position on its interest rate swap agreements. The swaps were terminated with the Company in a loss position and therefore, the Company paid its counterparties the outstanding amounts due based upon the fair market value on that date. The Company accounted for the $40.2 million payment by recording a loss on swap terminations of $26.7 million in the Condensed Statements of Income, which related to swaps that hedged the interest payments on debt that was paid off during the Company’s refinancing. Since those future interest payments were no longer probable of occurring, the Company discontinued hedge accounting and immediately reclassified the balance in Accumulated Other Comprehensive Income (“AOCI”) of $26.7 million into earnings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The remainder of the breakage fees was for swaps in which the underlying debt remained outstanding. The balance in AOCI related to these swaps was frozen and is being amortized into earnings over the remaining life of the original interest rate swap agreement, or February 13, 2015, as long as the debt remains outstanding. The Company considered the guidance in ASC 815 which states that amounts in AOCI shall be reclassified into earnings in the same period or periods during which the hedged forecasted transaction affects earnings. As of September 26, 2013, there was approximately $14.1 million outstanding related to these discontinued cash flow hedges which continues to be reported in AOCI.</w:t>
      </w:r>
    </w:p>
    <w:p>
      <w:pPr>
        <w:spacing w:after="0" w:line="18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During the three and nine months ended September 27, 2012, the Company also recorded changes in the fair value and amortization of AOCI related to an interest rate swap on its term loan in which the Company discontinued cash flow hedge accounting in 2008 due to the bankruptcy of its counterparty.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 of derivative instruments with cash flow hedge accounting on the condensed financial statements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2013 and September 27, 2012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11"/>
          </w:tcPr>
          <w:p>
            <w:pPr>
              <w:spacing w:after="0"/>
              <w:rPr>
                <w:sz w:val="20"/>
                <w:szCs w:val="20"/>
                <w:color w:val="auto"/>
              </w:rPr>
            </w:pPr>
            <w:r>
              <w:rPr>
                <w:rFonts w:ascii="Arial" w:cs="Arial" w:eastAsia="Arial" w:hAnsi="Arial"/>
                <w:sz w:val="14"/>
                <w:szCs w:val="14"/>
                <w:b w:val="1"/>
                <w:bCs w:val="1"/>
                <w:color w:val="auto"/>
              </w:rPr>
              <w:t>Unrealized Gain Recognized in NCM LLC’s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10"/>
          </w:tcPr>
          <w:p>
            <w:pPr>
              <w:ind w:left="320"/>
              <w:spacing w:after="0"/>
              <w:rPr>
                <w:sz w:val="20"/>
                <w:szCs w:val="20"/>
                <w:color w:val="auto"/>
              </w:rPr>
            </w:pPr>
            <w:r>
              <w:rPr>
                <w:rFonts w:ascii="Arial" w:cs="Arial" w:eastAsia="Arial" w:hAnsi="Arial"/>
                <w:sz w:val="14"/>
                <w:szCs w:val="14"/>
                <w:b w:val="1"/>
                <w:bCs w:val="1"/>
                <w:color w:val="auto"/>
                <w:w w:val="93"/>
              </w:rPr>
              <w:t>Realized Loss Recognized in Interest 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ind w:left="540"/>
              <w:spacing w:after="0"/>
              <w:rPr>
                <w:sz w:val="20"/>
                <w:szCs w:val="20"/>
                <w:color w:val="auto"/>
              </w:rPr>
            </w:pPr>
            <w:r>
              <w:rPr>
                <w:rFonts w:ascii="Arial" w:cs="Arial" w:eastAsia="Arial" w:hAnsi="Arial"/>
                <w:sz w:val="14"/>
                <w:szCs w:val="14"/>
                <w:b w:val="1"/>
                <w:bCs w:val="1"/>
                <w:color w:val="auto"/>
              </w:rPr>
              <w:t>Comprehensive Income (Pre-tax)</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w w:val="93"/>
              </w:rPr>
              <w:t>Borrowings (Pre-tax)</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2"/>
                <w:szCs w:val="12"/>
                <w:color w:val="auto"/>
              </w:rPr>
            </w:pPr>
          </w:p>
        </w:tc>
        <w:tc>
          <w:tcPr>
            <w:tcW w:w="144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2"/>
                <w:szCs w:val="12"/>
                <w:color w:val="auto"/>
              </w:rPr>
            </w:pPr>
          </w:p>
        </w:tc>
      </w:tr>
      <w:tr>
        <w:trPr>
          <w:trHeight w:val="119"/>
        </w:trPr>
        <w:tc>
          <w:tcPr>
            <w:tcW w:w="29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100" w:type="dxa"/>
            <w:vAlign w:val="bottom"/>
          </w:tcPr>
          <w:p>
            <w:pPr>
              <w:spacing w:after="0"/>
              <w:rPr>
                <w:sz w:val="10"/>
                <w:szCs w:val="10"/>
                <w:color w:val="auto"/>
              </w:rPr>
            </w:pPr>
          </w:p>
        </w:tc>
      </w:tr>
      <w:tr>
        <w:trPr>
          <w:trHeight w:val="171"/>
        </w:trPr>
        <w:tc>
          <w:tcPr>
            <w:tcW w:w="2980" w:type="dxa"/>
            <w:vAlign w:val="bottom"/>
          </w:tcPr>
          <w:p>
            <w:pPr>
              <w:spacing w:after="0"/>
              <w:rPr>
                <w:sz w:val="14"/>
                <w:szCs w:val="14"/>
                <w:color w:val="auto"/>
              </w:rPr>
            </w:pPr>
          </w:p>
        </w:tc>
        <w:tc>
          <w:tcPr>
            <w:tcW w:w="2200" w:type="dxa"/>
            <w:vAlign w:val="bottom"/>
            <w:gridSpan w:val="3"/>
          </w:tcPr>
          <w:p>
            <w:pPr>
              <w:ind w:left="1620"/>
              <w:spacing w:after="0"/>
              <w:rPr>
                <w:sz w:val="20"/>
                <w:szCs w:val="20"/>
                <w:color w:val="auto"/>
              </w:rPr>
            </w:pPr>
            <w:r>
              <w:rPr>
                <w:rFonts w:ascii="Arial" w:cs="Arial" w:eastAsia="Arial" w:hAnsi="Arial"/>
                <w:sz w:val="14"/>
                <w:szCs w:val="14"/>
                <w:b w:val="1"/>
                <w:bCs w:val="1"/>
                <w:color w:val="auto"/>
              </w:rPr>
              <w:t>26, 2013</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27, 2012</w:t>
            </w:r>
          </w:p>
        </w:tc>
        <w:tc>
          <w:tcPr>
            <w:tcW w:w="2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26, 2013</w:t>
            </w:r>
          </w:p>
        </w:tc>
        <w:tc>
          <w:tcPr>
            <w:tcW w:w="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27, 2012</w:t>
            </w:r>
          </w:p>
        </w:tc>
        <w:tc>
          <w:tcPr>
            <w:tcW w:w="100" w:type="dxa"/>
            <w:vAlign w:val="bottom"/>
          </w:tcPr>
          <w:p>
            <w:pPr>
              <w:spacing w:after="0"/>
              <w:rPr>
                <w:sz w:val="14"/>
                <w:szCs w:val="14"/>
                <w:color w:val="auto"/>
              </w:rPr>
            </w:pPr>
          </w:p>
        </w:tc>
        <w:tc>
          <w:tcPr>
            <w:tcW w:w="78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26, 2013</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27, 2012</w:t>
            </w:r>
          </w:p>
        </w:tc>
        <w:tc>
          <w:tcPr>
            <w:tcW w:w="140" w:type="dxa"/>
            <w:vAlign w:val="bottom"/>
          </w:tcPr>
          <w:p>
            <w:pPr>
              <w:spacing w:after="0"/>
              <w:rPr>
                <w:sz w:val="14"/>
                <w:szCs w:val="14"/>
                <w:color w:val="auto"/>
              </w:rPr>
            </w:pPr>
          </w:p>
        </w:tc>
        <w:tc>
          <w:tcPr>
            <w:tcW w:w="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26, 2013</w:t>
            </w:r>
          </w:p>
        </w:tc>
        <w:tc>
          <w:tcPr>
            <w:tcW w:w="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27, 2012</w:t>
            </w:r>
          </w:p>
        </w:tc>
        <w:tc>
          <w:tcPr>
            <w:tcW w:w="100" w:type="dxa"/>
            <w:vAlign w:val="bottom"/>
          </w:tcPr>
          <w:p>
            <w:pPr>
              <w:spacing w:after="0"/>
              <w:rPr>
                <w:sz w:val="14"/>
                <w:szCs w:val="14"/>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effect of derivatives not designated as hedging instruments under ASC 815 on the condensed financial statements for the three and nine months ended September 26, 2013 and September 27, 2012 were as follows (in millions):</w:t>
      </w: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Gain (Loss) Recognized in Non-Operating</w:t>
      </w:r>
    </w:p>
    <w:p>
      <w:pPr>
        <w:jc w:val="center"/>
        <w:ind w:left="7900"/>
        <w:spacing w:after="0" w:line="236" w:lineRule="auto"/>
        <w:rPr>
          <w:sz w:val="20"/>
          <w:szCs w:val="20"/>
          <w:color w:val="auto"/>
        </w:rPr>
      </w:pPr>
      <w:r>
        <w:rPr>
          <w:rFonts w:ascii="Arial" w:cs="Arial" w:eastAsia="Arial" w:hAnsi="Arial"/>
          <w:sz w:val="14"/>
          <w:szCs w:val="14"/>
          <w:b w:val="1"/>
          <w:bCs w:val="1"/>
          <w:color w:val="auto"/>
        </w:rPr>
        <w:t>Expenses (Pre-tax)</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Instruments not Designated</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5"/>
          </w:tcPr>
          <w:p>
            <w:pPr>
              <w:jc w:val="right"/>
              <w:ind w:right="30"/>
              <w:spacing w:after="0" w:line="142"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5"/>
          </w:tcPr>
          <w:p>
            <w:pPr>
              <w:jc w:val="right"/>
              <w:ind w:right="70"/>
              <w:spacing w:after="0" w:line="142" w:lineRule="exact"/>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Income Statement</w:t>
            </w:r>
          </w:p>
        </w:tc>
        <w:tc>
          <w:tcPr>
            <w:tcW w:w="8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w:t>
            </w:r>
          </w:p>
        </w:tc>
        <w:tc>
          <w:tcPr>
            <w:tcW w:w="8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49"/>
        </w:trPr>
        <w:tc>
          <w:tcPr>
            <w:tcW w:w="62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 Hedging Instruments</w:t>
            </w:r>
          </w:p>
        </w:tc>
        <w:tc>
          <w:tcPr>
            <w:tcW w:w="17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Location</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26, 2013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27, 2012</w:t>
            </w:r>
          </w:p>
        </w:tc>
        <w:tc>
          <w:tcPr>
            <w:tcW w:w="120" w:type="dxa"/>
            <w:vAlign w:val="bottom"/>
          </w:tcPr>
          <w:p>
            <w:pPr>
              <w:spacing w:after="0"/>
              <w:rPr>
                <w:sz w:val="12"/>
                <w:szCs w:val="12"/>
                <w:color w:val="auto"/>
              </w:rPr>
            </w:pPr>
          </w:p>
        </w:tc>
        <w:tc>
          <w:tcPr>
            <w:tcW w:w="760" w:type="dxa"/>
            <w:vAlign w:val="bottom"/>
            <w:gridSpan w:val="3"/>
          </w:tcPr>
          <w:p>
            <w:pPr>
              <w:jc w:val="right"/>
              <w:ind w:right="14"/>
              <w:spacing w:after="0" w:line="129" w:lineRule="exact"/>
              <w:rPr>
                <w:sz w:val="20"/>
                <w:szCs w:val="20"/>
                <w:color w:val="auto"/>
              </w:rPr>
            </w:pPr>
            <w:r>
              <w:rPr>
                <w:rFonts w:ascii="Arial" w:cs="Arial" w:eastAsia="Arial" w:hAnsi="Arial"/>
                <w:sz w:val="14"/>
                <w:szCs w:val="14"/>
                <w:b w:val="1"/>
                <w:bCs w:val="1"/>
                <w:color w:val="auto"/>
              </w:rPr>
              <w:t>26, 2013</w:t>
            </w:r>
          </w:p>
        </w:tc>
        <w:tc>
          <w:tcPr>
            <w:tcW w:w="120" w:type="dxa"/>
            <w:vAlign w:val="bottom"/>
          </w:tcPr>
          <w:p>
            <w:pPr>
              <w:spacing w:after="0"/>
              <w:rPr>
                <w:sz w:val="12"/>
                <w:szCs w:val="12"/>
                <w:color w:val="auto"/>
              </w:rPr>
            </w:pPr>
          </w:p>
        </w:tc>
        <w:tc>
          <w:tcPr>
            <w:tcW w:w="760" w:type="dxa"/>
            <w:vAlign w:val="bottom"/>
            <w:gridSpan w:val="3"/>
          </w:tcPr>
          <w:p>
            <w:pPr>
              <w:jc w:val="right"/>
              <w:ind w:right="10"/>
              <w:spacing w:after="0" w:line="129" w:lineRule="exact"/>
              <w:rPr>
                <w:sz w:val="20"/>
                <w:szCs w:val="20"/>
                <w:color w:val="auto"/>
              </w:rPr>
            </w:pPr>
            <w:r>
              <w:rPr>
                <w:rFonts w:ascii="Arial" w:cs="Arial" w:eastAsia="Arial" w:hAnsi="Arial"/>
                <w:sz w:val="14"/>
                <w:szCs w:val="14"/>
                <w:b w:val="1"/>
                <w:bCs w:val="1"/>
                <w:color w:val="auto"/>
              </w:rPr>
              <w:t>27, 2012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Realized loss on derivative instruments</w:t>
            </w:r>
          </w:p>
        </w:tc>
        <w:tc>
          <w:tcPr>
            <w:tcW w:w="1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Interest on borrowings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6260" w:type="dxa"/>
            <w:vAlign w:val="bottom"/>
            <w:gridSpan w:val="2"/>
          </w:tcPr>
          <w:p>
            <w:pPr>
              <w:spacing w:after="0" w:line="201" w:lineRule="exact"/>
              <w:rPr>
                <w:sz w:val="20"/>
                <w:szCs w:val="20"/>
                <w:color w:val="auto"/>
              </w:rPr>
            </w:pPr>
            <w:r>
              <w:rPr>
                <w:rFonts w:ascii="Arial" w:cs="Arial" w:eastAsia="Arial" w:hAnsi="Arial"/>
                <w:sz w:val="18"/>
                <w:szCs w:val="18"/>
                <w:color w:val="auto"/>
              </w:rPr>
              <w:t>Gain from change in fair value on cash flow hedges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Change in derivative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fair value</w:t>
            </w:r>
          </w:p>
        </w:tc>
        <w:tc>
          <w:tcPr>
            <w:tcW w:w="100" w:type="dxa"/>
            <w:vAlign w:val="bottom"/>
          </w:tcPr>
          <w:p>
            <w:pPr>
              <w:spacing w:after="0"/>
              <w:rPr>
                <w:sz w:val="20"/>
                <w:szCs w:val="20"/>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6"/>
              </w:rPr>
              <w:t>Amortization of</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AOCI on discontinued cash flow hedges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terminated derivatives</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2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AOCI by component for the three and nine months ended September 26, 2013 were as follows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Income Statement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8"/>
              </w:rPr>
              <w:t>Ended</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5"/>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5"/>
          </w:tcPr>
          <w:p>
            <w:pPr>
              <w:jc w:val="right"/>
              <w:ind w:right="393"/>
              <w:spacing w:after="0" w:line="142" w:lineRule="exact"/>
              <w:rPr>
                <w:sz w:val="20"/>
                <w:szCs w:val="20"/>
                <w:color w:val="auto"/>
              </w:rPr>
            </w:pPr>
            <w:r>
              <w:rPr>
                <w:rFonts w:ascii="Arial" w:cs="Arial" w:eastAsia="Arial" w:hAnsi="Arial"/>
                <w:sz w:val="14"/>
                <w:szCs w:val="14"/>
                <w:b w:val="1"/>
                <w:bCs w:val="1"/>
                <w:color w:val="auto"/>
              </w:rPr>
              <w:t>September 26, 2013</w:t>
            </w:r>
          </w:p>
        </w:tc>
        <w:tc>
          <w:tcPr>
            <w:tcW w:w="540" w:type="dxa"/>
            <w:vAlign w:val="bottom"/>
            <w:tcBorders>
              <w:bottom w:val="single" w:sz="8" w:color="CCEEFF"/>
            </w:tcBorders>
            <w:vMerge w:val="continue"/>
          </w:tcPr>
          <w:p>
            <w:pPr>
              <w:spacing w:after="0"/>
              <w:rPr>
                <w:sz w:val="12"/>
                <w:szCs w:val="12"/>
                <w:color w:val="auto"/>
              </w:rPr>
            </w:pPr>
          </w:p>
        </w:tc>
        <w:tc>
          <w:tcPr>
            <w:tcW w:w="2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(21.9)</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Amounts reclassified from AOCI:</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Amortization on discontinued cash</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flow hedges</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Amortization of terminated derivatives</w:t>
            </w:r>
          </w:p>
        </w:tc>
        <w:tc>
          <w:tcPr>
            <w:tcW w:w="0" w:type="dxa"/>
            <w:vAlign w:val="bottom"/>
          </w:tcPr>
          <w:p>
            <w:pPr>
              <w:spacing w:after="0"/>
              <w:rPr>
                <w:sz w:val="1"/>
                <w:szCs w:val="1"/>
                <w:color w:val="auto"/>
              </w:rPr>
            </w:pP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Total amounts reclassified from AOCI</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other comprehensive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w:t>
            </w: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revenue accounted for 94.4%, 96.0%, 93.6% and 91.8% of total revenue for the three months ended September 26, 2013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27, 2012 and the nine months ended September 26, 2013 and September 27, 2012, respectively. The following tables present revenue less 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identifiable expenses to arrive at income before income taxes, net of direct expenses for the advertising reportable segment, the combined Fathom Events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segments, and network, administrative and unallocated costs.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26, 2013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800"/>
              <w:spacing w:after="0" w:line="123" w:lineRule="exact"/>
              <w:rPr>
                <w:sz w:val="20"/>
                <w:szCs w:val="20"/>
                <w:color w:val="auto"/>
              </w:rPr>
            </w:pPr>
            <w:r>
              <w:rPr>
                <w:rFonts w:ascii="Arial" w:cs="Arial" w:eastAsia="Arial" w:hAnsi="Arial"/>
                <w:sz w:val="14"/>
                <w:szCs w:val="14"/>
                <w:color w:val="auto"/>
                <w:w w:val="97"/>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Advertising</w:t>
            </w:r>
          </w:p>
        </w:tc>
        <w:tc>
          <w:tcPr>
            <w:tcW w:w="5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Fathom Events</w:t>
            </w:r>
          </w:p>
        </w:tc>
        <w:tc>
          <w:tcPr>
            <w:tcW w:w="280" w:type="dxa"/>
            <w:vAlign w:val="bottom"/>
          </w:tcPr>
          <w:p>
            <w:pPr>
              <w:spacing w:after="0"/>
              <w:rPr>
                <w:sz w:val="14"/>
                <w:szCs w:val="14"/>
                <w:color w:val="auto"/>
              </w:rPr>
            </w:pP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color w:val="auto"/>
                <w:w w:val="91"/>
              </w:rPr>
              <w:t>Unallocated Costs</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3"/>
              </w:rPr>
              <w:t>Three Months Ended September 27, 2012 (in millions)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800"/>
              <w:spacing w:after="0" w:line="123" w:lineRule="exact"/>
              <w:rPr>
                <w:sz w:val="20"/>
                <w:szCs w:val="20"/>
                <w:color w:val="auto"/>
              </w:rPr>
            </w:pPr>
            <w:r>
              <w:rPr>
                <w:rFonts w:ascii="Arial" w:cs="Arial" w:eastAsia="Arial" w:hAnsi="Arial"/>
                <w:sz w:val="14"/>
                <w:szCs w:val="14"/>
                <w:color w:val="auto"/>
                <w:w w:val="97"/>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Advertising</w:t>
            </w:r>
          </w:p>
        </w:tc>
        <w:tc>
          <w:tcPr>
            <w:tcW w:w="5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Fathom Events</w:t>
            </w:r>
          </w:p>
        </w:tc>
        <w:tc>
          <w:tcPr>
            <w:tcW w:w="280" w:type="dxa"/>
            <w:vAlign w:val="bottom"/>
          </w:tcPr>
          <w:p>
            <w:pPr>
              <w:spacing w:after="0"/>
              <w:rPr>
                <w:sz w:val="14"/>
                <w:szCs w:val="14"/>
                <w:color w:val="auto"/>
              </w:rPr>
            </w:pP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color w:val="auto"/>
                <w:w w:val="91"/>
              </w:rPr>
              <w:t>Unallocated Costs</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3"/>
              </w:rPr>
              <w:t>Nine Months Ended September 26, 2013 (in millions)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2"/>
          </w:tcPr>
          <w:p>
            <w:pPr>
              <w:jc w:val="center"/>
              <w:ind w:right="800"/>
              <w:spacing w:after="0" w:line="123" w:lineRule="exact"/>
              <w:rPr>
                <w:sz w:val="20"/>
                <w:szCs w:val="20"/>
                <w:color w:val="auto"/>
              </w:rPr>
            </w:pPr>
            <w:r>
              <w:rPr>
                <w:rFonts w:ascii="Arial" w:cs="Arial" w:eastAsia="Arial" w:hAnsi="Arial"/>
                <w:sz w:val="14"/>
                <w:szCs w:val="14"/>
                <w:color w:val="auto"/>
                <w:w w:val="97"/>
              </w:rPr>
              <w:t>Network,</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 and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Advertising</w:t>
            </w:r>
          </w:p>
        </w:tc>
        <w:tc>
          <w:tcPr>
            <w:tcW w:w="52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Fathom Events</w:t>
            </w:r>
          </w:p>
        </w:tc>
        <w:tc>
          <w:tcPr>
            <w:tcW w:w="280" w:type="dxa"/>
            <w:vAlign w:val="bottom"/>
          </w:tcPr>
          <w:p>
            <w:pPr>
              <w:spacing w:after="0"/>
              <w:rPr>
                <w:sz w:val="14"/>
                <w:szCs w:val="14"/>
                <w:color w:val="auto"/>
              </w:rPr>
            </w:pP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color w:val="auto"/>
                <w:w w:val="91"/>
              </w:rPr>
              <w:t>Unallocated Costs</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80" w:type="dxa"/>
            <w:vAlign w:val="bottom"/>
            <w:vMerge w:val="restart"/>
          </w:tcPr>
          <w:p>
            <w:pPr>
              <w:jc w:val="right"/>
              <w:ind w:right="50"/>
              <w:spacing w:after="0"/>
              <w:rPr>
                <w:sz w:val="20"/>
                <w:szCs w:val="20"/>
                <w:color w:val="auto"/>
              </w:rPr>
            </w:pPr>
            <w:r>
              <w:rPr>
                <w:rFonts w:ascii="Arial" w:cs="Arial" w:eastAsia="Arial" w:hAnsi="Arial"/>
                <w:sz w:val="18"/>
                <w:szCs w:val="18"/>
                <w:color w:val="auto"/>
              </w:rPr>
              <w:t>18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13"/>
          </w:tcPr>
          <w:p>
            <w:pPr>
              <w:ind w:left="140"/>
              <w:spacing w:after="0"/>
              <w:rPr>
                <w:sz w:val="20"/>
                <w:szCs w:val="20"/>
                <w:color w:val="auto"/>
              </w:rPr>
            </w:pPr>
            <w:r>
              <w:rPr>
                <w:rFonts w:ascii="Arial" w:cs="Arial" w:eastAsia="Arial" w:hAnsi="Arial"/>
                <w:sz w:val="14"/>
                <w:szCs w:val="14"/>
                <w:b w:val="1"/>
                <w:bCs w:val="1"/>
                <w:color w:val="auto"/>
                <w:w w:val="97"/>
              </w:rPr>
              <w:t>Nine Months Ended September 27, 2012 (in millions)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tcPr>
          <w:p>
            <w:pPr>
              <w:jc w:val="center"/>
              <w:ind w:right="440"/>
              <w:spacing w:after="0" w:line="123" w:lineRule="exact"/>
              <w:rPr>
                <w:sz w:val="20"/>
                <w:szCs w:val="20"/>
                <w:color w:val="auto"/>
              </w:rPr>
            </w:pPr>
            <w:r>
              <w:rPr>
                <w:rFonts w:ascii="Arial" w:cs="Arial" w:eastAsia="Arial" w:hAnsi="Arial"/>
                <w:sz w:val="14"/>
                <w:szCs w:val="14"/>
                <w:color w:val="auto"/>
                <w:w w:val="97"/>
              </w:rPr>
              <w:t>Network,</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spacing w:after="0" w:line="149" w:lineRule="exact"/>
              <w:rPr>
                <w:sz w:val="20"/>
                <w:szCs w:val="20"/>
                <w:color w:val="auto"/>
              </w:rPr>
            </w:pPr>
            <w:r>
              <w:rPr>
                <w:rFonts w:ascii="Arial" w:cs="Arial" w:eastAsia="Arial" w:hAnsi="Arial"/>
                <w:sz w:val="14"/>
                <w:szCs w:val="14"/>
                <w:color w:val="auto"/>
              </w:rPr>
              <w:t>Administrative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auto"/>
                <w:w w:val="98"/>
              </w:rPr>
              <w:t>Advertising</w:t>
            </w:r>
          </w:p>
        </w:tc>
        <w:tc>
          <w:tcPr>
            <w:tcW w:w="580" w:type="dxa"/>
            <w:vAlign w:val="bottom"/>
          </w:tcPr>
          <w:p>
            <w:pPr>
              <w:spacing w:after="0"/>
              <w:rPr>
                <w:sz w:val="14"/>
                <w:szCs w:val="14"/>
                <w:color w:val="auto"/>
              </w:rPr>
            </w:pPr>
          </w:p>
        </w:tc>
        <w:tc>
          <w:tcPr>
            <w:tcW w:w="1340" w:type="dxa"/>
            <w:vAlign w:val="bottom"/>
            <w:gridSpan w:val="6"/>
          </w:tcPr>
          <w:p>
            <w:pPr>
              <w:spacing w:after="0"/>
              <w:rPr>
                <w:sz w:val="20"/>
                <w:szCs w:val="20"/>
                <w:color w:val="auto"/>
              </w:rPr>
            </w:pPr>
            <w:r>
              <w:rPr>
                <w:rFonts w:ascii="Arial" w:cs="Arial" w:eastAsia="Arial" w:hAnsi="Arial"/>
                <w:sz w:val="14"/>
                <w:szCs w:val="14"/>
                <w:color w:val="auto"/>
              </w:rPr>
              <w:t>Fathom Events</w:t>
            </w:r>
          </w:p>
        </w:tc>
        <w:tc>
          <w:tcPr>
            <w:tcW w:w="100" w:type="dxa"/>
            <w:vAlign w:val="bottom"/>
          </w:tcPr>
          <w:p>
            <w:pPr>
              <w:spacing w:after="0"/>
              <w:rPr>
                <w:sz w:val="14"/>
                <w:szCs w:val="14"/>
                <w:color w:val="auto"/>
              </w:rPr>
            </w:pPr>
          </w:p>
        </w:tc>
        <w:tc>
          <w:tcPr>
            <w:tcW w:w="1540" w:type="dxa"/>
            <w:vAlign w:val="bottom"/>
            <w:gridSpan w:val="5"/>
          </w:tcPr>
          <w:p>
            <w:pPr>
              <w:jc w:val="center"/>
              <w:ind w:right="420"/>
              <w:spacing w:after="0"/>
              <w:rPr>
                <w:sz w:val="20"/>
                <w:szCs w:val="20"/>
                <w:color w:val="auto"/>
              </w:rPr>
            </w:pPr>
            <w:r>
              <w:rPr>
                <w:rFonts w:ascii="Arial" w:cs="Arial" w:eastAsia="Arial" w:hAnsi="Arial"/>
                <w:sz w:val="14"/>
                <w:szCs w:val="14"/>
                <w:color w:val="auto"/>
                <w:w w:val="91"/>
              </w:rPr>
              <w:t>Unallocated Costs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72.0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4"/>
          </w:tcPr>
          <w:p>
            <w:pPr>
              <w:jc w:val="right"/>
              <w:ind w:right="36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40.5</w:t>
            </w:r>
          </w:p>
        </w:tc>
        <w:tc>
          <w:tcPr>
            <w:tcW w:w="5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Administrative and other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and other non-operating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79"/>
              </w:rPr>
              <w:t>3.4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The following is a summary of revenues by category (in millions):</w:t>
            </w: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Nine</w:t>
            </w:r>
          </w:p>
        </w:tc>
        <w:tc>
          <w:tcPr>
            <w:tcW w:w="160" w:type="dxa"/>
            <w:vAlign w:val="bottom"/>
          </w:tcPr>
          <w:p>
            <w:pPr>
              <w:spacing w:after="0"/>
              <w:rPr>
                <w:sz w:val="24"/>
                <w:szCs w:val="24"/>
                <w:color w:val="auto"/>
              </w:rPr>
            </w:pPr>
          </w:p>
        </w:tc>
        <w:tc>
          <w:tcPr>
            <w:tcW w:w="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Nine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319"/>
              <w:spacing w:after="0" w:line="149" w:lineRule="exact"/>
              <w:rPr>
                <w:sz w:val="20"/>
                <w:szCs w:val="20"/>
                <w:color w:val="auto"/>
              </w:rPr>
            </w:pPr>
            <w:r>
              <w:rPr>
                <w:rFonts w:ascii="Arial" w:cs="Arial" w:eastAsia="Arial" w:hAnsi="Arial"/>
                <w:sz w:val="14"/>
                <w:szCs w:val="14"/>
                <w:b w:val="1"/>
                <w:bCs w:val="1"/>
                <w:color w:val="auto"/>
                <w:w w:val="96"/>
              </w:rPr>
              <w:t>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Months</w:t>
            </w: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319"/>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4"/>
          </w:tcPr>
          <w:p>
            <w:pPr>
              <w:jc w:val="center"/>
              <w:ind w:right="199"/>
              <w:spacing w:after="0" w:line="149" w:lineRule="exact"/>
              <w:rPr>
                <w:sz w:val="20"/>
                <w:szCs w:val="20"/>
                <w:color w:val="auto"/>
              </w:rPr>
            </w:pPr>
            <w:r>
              <w:rPr>
                <w:rFonts w:ascii="Arial" w:cs="Arial" w:eastAsia="Arial" w:hAnsi="Arial"/>
                <w:sz w:val="14"/>
                <w:szCs w:val="14"/>
                <w:b w:val="1"/>
                <w:bCs w:val="1"/>
                <w:color w:val="auto"/>
                <w:w w:val="91"/>
              </w:rPr>
              <w:t>September</w:t>
            </w:r>
          </w:p>
        </w:tc>
        <w:tc>
          <w:tcPr>
            <w:tcW w:w="240" w:type="dxa"/>
            <w:vAlign w:val="bottom"/>
          </w:tcPr>
          <w:p>
            <w:pPr>
              <w:spacing w:after="0"/>
              <w:rPr>
                <w:sz w:val="12"/>
                <w:szCs w:val="12"/>
                <w:color w:val="auto"/>
              </w:rPr>
            </w:pPr>
          </w:p>
        </w:tc>
        <w:tc>
          <w:tcPr>
            <w:tcW w:w="8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September</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September</w:t>
            </w:r>
          </w:p>
        </w:tc>
        <w:tc>
          <w:tcPr>
            <w:tcW w:w="7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26, 2013</w:t>
            </w:r>
          </w:p>
        </w:tc>
        <w:tc>
          <w:tcPr>
            <w:tcW w:w="300" w:type="dxa"/>
            <w:vAlign w:val="bottom"/>
          </w:tcPr>
          <w:p>
            <w:pPr>
              <w:spacing w:after="0"/>
              <w:rPr>
                <w:sz w:val="14"/>
                <w:szCs w:val="14"/>
                <w:color w:val="auto"/>
              </w:rPr>
            </w:pPr>
          </w:p>
        </w:tc>
        <w:tc>
          <w:tcPr>
            <w:tcW w:w="920" w:type="dxa"/>
            <w:vAlign w:val="bottom"/>
            <w:gridSpan w:val="4"/>
          </w:tcPr>
          <w:p>
            <w:pPr>
              <w:jc w:val="center"/>
              <w:ind w:left="136"/>
              <w:spacing w:after="0"/>
              <w:rPr>
                <w:sz w:val="20"/>
                <w:szCs w:val="20"/>
                <w:color w:val="auto"/>
              </w:rPr>
            </w:pPr>
            <w:r>
              <w:rPr>
                <w:rFonts w:ascii="Arial" w:cs="Arial" w:eastAsia="Arial" w:hAnsi="Arial"/>
                <w:sz w:val="14"/>
                <w:szCs w:val="14"/>
                <w:b w:val="1"/>
                <w:bCs w:val="1"/>
                <w:color w:val="auto"/>
                <w:w w:val="91"/>
              </w:rPr>
              <w:t>27, 2012</w:t>
            </w:r>
          </w:p>
        </w:tc>
        <w:tc>
          <w:tcPr>
            <w:tcW w:w="120" w:type="dxa"/>
            <w:vAlign w:val="bottom"/>
          </w:tcPr>
          <w:p>
            <w:pPr>
              <w:spacing w:after="0"/>
              <w:rPr>
                <w:sz w:val="14"/>
                <w:szCs w:val="14"/>
                <w:color w:val="auto"/>
              </w:rPr>
            </w:pPr>
          </w:p>
        </w:tc>
        <w:tc>
          <w:tcPr>
            <w:tcW w:w="1100" w:type="dxa"/>
            <w:vAlign w:val="bottom"/>
            <w:gridSpan w:val="4"/>
          </w:tcPr>
          <w:p>
            <w:pPr>
              <w:jc w:val="center"/>
              <w:ind w:left="319"/>
              <w:spacing w:after="0"/>
              <w:rPr>
                <w:sz w:val="20"/>
                <w:szCs w:val="20"/>
                <w:color w:val="auto"/>
              </w:rPr>
            </w:pPr>
            <w:r>
              <w:rPr>
                <w:rFonts w:ascii="Arial" w:cs="Arial" w:eastAsia="Arial" w:hAnsi="Arial"/>
                <w:sz w:val="14"/>
                <w:szCs w:val="14"/>
                <w:b w:val="1"/>
                <w:bCs w:val="1"/>
                <w:color w:val="auto"/>
                <w:w w:val="91"/>
              </w:rPr>
              <w:t>26, 2013</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27, 2012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219"/>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Founding member advertising revenue from beverage concessionaire</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0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for the Company’s fiscal year ended December 27, 2012. The following discussion and analysis should be read in conjunction with the unaudited condensed financial statements and notes thereto included herein and the audited financial statements and other disclosure included in our annual report on Form 10-K for the Company’s fiscal year ended December 27, 2012.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We operate the largest digital in-theatre network in North America, for the distribution of advertising and Fathom Events. Our revenue is principally derived from the sale of advertising and, to a lesser extent, from our Fathom Events business. We have long-term ESAs with our founding members and multi-year agreements with network affiliates. The ESAs with the founding members and network affiliate agreements grant us exclusive rights, subject to limited exceptions, to sell advertising and distribute entertainment programming in those theatres. Our advertising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lobby entertainment network (“LEN”) programming and Fathom Event programming are distributed across our proprietary digital content network (“DCN”) and live digital broadcast network (“DBN”). Approximately 97% of the aggregate founding member and network affiliate theatre attendance is generated by theatres connected to our DCN. On August 1, 2013, a non-binding letter of intent was executed to spin-off Fathom Events to a new entity owned 30% by each of the founding members and 10% by NCM LLC, as described further in Note 3 </w:t>
      </w:r>
      <w:r>
        <w:rPr>
          <w:rFonts w:ascii="Arial" w:cs="Arial" w:eastAsia="Arial" w:hAnsi="Arial"/>
          <w:sz w:val="16"/>
          <w:szCs w:val="16"/>
          <w:i w:val="1"/>
          <w:iCs w:val="1"/>
          <w:color w:val="auto"/>
        </w:rPr>
        <w:t>– Related-Party Transactions</w:t>
      </w:r>
      <w:r>
        <w:rPr>
          <w:rFonts w:ascii="Arial" w:cs="Arial" w:eastAsia="Arial" w:hAnsi="Arial"/>
          <w:sz w:val="16"/>
          <w:szCs w:val="16"/>
          <w:color w:val="auto"/>
        </w:rPr>
        <w:t xml:space="preserve"> to the Condensed Financial Statements.</w:t>
      </w:r>
    </w:p>
    <w:p>
      <w:pPr>
        <w:spacing w:after="0" w:line="16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twice per quarter with officers, managers and staff to discuss and analyze operating results and address significant variances to budget in an effort to identify trends and changes in our business. We focus on operating metrics including changes in OIBDA, Adjusted OIBDA and Adjusted OIBDA margin, as defined and discussed in “Non-GAAP Financial Measures” below, as some of our primary measurement metrics. In addition, we monitor our monthly advertising performance measurements, including advertising inventory utilization, pricing (CPM), local and total advertising revenue per attendee and the number of Fathom Events locations, revenue per event, attendance per event and location, as well as our operating cash flow and related financial leverage and revolving credit facility availability to ensure that there is adequate cash availability to fund our working capital needs and debt obligations.</w:t>
      </w:r>
    </w:p>
    <w:p>
      <w:pPr>
        <w:spacing w:after="0" w:line="18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in our Form 10-K filed with the SEC on March 21, 2013 for the Company’s fiscal year ended December 27,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Nine months Ended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472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700" w:type="dxa"/>
            <w:vAlign w:val="bottom"/>
          </w:tcPr>
          <w:p>
            <w:pPr>
              <w:spacing w:after="0"/>
              <w:rPr>
                <w:sz w:val="10"/>
                <w:szCs w:val="10"/>
                <w:color w:val="auto"/>
              </w:rPr>
            </w:pPr>
          </w:p>
        </w:tc>
        <w:tc>
          <w:tcPr>
            <w:tcW w:w="15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200" w:type="dxa"/>
            <w:vAlign w:val="bottom"/>
          </w:tcPr>
          <w:p>
            <w:pPr>
              <w:spacing w:after="0"/>
              <w:rPr>
                <w:sz w:val="10"/>
                <w:szCs w:val="10"/>
                <w:color w:val="auto"/>
              </w:rPr>
            </w:pPr>
          </w:p>
        </w:tc>
      </w:tr>
      <w:tr>
        <w:trPr>
          <w:trHeight w:val="171"/>
        </w:trPr>
        <w:tc>
          <w:tcPr>
            <w:tcW w:w="4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 except per share and per attendee data)</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2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78.1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147.0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Adjusted OIBDA margin</w:t>
            </w:r>
          </w:p>
        </w:tc>
        <w:tc>
          <w:tcPr>
            <w:tcW w:w="2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50.6%</w:t>
            </w: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Total advertising revenue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127.6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318.2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305.6</w:t>
            </w:r>
          </w:p>
        </w:tc>
        <w:tc>
          <w:tcPr>
            <w:tcW w:w="20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175.2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533.7</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2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0.665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0.788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0.596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0.589</w:t>
            </w:r>
          </w:p>
        </w:tc>
        <w:tc>
          <w:tcPr>
            <w:tcW w:w="2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revenue (excluding founding member</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beverage revenue) per attendee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0.605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0.731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0.537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0.531</w:t>
            </w:r>
          </w:p>
        </w:tc>
        <w:tc>
          <w:tcPr>
            <w:tcW w:w="200" w:type="dxa"/>
            <w:vAlign w:val="bottom"/>
            <w:shd w:val="clear" w:color="auto" w:fill="CCEEFF"/>
          </w:tcPr>
          <w:p>
            <w:pPr>
              <w:spacing w:after="0"/>
              <w:rPr>
                <w:sz w:val="20"/>
                <w:szCs w:val="20"/>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Total local advertising revenue per attendee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0.131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0.132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0.114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0.103</w:t>
            </w:r>
          </w:p>
        </w:tc>
        <w:tc>
          <w:tcPr>
            <w:tcW w:w="2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U.S. GAAP. OIBDA represents net income plus income tax expense, interest and other costs and depreciation and amortization expense. Adjusted OIBDA excludes from OIBDA non-cash share based payment costs.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net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net income to OIBDA and Adjusted OIBDA for the periods presented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320" w:type="dxa"/>
            <w:vAlign w:val="bottom"/>
            <w:tcBorders>
              <w:top w:val="single" w:sz="8" w:color="auto"/>
            </w:tcBorders>
            <w:gridSpan w:val="3"/>
          </w:tcPr>
          <w:p>
            <w:pPr>
              <w:jc w:val="right"/>
              <w:ind w:right="660"/>
              <w:spacing w:after="0" w:line="119" w:lineRule="exact"/>
              <w:rPr>
                <w:sz w:val="20"/>
                <w:szCs w:val="20"/>
                <w:color w:val="auto"/>
              </w:rPr>
            </w:pPr>
            <w:r>
              <w:rPr>
                <w:rFonts w:ascii="Arial" w:cs="Arial" w:eastAsia="Arial" w:hAnsi="Arial"/>
                <w:sz w:val="13"/>
                <w:szCs w:val="13"/>
                <w:b w:val="1"/>
                <w:bCs w:val="1"/>
                <w:color w:val="auto"/>
                <w:w w:val="95"/>
              </w:rPr>
              <w:t>September</w:t>
            </w: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September</w:t>
            </w:r>
          </w:p>
        </w:tc>
        <w:tc>
          <w:tcPr>
            <w:tcW w:w="660" w:type="dxa"/>
            <w:vAlign w:val="bottom"/>
          </w:tcPr>
          <w:p>
            <w:pPr>
              <w:spacing w:after="0"/>
              <w:rPr>
                <w:sz w:val="10"/>
                <w:szCs w:val="10"/>
                <w:color w:val="auto"/>
              </w:rPr>
            </w:pPr>
          </w:p>
        </w:tc>
        <w:tc>
          <w:tcPr>
            <w:tcW w:w="13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w:t>
            </w: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Arial" w:cs="Arial" w:eastAsia="Arial" w:hAnsi="Arial"/>
                <w:sz w:val="14"/>
                <w:szCs w:val="14"/>
                <w:b w:val="1"/>
                <w:bCs w:val="1"/>
                <w:color w:val="auto"/>
              </w:rPr>
              <w:t>26, 2013</w:t>
            </w:r>
          </w:p>
        </w:tc>
        <w:tc>
          <w:tcPr>
            <w:tcW w:w="6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27, 2012</w:t>
            </w:r>
          </w:p>
        </w:tc>
        <w:tc>
          <w:tcPr>
            <w:tcW w:w="6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26, 2013</w:t>
            </w:r>
          </w:p>
        </w:tc>
        <w:tc>
          <w:tcPr>
            <w:tcW w:w="6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27, 2012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non-operating costs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OIBDA</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OIBDA</w:t>
            </w:r>
          </w:p>
        </w:tc>
        <w:tc>
          <w:tcPr>
            <w:tcW w:w="1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revenue</w:t>
            </w: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3"/>
            <w:vMerge w:val="continue"/>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OIBDA margin</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7"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$1.3 million, $1.0 million, $3.7 million and $3.6 million for the three months ended September 26, 2013 and September 27, 2012, and the nine months ended September 26, 2013 and September 27, 2012,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results of operations data for the three and nine months ended September 26, 2013 and September 27, 2012 was derived from the unaudited condensed financial statements and accounting records of NCM LLC and should be read in conjunction with the notes thereto.</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26, 2013 and September 27, 2012</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$8.6 million, or 6.0%, from $143.7 million for the three months ended September 27, 2012 to $135.1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26, 2013. The following is a summary of revenue by category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7"/>
              </w:rPr>
              <w:t>Change Q3’12 to Q3’13</w:t>
            </w: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27,</w:t>
            </w:r>
          </w:p>
        </w:tc>
        <w:tc>
          <w:tcPr>
            <w:tcW w:w="5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154"/>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w:t>
            </w: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Founding member advertising revenue from beverage concessionaire</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20" w:type="dxa"/>
            <w:vAlign w:val="bottom"/>
            <w:vMerge w:val="restart"/>
          </w:tcPr>
          <w:p>
            <w:pPr>
              <w:jc w:val="right"/>
              <w:ind w:right="27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$13.7 million, or 13.1%, decrease in national advertising revenue (excluding beverage revenue from NCM LLC’s founding members) was due to a decrease in both the national inventory utilization and national advertising CPMs. National inventory utilization decreased from 136.1% in the third quarter of 2012 to 117.6% in the third quarter of 2013 due primarily to a decrease in revenue from one client in the third quarter of 2013, compared to the third quarter of 2012. This client represented 6.8% of our national advertising revenue in the third quarter of 2013, compared to 19.2% in the third quarter of 2012 (4.6% and 14.0% of total revenue, respectively). The decrease in utilization was partially offset by a 9.6% increase in network attendance quarter-over-quarter related to an overall increase in cinema industry attendance resulting from a stronger film release schedule and the addition of new network affiliates discussed below. Inventory utilization is calculated based on eleven 30-second salable national advertising units in our pre-show, which can be expanded, should market demand dictate. National advertising CPMs (excluding beverage revenue) decreased 5.0% during the third quarter of 2013, compared to the third quarter of 2012, primarily due to the expansion of our client base to new client categories related to the implementation of more aggressive pricing strategies.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Local advertising revenue.</w:t>
      </w:r>
      <w:r>
        <w:rPr>
          <w:rFonts w:ascii="Arial" w:cs="Arial" w:eastAsia="Arial" w:hAnsi="Arial"/>
          <w:sz w:val="17"/>
          <w:szCs w:val="17"/>
          <w:color w:val="auto"/>
        </w:rPr>
        <w:t xml:space="preserve"> The $1.8 million, or 7.8%, increase in local advertising revenue was driven by an increase in local advertising contract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volume of 13.9%, partially offset by a decrease in the average contract value of 4.7% in the third quarter of 2013 compared to the third quarter of 2012.</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contract volume was driven by an increase in sales to smaller local clients. The average dollar value of our local advertising contracts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$100,000 increased 2.9% and the number of contracts under $100,000 increased 14.1%, partially offset by a decrease in the number of larger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(&gt;$100,000) regional contracts. The increase in the smaller contracts was driven in part by a 1.7% increase in the number of average network screens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third quarter of 2013, compared to the third quarter of 2012, and an improving economic outlook in many of the local markets that we serve.</w:t>
      </w:r>
    </w:p>
    <w:p>
      <w:pPr>
        <w:spacing w:after="0" w:line="114" w:lineRule="exact"/>
        <w:rPr>
          <w:sz w:val="20"/>
          <w:szCs w:val="20"/>
          <w:color w:val="auto"/>
        </w:rPr>
      </w:pPr>
    </w:p>
    <w:p>
      <w:pPr>
        <w:ind w:left="460" w:right="80"/>
        <w:spacing w:after="0" w:line="297"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$1.5 million, or 15.0%, increase in national advertising revenue from NCM LLC’s founding members’ beverage concessionaire agreements was due primarily to a 14.3% increase in founding member attendance during the third quarter of 2013, compared to the third quarter of 2012. The increase in founding member attendance related to higher cinema industry attendance and the acquisition of 109 theatres (with 1,437 screens) by NCM LLC’s founding members late in 2012 and the first nine months of 2013. These acquisitions expanded our network by 12 theatres (192 screens) as 97 theatres (with 1,245 screens) were operated by existing network affiliate theatre circuits.</w:t>
      </w:r>
    </w:p>
    <w:p>
      <w:pPr>
        <w:spacing w:after="0" w:line="50"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u w:val="single" w:color="auto"/>
          <w:color w:val="auto"/>
        </w:rPr>
        <w:t>Fathom Events revenue.</w:t>
      </w:r>
      <w:r>
        <w:rPr>
          <w:rFonts w:ascii="Arial" w:cs="Arial" w:eastAsia="Arial" w:hAnsi="Arial"/>
          <w:sz w:val="16"/>
          <w:szCs w:val="16"/>
          <w:color w:val="auto"/>
        </w:rPr>
        <w:t xml:space="preserve"> Fathom Events revenue, which is comprised of Fathom Consumer revenue and Fathom Business revenue, increased $1.8 million, or 31.6%, from $5.7 million for the three months ended September 27, 2012 to $7.5 million for the three months ended September 26, 2013. The increase was due to an increase in Fathom Consumer Events revenue of $2.6 million driven by a 30.8% increase in the number of event nights to 17 during the third quarter of 2013, compared to 13 in the third quarter of 2012 and a 17.0% increase in the average revenue per event due primarily to several high quality events in the rock music, boxing and general entertainment genres. The increase for Fathom Consumer was partially offset by a $0.8 million decrease in revenue from Fathom Business as there were no Fathom Business Events during the third quarter of 2013.</w:t>
      </w:r>
    </w:p>
    <w:p>
      <w:pPr>
        <w:spacing w:after="0" w:line="16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$2.1 million, or 3.2%, from $65.6 million for the three months ended September 27, 2012 to</w:t>
      </w:r>
      <w:r>
        <w:rPr>
          <w:rFonts w:ascii="Arial" w:cs="Arial" w:eastAsia="Arial" w:hAnsi="Arial"/>
          <w:sz w:val="17"/>
          <w:szCs w:val="17"/>
          <w:i w:val="1"/>
          <w:iCs w:val="1"/>
          <w:color w:val="auto"/>
        </w:rPr>
        <w:t xml:space="preserve"> </w:t>
      </w:r>
      <w:r>
        <w:rPr>
          <w:rFonts w:ascii="Arial" w:cs="Arial" w:eastAsia="Arial" w:hAnsi="Arial"/>
          <w:sz w:val="17"/>
          <w:szCs w:val="17"/>
          <w:color w:val="auto"/>
        </w:rPr>
        <w:t>$67.7 million for the three months ended September 26, 2013. Set forth below is a discussion of the changes in operating expenses.</w:t>
      </w:r>
    </w:p>
    <w:p>
      <w:pPr>
        <w:spacing w:after="0" w:line="38"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Advertising operating costs decreased $3.1 million, or 28.2%, from $11.0 million for the three months ended September 27, 2012 to $7.9 million for the three months ended September 26, 2013. The decrease was due primarily to a decrease of $2.6 million in affiliate advertising payments. Affiliate advertising payments decreased due to a decrease in advertising revenue during the third quarter of 2013, as well as, a decrease in the number of average affiliate screens of 13.1% in the third quarter of 2013, compared to the third quarter of 2012. The decrease in affiliate screens was primarily due to the acquisition of 97 affiliate theatres (with 1,245 screens) by founding members during late 2012 and the first nine months of 2013, whereby we are now paying a theatre access fee to our founding members, rather than the higher affiliate payments, that are based on as much as 50% of the advertising revenue.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u w:val="single" w:color="auto"/>
          <w:color w:val="auto"/>
        </w:rPr>
        <w:t>Fathom Events operating costs.</w:t>
      </w:r>
      <w:r>
        <w:rPr>
          <w:rFonts w:ascii="Arial" w:cs="Arial" w:eastAsia="Arial" w:hAnsi="Arial"/>
          <w:sz w:val="17"/>
          <w:szCs w:val="17"/>
          <w:color w:val="auto"/>
        </w:rPr>
        <w:t xml:space="preserve"> Fathom Events operating costs increased $0.9 million, or 20.0%, from $4.5 million for the three months ended September 27, 2012 to $5.4 million for the three months ended September 26, 2013. The increase was due primarily to a $1.6 million increase in costs associated with the higher Fathom Consumer Events revenue and more events, as described above, partially offset by a lower average revenue sharing percentage with programming suppliers. These costs were also partially offset by a $0.5 million decrease in costs associated with the Fathom Business Events division as there were no business events in the third quarter of 2013.</w:t>
      </w:r>
    </w:p>
    <w:p>
      <w:pPr>
        <w:spacing w:after="0" w:line="64" w:lineRule="exact"/>
        <w:rPr>
          <w:sz w:val="20"/>
          <w:szCs w:val="20"/>
          <w:color w:val="auto"/>
        </w:rPr>
      </w:pPr>
    </w:p>
    <w:p>
      <w:pPr>
        <w:jc w:val="both"/>
        <w:ind w:left="460" w:right="480"/>
        <w:spacing w:after="0" w:line="264"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Network costs remained consistent at $4.9 million for the three months ended September 27, 2012 and for the three months ended September 26, 2013. These costs remained consistent as the number of average network screens only increased 1.7% in the third quarter of 2013, compared to the third quarter of 2012.</w:t>
      </w:r>
    </w:p>
    <w:p>
      <w:pPr>
        <w:spacing w:after="0" w:line="73"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Theatre access fees increased $2.4 million, or 14.7%, from $16.3 million for the three months ended September 27, 2012 to $18.7 million for the three months ended September 26, 2013. Approximately $1.6 million of the increase was due to an increase in founding member attendance of 14.3% in the third quarter of 2013, compared to the third quarter of 2012 due primarily to the founding member acquisitions and increase in industry attendance in the third quarter of 2013, compared to the third quarter of 2012, discussed above. In addition, fees for use of digital screens and higher quality digital cinema projectors increased due to an annual 5% contractual rate increase, as well as an increase in the number of founding member theatres equipped with digital cinema projectors year-over-year. As of September 26, 2013, the number of founding member theatres equipped with digital cinema projectors as a percentage of the total founding member network was 86%, compared to 81% as of September 27, 2012 and approximately 96% of founding member screens featured LCD or digital cinema projectors as of September 26, 2013.</w:t>
      </w:r>
    </w:p>
    <w:p>
      <w:pPr>
        <w:spacing w:after="0" w:line="58"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Selling and marketing costs decreased $0.1 million, or 0.6%, from $15.7 million for the three months ended September 27, 2012 to $15.6 million for the three months ended September 26, 2013. This decrease was primarily due to a decrease in national advertising revenue, partially offset by an increase in selling and marketing costs associated with the higher local advertising revenue and higher Fathom revenue. Advertising related selling and marketing costs decreased due primarily to a decrease in personnel costs, online publisher expenses and marketing costs. Fathom selling and marketing costs increased due primarily to a reversal of bad debt expense in the third quarter of 2012, partially offset by lower third quarter 2013 personnel expense.</w:t>
      </w:r>
    </w:p>
    <w:p>
      <w:pPr>
        <w:spacing w:after="0" w:line="85" w:lineRule="exact"/>
        <w:rPr>
          <w:sz w:val="20"/>
          <w:szCs w:val="20"/>
          <w:color w:val="auto"/>
        </w:rPr>
      </w:pPr>
    </w:p>
    <w:p>
      <w:pPr>
        <w:jc w:val="both"/>
        <w:ind w:left="460" w:right="76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Administrative and other costs decreased $0.1 million, or 1.9%, from $5.4 million for the three months ended September 27, 2012 to $5.3 million for the three months ended September 26, 2013. The decrease was primarily due to decreases in legal and professional expense.</w:t>
      </w:r>
    </w:p>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declined slightly from $2.8 million for the three months ended September 27, 2012 to $2.7 million for the three months ended September 26, 2013 primarily due to a decrease in share based compensation. Amounts recorded are based on the terms of the management services agreement which states NCM LLC pays NCM, Inc. service fees which are equal to the cost of NCM, Inc. employees and any reimbursable costs incurred by NCM, Inc.</w:t>
      </w:r>
    </w:p>
    <w:p>
      <w:pPr>
        <w:spacing w:after="0" w:line="79" w:lineRule="exact"/>
        <w:rPr>
          <w:sz w:val="20"/>
          <w:szCs w:val="20"/>
          <w:color w:val="auto"/>
        </w:rPr>
      </w:pPr>
    </w:p>
    <w:p>
      <w:pPr>
        <w:ind w:left="460" w:right="120"/>
        <w:spacing w:after="0" w:line="30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Depreciation and amortization expense increased $2.2 million, or 44.0%, from $5.0 million for the three months ended September 27, 2012 to $7.2 million for the three months ended September 26, 2013. The increase was due to higher amortization of intangible assets related to new affiliate agreements and NCM LLC founding member common unit adjustments, as well as, an increase in depreciation expense resulting from greater average property, plant and equipment year-over-year related primarily to equipment installed in new network affiliate theatres.</w:t>
      </w:r>
    </w:p>
    <w:p>
      <w:pPr>
        <w:spacing w:after="0" w:line="154"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i w:val="1"/>
          <w:iCs w:val="1"/>
          <w:color w:val="auto"/>
        </w:rPr>
        <w:t>Non-operating expenses</w:t>
      </w:r>
      <w:r>
        <w:rPr>
          <w:rFonts w:ascii="Arial" w:cs="Arial" w:eastAsia="Arial" w:hAnsi="Arial"/>
          <w:sz w:val="17"/>
          <w:szCs w:val="17"/>
          <w:color w:val="auto"/>
        </w:rPr>
        <w:t>. Total non-operating expenses increased $0.5 million, or 3.4%, from $14.9 million for the three months ended September 27,</w:t>
      </w:r>
      <w:r>
        <w:rPr>
          <w:rFonts w:ascii="Arial" w:cs="Arial" w:eastAsia="Arial" w:hAnsi="Arial"/>
          <w:sz w:val="17"/>
          <w:szCs w:val="17"/>
          <w:i w:val="1"/>
          <w:iCs w:val="1"/>
          <w:color w:val="auto"/>
        </w:rPr>
        <w:t xml:space="preserve"> </w:t>
      </w:r>
      <w:r>
        <w:rPr>
          <w:rFonts w:ascii="Arial" w:cs="Arial" w:eastAsia="Arial" w:hAnsi="Arial"/>
          <w:sz w:val="17"/>
          <w:szCs w:val="17"/>
          <w:color w:val="auto"/>
        </w:rPr>
        <w:t>2012 to $15.4 million for the three months ended September 26, 2013. The increase to non-operating expenses was driven by a $1.3 million increase in the amortization expense associated with terminated swap arrangements, and the absence of a $0.7 million gain recorded for the change in derivative fair value that was recorded in the third quarter of 2012 for interest rate swaps which the Company has since terminated.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increase in non-operating expenses was partially offset by a decrease in interest on borrowings of $1.5 million due primarily to lower average interest rates in the third quarter of 2013 compared to the third quarter of 2012 as a result of the Company’s debt refinancings in 2012 and 2013.</w:t>
      </w:r>
    </w:p>
    <w:p>
      <w:pPr>
        <w:spacing w:after="0" w:line="14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$11.1 million from $62.9 million for the three months ended September 27, 2012 to $51.8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26, 2013. The increase in net income was driven by an increase in non-operating expenses of $0.5 million and a decrease in operating income of $10.7 million, as described further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26, 2013 and September 27, 2012</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$7.2 million, or 2.2%, from $332.9 million for the nine months ended September 27, 2012 to $340.1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26, 2013. The following is a summary of revenue by category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1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Change YTD’12 to YTD’13</w:t>
            </w:r>
          </w:p>
        </w:tc>
        <w:tc>
          <w:tcPr>
            <w:tcW w:w="0" w:type="dxa"/>
            <w:vAlign w:val="bottom"/>
          </w:tcPr>
          <w:p>
            <w:pPr>
              <w:spacing w:after="0"/>
              <w:rPr>
                <w:sz w:val="1"/>
                <w:szCs w:val="1"/>
                <w:color w:val="auto"/>
              </w:rPr>
            </w:pPr>
          </w:p>
        </w:tc>
      </w:tr>
      <w:tr>
        <w:trPr>
          <w:trHeight w:val="119"/>
        </w:trPr>
        <w:tc>
          <w:tcPr>
            <w:tcW w:w="53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Local advertising revenue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Founding member advertising revenue from beverage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concessionaire agreements</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National advertising revenue.</w:t>
      </w:r>
      <w:r>
        <w:rPr>
          <w:rFonts w:ascii="Arial" w:cs="Arial" w:eastAsia="Arial" w:hAnsi="Arial"/>
          <w:sz w:val="18"/>
          <w:szCs w:val="18"/>
          <w:color w:val="auto"/>
        </w:rPr>
        <w:t xml:space="preserve"> The $3.7 million, or 1.7%, increase in national advertising revenue (excluding beverage revenue from NCM LLC’s founding members) was due primarily to an increase in national inventory utilization which rose from approximately 101.4% in the first nine months of 2012 to 104.9% in the first nine months of 2013 on network attendance growth of 2.8%. Utilization increased primarily due to content partner revenue increasing by 24.4% in the first nine months of 2013, compared to the first nine months of 2012. These increases to national advertising revenue were partially offset by a 3.3% decrease in national advertising CPMs (excluding beverage revenue) due primarily to the expansion of our client mix to new categories related to more aggressive pricing strategies.</w:t>
      </w:r>
    </w:p>
    <w:p>
      <w:pPr>
        <w:spacing w:after="0" w:line="85"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$7.3 million, or 13.7%, increase in local advertising revenue was driven by an increase in local advertising contract volume of 10.1% and an increase in the average contract value of 3.4% in the first nine months of 2013 compared to the first nine months of 2012. The increase in contract volume was driven by an increase in the volume of both larger regional contracts and smaller local contracts. The number of contracts over $100,000 increased 12.5%, and the number of contracts under $100,000 increased 10.1%. The increase in the larger contracts was driven in part by the addition of new network screens over the past year that improved our geographic coverage, making our network more attractive to larger local and regional advertising clients. Local revenue per theatre attendee increased 10.7% primarily because of the increase in local advertising revenue.</w:t>
      </w:r>
    </w:p>
    <w:p>
      <w:pPr>
        <w:spacing w:after="0" w:line="81" w:lineRule="exact"/>
        <w:rPr>
          <w:sz w:val="20"/>
          <w:szCs w:val="20"/>
          <w:color w:val="auto"/>
        </w:rPr>
      </w:pPr>
    </w:p>
    <w:p>
      <w:pPr>
        <w:ind w:left="460" w:right="260"/>
        <w:spacing w:after="0" w:line="264"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$1.6 million, or 5.4%, increase in national advertising revenue from NCM LLC’s founding members’ beverage concessionaire agreements was due primarily to the 4.8% increase in founding member attendance period-over-period due primarily to the founding member theatre acquisitions discussed previously.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u w:val="single" w:color="auto"/>
          <w:color w:val="auto"/>
        </w:rPr>
        <w:t>Fathom Events revenue.</w:t>
      </w:r>
      <w:r>
        <w:rPr>
          <w:rFonts w:ascii="Arial" w:cs="Arial" w:eastAsia="Arial" w:hAnsi="Arial"/>
          <w:sz w:val="18"/>
          <w:szCs w:val="18"/>
          <w:color w:val="auto"/>
        </w:rPr>
        <w:t xml:space="preserve"> Fathom Events revenue, which is comprised of Fathom Consumer revenue and Fathom Business revenue, decreased $5.4 million, or 19.8%, from $27.3 million for the nine months ended September 27, 2012 to $21.9 million for the nine months ended September 26, 2013. The decrease was due in part to Fathom Consumer Events revenue decreasing $2.2 million, or 9.6%, which was driven by a 20.3% decrease in the number of event nights to 51 during the nine months of 2013, compared to 64 in the first nine months of 2012 due to fewer classic film and arts and entertainment events in the first nine months of 2013 compared to the first nine months of 2012. In addition, Fathom Business Events revenue decreased $3.2 million during the first nine months of 2013, compared to the first nine months of 2012 as this division was wound-down during the first quarter of 2012.</w:t>
      </w:r>
    </w:p>
    <w:p>
      <w:pPr>
        <w:spacing w:after="0" w:line="18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increased $0.6 million, or 0.3%, from $192.5 million for the nine months ended September 27, 2012 to</w:t>
      </w:r>
      <w:r>
        <w:rPr>
          <w:rFonts w:ascii="Arial" w:cs="Arial" w:eastAsia="Arial" w:hAnsi="Arial"/>
          <w:sz w:val="17"/>
          <w:szCs w:val="17"/>
          <w:i w:val="1"/>
          <w:iCs w:val="1"/>
          <w:color w:val="auto"/>
        </w:rPr>
        <w:t xml:space="preserve"> </w:t>
      </w:r>
      <w:r>
        <w:rPr>
          <w:rFonts w:ascii="Arial" w:cs="Arial" w:eastAsia="Arial" w:hAnsi="Arial"/>
          <w:sz w:val="17"/>
          <w:szCs w:val="17"/>
          <w:color w:val="auto"/>
        </w:rPr>
        <w:t>$193.1 million for the nine months ended September 26, 2013. Set forth below is a discussion of the changes in operating expenses.</w:t>
      </w:r>
    </w:p>
    <w:p>
      <w:pPr>
        <w:spacing w:after="0" w:line="38" w:lineRule="exact"/>
        <w:rPr>
          <w:sz w:val="20"/>
          <w:szCs w:val="20"/>
          <w:color w:val="auto"/>
        </w:rPr>
      </w:pPr>
    </w:p>
    <w:p>
      <w:pPr>
        <w:ind w:left="460" w:right="100"/>
        <w:spacing w:after="0" w:line="297"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Advertising operating costs decreased $2.0 million, or 8.4%, from $23.7 million for the nine months ended September 27, 2012 to $21.7 million for the nine months ended September 26, 2013. The decrease was due to a $2.0 million, or 10.8%, decrease in affiliate advertising payments. The decrease in affiliate advertising payments was driven by a 6.7% decrease in the number of average affiliate screens in the first nine months of 2013, compared to the first nine months of 2012. The decrease in affiliate screens is due to the acquisition of certain affiliate screens by NCM LLC’s founding members, partially offset by the addition of new affiliate screens to our network.</w:t>
      </w:r>
    </w:p>
    <w:p>
      <w:pPr>
        <w:spacing w:after="0" w:line="50" w:lineRule="exact"/>
        <w:rPr>
          <w:sz w:val="20"/>
          <w:szCs w:val="20"/>
          <w:color w:val="auto"/>
        </w:rPr>
      </w:pPr>
    </w:p>
    <w:p>
      <w:pPr>
        <w:ind w:left="460" w:right="160"/>
        <w:spacing w:after="0" w:line="276" w:lineRule="auto"/>
        <w:rPr>
          <w:sz w:val="20"/>
          <w:szCs w:val="20"/>
          <w:color w:val="auto"/>
        </w:rPr>
      </w:pPr>
      <w:r>
        <w:rPr>
          <w:rFonts w:ascii="Arial" w:cs="Arial" w:eastAsia="Arial" w:hAnsi="Arial"/>
          <w:sz w:val="17"/>
          <w:szCs w:val="17"/>
          <w:u w:val="single" w:color="auto"/>
          <w:color w:val="auto"/>
        </w:rPr>
        <w:t>Fathom Events operating costs.</w:t>
      </w:r>
      <w:r>
        <w:rPr>
          <w:rFonts w:ascii="Arial" w:cs="Arial" w:eastAsia="Arial" w:hAnsi="Arial"/>
          <w:sz w:val="17"/>
          <w:szCs w:val="17"/>
          <w:color w:val="auto"/>
        </w:rPr>
        <w:t xml:space="preserve"> Fathom Events operating costs decreased $4.6 million, or 23.0%, from $20.0 million for the nine months ended September 27, 2012 to $15.4 million for the nine months ended September 26, 2013. The decrease was primarily due to a decrease in costs associated with the Fathom Consumer Events division of $2.4 million due to the decline in Fathom Consumer Events revenue from fewer events in the first nine months of 2013, as described above, and lower programming costs as a percentage of event revenue. In addition, costs associated with the Fathom Business Events division declined $1.7 million as this division was wound-down in the first quarter of 2012.</w:t>
      </w:r>
    </w:p>
    <w:p>
      <w:pPr>
        <w:spacing w:after="0" w:line="64"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Network costs remained consistent at $14.6 million during the nine months ended September 26, 2013 and September 27, 2012. These costs remained consistent as the number of average network screens also remained relatively consistent during the nine months ended September 26, 2013 compared to the nine months ended September 27, 2012.</w:t>
      </w:r>
    </w:p>
    <w:p>
      <w:pPr>
        <w:spacing w:after="0" w:line="73"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u w:val="single" w:color="auto"/>
          <w:color w:val="auto"/>
        </w:rPr>
        <w:t>Theatre access fees</w:t>
      </w:r>
      <w:r>
        <w:rPr>
          <w:rFonts w:ascii="Arial" w:cs="Arial" w:eastAsia="Arial" w:hAnsi="Arial"/>
          <w:sz w:val="16"/>
          <w:szCs w:val="16"/>
          <w:color w:val="auto"/>
        </w:rPr>
        <w:t>. Theatre access fees increased $4.1 million, or 8.5%, from $48.3 million for the nine months ended September 27, 2012 to $52.4 million for the nine months ended September 26, 2013. The increase was primarily due to a $2.5 million increase in the fees for use of digital screens and higher quality digital cinema projectors. These fees increased due to an annual 5% contractual rate increase, as well as an increase in the number of founding member theatres equipped with digital cinema projectors. As of September 26, 2013, the number of founding member theatres equipped with digital cinema projectors as a percentage of the total founding member network was 86%, compared to 81% as of September 27, 2012 and approximately 96% of founding member screens featured LCD or digital cinema projectors as of September 26, 2013. Theatre access fees also increased by $1.6 million due to an increase in our fee per patron related to an increase of 4.8% in founding member attendance during the first nine months of 2013, compared to the same period in 2012 due primarily to the founding member theatre acquisitions mentioned previously.</w:t>
      </w:r>
    </w:p>
    <w:p>
      <w:pPr>
        <w:spacing w:after="0" w:line="58"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Selling and marketing costs increased $1.0 million, or 2.2%, from $45.7 million for the nine months ended September 27, 2012 to $46.7 million for the nine months ended September 26, 2013. This increase was due to an increase in advertising related selling and marketing costs of $1.6 million, partially offset by a decrease in selling and marketing costs associated with the Fathom division of $0.7 million. Advertising related selling and marketing costs increased due primarily to $1.4 million of higher non-cash barter expense incurred in the first nine months of 2013 and a $0.5 million increase in local commission expense related to the increase in local advertising revenue. The decrease in Fathom selling and marketing costs was due primarily to the wind-down of the Fathom Business Events division during the first quarter of 2012.</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72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Administrative and other costs decreased $0.2 million, or 1.3%, from $15.5 million for the nine months ended September 27, 2012 to $15.3 million for the nine months ended September 26, 2013. The decrease was primarily due to decreases in legal and professional expense.</w:t>
      </w:r>
    </w:p>
    <w:p>
      <w:pPr>
        <w:spacing w:after="0" w:line="73" w:lineRule="exact"/>
        <w:rPr>
          <w:sz w:val="20"/>
          <w:szCs w:val="20"/>
          <w:color w:val="auto"/>
        </w:rPr>
      </w:pPr>
    </w:p>
    <w:p>
      <w:pPr>
        <w:ind w:left="460" w:right="20"/>
        <w:spacing w:after="0" w:line="279" w:lineRule="auto"/>
        <w:rPr>
          <w:sz w:val="20"/>
          <w:szCs w:val="20"/>
          <w:color w:val="auto"/>
        </w:rPr>
      </w:pPr>
      <w:r>
        <w:rPr>
          <w:rFonts w:ascii="Arial" w:cs="Arial" w:eastAsia="Arial" w:hAnsi="Arial"/>
          <w:sz w:val="17"/>
          <w:szCs w:val="17"/>
          <w:u w:val="single" w:color="auto"/>
          <w:color w:val="auto"/>
        </w:rPr>
        <w:t>Administrative fee – managing member.</w:t>
      </w:r>
      <w:r>
        <w:rPr>
          <w:rFonts w:ascii="Arial" w:cs="Arial" w:eastAsia="Arial" w:hAnsi="Arial"/>
          <w:sz w:val="17"/>
          <w:szCs w:val="17"/>
          <w:color w:val="auto"/>
        </w:rPr>
        <w:t xml:space="preserve"> Administrative fee-managing member decreased $1.6 million, or 16.3%, from $9.8 million for the nine months ended September 27, 2012 to $8.2 million for the nine months ended September 26, 2013 primarily due to a decrease in payroll and share based compensation. Amounts recorded are based on the terms of the management service agreement which states NCM LLC pays NCM, Inc. service fees which are equal to the cost of NCM, Inc. employees and any reimbursable costs incurred by NCM, Inc.</w:t>
      </w:r>
    </w:p>
    <w:p>
      <w:pPr>
        <w:spacing w:after="0" w:line="63" w:lineRule="exact"/>
        <w:rPr>
          <w:sz w:val="20"/>
          <w:szCs w:val="20"/>
          <w:color w:val="auto"/>
        </w:rPr>
      </w:pPr>
    </w:p>
    <w:p>
      <w:pPr>
        <w:ind w:left="460" w:right="80"/>
        <w:spacing w:after="0" w:line="302"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Depreciation and amortization expense increased $3.9 million, or 26.2%, from $14.9 million for the nine months ended September 27, 2012 to $18.8 million for the nine months ended September 26, 2013. The increase was due to higher amortization of intangible assets related to new affiliate agreements, NCM LLC founding member common unit adjustments, as well as an increase in depreciation expense resulting from higher average property, plant and equipment year-over-year related primarily to equipment installed in new network affiliate theatres.</w:t>
      </w:r>
    </w:p>
    <w:p>
      <w:pPr>
        <w:spacing w:after="0" w:line="154"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i w:val="1"/>
          <w:iCs w:val="1"/>
          <w:color w:val="auto"/>
        </w:rPr>
        <w:t>Non-operating expenses</w:t>
      </w:r>
      <w:r>
        <w:rPr>
          <w:rFonts w:ascii="Arial" w:cs="Arial" w:eastAsia="Arial" w:hAnsi="Arial"/>
          <w:sz w:val="16"/>
          <w:szCs w:val="16"/>
          <w:color w:val="auto"/>
        </w:rPr>
        <w:t>. Total non-operating expenses decreased $24.1 million, or 33.5%, from $72.0 million for the nine months ended September 27,</w:t>
      </w:r>
      <w:r>
        <w:rPr>
          <w:rFonts w:ascii="Arial" w:cs="Arial" w:eastAsia="Arial" w:hAnsi="Arial"/>
          <w:sz w:val="16"/>
          <w:szCs w:val="16"/>
          <w:i w:val="1"/>
          <w:iCs w:val="1"/>
          <w:color w:val="auto"/>
        </w:rPr>
        <w:t xml:space="preserve"> </w:t>
      </w:r>
      <w:r>
        <w:rPr>
          <w:rFonts w:ascii="Arial" w:cs="Arial" w:eastAsia="Arial" w:hAnsi="Arial"/>
          <w:sz w:val="16"/>
          <w:szCs w:val="16"/>
          <w:color w:val="auto"/>
        </w:rPr>
        <w:t>2012 to $47.9 million for the nine months ended September 26, 2013. The decrease in non-operating expenses was driven by the following factors:</w:t>
      </w:r>
    </w:p>
    <w:p>
      <w:pPr>
        <w:spacing w:after="0" w:line="29" w:lineRule="exact"/>
        <w:rPr>
          <w:sz w:val="20"/>
          <w:szCs w:val="20"/>
          <w:color w:val="auto"/>
        </w:rPr>
      </w:pPr>
    </w:p>
    <w:p>
      <w:pPr>
        <w:ind w:left="1480" w:right="4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absence of $26.7 million loss on swap terminations that was recorded in the second quarter of 2012 for the termination of interest rate swaps;</w:t>
      </w:r>
    </w:p>
    <w:p>
      <w:pPr>
        <w:spacing w:after="0" w:line="75" w:lineRule="exact"/>
        <w:rPr>
          <w:rFonts w:ascii="Arial" w:cs="Arial" w:eastAsia="Arial" w:hAnsi="Arial"/>
          <w:sz w:val="18"/>
          <w:szCs w:val="18"/>
          <w:color w:val="auto"/>
        </w:rPr>
      </w:pPr>
    </w:p>
    <w:p>
      <w:pPr>
        <w:ind w:left="1480" w:right="680" w:hanging="446"/>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interest on borrowings of $3.8 million due primarily to lower average interest rates in the first nine months of 2013 compared to the first nine months of 2012 as a result of the Company’s debt refinancings in 2012 and 2013; and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decrease in other non-operating expense of $1.2 million due primarily to lower write-off of debt issuance costs in the period.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decreases to non-operating expenses were partially offset by the following increases to non-operating expenses period over period:</w:t>
      </w:r>
    </w:p>
    <w:p>
      <w:pPr>
        <w:spacing w:after="0" w:line="142"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non-cash $5.4 million increase in the amortization expense associated with terminated swap arrangements; and</w:t>
      </w:r>
    </w:p>
    <w:p>
      <w:pPr>
        <w:spacing w:after="0" w:line="130" w:lineRule="exact"/>
        <w:rPr>
          <w:rFonts w:ascii="Arial" w:cs="Arial" w:eastAsia="Arial" w:hAnsi="Arial"/>
          <w:sz w:val="18"/>
          <w:szCs w:val="18"/>
          <w:color w:val="auto"/>
        </w:rPr>
      </w:pPr>
    </w:p>
    <w:p>
      <w:pPr>
        <w:ind w:left="1480" w:right="140" w:hanging="446"/>
        <w:spacing w:after="0" w:line="264"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$2.2 million decrease in the gain recorded for the change in derivative fair value, as the Company did not record changes in fair value on derivatives in its Condensed Statements of Income during the first nine months of 2013, as it did in 2012 due to the termination of its interest rate swaps in 2012.</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$30.6 million from $67.9 million for the nine months ended September 27, 2012 to $98.5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26, 2013. The increase in net income was driven by a decrease in non-operating expenses of $24.1 million and an increase in operating income of $6.6 million, as described further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current macro-economic environment and its impact on the national television and local and regional advertising markets in general, presents uncertainties that could impact our results of operations, including the timing and amount of spending from our national advertising clients. The impact to our business associated with these issues will be mitigated somewhat over time due to factors including the growth in our advertising client base, the effectiveness of cinema advertising relative to other advertising mediums, the technical quality and increasing scale of our national network and the related increase in salable advertising impressions and the number of Fathom live broadcast events and locations. During 2012, we added twelve new affiliate theatre circuits (with 730 screens) to our national network, and so far in 2013 we have contracted to add five new affiliate theatre circuits (with 278 screens). In total, these contracted new founding member and affiliate theatres that have joined our network during 2012 and thus far in 2013 are expected to add approximately 27 million new attendees on a full-year pro-forma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basis, which we expect will result in approximately 378 million new salable national advertising impressions (assuming 14 national advertising units of 30 seconds each). Our sales force integrates these additional impressions into the advertising sales process as they are added to our network and thus these attendees will provide the opportunity to expand our revenue, operating income and cash flow in 2013 and beyond. We believe that the continued growth of our network will expand our national reach and geographic coverage to strengthen our selling proposition and competitive positioning versus other national and local video and other advertising platforms.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NCM LLC’s founding members to satisfy their on-screen advertising commitments under their beverage concessionaire agreements. During 2013 and in 2012, we sold 60 seconds to NCM LLC’s founding members. We expect to continue to sell 60 seconds of time to NCM LLC’s founding members for the remainder of 2013. It is expected that NCM LLC’s founding members will be renegotiating their agreements with their beverage supplier over the next couple of years, which could change the amount of advertising time that the circuits are required to buy from us to satisfy those agreements. Should the amount of time acquired as part of these beverage concessionaire arrangements decline, that time will be available for sale to other clients.</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consideration for NCM LLC’s access to the founding members’ theatre attendees for on-screen advertising and use of off-screen locations within the founding members’ theatres for the LEN and lobby promotions, the founding members receive a monthly theatre access fee under the ESAs. The theatre access fee is composed of a fixed payment per patron and a fixed payment per digital screen. The payment per theatre patron increases by 8% every five years, with the first such increase taking effect for fiscal year 2012, and the payment per digital screen increases annually by 5%. The theatre access fee paid in the aggregate to all founding members cannot be less than 12% of NCM LLC’s aggregate advertising revenue (as defined in the ESA), or it will be adjusted upward to reach this minimum payment. Pursuant to 2010 ESA Amendments, beginning on October 1, 2010 the theatre access fee paid to the members of NCM LLC included an additional fee for access to the higher quality digital cinema systems for our advertising and Fathom business. This additional fee will continue to increase as additional screens are equipped with the new digital cinema equipment and the fee increases annually by 5%. As of September 26, 2013, 79.1% of our network screens were showing advertising on digital cinema projectors versus 72.1% as of September 27, 2012.</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August 1, 2013, a non-binding letter of intent was signed amongst NCM LLC, Regal, Cinemark and AMC whereby NCM LLC agreed to contribute the assets of its Fathom Events division to a new entity owned 30% by each of the founding members and 10% by NCM LLC. In addition to the 10% interest, NCM LLC expects to receive $25 million in the form of a promissory note or notes as consideration for the sale. The letter of intent also provides for a transition services agreement whereby NCM LLC will agree to provide certain corporate overhead services to the new entity for a period of nine months following the closing of the transaction for a fee. The transaction is expected to close in the fourth quarter of 2013. Due to the related party nature of the transaction, the Company formed a committee of independent directors that has hired an investment banking firm to advise the committee and render an opinion as to the fairness of the transaction.</w:t>
      </w:r>
    </w:p>
    <w:p>
      <w:pPr>
        <w:spacing w:after="0" w:line="189"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During 2013 and 2012, we amended our senior secured credit facility and in 2012 and 2011, we issued new Senior Unsecured Notes and Senior Secured Notes. As a result of these transactions, we extended the average maturities of our debt by over six years to an average remaining maturity of 7.7 years as of September 26, 2013, and our cash interest expense on borrowings is projected to decrease approximately $5.0 million for 2013 compared to 2012.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accordance with NCM LLC’s Common Unit Adjustment Agreement with our founding members, on an annual basis we determines the amount of common membership units to be issued to or returned by the founding members based on theatre additions or dispositions during the previous year. During the first quarter of 2013, we issued 4,536,014 common membership units to our founding members for the rights to exclusive access to net new theatre screens and attendees added by the founding members to NCM LLC’s network during 2012. Of these units, 3,599,198 related to theatre acquisitions and 936,816 related to new theatres constructed, net of closures. The Company recorded a net intangible asset of $69.0 million during the first quarter of 2013 as a result of the annual Common Unit Adjustment.</w:t>
      </w:r>
    </w:p>
    <w:p>
      <w:pPr>
        <w:spacing w:after="0" w:line="193"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During the second quarter of 2013, NCM LLC issued 5,315,837 common membership units to Cinemark for attendees added in connection with Cinemark’s acquisition of Rave Cinemas (“Rave”) on May 28, 2013. NCM LLC’s Common Unit Adjustment Agreement requires that a Common Unit Adjustment occur for a specific founding member if its acquisition or disposition of theatres, in a single transaction or cumulatively since the most recent Common Unit Adjustment, results in an attendance increase or decrease in excess of two percent of the annual total attendance at the prior date. The Company recorded a net intangible asset of approximately $91.2 million during the three months ended June 27, 2013 for this Common Unit Adjustment.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26, 2013, our cash and cash equivalents balance was $22.7 million, an increase of $12.3 million compared to the balance of $10.4 million as of December 27, 2012. The cash and cash equivalents balance at September 26, 2013, combined with $110.0 million of borrowing availability on our revolving credit facility, resulted in total liquidity availability of $122.3 million, or a $12.3 million increase versus December 27, 2012. 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and interest or principal payments on our term loan and the Senior Secured Notes and Senior Unsecured Notes. Our cash and cash equivalents of $22.7 million as of September 26, 2013 increased $15.1 million, compared to $7.6 million as of September 27, 2012. Our total liquidity availability increased $20.7 million to $122.3 million as of September 26, 2013 compared to $101.6 million as of September 27, 2012.</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37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12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27,</w:t>
            </w:r>
          </w:p>
        </w:tc>
        <w:tc>
          <w:tcPr>
            <w:tcW w:w="120" w:type="dxa"/>
            <w:vAlign w:val="bottom"/>
          </w:tcPr>
          <w:p>
            <w:pPr>
              <w:spacing w:after="0"/>
              <w:rPr>
                <w:sz w:val="10"/>
                <w:szCs w:val="10"/>
                <w:color w:val="auto"/>
              </w:rPr>
            </w:pPr>
          </w:p>
        </w:tc>
      </w:tr>
      <w:tr>
        <w:trPr>
          <w:trHeight w:val="171"/>
        </w:trPr>
        <w:tc>
          <w:tcPr>
            <w:tcW w:w="37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Investing cash flow</w:t>
            </w:r>
          </w:p>
        </w:tc>
        <w:tc>
          <w:tcPr>
            <w:tcW w:w="2460" w:type="dxa"/>
            <w:vAlign w:val="bottom"/>
            <w:gridSpan w:val="2"/>
          </w:tcPr>
          <w:p>
            <w:pPr>
              <w:ind w:left="2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4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(97.7)</w:t>
            </w:r>
          </w:p>
        </w:tc>
        <w:tc>
          <w:tcPr>
            <w:tcW w:w="6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r>
    </w:tbl>
    <w:p>
      <w:pPr>
        <w:spacing w:after="0" w:line="107" w:lineRule="exact"/>
        <w:rPr>
          <w:sz w:val="20"/>
          <w:szCs w:val="20"/>
          <w:color w:val="auto"/>
        </w:rPr>
      </w:pPr>
    </w:p>
    <w:p>
      <w:pPr>
        <w:ind w:left="1480" w:right="160" w:hanging="446"/>
        <w:spacing w:after="0" w:line="30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Operating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$77.2 million increase in cash provided by operating activities for the nine months ended September 26,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versus the nine months ended September 27, 2012 was primarily due to the absence of the $40.2 million payment for swap terminations that was incurred in the first nine months of 2012, and a $20.0 million smaller increase in accounts receivable period over period primarily from the timing of revenue and collections in the period, and a $6.6 million increase in operating income period over period.</w:t>
      </w:r>
    </w:p>
    <w:p>
      <w:pPr>
        <w:spacing w:after="0" w:line="59" w:lineRule="exact"/>
        <w:rPr>
          <w:rFonts w:ascii="Arial" w:cs="Arial" w:eastAsia="Arial" w:hAnsi="Arial"/>
          <w:sz w:val="16"/>
          <w:szCs w:val="16"/>
          <w:color w:val="auto"/>
        </w:rPr>
      </w:pPr>
    </w:p>
    <w:p>
      <w:pPr>
        <w:ind w:left="1480" w:right="60" w:hanging="446"/>
        <w:spacing w:after="0" w:line="312" w:lineRule="auto"/>
        <w:tabs>
          <w:tab w:leader="none" w:pos="148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Investing Activities</w:t>
      </w:r>
      <w:r>
        <w:rPr>
          <w:rFonts w:ascii="Arial" w:cs="Arial" w:eastAsia="Arial" w:hAnsi="Arial"/>
          <w:sz w:val="16"/>
          <w:szCs w:val="16"/>
          <w:color w:val="auto"/>
        </w:rPr>
        <w:t>. The $2.2 million increase in cash used in investing activities for the nine months ended September 26,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27, 2012 was due primarily to an increase of $1.7 million in affiliate payments for the up-front fees paid upon commencement of network affiliate agreements and greater purchases of property, plant and equipment.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20" w:hanging="446"/>
        <w:spacing w:after="0" w:line="302"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color w:val="auto"/>
        </w:rPr>
        <w:t>. The $61.1 million increase in cash used in financing activities during the nine months ended September 26, 2013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nine months ended September 27, 2012 was due primarily to a decrease in cash proceeds from borrowings, net of payments, of $51.0 million and an increase in distributions to founding members and NCM, Inc. of $22.1 million, partially offset by a $5.8 million increase in proceeds from share-based compensation and $5.1 million lower debt issuance costs.</w:t>
      </w:r>
    </w:p>
    <w:p>
      <w:pPr>
        <w:spacing w:after="0" w:line="154"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LLC’s primary sources of liquidity and capital resources are its cash provided by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availability under its revolving credit facility and cash on hand.</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interest on borrowings under our revolving agreement and to a lesser extent theatre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September 26, 2013 (which will be made during the fourth quarter of 2013) was $68.4 million.</w:t>
      </w:r>
    </w:p>
    <w:p>
      <w:pPr>
        <w:spacing w:after="0" w:line="193"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As discussed above in “Known Trends and Uncertainties”, the Company modified its debt structure during 2012 and 2013 and as a result has extended the average maturity of its debt by over six years and increased its liquidity, while not meaningfully impacting free cash flow.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27, 2012 and incorporated by reference herein. As of September 26, 2013, there were no significant changes in those critical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February 2013, the FASB issued ASU 2013-02. The objective of ASU 2013-02 is to improve the reporting of reclassifications out of accumulated other comprehensive income. ASU 2013-02 seeks to attain that objective by requiring an entity to report the effect of significant reclassifications out of accumulated other comprehensive income on the respective line items in net income if the amount being reclassified is required under U.S. generally accepted accounting principles (GAAP) to be reclassified in its entirety to net income in the same reporting period. For other amounts that are not required under U.S. GAAP to be reclassified in their entirety to net income in the same reporting period, an entity is required to cross-reference other disclosures required under U.S. GAAP that provide additional detail about those amounts. This accounting standard update is effective prospectively for annual and interim periods beginning after December 15, 2012. Refer to </w:t>
      </w:r>
      <w:r>
        <w:rPr>
          <w:rFonts w:ascii="Arial" w:cs="Arial" w:eastAsia="Arial" w:hAnsi="Arial"/>
          <w:sz w:val="18"/>
          <w:szCs w:val="18"/>
          <w:i w:val="1"/>
          <w:iCs w:val="1"/>
          <w:color w:val="auto"/>
        </w:rPr>
        <w:t>Note 7 – Derivative Instruments and Hedging Activities</w:t>
      </w:r>
      <w:r>
        <w:rPr>
          <w:rFonts w:ascii="Arial" w:cs="Arial" w:eastAsia="Arial" w:hAnsi="Arial"/>
          <w:sz w:val="18"/>
          <w:szCs w:val="18"/>
          <w:color w:val="auto"/>
        </w:rPr>
        <w:t xml:space="preserve"> to the Condensed Financial Statements for the Company’s disclosures.</w:t>
      </w:r>
    </w:p>
    <w:p>
      <w:pPr>
        <w:spacing w:after="0" w:line="19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Condensed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For a discussion of related-party transactions, see the information provided under Note 3-</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xml:space="preserve"> to the unaudited Condensed Financial Statements in Item 1 of this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27, 2012 and incorporated by reference herein. We do not believe these arrangements are material to our current or future financial condition, results of operations, liquidity, capital resources or capital expenditures.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to our contractual obligations during the three and nine months ended September 26,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revenue and operating results are seasonal in nature, coinciding with the timing of marketing expenditures by our advertising clients and to a lesser extent the attendance patterns within the film exhibition industry as well as the timing and the number of Fathom Events. Both advertising expenditures and theatre attendance tend to be higher during the second, third, and fourth fiscal quarters. Advertising revenue is primarily correlated with new product releases, advertising client marketing priorities and economic cycles and to a lesser extent theatre attendance levels.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theatre industry attendance levels. Accordingly, there can be no assurances that seasonal variations will not materially affect our results of operations in the future. The following table reflects the quarterly percentage of total revenue for the fiscal years ended 2010, 2011 and 2012.</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First</w:t>
            </w: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Second</w:t>
            </w: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Third</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Quarter</w:t>
            </w:r>
          </w:p>
        </w:tc>
        <w:tc>
          <w:tcPr>
            <w:tcW w:w="62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4"/>
              </w:rPr>
              <w:t>Quarter</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Quarter</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0"/>
        </w:trPr>
        <w:tc>
          <w:tcPr>
            <w:tcW w:w="6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FY 2010</w:t>
            </w: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19.8%</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FY 2011</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16.3%</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26.2%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FY 2012</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primary market risk to which we are exposed is interest rate risk. The Senior Unsecured Notes and the Senior Secured Notes are at fixed rates, and therefore are not subject to market risk. As of September 26, 2013, the only interest rate risk that we are exposed to is related to our $124.0 million revolving credit facility and our $270.0 million term loan. A 100 basis point fluctuation in market interest rates underlying our term loan and revolving credit facility would have the effect of increasing or decreasing our cash interest expense by approximately $2.8 million for an annual period on the $14 million revolving credit balance and $270.0 million term loan outstanding as of September 26, 2013. For a discussion of market risks, see Item 7A. “Quantitative and Qualitative Disclosures About Market Risk” contained in our annual report on Form 10-K for the fiscal year ended December 27, 2012 and incorporated by reference herein.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Senior Vice President and Interim Co-Chief Financial Officer (principal financial officer) of NCM, Inc., our manager, as appropriate to allow timely decisions regarding required disclosure. As of September 26, 2013, our management evaluated, with the participation of the Chief Executive Officer and Senior Vice President and Interim Co-Chief Financial Officer, the effectiveness of the Company’s disclosure controls and procedures pursuant to Rules 13a-15(e) and 15d-15(e) of the Exchange Act. Based on that evaluation, the Company’s management concluded that the Company’s disclosure controls and procedures as of September 26, 2013 were effective.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that occurred during the three months ended September 26, 2013 that have materially affected, or are reasonably likely to materially affect, the Company’s internal controls over financial reporting.</w:t>
      </w:r>
    </w:p>
    <w:p>
      <w:pPr>
        <w:spacing w:after="0" w:line="33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effect on our operating results or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21, 2013 for the fiscal year ended December 27,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459"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0"/>
                <w:szCs w:val="20"/>
                <w:color w:val="auto"/>
              </w:rPr>
            </w:pPr>
            <w:r>
              <w:rPr>
                <w:rFonts w:ascii="Arial" w:cs="Arial" w:eastAsia="Arial" w:hAnsi="Arial"/>
                <w:sz w:val="14"/>
                <w:szCs w:val="14"/>
                <w:b w:val="1"/>
                <w:bCs w:val="1"/>
                <w:color w:val="auto"/>
                <w:w w:val="88"/>
              </w:rPr>
              <w:t>Reference</w:t>
            </w:r>
          </w:p>
        </w:tc>
        <w:tc>
          <w:tcPr>
            <w:tcW w:w="440" w:type="dxa"/>
            <w:vAlign w:val="bottom"/>
          </w:tcPr>
          <w:p>
            <w:pPr>
              <w:spacing w:after="0"/>
              <w:rPr>
                <w:sz w:val="16"/>
                <w:szCs w:val="16"/>
                <w:color w:val="auto"/>
              </w:rPr>
            </w:pPr>
          </w:p>
        </w:tc>
        <w:tc>
          <w:tcPr>
            <w:tcW w:w="88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3"/>
              </w:rPr>
              <w:t>Common Unit Adjustment Agreement dated as of February 13, 2007, by and among National CineMedia, Inc., National</w:t>
            </w: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2"/>
              </w:rPr>
              <w:t>CineMedia, LLC, Regal CineMedia Holdings, LLC, American Multi-Cinema, Inc., Cinemark Media, Inc., Regal Cinemas,</w:t>
            </w: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2"/>
              </w:rPr>
              <w:t>Inc. and Cinemark USA, Inc. (Confidential treatment granted as to certain portions, which portions were omitted and filed</w:t>
            </w:r>
          </w:p>
        </w:tc>
      </w:t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separately with the Commission.)</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6"/>
              </w:rPr>
              <w:t>Third Amendment to the Third Amended and Restated Limited Liability Company Operating Agreement of National</w:t>
            </w:r>
          </w:p>
        </w:tc>
      </w:tr>
      <w:tr>
        <w:trPr>
          <w:trHeight w:val="216"/>
        </w:trPr>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2"/>
              </w:rPr>
              <w:t>CineMedia, LLC dated September 3, 2013, by and among American Multi-Cinema, Inc., AMC ShowPlace Theatres, Inc.,</w:t>
            </w:r>
          </w:p>
        </w:tc>
      </w:tr>
      <w:tr>
        <w:trPr>
          <w:trHeight w:val="230"/>
        </w:trPr>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Cinemark Media, Inc., Regal CineMedia Holdings, LLC, Regal Cinemas, Inc. and National CineMedia, Inc.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7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Certification of Principal Financial Officer Pursuant to 18 U.S.C. Section 1350.</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2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 3.1 to NCM, Inc.’s Form 10-Q (File No. 001-33296) filed on May 6,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Exhibit 10.6 to NCM, Inc.’s Current Report on Form 8-K (File No. 001-33296) filed on February 16,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Incorporated by reference to Exhibit 10.1.3 to NCM, Inc.’s Current Report on Form 8-K (File No. 001-33296) filed on September 9, 2013.</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r>
      <w:tr>
        <w:trPr>
          <w:trHeight w:val="689"/>
        </w:trPr>
        <w:tc>
          <w:tcPr>
            <w:tcW w:w="3640" w:type="dxa"/>
            <w:vAlign w:val="bottom"/>
          </w:tcPr>
          <w:p>
            <w:pPr>
              <w:spacing w:after="0"/>
              <w:rPr>
                <w:sz w:val="24"/>
                <w:szCs w:val="24"/>
                <w:color w:val="auto"/>
              </w:rPr>
            </w:pPr>
          </w:p>
        </w:tc>
        <w:tc>
          <w:tcPr>
            <w:tcW w:w="7780" w:type="dxa"/>
            <w:vAlign w:val="bottom"/>
            <w:gridSpan w:val="2"/>
          </w:tcPr>
          <w:p>
            <w:pPr>
              <w:ind w:left="2260"/>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November 5, 2013</w:t>
            </w:r>
          </w:p>
        </w:tc>
        <w:tc>
          <w:tcPr>
            <w:tcW w:w="254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Kurt C. Hall</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Kurt C. Hall</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November 5, 2013</w:t>
            </w:r>
          </w:p>
        </w:tc>
        <w:tc>
          <w:tcPr>
            <w:tcW w:w="254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J. Oddo</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David J. Oddo</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Interim Co-Chief Financial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Officer)</w:t>
            </w:r>
          </w:p>
        </w:tc>
      </w:tr>
      <w:tr>
        <w:trPr>
          <w:trHeight w:val="446"/>
        </w:trPr>
        <w:tc>
          <w:tcPr>
            <w:tcW w:w="3640" w:type="dxa"/>
            <w:vAlign w:val="bottom"/>
          </w:tcPr>
          <w:p>
            <w:pPr>
              <w:spacing w:after="0"/>
              <w:rPr>
                <w:sz w:val="20"/>
                <w:szCs w:val="20"/>
                <w:color w:val="auto"/>
              </w:rPr>
            </w:pPr>
            <w:r>
              <w:rPr>
                <w:rFonts w:ascii="Arial" w:cs="Arial" w:eastAsia="Arial" w:hAnsi="Arial"/>
                <w:sz w:val="18"/>
                <w:szCs w:val="18"/>
                <w:color w:val="auto"/>
              </w:rPr>
              <w:t>Date: November 5, 2013</w:t>
            </w:r>
          </w:p>
        </w:tc>
        <w:tc>
          <w:tcPr>
            <w:tcW w:w="2540" w:type="dxa"/>
            <w:vAlign w:val="bottom"/>
          </w:tcPr>
          <w:p>
            <w:pPr>
              <w:spacing w:after="0"/>
              <w:rPr>
                <w:sz w:val="24"/>
                <w:szCs w:val="24"/>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T. Cabot</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ind w:left="100"/>
              <w:spacing w:after="0" w:line="195" w:lineRule="exact"/>
              <w:rPr>
                <w:sz w:val="20"/>
                <w:szCs w:val="20"/>
                <w:color w:val="auto"/>
              </w:rPr>
            </w:pPr>
            <w:r>
              <w:rPr>
                <w:rFonts w:ascii="Arial" w:cs="Arial" w:eastAsia="Arial" w:hAnsi="Arial"/>
                <w:sz w:val="18"/>
                <w:szCs w:val="18"/>
                <w:color w:val="auto"/>
              </w:rPr>
              <w:t>Jeffrey T. Cabot</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Senior Vice President and Interim Co-Chief Financial Officer</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Officer)</w:t>
            </w:r>
          </w:p>
        </w:tc>
      </w:tr>
      <w:tr>
        <w:trPr>
          <w:trHeight w:val="378"/>
        </w:trPr>
        <w:tc>
          <w:tcPr>
            <w:tcW w:w="3640" w:type="dxa"/>
            <w:vAlign w:val="bottom"/>
          </w:tcPr>
          <w:p>
            <w:pPr>
              <w:spacing w:after="0"/>
              <w:rPr>
                <w:sz w:val="24"/>
                <w:szCs w:val="24"/>
                <w:color w:val="auto"/>
              </w:rPr>
            </w:pP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17"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7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Oddo, certify that:</w:t>
      </w:r>
    </w:p>
    <w:p>
      <w:pPr>
        <w:spacing w:after="0" w:line="11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500" w:firstLine="464"/>
        <w:spacing w:after="0" w:line="264"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464"/>
        <w:spacing w:after="0" w:line="277" w:lineRule="auto"/>
        <w:tabs>
          <w:tab w:leader="none" w:pos="7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firstLine="464"/>
        <w:spacing w:after="0" w:line="308" w:lineRule="auto"/>
        <w:tabs>
          <w:tab w:leader="none" w:pos="6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0" w:firstLine="464"/>
        <w:spacing w:after="0" w:line="277" w:lineRule="auto"/>
        <w:tabs>
          <w:tab w:leader="none" w:pos="70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340" w:firstLine="464"/>
        <w:spacing w:after="0" w:line="277"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and Interim Co-Chief Financial Officer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26, 2013 (the “Report”) of National CineMedia, LLC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39" w:lineRule="exact"/>
        <w:rPr>
          <w:sz w:val="20"/>
          <w:szCs w:val="20"/>
          <w:color w:val="auto"/>
        </w:rPr>
      </w:pPr>
    </w:p>
    <w:p>
      <w:pPr>
        <w:ind w:left="640" w:hanging="17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September 26, 2013 (the “Report”) of National CineMedia, LLC (the “Registrant”) as filed with the Securities and Exchange Commission on the date hereof, I, David J. Oddo, the Senior Vice President and Interim Co-Chief Financial Officer of the Registrant, certify, pursuant to 18 U.S.C. § 1350, as adopted pursuant to § 906 of the Sarbanes-Oxley Act of 2002, that to the best of my knowledge:</w:t>
      </w:r>
    </w:p>
    <w:p>
      <w:pPr>
        <w:spacing w:after="0" w:line="79" w:lineRule="exact"/>
        <w:rPr>
          <w:sz w:val="20"/>
          <w:szCs w:val="20"/>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J. Oddo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J. Oddo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Senior Vice President and Interim Co-Chief Financial Officer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2019-12-08T01:30:09Z</dcterms:created>
  <dcterms:modified xsi:type="dcterms:W3CDTF">2019-12-08T01:30:09Z</dcterms:modified>
</cp:coreProperties>
</file>