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Washington, D.C. 20549</w:t>
      </w:r>
    </w:p>
    <w:p>
      <w:pPr>
        <w:spacing w:after="0" w:line="11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QUARTERLY REPORT PURSUANT TO SECTION 13 OR 15(d) OF THE SECURITIES</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EXCHANGE ACT OF 1934</w:t>
      </w:r>
    </w:p>
    <w:p>
      <w:pPr>
        <w:spacing w:after="0" w:line="154"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For the quarterly period ended March 29, 2007</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5500" w:type="dxa"/>
            <w:vAlign w:val="bottom"/>
          </w:tcPr>
          <w:p>
            <w:pPr>
              <w:jc w:val="center"/>
              <w:ind w:right="1112"/>
              <w:spacing w:after="0"/>
              <w:rPr>
                <w:sz w:val="20"/>
                <w:szCs w:val="20"/>
                <w:color w:val="auto"/>
              </w:rPr>
            </w:pPr>
            <w:r>
              <w:rPr>
                <w:rFonts w:ascii="Arial" w:cs="Arial" w:eastAsia="Arial" w:hAnsi="Arial"/>
                <w:sz w:val="18"/>
                <w:szCs w:val="18"/>
                <w:b w:val="1"/>
                <w:bCs w:val="1"/>
                <w:color w:val="auto"/>
                <w:w w:val="88"/>
              </w:rPr>
              <w:t>Delaware</w:t>
            </w:r>
          </w:p>
        </w:tc>
        <w:tc>
          <w:tcPr>
            <w:tcW w:w="3740" w:type="dxa"/>
            <w:vAlign w:val="bottom"/>
          </w:tcPr>
          <w:p>
            <w:pPr>
              <w:jc w:val="center"/>
              <w:ind w:left="1092"/>
              <w:spacing w:after="0"/>
              <w:rPr>
                <w:sz w:val="20"/>
                <w:szCs w:val="20"/>
                <w:color w:val="auto"/>
              </w:rPr>
            </w:pPr>
            <w:r>
              <w:rPr>
                <w:rFonts w:ascii="Arial" w:cs="Arial" w:eastAsia="Arial" w:hAnsi="Arial"/>
                <w:sz w:val="18"/>
                <w:szCs w:val="18"/>
                <w:b w:val="1"/>
                <w:bCs w:val="1"/>
                <w:color w:val="auto"/>
                <w:w w:val="87"/>
              </w:rPr>
              <w:t>20-5665602</w:t>
            </w:r>
          </w:p>
        </w:tc>
      </w:tr>
      <w:tr>
        <w:trPr>
          <w:trHeight w:val="222"/>
        </w:trPr>
        <w:tc>
          <w:tcPr>
            <w:tcW w:w="5500" w:type="dxa"/>
            <w:vAlign w:val="bottom"/>
          </w:tcPr>
          <w:p>
            <w:pPr>
              <w:jc w:val="center"/>
              <w:ind w:right="1112"/>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3740" w:type="dxa"/>
            <w:vAlign w:val="bottom"/>
          </w:tcPr>
          <w:p>
            <w:pPr>
              <w:jc w:val="center"/>
              <w:ind w:left="1112"/>
              <w:spacing w:after="0"/>
              <w:rPr>
                <w:sz w:val="20"/>
                <w:szCs w:val="20"/>
                <w:color w:val="auto"/>
              </w:rPr>
            </w:pPr>
            <w:r>
              <w:rPr>
                <w:rFonts w:ascii="Arial" w:cs="Arial" w:eastAsia="Arial" w:hAnsi="Arial"/>
                <w:sz w:val="18"/>
                <w:szCs w:val="18"/>
                <w:color w:val="auto"/>
                <w:w w:val="91"/>
              </w:rPr>
              <w:t>(I.R.S. Employer Identification No.)</w:t>
            </w:r>
          </w:p>
        </w:tc>
      </w:tr>
      <w:tr>
        <w:trPr>
          <w:trHeight w:val="406"/>
        </w:trPr>
        <w:tc>
          <w:tcPr>
            <w:tcW w:w="5500" w:type="dxa"/>
            <w:vAlign w:val="bottom"/>
          </w:tcPr>
          <w:p>
            <w:pPr>
              <w:jc w:val="center"/>
              <w:ind w:right="113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740" w:type="dxa"/>
            <w:vAlign w:val="bottom"/>
          </w:tcPr>
          <w:p>
            <w:pPr>
              <w:spacing w:after="0"/>
              <w:rPr>
                <w:sz w:val="24"/>
                <w:szCs w:val="24"/>
                <w:color w:val="auto"/>
              </w:rPr>
            </w:pPr>
          </w:p>
        </w:tc>
      </w:tr>
      <w:tr>
        <w:trPr>
          <w:trHeight w:val="236"/>
        </w:trPr>
        <w:tc>
          <w:tcPr>
            <w:tcW w:w="5500" w:type="dxa"/>
            <w:vAlign w:val="bottom"/>
          </w:tcPr>
          <w:p>
            <w:pPr>
              <w:jc w:val="center"/>
              <w:ind w:right="1132"/>
              <w:spacing w:after="0"/>
              <w:rPr>
                <w:sz w:val="20"/>
                <w:szCs w:val="20"/>
                <w:color w:val="auto"/>
              </w:rPr>
            </w:pPr>
            <w:r>
              <w:rPr>
                <w:rFonts w:ascii="Arial" w:cs="Arial" w:eastAsia="Arial" w:hAnsi="Arial"/>
                <w:sz w:val="18"/>
                <w:szCs w:val="18"/>
                <w:b w:val="1"/>
                <w:bCs w:val="1"/>
                <w:color w:val="auto"/>
                <w:w w:val="88"/>
              </w:rPr>
              <w:t>Centennial, Colorado</w:t>
            </w:r>
          </w:p>
        </w:tc>
        <w:tc>
          <w:tcPr>
            <w:tcW w:w="3740" w:type="dxa"/>
            <w:vAlign w:val="bottom"/>
          </w:tcPr>
          <w:p>
            <w:pPr>
              <w:jc w:val="center"/>
              <w:ind w:left="1092"/>
              <w:spacing w:after="0"/>
              <w:rPr>
                <w:sz w:val="20"/>
                <w:szCs w:val="20"/>
                <w:color w:val="auto"/>
              </w:rPr>
            </w:pPr>
            <w:r>
              <w:rPr>
                <w:rFonts w:ascii="Arial" w:cs="Arial" w:eastAsia="Arial" w:hAnsi="Arial"/>
                <w:sz w:val="18"/>
                <w:szCs w:val="18"/>
                <w:b w:val="1"/>
                <w:bCs w:val="1"/>
                <w:color w:val="auto"/>
                <w:w w:val="87"/>
              </w:rPr>
              <w:t>80112-3405</w:t>
            </w:r>
          </w:p>
        </w:tc>
      </w:tr>
      <w:tr>
        <w:trPr>
          <w:trHeight w:val="222"/>
        </w:trPr>
        <w:tc>
          <w:tcPr>
            <w:tcW w:w="5500" w:type="dxa"/>
            <w:vAlign w:val="bottom"/>
          </w:tcPr>
          <w:p>
            <w:pPr>
              <w:jc w:val="center"/>
              <w:ind w:right="1112"/>
              <w:spacing w:after="0"/>
              <w:rPr>
                <w:sz w:val="20"/>
                <w:szCs w:val="20"/>
                <w:color w:val="auto"/>
              </w:rPr>
            </w:pPr>
            <w:r>
              <w:rPr>
                <w:rFonts w:ascii="Arial" w:cs="Arial" w:eastAsia="Arial" w:hAnsi="Arial"/>
                <w:sz w:val="18"/>
                <w:szCs w:val="18"/>
                <w:color w:val="auto"/>
                <w:w w:val="90"/>
              </w:rPr>
              <w:t>(Address of Principal Executive Offices)</w:t>
            </w:r>
          </w:p>
        </w:tc>
        <w:tc>
          <w:tcPr>
            <w:tcW w:w="3740" w:type="dxa"/>
            <w:vAlign w:val="bottom"/>
          </w:tcPr>
          <w:p>
            <w:pPr>
              <w:jc w:val="center"/>
              <w:ind w:left="1112"/>
              <w:spacing w:after="0"/>
              <w:rPr>
                <w:sz w:val="20"/>
                <w:szCs w:val="20"/>
                <w:color w:val="auto"/>
              </w:rPr>
            </w:pPr>
            <w:r>
              <w:rPr>
                <w:rFonts w:ascii="Arial" w:cs="Arial" w:eastAsia="Arial" w:hAnsi="Arial"/>
                <w:sz w:val="18"/>
                <w:szCs w:val="18"/>
                <w:color w:val="auto"/>
                <w:w w:val="91"/>
              </w:rPr>
              <w:t>(Zip Code)</w:t>
            </w:r>
          </w:p>
        </w:tc>
      </w:tr>
    </w:tbl>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2900"/>
        <w:spacing w:after="0" w:line="207" w:lineRule="exact"/>
        <w:tabs>
          <w:tab w:leader="none" w:pos="5040" w:val="left"/>
          <w:tab w:leader="none" w:pos="6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May 9, 2007, 42,000,000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10"/>
        </w:trPr>
        <w:tc>
          <w:tcPr>
            <w:tcW w:w="1080" w:type="dxa"/>
            <w:vAlign w:val="bottom"/>
          </w:tcPr>
          <w:p>
            <w:pPr>
              <w:spacing w:after="0"/>
              <w:rPr>
                <w:sz w:val="18"/>
                <w:szCs w:val="18"/>
                <w:color w:val="auto"/>
              </w:rPr>
            </w:pPr>
          </w:p>
        </w:tc>
        <w:tc>
          <w:tcPr>
            <w:tcW w:w="9980" w:type="dxa"/>
            <w:vAlign w:val="bottom"/>
            <w:gridSpan w:val="9"/>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8"/>
                <w:szCs w:val="18"/>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4"/>
                <w:szCs w:val="24"/>
                <w:color w:val="auto"/>
              </w:rPr>
            </w:pPr>
          </w:p>
        </w:tc>
      </w:tr>
      <w:tr>
        <w:trPr>
          <w:trHeight w:val="286"/>
        </w:trPr>
        <w:tc>
          <w:tcPr>
            <w:tcW w:w="1080" w:type="dxa"/>
            <w:vAlign w:val="bottom"/>
          </w:tcPr>
          <w:p>
            <w:pPr>
              <w:spacing w:after="0"/>
              <w:rPr>
                <w:sz w:val="24"/>
                <w:szCs w:val="24"/>
                <w:color w:val="auto"/>
              </w:rPr>
            </w:pPr>
          </w:p>
        </w:tc>
        <w:tc>
          <w:tcPr>
            <w:tcW w:w="36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Balance Sheets</w:t>
              </w:r>
            </w:hyperlink>
          </w:p>
        </w:tc>
        <w:tc>
          <w:tcPr>
            <w:tcW w:w="634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80" w:type="dxa"/>
            <w:vAlign w:val="bottom"/>
          </w:tcPr>
          <w:p>
            <w:pPr>
              <w:spacing w:after="0"/>
              <w:rPr>
                <w:sz w:val="24"/>
                <w:szCs w:val="24"/>
                <w:color w:val="auto"/>
              </w:rPr>
            </w:pPr>
          </w:p>
        </w:tc>
        <w:tc>
          <w:tcPr>
            <w:tcW w:w="43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Operations</w:t>
              </w:r>
            </w:hyperlink>
          </w:p>
        </w:tc>
        <w:tc>
          <w:tcPr>
            <w:tcW w:w="564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440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Unaudited Condensed Consolidated Statements of Cash Flows</w:t>
              </w:r>
            </w:hyperlink>
          </w:p>
        </w:tc>
        <w:tc>
          <w:tcPr>
            <w:tcW w:w="558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3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Unaudited Pro Forma Financial Information</w:t>
              </w:r>
            </w:hyperlink>
          </w:p>
        </w:tc>
        <w:tc>
          <w:tcPr>
            <w:tcW w:w="1560" w:type="dxa"/>
            <w:vAlign w:val="bottom"/>
            <w:tcBorders>
              <w:top w:val="single" w:sz="8" w:color="0000EE"/>
            </w:tcBorders>
            <w:gridSpan w:val="5"/>
          </w:tcPr>
          <w:p>
            <w:pPr>
              <w:spacing w:after="0"/>
              <w:rPr>
                <w:sz w:val="24"/>
                <w:szCs w:val="24"/>
                <w:color w:val="auto"/>
              </w:rPr>
            </w:pPr>
          </w:p>
        </w:tc>
        <w:tc>
          <w:tcPr>
            <w:tcW w:w="532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6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578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8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20" w:type="dxa"/>
            <w:vAlign w:val="bottom"/>
            <w:gridSpan w:val="8"/>
          </w:tcPr>
          <w:p>
            <w:pPr>
              <w:spacing w:after="0"/>
              <w:rPr>
                <w:sz w:val="20"/>
                <w:szCs w:val="20"/>
                <w:color w:val="auto"/>
              </w:rPr>
            </w:pPr>
            <w:r>
              <w:rPr>
                <w:rFonts w:ascii="Arial" w:cs="Arial" w:eastAsia="Arial" w:hAnsi="Arial"/>
                <w:sz w:val="18"/>
                <w:szCs w:val="18"/>
                <w:b w:val="1"/>
                <w:bCs w:val="1"/>
                <w:color w:val="auto"/>
              </w:rPr>
              <w:t>PART II</w:t>
            </w:r>
          </w:p>
        </w:tc>
        <w:tc>
          <w:tcPr>
            <w:tcW w:w="5920" w:type="dxa"/>
            <w:vAlign w:val="bottom"/>
          </w:tcPr>
          <w:p>
            <w:pPr>
              <w:spacing w:after="0"/>
              <w:rPr>
                <w:sz w:val="19"/>
                <w:szCs w:val="19"/>
                <w:color w:val="auto"/>
              </w:rPr>
            </w:pPr>
          </w:p>
        </w:tc>
      </w:tr>
      <w:tr>
        <w:trPr>
          <w:trHeight w:val="394"/>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3120" w:type="dxa"/>
            <w:vAlign w:val="bottom"/>
            <w:gridSpan w:val="4"/>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Risk Factors</w:t>
              </w:r>
            </w:hyperlink>
          </w:p>
        </w:tc>
        <w:tc>
          <w:tcPr>
            <w:tcW w:w="3540" w:type="dxa"/>
            <w:vAlign w:val="bottom"/>
            <w:gridSpan w:val="6"/>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Unregistered Sales of Equity Securities and Use of Proceeds</w:t>
              </w:r>
            </w:hyperlink>
          </w:p>
        </w:tc>
        <w:tc>
          <w:tcPr>
            <w:tcW w:w="18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42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42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Submission of Matters to a Vote of Security Holders</w:t>
              </w:r>
            </w:hyperlink>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3"/>
          </w:tcPr>
          <w:p>
            <w:pPr>
              <w:spacing w:after="0"/>
              <w:rPr>
                <w:sz w:val="24"/>
                <w:szCs w:val="24"/>
                <w:color w:val="auto"/>
              </w:rPr>
            </w:pPr>
          </w:p>
        </w:tc>
        <w:tc>
          <w:tcPr>
            <w:tcW w:w="760" w:type="dxa"/>
            <w:vAlign w:val="bottom"/>
            <w:gridSpan w:val="2"/>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2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08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3"/>
        </w:trPr>
        <w:tc>
          <w:tcPr>
            <w:tcW w:w="7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jc w:val="right"/>
              <w:ind w:right="557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29,</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2007</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$13.8 million in 2007 and $9.5 million in 2006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Network affiliate agreements,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400.6</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Unit option plan payable</w:t>
            </w:r>
          </w:p>
        </w:tc>
        <w:tc>
          <w:tcPr>
            <w:tcW w:w="10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Taxes payable to founding members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Total other liabilities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961.6</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EQUITY/(DEFICIT):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4"/>
              </w:rPr>
              <w:t>Common stock, $0.01 par value; 120,000,000 shares authorized, 42,000,000 issued and outstanding at March 29, 2007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additional paid in capital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7"/>
              </w:rPr>
              <w:t>(586.2)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equity/(deficit)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(584.8)</w:t>
            </w: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400.6</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Period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4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4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March 29,</w:t>
            </w:r>
          </w:p>
        </w:tc>
        <w:tc>
          <w:tcPr>
            <w:tcW w:w="46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February 12,</w:t>
            </w:r>
          </w:p>
        </w:tc>
        <w:tc>
          <w:tcPr>
            <w:tcW w:w="2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Advertising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29.0</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Administrative fees—founding members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Meetings and events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560" w:type="dxa"/>
            <w:vAlign w:val="bottom"/>
          </w:tcPr>
          <w:p>
            <w:pPr>
              <w:ind w:left="98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32.4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auto"/>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Advertising operating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Meetings and events operating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Network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Theatre access fees/circuit share costs—founding members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Selling and marketing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Administrative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Severance plan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Other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560" w:type="dxa"/>
            <w:vAlign w:val="bottom"/>
          </w:tcPr>
          <w:p>
            <w:pPr>
              <w:ind w:left="12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560" w:type="dxa"/>
            <w:vAlign w:val="bottom"/>
          </w:tcPr>
          <w:p>
            <w:pPr>
              <w:ind w:left="120"/>
              <w:spacing w:after="0"/>
              <w:rPr>
                <w:sz w:val="20"/>
                <w:szCs w:val="20"/>
                <w:color w:val="auto"/>
              </w:rPr>
            </w:pPr>
            <w:r>
              <w:rPr>
                <w:rFonts w:ascii="Arial" w:cs="Arial" w:eastAsia="Arial" w:hAnsi="Arial"/>
                <w:sz w:val="18"/>
                <w:szCs w:val="18"/>
                <w:color w:val="auto"/>
              </w:rPr>
              <w:t>INCOME (LOSS) BEFORE INCOME TAXES AND MINORITY INTEREST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MINORITY INTEREST,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120"/>
              <w:spacing w:after="0"/>
              <w:rPr>
                <w:sz w:val="20"/>
                <w:szCs w:val="20"/>
                <w:color w:val="auto"/>
              </w:rPr>
            </w:pPr>
            <w:r>
              <w:rPr>
                <w:rFonts w:ascii="Arial" w:cs="Arial" w:eastAsia="Arial" w:hAnsi="Arial"/>
                <w:sz w:val="18"/>
                <w:szCs w:val="18"/>
                <w:color w:val="auto"/>
              </w:rPr>
              <w:t>EARNINGS PER SHARE:</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5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5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54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42,000,000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42,188,731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140" w:type="dxa"/>
            <w:vAlign w:val="bottom"/>
          </w:tcPr>
          <w:p>
            <w:pPr>
              <w:spacing w:after="0"/>
              <w:rPr>
                <w:sz w:val="12"/>
                <w:szCs w:val="12"/>
                <w:color w:val="auto"/>
              </w:rPr>
            </w:pPr>
          </w:p>
        </w:tc>
        <w:tc>
          <w:tcPr>
            <w:tcW w:w="14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through</w:t>
            </w: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2006 through</w:t>
            </w:r>
          </w:p>
        </w:tc>
        <w:tc>
          <w:tcPr>
            <w:tcW w:w="8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rPr>
              <w:t>March 29,</w:t>
            </w:r>
          </w:p>
        </w:tc>
        <w:tc>
          <w:tcPr>
            <w:tcW w:w="15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500" w:type="dxa"/>
            <w:vAlign w:val="bottom"/>
          </w:tcPr>
          <w:p>
            <w:pPr>
              <w:ind w:left="54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Adjustments to reconcile net income (loss) to net cash provided by (used in) operating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500" w:type="dxa"/>
            <w:vAlign w:val="bottom"/>
          </w:tcPr>
          <w:p>
            <w:pPr>
              <w:ind w:left="9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80" w:type="dxa"/>
            <w:vAlign w:val="bottom"/>
            <w:tcBorders>
              <w:right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00" w:type="dxa"/>
            <w:vAlign w:val="bottom"/>
          </w:tcPr>
          <w:p>
            <w:pPr>
              <w:ind w:left="980"/>
              <w:spacing w:after="0"/>
              <w:rPr>
                <w:sz w:val="20"/>
                <w:szCs w:val="20"/>
                <w:color w:val="auto"/>
              </w:rPr>
            </w:pPr>
            <w:r>
              <w:rPr>
                <w:rFonts w:ascii="Arial" w:cs="Arial" w:eastAsia="Arial" w:hAnsi="Arial"/>
                <w:sz w:val="18"/>
                <w:szCs w:val="18"/>
                <w:color w:val="auto"/>
              </w:rPr>
              <w:t>Non-cash severance plan and share-based compensation costs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Accretion of income taxes payable to founding members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00" w:type="dxa"/>
            <w:vAlign w:val="bottom"/>
          </w:tcPr>
          <w:p>
            <w:pPr>
              <w:ind w:left="980"/>
              <w:spacing w:after="0"/>
              <w:rPr>
                <w:sz w:val="20"/>
                <w:szCs w:val="20"/>
                <w:color w:val="auto"/>
              </w:rPr>
            </w:pPr>
            <w:r>
              <w:rPr>
                <w:rFonts w:ascii="Arial" w:cs="Arial" w:eastAsia="Arial" w:hAnsi="Arial"/>
                <w:sz w:val="18"/>
                <w:szCs w:val="18"/>
                <w:color w:val="auto"/>
              </w:rPr>
              <w:t>Debt issuance costs and loss on repayment of debt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5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500" w:type="dxa"/>
            <w:vAlign w:val="bottom"/>
          </w:tcPr>
          <w:p>
            <w:pPr>
              <w:ind w:left="1420"/>
              <w:spacing w:after="0"/>
              <w:rPr>
                <w:sz w:val="20"/>
                <w:szCs w:val="20"/>
                <w:color w:val="auto"/>
              </w:rPr>
            </w:pPr>
            <w:r>
              <w:rPr>
                <w:rFonts w:ascii="Arial" w:cs="Arial" w:eastAsia="Arial" w:hAnsi="Arial"/>
                <w:sz w:val="18"/>
                <w:szCs w:val="18"/>
                <w:color w:val="auto"/>
              </w:rPr>
              <w:t>(Increase) decrease in receivables—net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Increase (decrease) in accounts payable and accrued expenses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2"/>
        </w:trPr>
        <w:tc>
          <w:tcPr>
            <w:tcW w:w="7500" w:type="dxa"/>
            <w:vAlign w:val="bottom"/>
          </w:tcPr>
          <w:p>
            <w:pPr>
              <w:ind w:left="1420"/>
              <w:spacing w:after="0"/>
              <w:rPr>
                <w:sz w:val="20"/>
                <w:szCs w:val="20"/>
                <w:color w:val="auto"/>
              </w:rPr>
            </w:pPr>
            <w:r>
              <w:rPr>
                <w:rFonts w:ascii="Arial" w:cs="Arial" w:eastAsia="Arial" w:hAnsi="Arial"/>
                <w:sz w:val="18"/>
                <w:szCs w:val="18"/>
                <w:color w:val="auto"/>
              </w:rPr>
              <w:t>(Decrease) increase in amounts due to founding members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Payment of severance plan costs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2"/>
        </w:trPr>
        <w:tc>
          <w:tcPr>
            <w:tcW w:w="7500" w:type="dxa"/>
            <w:vAlign w:val="bottom"/>
          </w:tcPr>
          <w:p>
            <w:pPr>
              <w:ind w:left="1420"/>
              <w:spacing w:after="0"/>
              <w:rPr>
                <w:sz w:val="20"/>
                <w:szCs w:val="20"/>
                <w:color w:val="auto"/>
              </w:rPr>
            </w:pPr>
            <w:r>
              <w:rPr>
                <w:rFonts w:ascii="Arial" w:cs="Arial" w:eastAsia="Arial" w:hAnsi="Arial"/>
                <w:sz w:val="18"/>
                <w:szCs w:val="18"/>
                <w:color w:val="auto"/>
              </w:rPr>
              <w:t>Increase, other</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0"/>
        </w:trPr>
        <w:tc>
          <w:tcPr>
            <w:tcW w:w="7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43"/>
        </w:trPr>
        <w:tc>
          <w:tcPr>
            <w:tcW w:w="7500" w:type="dxa"/>
            <w:vAlign w:val="bottom"/>
          </w:tcPr>
          <w:p>
            <w:pPr>
              <w:ind w:left="1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3"/>
        </w:trPr>
        <w:tc>
          <w:tcPr>
            <w:tcW w:w="7500" w:type="dxa"/>
            <w:vAlign w:val="bottom"/>
          </w:tcPr>
          <w:p>
            <w:pPr>
              <w:ind w:left="1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Sale of common stock</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882.0</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00" w:type="dxa"/>
            <w:vAlign w:val="bottom"/>
          </w:tcPr>
          <w:p>
            <w:pPr>
              <w:ind w:left="540"/>
              <w:spacing w:after="0"/>
              <w:rPr>
                <w:sz w:val="20"/>
                <w:szCs w:val="20"/>
                <w:color w:val="auto"/>
              </w:rPr>
            </w:pPr>
            <w:r>
              <w:rPr>
                <w:rFonts w:ascii="Arial" w:cs="Arial" w:eastAsia="Arial" w:hAnsi="Arial"/>
                <w:sz w:val="18"/>
                <w:szCs w:val="18"/>
                <w:color w:val="auto"/>
              </w:rPr>
              <w:t>Payment of offering costs and fees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of short-term borrowings from founding members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2"/>
        </w:trPr>
        <w:tc>
          <w:tcPr>
            <w:tcW w:w="7500" w:type="dxa"/>
            <w:vAlign w:val="bottom"/>
          </w:tcPr>
          <w:p>
            <w:pPr>
              <w:ind w:left="540"/>
              <w:spacing w:after="0"/>
              <w:rPr>
                <w:sz w:val="20"/>
                <w:szCs w:val="20"/>
                <w:color w:val="auto"/>
              </w:rPr>
            </w:pPr>
            <w:r>
              <w:rPr>
                <w:rFonts w:ascii="Arial" w:cs="Arial" w:eastAsia="Arial" w:hAnsi="Arial"/>
                <w:sz w:val="18"/>
                <w:szCs w:val="18"/>
                <w:color w:val="auto"/>
              </w:rPr>
              <w:t>Repayments of short-term borrowings to founding members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borrowings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790.0</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00" w:type="dxa"/>
            <w:vAlign w:val="bottom"/>
          </w:tcPr>
          <w:p>
            <w:pPr>
              <w:ind w:left="54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00" w:type="dxa"/>
            <w:vAlign w:val="bottom"/>
          </w:tcPr>
          <w:p>
            <w:pPr>
              <w:ind w:left="540"/>
              <w:spacing w:after="0"/>
              <w:rPr>
                <w:sz w:val="20"/>
                <w:szCs w:val="20"/>
                <w:color w:val="auto"/>
              </w:rPr>
            </w:pPr>
            <w:r>
              <w:rPr>
                <w:rFonts w:ascii="Arial" w:cs="Arial" w:eastAsia="Arial" w:hAnsi="Arial"/>
                <w:sz w:val="18"/>
                <w:szCs w:val="18"/>
                <w:color w:val="auto"/>
              </w:rPr>
              <w:t>Proceeds from founding member contributions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Distribution to founding members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(1,539.8)</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18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4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30"/>
        </w:trPr>
        <w:tc>
          <w:tcPr>
            <w:tcW w:w="7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CASH AND CASH EQUIVALENTS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75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Beginning of period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tcBorders>
              <w:right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540"/>
              <w:spacing w:after="0"/>
              <w:rPr>
                <w:sz w:val="20"/>
                <w:szCs w:val="20"/>
                <w:color w:val="auto"/>
              </w:rPr>
            </w:pPr>
            <w:r>
              <w:rPr>
                <w:rFonts w:ascii="Arial" w:cs="Arial" w:eastAsia="Arial" w:hAnsi="Arial"/>
                <w:sz w:val="18"/>
                <w:szCs w:val="18"/>
                <w:color w:val="auto"/>
              </w:rPr>
              <w:t>End of period</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500" w:type="dxa"/>
            <w:vAlign w:val="bottom"/>
            <w:vMerge w:val="continue"/>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500" w:type="dxa"/>
            <w:vAlign w:val="bottom"/>
          </w:tcPr>
          <w:p>
            <w:pPr>
              <w:ind w:left="980"/>
              <w:spacing w:after="0"/>
              <w:rPr>
                <w:sz w:val="20"/>
                <w:szCs w:val="20"/>
                <w:color w:val="auto"/>
              </w:rPr>
            </w:pPr>
            <w:r>
              <w:rPr>
                <w:rFonts w:ascii="Arial" w:cs="Arial" w:eastAsia="Arial" w:hAnsi="Arial"/>
                <w:sz w:val="18"/>
                <w:szCs w:val="18"/>
                <w:color w:val="auto"/>
              </w:rPr>
              <w:t>Contribution of severance plan payments</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Increase in property and equipment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7500" w:type="dxa"/>
            <w:vAlign w:val="bottom"/>
          </w:tcPr>
          <w:p>
            <w:pPr>
              <w:ind w:left="980"/>
              <w:spacing w:after="0"/>
              <w:rPr>
                <w:sz w:val="20"/>
                <w:szCs w:val="20"/>
                <w:color w:val="auto"/>
              </w:rPr>
            </w:pPr>
            <w:r>
              <w:rPr>
                <w:rFonts w:ascii="Arial" w:cs="Arial" w:eastAsia="Arial" w:hAnsi="Arial"/>
                <w:sz w:val="18"/>
                <w:szCs w:val="18"/>
                <w:color w:val="auto"/>
                <w:w w:val="91"/>
              </w:rPr>
              <w:t>Liability and equity recorded upon recognition of deferred tax assets and liabilities related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1200"/>
              <w:spacing w:after="0"/>
              <w:rPr>
                <w:sz w:val="20"/>
                <w:szCs w:val="20"/>
                <w:color w:val="auto"/>
              </w:rPr>
            </w:pPr>
            <w:r>
              <w:rPr>
                <w:rFonts w:ascii="Arial" w:cs="Arial" w:eastAsia="Arial" w:hAnsi="Arial"/>
                <w:sz w:val="18"/>
                <w:szCs w:val="18"/>
                <w:color w:val="auto"/>
              </w:rPr>
              <w:t>to IPO-date transactions: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Taxes payable to founding members</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00" w:type="dxa"/>
            <w:vAlign w:val="bottom"/>
          </w:tcPr>
          <w:p>
            <w:pPr>
              <w:ind w:left="540"/>
              <w:spacing w:after="0"/>
              <w:rPr>
                <w:sz w:val="20"/>
                <w:szCs w:val="20"/>
                <w:color w:val="auto"/>
              </w:rPr>
            </w:pPr>
            <w:r>
              <w:rPr>
                <w:rFonts w:ascii="Arial" w:cs="Arial" w:eastAsia="Arial" w:hAnsi="Arial"/>
                <w:sz w:val="18"/>
                <w:szCs w:val="18"/>
                <w:color w:val="auto"/>
              </w:rPr>
              <w:t>Additional paid-in-capital</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offering costs reclassified to equity</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500" w:type="dxa"/>
            <w:vAlign w:val="bottom"/>
          </w:tcPr>
          <w:p>
            <w:pPr>
              <w:ind w:left="120"/>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tcPr>
          <w:p>
            <w:pPr>
              <w:ind w:left="980"/>
              <w:spacing w:after="0"/>
              <w:rPr>
                <w:sz w:val="20"/>
                <w:szCs w:val="20"/>
                <w:color w:val="auto"/>
              </w:rPr>
            </w:pPr>
            <w:r>
              <w:rPr>
                <w:rFonts w:ascii="Arial" w:cs="Arial" w:eastAsia="Arial" w:hAnsi="Arial"/>
                <w:sz w:val="18"/>
                <w:szCs w:val="18"/>
                <w:color w:val="auto"/>
              </w:rPr>
              <w:t>Cash paid for income taxes</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88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882"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96" w:lineRule="exact"/>
        <w:rPr>
          <w:rFonts w:ascii="Arial" w:cs="Arial" w:eastAsia="Arial" w:hAnsi="Arial"/>
          <w:sz w:val="18"/>
          <w:szCs w:val="18"/>
          <w:b w:val="1"/>
          <w:bCs w:val="1"/>
          <w:color w:val="auto"/>
        </w:rPr>
      </w:pPr>
    </w:p>
    <w:p>
      <w:pPr>
        <w:ind w:left="4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National CineMedia, Inc. (“NCM, Inc.”) was incorporated in the state of Delaware on October 5, 2006 as a holding company with the sole purpose of becoming a member and sole manager of National CineMedia, LLC (“NCM LLC”). NCM LLC commenced operations on April 1, 2005 and operates the largest digital in-theatre network in North America that allows NCM to distribute advertising, business meetings, and event services under long-term exhibitor services agreements (“ESA”) with American Multi-Cinema, Inc. (“AMC”), a wholly owned subsidiary of AMC Entertainment, Inc. (“AMCE”), and Regal Cinemedia Holdings, Inc. (“RCM”), a wholly owned subsidiary of Regal Entertainment Group (“Regal”), and Cinemark USA, Inc. (“Cinemark”). AMC, RCM and Cinemark are referred to in this document as “founding members”. NCM LLC also provides such services to certain third-party theater circuits under Network Affiliate Agreements which expire at various dates.</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AND RELATED TRANSACTIONS</w:t>
      </w:r>
    </w:p>
    <w:p>
      <w:pPr>
        <w:spacing w:after="0" w:line="96"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13, 2007, NCM, Inc. closed its initial public offering (“IPO”) of 42,000,000 shares of common stock at a price to the public of $21.00 per share. NCM, Inc. received net proceeds of approximately $824.6 million, after deducting underwriting discounts and commissions and offering expenses of approximately $57.4 million. After various transactions completed in connection with the IPO, the public stockholders, through NCM, Inc., obtained a 44.8% interest in NCM LLC. As the managing member of NCM LLC, NCM, Inc. consolidates the operations of NCM LLC. The terms “NCM”, “the Company” or “we” shall be deemed to include the consolidated entity when used in discussions included herein regarding the current operations or assets of the entities.</w:t>
      </w:r>
    </w:p>
    <w:p>
      <w:pPr>
        <w:spacing w:after="0" w:line="144" w:lineRule="exact"/>
        <w:rPr>
          <w:rFonts w:ascii="Arial" w:cs="Arial" w:eastAsia="Arial" w:hAnsi="Arial"/>
          <w:sz w:val="18"/>
          <w:szCs w:val="18"/>
          <w:b w:val="1"/>
          <w:bCs w:val="1"/>
          <w:color w:val="auto"/>
        </w:rPr>
      </w:pPr>
    </w:p>
    <w:p>
      <w:pPr>
        <w:ind w:left="460"/>
        <w:spacing w:after="0" w:line="282" w:lineRule="auto"/>
        <w:rPr>
          <w:rFonts w:ascii="Arial" w:cs="Arial" w:eastAsia="Arial" w:hAnsi="Arial"/>
          <w:sz w:val="18"/>
          <w:szCs w:val="18"/>
          <w:b w:val="1"/>
          <w:bCs w:val="1"/>
          <w:color w:val="auto"/>
        </w:rPr>
      </w:pPr>
      <w:r>
        <w:rPr>
          <w:rFonts w:ascii="Arial" w:cs="Arial" w:eastAsia="Arial" w:hAnsi="Arial"/>
          <w:sz w:val="16"/>
          <w:szCs w:val="16"/>
          <w:color w:val="auto"/>
        </w:rPr>
        <w:t>NCM, Inc. used the net proceeds from the IPO to purchase a 44.8% interest in NCM LLC, paying NCM LLC $746.1 million, which included reimbursement to NCM LLC for expenses it advanced related to the IPO and paying the founding members $78.5 million for a portion of the NCM LLC units owned by them. NCM LLC paid $686.3 million of the funds received from NCM, Inc. to the founding members to modify the then existing exhibitor services agreements. The remaining proceeds received by NCM LLC from NCM, Inc. of $59.8 million, together with the $709.8 million net proceeds from NCM LLC’s new senior secured credit facility, were used to redeem $769.5 million in NCM LLC preferred units held by the founding members. The preferred units were created immediately prior to the IPO in a non-cash recapitalization of each membership unit into one common unit and one preferred unit. Immediately prior to this non-cash recapitalization, the existing common units were split on a 44,291-to-1 basis. All unit and per unit amounts in these financial statements reflect the impact of this split. At March 29, 2007, NCM LLC had 93,850,951 member units outstanding, of which 42,000,000</w:t>
      </w:r>
    </w:p>
    <w:p>
      <w:pPr>
        <w:spacing w:after="0" w:line="5" w:lineRule="exact"/>
        <w:rPr>
          <w:rFonts w:ascii="Arial" w:cs="Arial" w:eastAsia="Arial" w:hAnsi="Arial"/>
          <w:sz w:val="18"/>
          <w:szCs w:val="18"/>
          <w:b w:val="1"/>
          <w:bCs w:val="1"/>
          <w:color w:val="auto"/>
        </w:rPr>
      </w:pPr>
    </w:p>
    <w:p>
      <w:pPr>
        <w:ind w:left="46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(44.8%) were owned by NCM, Inc., 21,230,712 (22.6%) were owned by RCM, 17,474,890 (18.6%) were owned by AMC, and 13,145,349 (14.0%) were owned by Cinemark.</w:t>
      </w:r>
    </w:p>
    <w:p>
      <w:pPr>
        <w:spacing w:after="0" w:line="137"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Under the amended and restated ESAs with the founding members, subject to limited exceptions, NCM LLC is the exclusive provider of advertising services to the founding members for a 30 year term (with a five year right of first refusal at the end of the term) and meetings and event services to the founding members for an initial five year term, with an automatic 5 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IPO, NCM LLC paid to the founding members a percentage of NCM LLC’s advertising revenue as advertising circuit share. Also, upon the completion of the IPO, the founding members assigned to NCM LLC all “legacy contracts”, which are generally contracts for advertising sold by the founding members prior to the formation of NCM LLC but which were unfulfilled at the date of formation. In addition, the founding members made additional time available for sale by NCM LLC, subject to a first right to purchase the time, if needed, by the founding members to fulfill advertising obligations with their in-theatre beverage concessionaries. NCM, Inc. also entered into employment agreements with five executive officers to carry out obligations entered into pursuant to a management services agreement between NCM, Inc. and NCM, LLC.</w:t>
      </w:r>
    </w:p>
    <w:p>
      <w:pPr>
        <w:spacing w:after="0" w:line="242"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December 28, 2006 consolidated balance sheet information is derived from the audited financial statements of NCM, Inc. and NCM, LLC included in our annual report on Form 10-K for the fiscal year ended December 28, 2006 filed with the Securities and Exchange Commission on March 28, 2007. (At December 28, 2006, NCM, Inc. had been formed but was not capitalized; therefore, its balance sheet at that date is not presented herein.) The unaudited condensed consolidated financial statements contained herein should be read in conjunction with the audited consolidated financial statements and notes thereto. The results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left="460" w:right="120"/>
        <w:spacing w:after="0" w:line="298" w:lineRule="auto"/>
        <w:rPr>
          <w:sz w:val="20"/>
          <w:szCs w:val="20"/>
          <w:color w:val="auto"/>
        </w:rPr>
      </w:pPr>
      <w:r>
        <w:rPr>
          <w:rFonts w:ascii="Arial" w:cs="Arial" w:eastAsia="Arial" w:hAnsi="Arial"/>
          <w:sz w:val="16"/>
          <w:szCs w:val="16"/>
          <w:color w:val="auto"/>
        </w:rPr>
        <w:t>of operations for the quarter ended March 29, 2007 are presented in two periods, reflecting operations prior to and subsequent to the IPO. The period from December 29, 2006 through February 12, 2007 is referred to as the “2007 pre-IPO period”. The period from February 13, 2007 through March 29, 2007 is referred to as the “2007 post-IPO period”. Separate periods have been presented because there were significant changes due to the ESA modifications and related expenses thereunder, and significant changes to revenue arrangements of and contracts with the founding members.</w:t>
      </w:r>
    </w:p>
    <w:p>
      <w:pPr>
        <w:spacing w:after="0" w:line="11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financial statements for both the 2007 pre-IPO period and 2007 post-IPO period give effect to allocations of revenues and expenses made using relative percentages of founding member attendance or days in each period, discrete events and other methods management considered to be a reasonable reflection of the results for such periods. The historical financial data of NCM LLC may not be indicative of the Company’s future performance nor will such data reflect what its financial position and results of operations would have been had it operated as an independent publicly traded company during the periods presented. In addition, as a result of the various related-party agreements discussed in Note 8, the operating results as presented are not necessarily indicative of the results that would have occurred if all agreements were with non-related third parties.</w:t>
      </w:r>
    </w:p>
    <w:p>
      <w:pPr>
        <w:spacing w:after="0" w:line="120"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The Company has prepared the unaudited condensed consolidated balance sheet as of March 29, 2007 and the unaudited condensed consolidated statements of operations and cash flows for the periods ended March 30, 2006, February 12, 2007 and March 29, 2007 in accordance with accounting principles generally accepted in the United States of America for interim financial information and the rules and regulations of the Securities and Exchange Commission. Accordingly, certain information and footnote disclosures typically included in an annual report have been condensed or omitted for this quarterly report. In the opinion of management, all adjustments (which include only normal recurring adjustments) necessary to present fairly in all material respects the financial position, results of operations and cash flows for all periods presented have been made.</w:t>
      </w:r>
    </w:p>
    <w:p>
      <w:pPr>
        <w:spacing w:after="0" w:line="120"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balance sheet of NCM LLC at December 28, 2006 reflects the carryover basis of the founding members in the assets contributed by RCM and AMC. At formation, and through the date of the IPO, NCM LLC was a joint venture. As stated in Emerging Issues Task Force (“EITF”) Issue 94-8 concerning the formation of a joint venture, “…it is developed practice to record the contributed businesses at predecessor basis.”</w:t>
      </w:r>
    </w:p>
    <w:p>
      <w:pPr>
        <w:spacing w:after="0" w:line="107"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The founding members received all of the proceeds from the IPO and the related issuance of debt, except for amounts needed to pay out-of-pocket costs of the financings, and $10.0 million to repay outstanding amounts under NCM LLC’s prior revolving line of credit agreement. In conformity with accounting guidance of the Securities and Exchange Commission concerning monetary consideration paid to promoters, such as the founding members, in exchange for property conveyed by the promoters, the excess over predecessor cost is treated as a special distribution. Because the founding members had no cost basis in the ESAs, all payments to the founding members with the proceeds of the IPO and related debt, amounting to approximately $1.456 billion, have been accounted for as distributions, except for the payments to liquidate accounts payable to the founding members arising from the ESAs. The distributions by NCM LLC to the founding members made at the date of the IPO resulted in a consolidated stockholders’ deficit. As a minority interest cannot be shown as an asset, the founding members’ interest in NCM LLC’s members’ equity is included in distributions in excess of paid in capital in the accompanying March 29, 2007 balance sheet.</w:t>
      </w:r>
    </w:p>
    <w:p>
      <w:pPr>
        <w:spacing w:after="0" w:line="12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 operates on a 52-week fiscal year, with the fiscal year ending on the first Thursday after December 25, which, in certain years, results in a 53-week year. The business meetings and event services operations are operating segments but do not meet the quantitative thresholds for segment reporting.</w:t>
      </w:r>
    </w:p>
    <w:p>
      <w:pPr>
        <w:spacing w:after="0" w:line="25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Consolidation – </w:t>
      </w:r>
      <w:r>
        <w:rPr>
          <w:rFonts w:ascii="Arial" w:cs="Arial" w:eastAsia="Arial" w:hAnsi="Arial"/>
          <w:sz w:val="16"/>
          <w:szCs w:val="16"/>
          <w:color w:val="auto"/>
        </w:rPr>
        <w:t>NCM, Inc. consolidates the accounts of NCM LLC under the provision of EITF Issue No. 04-5, “Determining Whether a General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General Partners as a Group, Controls a Limited Partnership or Similar Entity When the Limited Partners Have Certain Rights.” Under EITF 04-5, a managing 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EITF 04-5, as they do not limit NCM, Inc.’s ability to make decisions in the ordinary course of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left="460" w:right="20"/>
        <w:spacing w:after="0" w:line="254"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and administrative fees from legacy contracts are recognized in the period in which an advertising contract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fulfilled against the contracted theatre attendees. Deferred revenue refers to the unearned portion of advertising contracts. All deferred revenue is classified as a current liability. Meetings and events revenue is recognized in the period in which the event is held. Legacy contracts are advertising contracts with the founding members prior to the formation of NCM LLC, which were not assigned to NCM LLC until the IPO was complete. Administrative fees earned by the Company prior to the IPO for its services in fulfilling the Legacy Contracts were based on a percentage of Legacy Contract revenue (32% during 2006 and the 2007 pre-IPO period).</w:t>
      </w:r>
    </w:p>
    <w:p>
      <w:pPr>
        <w:spacing w:after="0" w:line="144"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Agreements.”</w:t>
      </w:r>
    </w:p>
    <w:p>
      <w:pPr>
        <w:spacing w:after="0" w:line="85"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founding members, revenue share under the amended and restated ESA’s and other direct costs of the meeting or event.</w:t>
      </w:r>
    </w:p>
    <w:p>
      <w:pPr>
        <w:spacing w:after="0" w:line="132"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In the 2007 pre-IPO period, circuit share costs were fees payable to the founding members for the right to exhibit advertisements within the theatres.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10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relate primarily to the advertising business, and to a lesser extent to the meetings and events business.</w:t>
      </w:r>
    </w:p>
    <w:p>
      <w:pPr>
        <w:spacing w:after="0" w:line="140"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b w:val="1"/>
          <w:bCs w:val="1"/>
          <w:i w:val="1"/>
          <w:iCs w:val="1"/>
          <w:color w:val="auto"/>
        </w:rPr>
        <w:t>Cash and Equivalents</w:t>
      </w:r>
      <w:r>
        <w:rPr>
          <w:rFonts w:ascii="Arial" w:cs="Arial" w:eastAsia="Arial" w:hAnsi="Arial"/>
          <w:sz w:val="18"/>
          <w:szCs w:val="18"/>
          <w:color w:val="auto"/>
        </w:rPr>
        <w:t>—All highly liquid debt instruments and investments purchased with a remaining maturity of three months or less are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Periodically these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b w:val="1"/>
          <w:bCs w:val="1"/>
          <w:i w:val="1"/>
          <w:iCs w:val="1"/>
          <w:color w:val="auto"/>
        </w:rPr>
        <w:t>Receivables</w:t>
      </w:r>
      <w:r>
        <w:rPr>
          <w:rFonts w:ascii="Arial" w:cs="Arial" w:eastAsia="Arial" w:hAnsi="Arial"/>
          <w:sz w:val="18"/>
          <w:szCs w:val="18"/>
          <w:color w:val="auto"/>
        </w:rPr>
        <w:t>—Bad debts are provided for using the allowance for doubtful accounts method based on historical experience and management’s evaluation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at the end of the period. Trade accounts receivable are uncollateralized and represent a large number of geographically dispersed debtors, none of which are individually material.</w:t>
      </w:r>
    </w:p>
    <w:p>
      <w:pPr>
        <w:spacing w:after="0" w:line="14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b w:val="1"/>
          <w:bCs w:val="1"/>
          <w:i w:val="1"/>
          <w:iCs w:val="1"/>
          <w:color w:val="auto"/>
        </w:rPr>
        <w:t>Property and Equipment</w:t>
      </w:r>
      <w:r>
        <w:rPr>
          <w:rFonts w:ascii="Arial" w:cs="Arial" w:eastAsia="Arial" w:hAnsi="Arial"/>
          <w:sz w:val="18"/>
          <w:szCs w:val="18"/>
          <w:color w:val="auto"/>
        </w:rPr>
        <w:t>—Property and equipment is stated at cost, net of accumulated depreciation or amortization. Major renewals and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while replacements, maintenance, and repairs that do not improve or extend the lives of the respective assets are expensed currently. In general, the equipment associated with the digital network that is located at the theatre is owned by the founding members, while equipment outside the theatre is owned by the Company.</w:t>
      </w:r>
    </w:p>
    <w:p>
      <w:pPr>
        <w:spacing w:after="0" w:line="143"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b w:val="1"/>
          <w:bCs w:val="1"/>
          <w:i w:val="1"/>
          <w:iCs w:val="1"/>
          <w:color w:val="auto"/>
        </w:rPr>
        <w:t>Amounts Due to/from Founding Members</w:t>
      </w:r>
      <w:r>
        <w:rPr>
          <w:rFonts w:ascii="Arial" w:cs="Arial" w:eastAsia="Arial" w:hAnsi="Arial"/>
          <w:sz w:val="16"/>
          <w:szCs w:val="16"/>
          <w:color w:val="auto"/>
        </w:rPr>
        <w:t>—Amounts due to/from founding members in the 2007 post-IPO period include amounts due for the theatre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access fee, offset by circuit beverage fee receivable, as well as revenue share earned for meetings and events plus any amounts outstanding under other contractually obligated payments. In the 2007 pre-IPO period, amounts included circuit share costs and cost reimbursements, net of the administrative fees earned on Legacy Contracts. Payments to or received from the founding members against outstanding balances are made monthly.</w:t>
      </w:r>
    </w:p>
    <w:p>
      <w:pPr>
        <w:spacing w:after="0" w:line="11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b w:val="1"/>
          <w:bCs w:val="1"/>
          <w:i w:val="1"/>
          <w:iCs w:val="1"/>
          <w:color w:val="auto"/>
        </w:rPr>
        <w:t>Network Affiliate Agreements</w:t>
      </w:r>
      <w:r>
        <w:rPr>
          <w:rFonts w:ascii="Arial" w:cs="Arial" w:eastAsia="Arial" w:hAnsi="Arial"/>
          <w:sz w:val="18"/>
          <w:szCs w:val="18"/>
          <w:color w:val="auto"/>
        </w:rPr>
        <w:t>—Network affiliate agreements were contributed at NCM LLC’s formation at the net book value of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are amortized on a straight-line basis over the remaining life of the agreement. These agreements require payment to the affiliate of a percentage of the advertising revenue associated with the advertisements played in affiliate theatres, and also specify minimum payments that must be made. Amortization expense related to the network affiliate agreements was less than $0.1 million for each of the periods ended March 29, 2007 and February 12, 2007 and $0.3 million for the period ended March 30, 2006.</w:t>
      </w:r>
    </w:p>
    <w:p>
      <w:pPr>
        <w:spacing w:after="0" w:line="143"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—Effective with the 2007 post-IPO period, income taxes are accounted for under the asset and liability method. Deferred tax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are recognized for the future tax consequences attributable to differences between the financial statement carrying amounts of existing assets and liabilities and their respective tax bases and operating loss and tax credit carry-forwards. In addition, income tax rules and regulations are subject to interpretation and the application of those rules and regulations require judgment by the Company and may be challenged by the taxation authorities. Deferred tax assets and liabilities are measured using enacted tax rates expected to apply to taxable income in the years in which those temporary differences are expected to be recovered or settled. The effect on deferred tax assets and liabilities of a change in tax rates 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be recognized in income in the period that includes the enactment date. The Company will record a valuation allowance if it is deemed more likely than not that its deferred income tax assets will not be realized, which will be assessed on an on-going basis.</w:t>
      </w:r>
    </w:p>
    <w:p>
      <w:pPr>
        <w:spacing w:after="0" w:line="132"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In the 2007 pre-IPO period, as a limited liability company, NCM LLC’s taxable income or loss was allocated to the founding members and, therefore, no provision or liability for income taxes was included in the financial statements.</w:t>
      </w:r>
    </w:p>
    <w:p>
      <w:pPr>
        <w:spacing w:after="0" w:line="132"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b w:val="1"/>
          <w:bCs w:val="1"/>
          <w:i w:val="1"/>
          <w:iCs w:val="1"/>
          <w:color w:val="auto"/>
        </w:rPr>
        <w:t>Interest Rate Swap</w:t>
      </w:r>
      <w:r>
        <w:rPr>
          <w:rFonts w:ascii="Arial" w:cs="Arial" w:eastAsia="Arial" w:hAnsi="Arial"/>
          <w:sz w:val="16"/>
          <w:szCs w:val="16"/>
          <w:color w:val="auto"/>
        </w:rPr>
        <w:t>—NCM LLC has entered into interest rate swap agreements which qualify for and have been designated as a cash flow hedge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rate exposure on $550.0 million of the variable rate debt obligations under the senior secured credit facility. Under the terms of the interest rate swap agreements, NCM LLC pays interest at a fixed rate of 6.734% and will receive interest at a variable rate based on 3-month LIBOR. The 3-month LIBOR rate on each reset date determines the variable portion of the interest for cash on the last day of each calendar quarter, until completion. The fair value of the interest rate swap is recorded on the Company’s unaudited condensed consolidated balance sheet as an asset or liability with the effective portion of the interest rate swap gains or losses reported as a component of other comprehensive income (loss) and the ineffective portion recorded in earnings. As interest expense is accrued on the debt obligation, amounts in accumulated other comprehensive income (loss) related to the interest rate swap will be reclassified into earnings to obtain a net cost on the debt obligation equal to the effective yield of the fixed rate of the swap. The fair value of the Company’s interest rate swap is based on dealer quotes, and represents an estimate of the amount the Company would receive or pay to terminate the agreements taking into consideration various factors, including current interest rates.</w:t>
      </w:r>
    </w:p>
    <w:p>
      <w:pPr>
        <w:spacing w:after="0" w:line="123"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—Stock-based employee compensation is accounted for at fair value under Statement of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The Company adopted SFAS No. 123(R) on December 30, 2005 prospectively for new equity based grants, as there were no equity based grants prior to the date of adoption.</w:t>
      </w:r>
    </w:p>
    <w:p>
      <w:pPr>
        <w:spacing w:after="0" w:line="140"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and equity-based compensation. Actual results could differ from those estimates.</w:t>
      </w:r>
    </w:p>
    <w:p>
      <w:pPr>
        <w:spacing w:after="0" w:line="25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rFonts w:ascii="Arial" w:cs="Arial" w:eastAsia="Arial" w:hAnsi="Arial"/>
          <w:sz w:val="18"/>
          <w:szCs w:val="18"/>
          <w:b w:val="1"/>
          <w:bCs w:val="1"/>
          <w:color w:val="auto"/>
        </w:rPr>
      </w:pPr>
    </w:p>
    <w:p>
      <w:pPr>
        <w:ind w:left="4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June 2006, the FASB issued Interpretation No. (“FIN”) 48, </w:t>
      </w:r>
      <w:r>
        <w:rPr>
          <w:rFonts w:ascii="Arial" w:cs="Arial" w:eastAsia="Arial" w:hAnsi="Arial"/>
          <w:sz w:val="16"/>
          <w:szCs w:val="16"/>
          <w:i w:val="1"/>
          <w:iCs w:val="1"/>
          <w:color w:val="auto"/>
        </w:rPr>
        <w:t>Accounting for Uncertainty in Income Taxes—an interpretation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109</w:t>
      </w:r>
      <w:r>
        <w:rPr>
          <w:rFonts w:ascii="Arial" w:cs="Arial" w:eastAsia="Arial" w:hAnsi="Arial"/>
          <w:sz w:val="16"/>
          <w:szCs w:val="16"/>
          <w:color w:val="auto"/>
        </w:rPr>
        <w:t>. This interpretation clarifies the accounting for uncertainty in income taxes recognized in an enterprise’s financial statements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The Company adopted this interpretation on February 13, 2007, the date at which the Company began to account for income taxes within its consolidated accounts. The impact of the Company’s assessment of its tax positions in accordance with FIN 48 did not have a material effect on the Company’s results of operations, financial condition or liquidity.</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for income from operations are as follows (in millions):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Period February 13, 2007</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through March 29, 2007</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w:t>
            </w:r>
          </w:p>
        </w:tc>
        <w:tc>
          <w:tcPr>
            <w:tcW w:w="4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Current</w:t>
            </w:r>
          </w:p>
        </w:tc>
        <w:tc>
          <w:tcPr>
            <w:tcW w:w="52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43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1"/>
        </w:trPr>
        <w:tc>
          <w:tcPr>
            <w:tcW w:w="332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52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340" w:type="dxa"/>
            <w:vAlign w:val="bottom"/>
            <w:vMerge w:val="restart"/>
          </w:tcPr>
          <w:p>
            <w:pPr>
              <w:jc w:val="right"/>
              <w:ind w:right="2732"/>
              <w:spacing w:after="0"/>
              <w:rPr>
                <w:sz w:val="20"/>
                <w:szCs w:val="20"/>
                <w:color w:val="auto"/>
              </w:rPr>
            </w:pPr>
            <w:r>
              <w:rPr>
                <w:rFonts w:ascii="Arial" w:cs="Arial" w:eastAsia="Arial" w:hAnsi="Arial"/>
                <w:sz w:val="18"/>
                <w:szCs w:val="18"/>
                <w:color w:val="auto"/>
              </w:rPr>
              <w:t>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minority interest by the U.S. federal statutory rate of 35% was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Provision calculated at federal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-103505</wp:posOffset>
            </wp:positionV>
            <wp:extent cx="608012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State and local income taxes, net of federal benefit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income tax provision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 February 13, 2007</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through March 29, 2007</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Borders>
              <w:top w:val="single" w:sz="8" w:color="auto"/>
            </w:tcBorders>
          </w:tcPr>
          <w:p>
            <w:pPr>
              <w:jc w:val="right"/>
              <w:ind w:right="70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6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800" w:space="720"/>
            <w:col w:w="29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b w:val="1"/>
                <w:bCs w:val="1"/>
                <w:color w:val="auto"/>
                <w:w w:val="91"/>
              </w:rPr>
              <w:t>Period February 13, 2007</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19"/>
                <w:szCs w:val="19"/>
                <w:color w:val="auto"/>
              </w:rPr>
            </w:pPr>
          </w:p>
        </w:tc>
        <w:tc>
          <w:tcPr>
            <w:tcW w:w="198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through March 29, 2007</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Excess of tax basis in assets over book basis</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Discount on liability for income taxes payable to founding members</w:t>
            </w:r>
          </w:p>
        </w:tc>
        <w:tc>
          <w:tcPr>
            <w:tcW w:w="8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payments made to the founding members at the date of the IPO that were accounted for as distributions under generally accepted accounting principles created amortizable basis for federal income tax purposes. NCM, Inc. and the founding members entered into a tax receivable agreement under which NCM, Inc. will effectively make cash payments to the founding members in amounts equal to 90% of NCM, Inc.’s actual tax benefit realized as a result of this amortization. NCM, Inc. recorded a deferred tax asset equal to the future tax benefits of the tax amortization, estimated at $304.2 million and a credit to a long-term payable to founding members of $273.8 million, which was recorded at its original present value of $125.6 million. The discount on the liability is a temporary difference that resulted in a deferred tax liability of $59.3 million.</w:t>
      </w:r>
    </w:p>
    <w:p>
      <w:pPr>
        <w:spacing w:after="0" w:line="120"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In assessing the realizable value of deferred tax assets, primarily created in connection with the IPO related to the tax receivable agreement entered into by the founding members and the Company,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not recorded a valuation allowance against deferred tax assets at March 29, 2007 as management believes it is more likely than not that the deferred tax assets will be realized in future periods.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February 13, 2007, as an LLC, NCM LLC allocated all of its earnings to its founding members.</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96" w:lineRule="exact"/>
        <w:rPr>
          <w:rFonts w:ascii="Arial" w:cs="Arial" w:eastAsia="Arial" w:hAnsi="Arial"/>
          <w:sz w:val="18"/>
          <w:szCs w:val="18"/>
          <w:b w:val="1"/>
          <w:bCs w:val="1"/>
          <w:color w:val="auto"/>
        </w:rPr>
      </w:pP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March 29, 2007, the Company has authorized capital stock of 120,000,000 shares of common stock, par value of $0.01 per share, and 10,000,000 shares of preferred stock, par value of $0.01 per share. The Company issued 42,000,000 shares of common stock and 268,184 restricted shares in connection with the IPO as described in Note 2 above. No shares of preferred stock were issued or outstanding at March 29, 2007. The Company has 2,576,000,000 shares reserved for issuance under its Equity Incentive Plan. As of March 29, 2007, options to acquire 1,799,625 shares were outstanding under the Equity Incentive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right="8020" w:hanging="452"/>
        <w:spacing w:after="0" w:line="39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b w:val="1"/>
          <w:bCs w:val="1"/>
          <w:i w:val="1"/>
          <w:iCs w:val="1"/>
          <w:color w:val="auto"/>
        </w:rPr>
        <w:t>2007 Pre-IPO Period –</w:t>
      </w:r>
    </w:p>
    <w:p>
      <w:pPr>
        <w:ind w:left="460" w:right="1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At the formation of NCM LLC and upon the admission of Cinemark as a founding member, circuit share arrangements and administrative services fee arrangements were consummated with each founding member. Circuit share cost and administrative fee revenue by founding member were as follows (in millions):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91"/>
              </w:rPr>
              <w:t>Pre-IPO Period</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left="152"/>
              <w:spacing w:after="0"/>
              <w:rPr>
                <w:sz w:val="20"/>
                <w:szCs w:val="20"/>
                <w:color w:val="auto"/>
              </w:rPr>
            </w:pPr>
            <w:r>
              <w:rPr>
                <w:rFonts w:ascii="Arial" w:cs="Arial" w:eastAsia="Arial" w:hAnsi="Arial"/>
                <w:sz w:val="18"/>
                <w:szCs w:val="18"/>
                <w:b w:val="1"/>
                <w:bCs w:val="1"/>
                <w:color w:val="auto"/>
                <w:w w:val="86"/>
              </w:rPr>
              <w:t>December 29, 2006</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8"/>
              </w:rPr>
              <w:t>through</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92"/>
              </w:rPr>
              <w:t>Quarter Ended</w:t>
            </w:r>
          </w:p>
        </w:tc>
        <w:tc>
          <w:tcPr>
            <w:tcW w:w="400" w:type="dxa"/>
            <w:vAlign w:val="bottom"/>
          </w:tcPr>
          <w:p>
            <w:pPr>
              <w:spacing w:after="0"/>
              <w:rPr>
                <w:sz w:val="18"/>
                <w:szCs w:val="18"/>
                <w:color w:val="auto"/>
              </w:rPr>
            </w:pPr>
          </w:p>
        </w:tc>
      </w:tr>
      <w:tr>
        <w:trPr>
          <w:trHeight w:val="228"/>
        </w:trPr>
        <w:tc>
          <w:tcPr>
            <w:tcW w:w="4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152"/>
              <w:spacing w:after="0"/>
              <w:rPr>
                <w:sz w:val="20"/>
                <w:szCs w:val="20"/>
                <w:color w:val="auto"/>
              </w:rPr>
            </w:pPr>
            <w:r>
              <w:rPr>
                <w:rFonts w:ascii="Arial" w:cs="Arial" w:eastAsia="Arial" w:hAnsi="Arial"/>
                <w:sz w:val="18"/>
                <w:szCs w:val="18"/>
                <w:b w:val="1"/>
                <w:bCs w:val="1"/>
                <w:color w:val="auto"/>
                <w:w w:val="89"/>
              </w:rPr>
              <w:t>February 12, 2007</w:t>
            </w:r>
          </w:p>
        </w:tc>
        <w:tc>
          <w:tcPr>
            <w:tcW w:w="3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90"/>
              </w:rPr>
              <w:t>March 30, 2006</w:t>
            </w:r>
          </w:p>
        </w:tc>
        <w:tc>
          <w:tcPr>
            <w:tcW w:w="400" w:type="dxa"/>
            <w:vAlign w:val="bottom"/>
            <w:tcBorders>
              <w:bottom w:val="single" w:sz="8" w:color="auto"/>
            </w:tcBorders>
          </w:tcPr>
          <w:p>
            <w:pPr>
              <w:spacing w:after="0"/>
              <w:rPr>
                <w:sz w:val="19"/>
                <w:szCs w:val="19"/>
                <w:color w:val="auto"/>
              </w:rPr>
            </w:pPr>
          </w:p>
        </w:tc>
      </w:tr>
      <w:tr>
        <w:trPr>
          <w:trHeight w:val="197"/>
        </w:trPr>
        <w:tc>
          <w:tcPr>
            <w:tcW w:w="4200" w:type="dxa"/>
            <w:vAlign w:val="bottom"/>
          </w:tcPr>
          <w:p>
            <w:pPr>
              <w:spacing w:after="0"/>
              <w:rPr>
                <w:sz w:val="17"/>
                <w:szCs w:val="17"/>
                <w:color w:val="auto"/>
              </w:rPr>
            </w:pPr>
          </w:p>
        </w:tc>
        <w:tc>
          <w:tcPr>
            <w:tcW w:w="540" w:type="dxa"/>
            <w:vAlign w:val="bottom"/>
            <w:gridSpan w:val="2"/>
          </w:tcPr>
          <w:p>
            <w:pPr>
              <w:ind w:left="20"/>
              <w:spacing w:after="0" w:line="197" w:lineRule="exact"/>
              <w:rPr>
                <w:sz w:val="20"/>
                <w:szCs w:val="20"/>
                <w:color w:val="auto"/>
              </w:rPr>
            </w:pPr>
            <w:r>
              <w:rPr>
                <w:rFonts w:ascii="Arial" w:cs="Arial" w:eastAsia="Arial" w:hAnsi="Arial"/>
                <w:sz w:val="18"/>
                <w:szCs w:val="18"/>
                <w:b w:val="1"/>
                <w:bCs w:val="1"/>
                <w:color w:val="auto"/>
                <w:w w:val="87"/>
              </w:rPr>
              <w:t>Circuit</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gridSpan w:val="3"/>
          </w:tcPr>
          <w:p>
            <w:pPr>
              <w:spacing w:after="0" w:line="197" w:lineRule="exact"/>
              <w:rPr>
                <w:sz w:val="20"/>
                <w:szCs w:val="20"/>
                <w:color w:val="auto"/>
              </w:rPr>
            </w:pPr>
            <w:r>
              <w:rPr>
                <w:rFonts w:ascii="Arial" w:cs="Arial" w:eastAsia="Arial" w:hAnsi="Arial"/>
                <w:sz w:val="18"/>
                <w:szCs w:val="18"/>
                <w:b w:val="1"/>
                <w:bCs w:val="1"/>
                <w:color w:val="auto"/>
                <w:w w:val="94"/>
              </w:rPr>
              <w:t>Circuit</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4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Share</w:t>
            </w:r>
          </w:p>
        </w:tc>
        <w:tc>
          <w:tcPr>
            <w:tcW w:w="6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Administrative</w:t>
            </w:r>
          </w:p>
        </w:tc>
        <w:tc>
          <w:tcPr>
            <w:tcW w:w="68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Share</w:t>
            </w:r>
          </w:p>
        </w:tc>
        <w:tc>
          <w:tcPr>
            <w:tcW w:w="6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Administrative</w:t>
            </w:r>
          </w:p>
        </w:tc>
      </w:tr>
      <w:tr>
        <w:trPr>
          <w:trHeight w:val="229"/>
        </w:trPr>
        <w:tc>
          <w:tcPr>
            <w:tcW w:w="4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Cost</w:t>
            </w:r>
          </w:p>
        </w:tc>
        <w:tc>
          <w:tcPr>
            <w:tcW w:w="68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1"/>
              </w:rPr>
              <w:t>Fee Revenue</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1"/>
              </w:rPr>
              <w:t>Fee Revenue</w:t>
            </w: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3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Cinemark</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48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3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NCM LLC’s administrative services fee was earned at a rate of 32% of the legacy contract value for the 2007 pre-IPO period and the quarter ended December 28, 2006. At the closing of the IPO, the founding members entered into amended and restated ESAs which, among other things, eliminated the circuit share cost and assigned all remaining legacy contracts to NCM LLC.</w:t>
      </w:r>
    </w:p>
    <w:p>
      <w:pPr>
        <w:spacing w:after="0" w:line="140"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December 28, 2006, was comprised of the following (in millions):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7"/>
              </w:rPr>
              <w:t>AMC</w:t>
            </w:r>
          </w:p>
        </w:tc>
        <w:tc>
          <w:tcPr>
            <w:tcW w:w="4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Cinemark</w:t>
            </w:r>
          </w:p>
        </w:tc>
        <w:tc>
          <w:tcPr>
            <w:tcW w:w="48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1"/>
              </w:rPr>
              <w:t>Regal</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Circuit share payments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$ 15.2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$ 24.8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Cost reimbursement</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$ 15.3</w:t>
            </w:r>
          </w:p>
        </w:tc>
        <w:tc>
          <w:tcPr>
            <w:tcW w:w="4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79"/>
              </w:rPr>
              <w:t>$ 24.7</w:t>
            </w: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Post-IPO Period –</w:t>
      </w:r>
    </w:p>
    <w:p>
      <w:pPr>
        <w:spacing w:after="0" w:line="9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Pursuant to the amended and restated ESAs in place since the close of the IPO, we make monthly theatre access fee payments to the founding members, comprised of a payment per theatre attendee and a payment per digital screen of the founding member theatres. The theatre access fee replaces the circuit share expenses. Also, under the amended and restated ESAs, NCM LLC will record revenue for payments from the founding members for the display of up to 90 seconds of on-screen advertising under beverage concessionaire agreements at an agreed upon rate. The total theatre access fee to the founding members for the 2007 post-IPO period is $5.5 million. The total revenue related to the beverage concessionaire agreements for the 2007 post-IPO period is $5.4 million. In addition, pursuant to the amended and restated ESAs, we make monthly payments to the founding members for use of their screens and theatres for our meetings and events business. These payments are at agreed upon rates based on the nature of the event. During the 2007 post-IPO period, we paid $0.5 million to the founding members for these events.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March 29, 2007 was comprised of the following (in millions):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AMC</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Cinemark</w:t>
            </w:r>
          </w:p>
        </w:tc>
        <w:tc>
          <w:tcPr>
            <w:tcW w:w="260" w:type="dxa"/>
            <w:vAlign w:val="bottom"/>
          </w:tcPr>
          <w:p>
            <w:pPr>
              <w:spacing w:after="0"/>
              <w:rPr>
                <w:sz w:val="19"/>
                <w:szCs w:val="19"/>
                <w:color w:val="auto"/>
              </w:rPr>
            </w:pP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Regal</w:t>
            </w:r>
          </w:p>
        </w:tc>
        <w:tc>
          <w:tcPr>
            <w:tcW w:w="240" w:type="dxa"/>
            <w:vAlign w:val="bottom"/>
          </w:tcPr>
          <w:p>
            <w:pPr>
              <w:spacing w:after="0"/>
              <w:rPr>
                <w:sz w:val="19"/>
                <w:szCs w:val="19"/>
                <w:color w:val="auto"/>
              </w:rPr>
            </w:pPr>
          </w:p>
        </w:tc>
        <w:tc>
          <w:tcPr>
            <w:tcW w:w="4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(0.3)</w:t>
            </w:r>
          </w:p>
        </w:tc>
        <w:tc>
          <w:tcPr>
            <w:tcW w:w="5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(1.4)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Equity distributions, net</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January 26, 2006, AMC acquired the Loews theatre circuit. The Loews screen integration agreement, effective as of January 5, 2007, between NCM LLC and AMC, commits AMC to cause the theatres it acquired from Loews to participate in the exhibitor services agreements beginning on June 1, 2008. In accordance with the Loews screen integration agreement between us and AMC, which was amended and restated in connection with the IPO, AMC will pay us amounts based on an agreed upon calculation to reflect amounts that approximate what NCM LLC would have generated if we were able to sell advertising in the Loews theatre chain on an exclusive basis. These Loews payments will be made on a quarterly basis in arrears through May 31, 2008 in accordance with certain run-out provisions. For the 2007 post-IPO period, the Loews payment, included in the due to (from) founding members at March 29, 2007 is $0.8 million, which has been recorded directly to NCM LLC’s members’ equity account.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During the 2007 post-IPO period, the 2007 pre-IPO period and the quarter ended March 30, 2006, AMC and Regal purchased $0.2 million, $0.1 million and $0.5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 and quarter ended March 30, 2006.</w:t>
      </w:r>
    </w:p>
    <w:p>
      <w:pPr>
        <w:spacing w:after="0" w:line="113"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Included in media and events operating costs is $0.2 million, $0.2 million and $0.2 million for the 2007 post-IPO period, the 2007 pre-IPO period and the quarter ended March 30, 2006, respectively, related to purchases of movie tickets and concession products from the founding members primarily for resale to NCM LLC’s customers.</w:t>
      </w:r>
    </w:p>
    <w:p>
      <w:pPr>
        <w:spacing w:after="0" w:line="14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During the 2007 post-IPO period, the 2007 pre-IPO period and the quarter ended March 30, 2006, severance expense and the related capital contribution recognized for the Regal Unit Option Plan were $0.5 million, $0.4 million and $1.9 million, respectively. As 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equal to this severance plan expense.</w:t>
      </w:r>
    </w:p>
    <w:p>
      <w:pPr>
        <w:spacing w:after="0" w:line="258" w:lineRule="exact"/>
        <w:rPr>
          <w:sz w:val="20"/>
          <w:szCs w:val="20"/>
          <w:color w:val="auto"/>
        </w:rPr>
      </w:pPr>
    </w:p>
    <w:p>
      <w:pPr>
        <w:ind w:left="460" w:right="9020" w:hanging="452"/>
        <w:spacing w:after="0" w:line="347" w:lineRule="auto"/>
        <w:tabs>
          <w:tab w:leader="none" w:pos="44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b w:val="1"/>
          <w:bCs w:val="1"/>
          <w:i w:val="1"/>
          <w:iCs w:val="1"/>
          <w:color w:val="auto"/>
        </w:rPr>
        <w:t>Long-Term Borrowings—</w:t>
      </w:r>
    </w:p>
    <w:p>
      <w:pPr>
        <w:spacing w:after="0" w:line="1"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Revolving Credit Agreement</w:t>
      </w:r>
      <w:r>
        <w:rPr>
          <w:rFonts w:ascii="Arial" w:cs="Arial" w:eastAsia="Arial" w:hAnsi="Arial"/>
          <w:sz w:val="16"/>
          <w:szCs w:val="16"/>
          <w:color w:val="auto"/>
        </w:rPr>
        <w:t>—On March 22, 2006, NCM LLC entered into a bank-funded $20 million Revolving Credit Agreement, of which $2 million could have been utilized in support of letters of credit. The revolving credit agreement was collateralized by trade receivables, and borrowings under the revolving credit agreement were limited to 85% of eligible trade receivables, as defined. The revolving credit agreement bore interest, at NCM LLC’s option, at either an adjusted Eurodollar rate or the base rate plus, in each case, an applicable margin. Outstanding borrowings at December 28, 2006, were $10.0 million. The revolving credit agreement was repaid and cancelled on February 13, 2007</w:t>
      </w:r>
    </w:p>
    <w:p>
      <w:pPr>
        <w:spacing w:after="0" w:line="115"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Senior Secured Credit Facility</w:t>
      </w:r>
      <w:r>
        <w:rPr>
          <w:rFonts w:ascii="Arial" w:cs="Arial" w:eastAsia="Arial" w:hAnsi="Arial"/>
          <w:sz w:val="16"/>
          <w:szCs w:val="16"/>
          <w:color w:val="auto"/>
        </w:rPr>
        <w:t>—On February 13, 2007, at the same time as the closing of the IPO of NCM, Inc., NCM LLC entered into a senior secured credit facility with a group of lenders. The facility consists of a six-year $80.0 million revolving credit facility and an eight-year, $725.0 million term loan facility. The term loan will be due on the eighth anniversary of the funding.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outstanding balance of the term loan facility at March 29, 2007 was $725.0 million. The revolving credit facility was initially drawn upon to repay amounts outstanding under the Revolving Credit Agreement, and was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again drawn upon in March 2007 to repay amounts due to founding members that existed at the IPO date of approximately $50.8 million. The outstanding balance under the revolving credit facility at March 29, 2007 is $51.0 million. The obligations under the credit facility are secured by a lien on substantially all of the assets of NCM LLC. Borrowings under the senior secured credit facility bear interest, at the option of the Company, at a rate equal to an applicable margin plus either a variable base rate or a eurodollar rate. The applicable margin for the term loan facility is 0.75% with respect to base rate loans and 1.75% with respect to eurodollar loans. The applicable margin for the revolving credit facility is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(to be defined in the NCM LLC credit agreement as the ratio of secured funded debt less unrestricted cash and cash equivalents, over adjusted EBITDA, as defined). Upon the occurrence of any payment default, certain amounts under the senior secured credit facility will bear interest at a rate equal to the rate then in effect with respect to such borrowings, plus 2.00% per annum. The senior secured credit facility also contains a number of covenants and ratio requirements, which at March 29, 2007, the Company was in compliance with. Upon occurrence of an event of default, among other remedies available to the lenders, all outstanding loans may be accelerated and/or the lenders’ commitments may be terminated.</w:t>
      </w:r>
    </w:p>
    <w:p>
      <w:pPr>
        <w:spacing w:after="0" w:line="24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SFAS No. 123(R), and factored into the valuation that the options were granted in contemplation of an IPO. The Company used the estimated pricing of the IPO at the time of the grant 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held just prior to an IPO was maintained by the option holder immediately after the offering.</w:t>
      </w:r>
    </w:p>
    <w:p>
      <w:pPr>
        <w:spacing w:after="0" w:line="118" w:lineRule="exact"/>
        <w:rPr>
          <w:rFonts w:ascii="Arial" w:cs="Arial" w:eastAsia="Arial" w:hAnsi="Arial"/>
          <w:sz w:val="18"/>
          <w:szCs w:val="18"/>
          <w:b w:val="1"/>
          <w:bCs w:val="1"/>
          <w:color w:val="auto"/>
        </w:rPr>
      </w:pPr>
    </w:p>
    <w:p>
      <w:pPr>
        <w:ind w:left="46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At the date of the IPO, the Company adopted the NCM, Inc. 2007 Equity Incentive Plan. There are 2,576,000 shares of common stock available for issuance or delivery under the Equity Incentive Plan. Under the Equity Incentive Plan, the Company issued stock options to holders of outstanding unit options (pursuant to the Unit Option Plan) in substitution of the unit option and also issued 262,466 shares of restricted stock. In connection with the conversion at the date of the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IPO. The Equity Incentive Plan is treated as an equity plan under the provisions of SFAS No. 123(R), and the existing liability under the Unit Option Plan at the end of the 2007 pre-IPO period of $2.3 million was reclassified to equity at the IPO date.</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Activity in the Equity Incentive Plan, as converted, is as follows: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Weighted-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b w:val="1"/>
                <w:bCs w:val="1"/>
                <w:color w:val="auto"/>
                <w:w w:val="98"/>
              </w:rPr>
              <w:t>Average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6"/>
              </w:rPr>
              <w:t>Shares</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Exercise Price</w:t>
            </w:r>
          </w:p>
        </w:tc>
        <w:tc>
          <w:tcPr>
            <w:tcW w:w="640" w:type="dxa"/>
            <w:vAlign w:val="bottom"/>
          </w:tcPr>
          <w:p>
            <w:pPr>
              <w:spacing w:after="0"/>
              <w:rPr>
                <w:sz w:val="21"/>
                <w:szCs w:val="2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millions)</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28, 2006</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1,131,728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218,000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Antidilution adjustments made to outstanding options in connection</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 the plan conversion</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457,897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2007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1,799,625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5"/>
              </w:rPr>
              <w:t>16.8</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Vested at March 29, 2007</w:t>
            </w:r>
          </w:p>
        </w:tc>
        <w:tc>
          <w:tcPr>
            <w:tcW w:w="34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29, 2007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470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options are exercisable at either March 29, 2007 or December 28, 2006. Options outstanding (as adjusted) at March 29, 2007, have been granted at the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exercise prices: 1,344,202 shares at $16.35 per share, 149,058 shares at $18.01 per share, 74,653 shares at $24.04 per share, 21,712 shares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$24.74 per share and 210,000 shares at $21.00 per share, all at an average remaining life of approximately nine years. Options granted vest over periods of</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 through 81 months.</w:t>
      </w:r>
    </w:p>
    <w:p>
      <w:pPr>
        <w:spacing w:after="0" w:line="165"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Under the provisions of SFAS No. 123(R), the options are accounted for as equity awards. The Company has estimated the calculated value of these options at $5.46 to $7.79 per share based on the Black-Scholes option pricing model. The weighted-average fair value of all shares granted during the period ended March 29, 2007 was $6.42. The Black-Scholes model requires that the Company make estimates of various factors used, as noted below. The fair value of the options is being charged to operations over the vesting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in the valuation of the options:</w:t>
      </w:r>
    </w:p>
    <w:p>
      <w:pPr>
        <w:spacing w:after="0" w:line="90" w:lineRule="exact"/>
        <w:rPr>
          <w:sz w:val="20"/>
          <w:szCs w:val="20"/>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life of options—9 years. The expected life of the options was determined by using the average of the vesting and contractual terms of the options (the “simplified method” as described in SEC Staff Accounting Bulletin 102).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 free interest rate—4.6% to 4.9%. The risk-free interest rate was determined by using the applicable Treasury rate as of the grant dates.</w:t>
      </w:r>
    </w:p>
    <w:p>
      <w:pPr>
        <w:spacing w:after="0" w:line="113"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volatility—30.0%. Expected volatility was estimated based on comparable companies and industry indexes for historic stock price volatility.</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yield—3.0%. The estimated dividend yield was determined using management’s expectations based on estimated cash flow characteristics and expected long-term dividend policy after the IPO.</w:t>
      </w:r>
    </w:p>
    <w:p>
      <w:pPr>
        <w:spacing w:after="0" w:line="13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forfeiture rate was not significant, because a substantial number of options are held by a few executives of the Company who are expected to continue employment through the vesting period. A forfeiture rate of 5% was estimated for all non-executive employees to reflect the potential separation of employees. The Company expects approximately 1,720,000 of the outstanding options to vest.</w:t>
      </w:r>
    </w:p>
    <w:p>
      <w:pPr>
        <w:spacing w:after="0" w:line="140" w:lineRule="exact"/>
        <w:rPr>
          <w:sz w:val="20"/>
          <w:szCs w:val="20"/>
          <w:color w:val="auto"/>
        </w:rPr>
      </w:pPr>
    </w:p>
    <w:p>
      <w:pPr>
        <w:ind w:left="460" w:right="420"/>
        <w:spacing w:after="0" w:line="306" w:lineRule="auto"/>
        <w:rPr>
          <w:sz w:val="20"/>
          <w:szCs w:val="20"/>
          <w:color w:val="auto"/>
        </w:rPr>
      </w:pPr>
      <w:r>
        <w:rPr>
          <w:rFonts w:ascii="Arial" w:cs="Arial" w:eastAsia="Arial" w:hAnsi="Arial"/>
          <w:sz w:val="16"/>
          <w:szCs w:val="16"/>
          <w:color w:val="auto"/>
        </w:rPr>
        <w:t>The Company recognized $0.4 million and $0.3 million of share-based compensation expense for the periods ended March 29, 2007 and February 12, 2007, respectively, for these options. As of March 29, 2007, unrecognized compensation cost related to nonvested options was approximately $13.2 million, which will be recognized over a weighted-average remaining period of between 57 and 69 months.</w:t>
      </w:r>
    </w:p>
    <w:p>
      <w:pPr>
        <w:spacing w:after="0" w:line="107"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 The Company implemented a restricted stock program as part of the Equity Incentive Plan. The plan provides for restricted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officers, board members and other key employees. Under the restricted stock program, common stock of the Company may be granted at no cost to officers, board members and key employees, subject to a continued employment restriction and as such restrictions lapse (at the start of each subsequent calendar year), the award vests in that proportion. The participants are entitled to cash dividends and to vote their respective shares, although the sale and transfer of such shares is prohibited and the shares are subject to forfeiture during the restricted period. The shares are also subject to the terms and provisions of the Equity Incentive Plan.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shares of restricted stock that were granted during the period and outstanding as of March 29, 2007:</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w w:val="89"/>
              </w:rPr>
              <w:t>Period February 13, 2007</w:t>
            </w:r>
          </w:p>
        </w:tc>
      </w:tr>
      <w:tr>
        <w:trPr>
          <w:trHeight w:val="229"/>
        </w:trPr>
        <w:tc>
          <w:tcPr>
            <w:tcW w:w="766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through March 29, 2007</w:t>
            </w:r>
          </w:p>
        </w:tc>
      </w:tr>
      <w:tr>
        <w:trPr>
          <w:trHeight w:val="211"/>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period ended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268,184</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Outstanding as of period end date</w:t>
            </w:r>
          </w:p>
        </w:tc>
        <w:tc>
          <w:tcPr>
            <w:tcW w:w="1920" w:type="dxa"/>
            <w:vAlign w:val="bottom"/>
          </w:tcPr>
          <w:p>
            <w:pPr>
              <w:jc w:val="right"/>
              <w:spacing w:after="0"/>
              <w:rPr>
                <w:sz w:val="20"/>
                <w:szCs w:val="20"/>
                <w:color w:val="auto"/>
              </w:rPr>
            </w:pPr>
            <w:r>
              <w:rPr>
                <w:rFonts w:ascii="Arial" w:cs="Arial" w:eastAsia="Arial" w:hAnsi="Arial"/>
                <w:sz w:val="18"/>
                <w:szCs w:val="18"/>
                <w:color w:val="auto"/>
              </w:rPr>
              <w:t>268,184</w:t>
            </w:r>
          </w:p>
        </w:tc>
      </w:tr>
    </w:tbl>
    <w:p>
      <w:pPr>
        <w:spacing w:after="0" w:line="14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Company recorded $0.1 million compensation expense related to such outstanding restricted shares during the period February 13, 2007 through March 29, 2007. As of March 29, 2007, unrecognized compensation cost related to non-vested restricted stock was approximately $5.5 million, which will be recognized over a weighted-average remaining period of between 11 months and 57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NATIONAL CINEMEDIA, INC.</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are as follows: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w w:val="89"/>
              </w:rPr>
              <w:t>Period February 13, 2007</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through March 29, 2007</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22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223"/>
        </w:trPr>
        <w:tc>
          <w:tcPr>
            <w:tcW w:w="604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16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188,731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42,188,731</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2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2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The effect of the 51,850,951 convertible NCM LLC common units held by the founding members at March 29, 2007 has been excluded from the calculation of diluted weighted average shares and earnings per share. The effect of these convertible units is antidilutive due to the inclusion in interest expense of the non-cash amortization of the tax payable to the founding members which as an expense of NCM, Inc. is not allocable to the minority interest.</w:t>
      </w:r>
    </w:p>
    <w:p>
      <w:pPr>
        <w:spacing w:after="0" w:line="25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Unaudited Pro Forma Financial Information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as well as information contained in our Form 10-K filed with the Securities and Exchange Commission on March 28, 2007 for the fiscal year ended December 28, 2006, including “Business-Corporate History,” “Business-Reorganization,” “Management’s Discussion and Analysis of Financial Condition and Results of Operations,” “Executive Compensation” and with our unaudited historical financial statements and the notes thereto included elsewhere in this document.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document.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unaudited pro forma condensed consolidated statements of operations for the quarters ended March 29, 2007 and March 30, 2006 present the consolidated results of operations of NCM, Inc. assuming the initial public offering, reorganization and senior secured credit facility transactions discussed in detail in our Form 10-K filed with the Securities and Exchange Commission on March 28, 2007 for the fiscal year ended December 28, 2006 had been completed and the material changes to contractual arrangements, which occurred in connection with the completion of the IPO and related transactions described had become effective as of December 30, 2005.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The pro forma statements of operations do not include the full impact of additional administrative costs of a public company which we expect to incur subsequent to the completion of the offering, such as regulatory filing and compliance costs, salaries and benefits costs for additional staffing, additional insurance costs and costs of investor relations which we estimate will increase our administrative expenses by approximately $2.5 million to $3.0 million per year from those costs recorded in administrative expenses for the year ending December 28, 2006. The adjustments as set forth below are described in detail in the notes to the unaudited pro forma condensed consolidated statements of operations and principally include the matters set forth below.</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contractual adjustments include adjustments to reflect the terms of the exhibitor services agreements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historical results of operations, in that they (i) assign Legacy Contracts to NCM LLC and elimination of related administration fee, (ii) make additional inventory of lobby promotions, CineMeetings and Fathom events available to NCM LLC on a pre-approved basis, (iii) make additional theatre advertising inventory available to NCM LLC subject to the founding members’ rights to buy such inventory at stated rates in order for them to fulfill their on-screen advertising commitments with their beverage concessionaires and (iv) change the circuit share expense to the theatre access fee, resulting in lower payments on a percentage of revenue to our founding members.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Legacy contracts are those advertising contracts entered into by RCM and AMC prior to the formation of NCM LLC that were retained by RCM and AMC and managed by NCM LLC for a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adjustments result from:</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replacement of employee unit options with Company stock options and the grant of additional stock options and restricted stock;</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completion of the offering and the use of proceeds therefrom, including our acquisition of 44.8% of the common membership units of NCM LLC;</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completion of the financing transaction, pursuant to which all the preferred membership units of NCM LLC were redeemed from the proceeds of the term loan portion of a new senior secured credit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income tax provision to account for NCM, Inc.’s status as a taxable entity.</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the Company have been significantly impacted by related party transactions, as discussed more fully in the unaudited historical financial statements included elsewhere in this document, and the future operating results of NCM, Inc. will also be impacted by related party transactions.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Historical and pro forma results of operations are not necessarily indicative of what would have occurred had all transactions occurred with unrelated parties. Also, the pro forma condensed consolidated financial information should not be relied upon as being indicative of NCM, Inc. or NCM LLC’s results of operations had the contractual adjustments and the transaction adjustments been completed on December 30, 2005. The unaudited pro forma condensed consolidated financial information also does not project the results of operations or financial position for any future period or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29,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Post-IPO</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Pre-IPO</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period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period</w:t>
            </w:r>
          </w:p>
        </w:tc>
        <w:tc>
          <w:tcPr>
            <w:tcW w:w="3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February 13,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December 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2007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2006 through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through</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March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February 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March 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2007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89"/>
              </w:rPr>
              <w:t>Contractual</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Transaction</w:t>
            </w:r>
          </w:p>
        </w:tc>
        <w:tc>
          <w:tcPr>
            <w:tcW w:w="24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Pro Forma,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Historical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Historical</w:t>
            </w:r>
          </w:p>
        </w:tc>
        <w:tc>
          <w:tcPr>
            <w:tcW w:w="26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240" w:type="dxa"/>
            <w:vAlign w:val="bottom"/>
          </w:tcPr>
          <w:p>
            <w:pPr>
              <w:spacing w:after="0"/>
              <w:rPr>
                <w:sz w:val="19"/>
                <w:szCs w:val="19"/>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As Adjusted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Circuit share costs/theatre access fees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founding members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Income/(Loss) before income taxes and minority</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Minority interest, net</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30,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30, 2006</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Contractual</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8"/>
              </w:rPr>
              <w:t>Transaction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Pro Forma,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5"/>
              </w:rPr>
              <w:t>Historical</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As Adjusted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6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Circuit share costs/theatre access fees – founding</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16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16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Minority interest, net</w:t>
            </w:r>
          </w:p>
        </w:tc>
        <w:tc>
          <w:tcPr>
            <w:tcW w:w="16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the Pro Forma Condensed Consolidated Statements of Operations:</w:t>
      </w:r>
    </w:p>
    <w:p>
      <w:pPr>
        <w:spacing w:after="0" w:line="90" w:lineRule="exact"/>
        <w:rPr>
          <w:sz w:val="20"/>
          <w:szCs w:val="20"/>
          <w:color w:val="auto"/>
        </w:rPr>
      </w:pPr>
    </w:p>
    <w:p>
      <w:pPr>
        <w:ind w:left="900" w:right="20" w:hanging="446"/>
        <w:spacing w:after="0" w:line="28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amended and restated ESAs, based on the actual revenue generated from those legacy contracts and the reversal of the related legacy contract administrative fees historically recorded by NCM LLC. Legacy advertising contracts are those contracts signed by RCM and AMC prior to the formation of NCM LLC. In addition, adjustments include the pro forma effect of the revenue from the sale of additional theatre advertising inventory to the founding members, in accordance with the exhibitor services agreements, in order for the founding members to fulfill their beverage concessionaire agreement on-screen advertising commitments. Contractual adjustments also include the change in circuit share payments pursuant to the exhibitor services agreements. Under the terms of the prior exhibitor service agreements with the founding members, the circuit share payments were based on varying percentages of advertising revenue. Under the amended and restated ESAs, the theatre access fee payments will initially be based on a per attendee and per digital screen calculation.</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new senior secured credit facility of approximately $0.5 million per quarter.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$2.8 million per quarter.</w:t>
      </w:r>
    </w:p>
    <w:p>
      <w:pPr>
        <w:spacing w:after="0" w:line="37"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offering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The convertible common membership units of the founding members (which aggregate 51,850,951 shares) are not included as they are antidilutive, due to inclusion in interest expense of non-cash amortization of the tax payable to founding members which is not deducted by NCM LLC.</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words like “may,” “will,”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28, 2007 with the Securities and Exchange Commission for the Company’s fiscal year ended December 28, 2006. The following discussion and analysis should be read in conjunction with the unaudited condensed consolidated financial statement and notes thereto included herein and the audited financial statements and other disclosure included in our annual report on Form 10-K filed on March 28, 2007 with the Securities and Exchange Commission for the Company’s fiscal year ended December 28, 2006.</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Accordingly, historical financial data does not give effect to the reorganization, the completion of the initial public offering of the Company and the financing transaction of NCM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NCM LLC was formed on March 29, 2005, by AMC and Regal as a joint venture that combined the cinema advertising and meetings and events operations of a wholly owned subsidiary of Regal and the cinema advertising operations of a wholly owned subsidiary of AMCE. On July 15, 2005, Cinemark, through a wholly-owned subsidiary, joined NCM LLC as a founding member. Because Cinemark had a pre-existing contract with another cinema advertising provider, NCM LLC began selling advertising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Cinemark’s screens on an exclusive basis beginning on January 1, 2006, subject to the run-out of certain pre-existing contractual obligations for on-screen advertising through April 1, 2006. As a result, we began to record revenue from the sale of advertising for Cinemark’s screens on January 1, 2006 on a non-exclusive basis until April 1, 2006. Cinemark acquired Century theatres in October 2006 and NCM LLC began to sell advertising in those Century theatres in November 2006.</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results of operations data for the quarter ended March 30, 2006 and the period December 28, 2006 through February 12, 2007 (the “2007 pre-IPO period”), and the summary balance sheet data as of December 28, 2006 presented herein, were derived from the historical financial statements of NCM LLC. The financial statements for the 2007 pre-IPO period give effect to allocations of revenues and expenses made using relative percentages of founding member attendance or days in each period, discrete events and other methods management considered to be a reasonable reflection of the results for such period. The results of operations data for the period February 13, 2007 through March 29, 2007 (the “2007 post-IPO period”) were derived from the unaudited condensed consolidated financial results of NCM, Inc. We believe the assumptions underlying the unaudited condensed consolidated financial statements are reasonable. However, the historical financial data of NCM LLC may not be indicative of the Company’s future performance nor will such data reflect what its financial position and results of operations would have been had it operated as an independent publicly traded company during the historical periods presented.</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quarter ended March 29, 2007, our pro forma revenue, operating income and adjusted EBITDA were $62.1 million, $22.9 million and $25.7 million, respectively. During the quarter ended March 30, 2006, our pro forma revenue, operating income and adjusted EBITDA were $41.1 million, $9.4 million and $12.5 million, respectively. See EBITDA below for a discussion of the calculation of adjusted EBITDA.</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revenue is principally derived from the sale of advertising and, to a lesser extent, from our CineMeetings business and digital programming events business which we have branded Fathom. We have long-term exhibitor services agreements with NCM LLC’s founding members and multi-year agreements with several other theatre operators, whom we refer to as network affiliates. The exhibitor services agreements with the founding members and network affiliate agreements grant us exclusive rights, subject to limited exceptions, to sell advertising and meeting services and distribute entertainment programming in those theatres using our digital content network technology. Our advertising, CineMeetings and digital programming events are distributed primarily to theatres that are digitally equipped with our proprietary digital content network technology. In excess of 90% of the aggregate founding member and network affiliate attendance is included in our digital network.</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“Results of Operations—Factors Affecting Comparability of Results of Operations” and in “Risk Factors” contained in our annual report on Form 10-K for the fiscal year ended December 28,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results of operations data for the quarter ended March 30, 2006 and the period December 28, 2006 through February 12, 2007, and the summary balance sheet data as of December 28, 2006, were derived from the historical financial statements and accounting records of NCM LLC. The results of operations data for the period February 13, 2007 through March 29, 2007 were derived from the unaudited condensed consolidated financial statements and accounting records of NCM, Inc. that include the accounts of NCM LLC, which is a 44.8% owned consolidated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becoming a member of NCM LLC, each founding member entered into an exhibitor services agreement with NCM LLC, which remained in effect until the founding members entered into amended and restated ESAs upon the completion of the IPO. At NCM LLC’s formation, each of AMC and Regal retained their pre-existing advertising contracts and we administered those contracts on behalf of those founding members for an administrative fee equal to a percentage of total revenue (32% for the periods through February 12, 2007). Over time as these “legacy” advertising contracts were fulfilled and we entered into new contracts directly with advertisers, the administrative fees declined and our advertising revenue increased. The total underlying legacy contract value was approximately equal to our administrative fees during that period divided by the 32% administrative fee percentage. In addition,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 On October 5, 2006, Cinemark completed the acquisition of the Century theatre circuit, and the Century screens were added to our network on an exclusive basis in November 2006. The timing of the addition of the Cinemark and Century theatres to our network affects the comparability of results from the periods as they were not included in the results from the quarter ended March 30, 2006.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We believe the most meaningful metric to ascertain the growth of our advertising revenue among all historical periods presented is the total amount of our advertising revenue plus the legacy contract value. We also refer to total advertising contract value, divided by the total number of founding member attendees as total advertising contract value per founding member attendee. We believe this metric is helpful to analyze advertising revenue performance across our reporting periods, and provides a measure of revenue which is independent of the number of screens in our network for which advertising services are being provided.</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amended and restated ESAs that became effective on February 13, 2007, NCM LLC revenue will increase significantly due to the payments from the founding members for the display of up to 90 seconds of on-screen advertising under their beverage concessionaire agreements at an agreed upon rate. In addition, as discussed above, the conversion from circuit share to theatre access fee structure will reduce the payments made to the founding members as a percentage of advertising revenue.</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increases in the size of our network, as well as differences in the structure of circuit share expense and theatre access fee and the circuit beverage revenue limit the comparability of revenues and operating expenses for all reporting periods. Therefore, certain components of operating expenses, including selling and marketing, administrative, and depreciation expense, will be analyzed on the basis of cost per founding member attendee.</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presents total advertising contract value and operating expenses per founding member attendee for the Company for the 2007 post-IPO period and for NCM LLC for the 2007 pre-IPO period and the quarter ending March 30, 2006, which will be discussed further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Period</w:t>
            </w:r>
          </w:p>
        </w:tc>
        <w:tc>
          <w:tcPr>
            <w:tcW w:w="36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Period</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89"/>
              </w:rPr>
              <w:t>February 13, 2007</w:t>
            </w:r>
          </w:p>
        </w:tc>
        <w:tc>
          <w:tcPr>
            <w:tcW w:w="3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December 28,</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through</w:t>
            </w:r>
          </w:p>
        </w:tc>
        <w:tc>
          <w:tcPr>
            <w:tcW w:w="3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2006 through</w:t>
            </w:r>
          </w:p>
        </w:tc>
        <w:tc>
          <w:tcPr>
            <w:tcW w:w="8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Quarter Ended</w:t>
            </w:r>
          </w:p>
        </w:tc>
      </w:tr>
      <w:tr>
        <w:trPr>
          <w:trHeight w:val="229"/>
        </w:trPr>
        <w:tc>
          <w:tcPr>
            <w:tcW w:w="5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March 29, 2007</w:t>
            </w:r>
          </w:p>
        </w:tc>
        <w:tc>
          <w:tcPr>
            <w:tcW w:w="36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February 12, 2007</w:t>
            </w:r>
          </w:p>
        </w:tc>
        <w:tc>
          <w:tcPr>
            <w:tcW w:w="880" w:type="dxa"/>
            <w:vAlign w:val="bottom"/>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March 30, 2006</w:t>
            </w:r>
          </w:p>
        </w:tc>
        <w:tc>
          <w:tcPr>
            <w:tcW w:w="20" w:type="dxa"/>
            <w:vAlign w:val="bottom"/>
          </w:tcPr>
          <w:p>
            <w:pPr>
              <w:spacing w:after="0"/>
              <w:rPr>
                <w:sz w:val="19"/>
                <w:szCs w:val="19"/>
                <w:color w:val="auto"/>
              </w:rPr>
            </w:pPr>
          </w:p>
        </w:tc>
      </w:tr>
      <w:tr>
        <w:trPr>
          <w:trHeight w:val="211"/>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advertising contract value ($ in millions)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r>
      <w:tr>
        <w:trPr>
          <w:trHeight w:val="208"/>
        </w:trPr>
        <w:tc>
          <w:tcPr>
            <w:tcW w:w="5360" w:type="dxa"/>
            <w:vAlign w:val="bottom"/>
          </w:tcPr>
          <w:p>
            <w:pPr>
              <w:ind w:left="120"/>
              <w:spacing w:after="0"/>
              <w:rPr>
                <w:sz w:val="20"/>
                <w:szCs w:val="20"/>
                <w:color w:val="auto"/>
              </w:rPr>
            </w:pPr>
            <w:r>
              <w:rPr>
                <w:rFonts w:ascii="Arial" w:cs="Arial" w:eastAsia="Arial" w:hAnsi="Arial"/>
                <w:sz w:val="18"/>
                <w:szCs w:val="18"/>
                <w:color w:val="auto"/>
              </w:rPr>
              <w:t>Total advertising contract value per founding member</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360" w:type="dxa"/>
            <w:vAlign w:val="bottom"/>
          </w:tcPr>
          <w:p>
            <w:pPr>
              <w:ind w:left="340"/>
              <w:spacing w:after="0"/>
              <w:rPr>
                <w:sz w:val="20"/>
                <w:szCs w:val="20"/>
                <w:color w:val="auto"/>
              </w:rPr>
            </w:pPr>
            <w:r>
              <w:rPr>
                <w:rFonts w:ascii="Arial" w:cs="Arial" w:eastAsia="Arial" w:hAnsi="Arial"/>
                <w:sz w:val="18"/>
                <w:szCs w:val="18"/>
                <w:color w:val="auto"/>
              </w:rPr>
              <w:t>attendee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0.46</w:t>
            </w:r>
          </w:p>
        </w:tc>
        <w:tc>
          <w:tcPr>
            <w:tcW w:w="360" w:type="dxa"/>
            <w:vAlign w:val="bottom"/>
            <w:tcBorders>
              <w:right w:val="single" w:sz="8" w:color="auto"/>
            </w:tcBorders>
          </w:tcPr>
          <w:p>
            <w:pPr>
              <w:spacing w:after="0"/>
              <w:rPr>
                <w:sz w:val="19"/>
                <w:szCs w:val="19"/>
                <w:color w:val="auto"/>
              </w:rPr>
            </w:pP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r>
      <w:tr>
        <w:trPr>
          <w:trHeight w:val="218"/>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 per founding member attendee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 February 13, 2007 through March 29, 2007 and Period December 28, 2006 through February 12, 2007 and the Quarter Ended March 30, 2006</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2007 post-IPO period was $32.4 million, while total revenue for the 2007 pre-IPO period was $23.6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$27.4 million during the quarter ended March 30, 2006. The 2007 increase of the combined 2007 post-IPO period and 2007 pre-IPO period versus the revenue for the quarter ended March 30, 2006 was the result of payments from the founding members related to the beverage advertising, an increase in national advertising inventory utilization from 46.7% to 66.2%, a 6.8% increase in national advertising CPMs and an increase in average founding member screens of 17.1%, the conversion or assignment of certain legacy contracts and a 121% increase in meetings and events revenue. The meeting and events revenue increase related primarily to an increase in event count of approximately 59% and an approximate 43% increase in average revenue per event, primarily due to the success of the Metropolitan Opera live broadcast events.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Total advertising contract value per founding member attendee for the Company for the 2007 post-IPO period was $0.46, while the total advertising contract value per founding member attendee was $0.31 for the 2007 pre-IPO period and $0.23 during the quarter ended March 30, 2006. The increase in the advertising contract value per founding member for the combined 2007 post-IPO period and 2007 pre-IPO period versus the quarter ended March 30, 2006 was primarily the result of the expansion of our advertising client base, including the payments from the founding members for the beverage advertisements, expansion of our network and increase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 xml:space="preserve">advertising CPMs, as discussed above. This increase was affected somewhat by the impact of restrictions on our ability to sell national advertising on Cinemark’s screens between January 1, 2006 and April 1, 2006, coupled with slight reductions in local advertising inventory utilization as local clients were transitioned to our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format in the Century theatres and the usual delay associated with absorbing these additional attendees into our national sales process.</w:t>
      </w:r>
    </w:p>
    <w:p>
      <w:pPr>
        <w:spacing w:after="0" w:line="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2007 post-IPO period were $13.1 million, $12.9 million during the 2007 pre-IPO period and $18.7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quarter ended March 30, 2006. The increase of the combined 2007 post-IPO period and 2007 pre-IPO period versus total operating expenses for the quarter ended March 30, 2006 was primarily the result of the increase in sales commissions, affiliate expenses and event costs associated with the increase in revenue discussed above and increased administrative expenses due to additional staffing and infrastructure required to support the increase in the number of advertising contracts, expansion of the network and public company compliance, as well as non-cash costs associated with our equity incentive plan.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Total operating expenses per founding member attendee for the Company for the 2007 post-IPO period was $0.21, $0.19 for the 2007 pre-IPO period and $0.16 during the quarter ended March 30, 2006. The increase in total operating expenses per founding member for the combined 2007 post-IPO period and 2007 pre-IPO period versus the quarter ended March 30, 2006 was primarily the result of increased expenses associated with the meetings and events businesses related to its increase in revenue, offset by the fixed nature of many of our operating expenses associated with our advertising business.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Circuit share expense/theatre access fee. </w:t>
      </w:r>
      <w:r>
        <w:rPr>
          <w:rFonts w:ascii="Arial" w:cs="Arial" w:eastAsia="Arial" w:hAnsi="Arial"/>
          <w:sz w:val="16"/>
          <w:szCs w:val="16"/>
          <w:color w:val="auto"/>
        </w:rPr>
        <w:t>Theatre access fees of the Company for the 2007 post-IPO period were $5.5 million, while circuit share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was $14.4 million during the 2007 pre-IPO period and $16.2 million during quarter ended March 30, 2006. The decrease for the 2007 post-IPO period versus the NCM LLC 2007 pre-IPO period and the quarter ended March 30, 2006 was primarily the result of the amended and restated ESAs that became effective upon the completion of the IPO as discussed above. Total theatre access fees as a percentage of revenue of the Company for the 2007 post-IPO period was 17.0%, while the total circuit share expense as a percentage of revenue was 61.0% for the 2007 pre-IPO period and 59.1% during the quarter ended March 30, 2006. The decrease in the theatres access fee as a percentage of revenue for the 2007 post-IPO period was the result of the change in the structure of the theatre access fee as compared to the circuit share payments prior to the amendment and restatement of the ESAs. The theatre access fee reflects a payment of $0.07 per founding member attendee plus $800 per founding member digital screen per year, while the circuit share was 68% of advertising revenue and a share of the meetings and events revenue.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Net income generated by the Company for the 2007 post-IPO period was $1.0 million, while for the 2007 pre-IPO period there was a net</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$4.2 million and there was a net loss of $9.4 million during the quarter ended March 30, 2006. The increase in the profitability of the Company for the 2007 post-IPO period versus the periods prior to the IPO was due to the increase in revenue and decrease in payments to the founding members discussed above, offset by an increase in interest expense associated with the new credit facilities and the discounted payable to the founding members under the tax receivable agreement and further offset by income taxes and minority interest expense associated with the new corporate structure. The comparability of the net income of the periods presented is limited due to the differing lengths of the periods, size of our network and changes in the corporate structure and capitalization as discussed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which after the offering are included in the calculation of adjusted EBITDA including the Loews payments to determine our compliance with financial covenants under our new senior secured credit facility. AMC will make Loews payments to NCM LLC pursuant to the Loews screen integration agreement, which on a pro forma basis for the quarter ended March 29, 2007 was approximately $1.3 million, and is expected to be approximately $11 million to $12 million on a pro forma basis for the year.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included a discussion of EBITDA, adjusted EBITDA and adjusted EBITDA margin to provide investors with supplemental measures of our operating performance and because they are the basis for an important financial covenant that is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companies, many of which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document. See the unaudited pro forma financial information contained elsewhere in this document.</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pro forma net income (loss) to pro forma EBITDA and pro forma adjusted EBITDA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Quarter</w:t>
            </w: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5"/>
              </w:rPr>
              <w:t>Quarter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Ended</w:t>
            </w:r>
          </w:p>
        </w:tc>
        <w:tc>
          <w:tcPr>
            <w:tcW w:w="120" w:type="dxa"/>
            <w:vAlign w:val="bottom"/>
          </w:tcPr>
          <w:p>
            <w:pPr>
              <w:spacing w:after="0"/>
              <w:rPr>
                <w:sz w:val="18"/>
                <w:szCs w:val="18"/>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0"/>
              </w:rPr>
              <w:t>Ended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1"/>
              </w:rPr>
              <w:t>March 29,</w:t>
            </w: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3"/>
              </w:rPr>
              <w:t>March 30,</w:t>
            </w: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2007</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2006</w:t>
            </w:r>
          </w:p>
        </w:tc>
        <w:tc>
          <w:tcPr>
            <w:tcW w:w="70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Increase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16.2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10.6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Share-based compensation costs</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30.5%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Adjusted EBITDA margin is calculated by dividing adjusted EBITDA by total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Our primary sources of liquidity and capital resources are cash flows generated by our operating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NCM LLC, and availability of up to $80.0 million under NCM LLC’s senior secured revolving credit facility entered into in February 2007. Prior to completion of the initial public offering described above, NCM LLC’s historical sources of liquidity and capital resources have been cash flows generated from its business activities, working capital provided by NCM LLC’s founding members, availability of up to $20.0 million under a revolving credit facility and available cash and cash equivalents.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Management believes that future funds generated from our operations and available borrowing capacity of up to $80.0 million under our new revolving credit facility will be sufficient to fund quarterly distributions, our debt service requirements, working capital requirements and capital expenditure requirements, through the next 12 months. We made a draw of $10.0 million on the new credit facility at the closing of the NCM LLC reorganization and the IPO to repay amounts outstanding under NCM LLC’s then existing revolving credit facility and made a draw of $50.8 million on March 15, 2007 to repay remaining amounts owed to the founding members under the prior exhibitor services agreements that, due to timing differences, were not funded entirely by the collection by us of related receivables. The amount outstanding as of March 29, 2007 and May 2, 2007 on our revolving credit facility was $51.0 million and $26.0 million, respectively.</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short and long term cash requirements consist of minimum annual payments under our operating leases for our headquarters and regional offices and capital expenditures. Minimum annual operating lease requirements associated with our headquarters and regional offices are included in our direct operating expenses, which have historically been satisfied by cash flow from operations. For the remainder of fiscal 2007, we are committed to $1.3 million of annual operating lease payments. In addition, NCM LLC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required pursuant to terms of the operating agreement effective as of February 13, 2007 to distribute its available cash, as defined, to its members, including the Company. The available cash distribution for the 2007 post-IPO period was approximately $9.7 million, of which $4.4 million was the Company’s portion.</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have typically been related to equipment required for our network operations center and content production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post-production facilities, digital content system, or DCS, and “back-office” capitalized software upgrades developed primarily by our programmers, office leasehold improvements, desktop equipment for use by our employees, and in certain cases, the costs necessary to digitize all or a portion of a network affiliate’s theatres. Capital expenditures for the 2007 post-IPO period were $1.1 million, while capital expenditures were $0.6 million for the 2007 pre-IPO period and $1.3 million for the quarter ended March 30, 2006. The capital expenditures have typically been satisfied through a combination of cash flow from operations and from financing sources. All capital expenditures related to the digital content network within NCM LLC’s founding members’ theatres have been made by the founding members under the exhibitor services agreements. We expect they will continue to be made by the founding members in accordance with the amended and restated ESAs.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March 29, 2007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2008-2009</w:t>
            </w: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2010-2011</w:t>
            </w:r>
          </w:p>
        </w:tc>
        <w:tc>
          <w:tcPr>
            <w:tcW w:w="34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After 2011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Future interest on borrowings</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Office leases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Network affiliate agreements</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1,144.3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NCM LLC will be obligated to make periodic interest payments on the loans under the senior secured credit facility entered into in February 2007, based on an interest rate equal to an applicable margin plus either a variable base rate or a eurodollar rate. The applicable margin for the term loan facility is 0.75% with respect to base rate loans and 1.75% with respect to eurodollar loans. The applicable margin for the revolving credit facility is 0.75% with respect to base rate loans and 1.75% with respect to eurodollar loans. Commencing with the third fiscal quarter in fiscal year 2008, the applicable margin for the revolving credit facility will be determined quarterly and will be subject to downward adjustment based upon a consolidated net senior secured leverage ratio for NCM LLC and its subsidiaries (as defined in the NCM LLC credit agreement as the ratio of secured funded debt less unrestricted cash and cash equivalents, over adjusted EBITDA including the Loews payment). The terms of the new senior secured credit facility required us to hedge the cash flow variability of interest for at least 50% of the term loan. In March of 2007, NCM LLC entered into fixed interest rate swap arrangements hedging $550.0 million of the $725.0 million senior secured credit facility at a fixed interest rate of 6.734%. The amounts of future interest payments in the table above are based on the amount outstanding on the term loan, estimated rates of interest over the term of the variable rate portion and the rates in effect on our interest rate swap. In addition, we have a new variable rate revolving credit agreement that replaced our prior credit facility. Debt service requirements under this agreement will depend on the amounts borrowed and the level of the based interest rate.</w:t>
      </w:r>
    </w:p>
    <w:p>
      <w:pPr>
        <w:spacing w:after="0" w:line="1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the amended and restated ESAs entered into at the completion of our IPO require payments based on a combination of founding member attendance and the number of digital screens of each founding member. The former factor will vary from quarter to quarter and year to year as theatre attendance varies while the latter factor will be more predictable but will also vary quarter to quarter and year to year as screens are converted to digital screens and others are added or removed through acquisition, divestiture or closure activities of the founding members. The table above does not include amounts payable under the amended and restated ESAs as they are based on variable factors, which are not capable of precise estimation.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for the fiscal year ended December 28, 2006 and incorporated by reference herein. As of March 29, 2007, there were no significant changes in those critical accounting policies or estimation procedures.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5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our first quarter typically has less revenue than the other quarters of a given year. Importantly, the results of one quarter are not necessarily indicative of results for the next or any future quarter.</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primary market risk to which we are exposed is interest rate risk. On February 13, 2007, NCM LLC entered into a new $805.0 million senior secured credit facility, comprised of a $725.0 million term facility and $80.0 million revolver facility, which permits borrowings at a rate equal to an applicable margin plus, at our option, either a base rate or LIBOR. On March 2, 2007, NCM LLC entered into fixed interest rate swap arrangements hedging $550.0 million of the $725.0 million senior secured credit facility at a fixed interest rate of 6.734%. An increase or decrease in interest rates would affect interest costs relating to the variable portion of our senior secured debt facility which is not covered under the hedging agreement. At March 29, 2007, there was an aggregate of $175.0 million of variable rate debt outstanding on the term portion of our facility, and $51.0 million of variable rate debt outstanding on the revolver portion of our facility. Based on the interest rate levels in effect on the variable rate debt outstanding at March 29, 2007, a 100 basis point fluctuation in market interest rates would have increased or decreased our interest expense by approximately $2.3 million for an annual period.</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Securities and Exchange Commission under the Securities Exchange Act of 1934,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March 29, 2007, our management evaluated, with the participation of the Chief Executive Officer and Chief Financial Officer, the effectiveness of the Company’s disclosure controls and procedures pursuant to Rule 13a-15(b) of the Securities Exchange Act of 1934. Based on that evaluation, the Company’s management concluded that the Company’s disclosure controls and procedures as of March 29, 2007 were effective.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28, 2007 with the Securities and Exchange Commission for the fiscal year ended December 28,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0" w:type="dxa"/>
            <w:vAlign w:val="bottom"/>
            <w:gridSpan w:val="5"/>
          </w:tcPr>
          <w:p>
            <w:pPr>
              <w:ind w:left="200"/>
              <w:spacing w:after="0"/>
              <w:rPr>
                <w:sz w:val="20"/>
                <w:szCs w:val="20"/>
                <w:color w:val="auto"/>
              </w:rPr>
            </w:pPr>
            <w:r>
              <w:rPr>
                <w:rFonts w:ascii="Arial" w:cs="Arial" w:eastAsia="Arial" w:hAnsi="Arial"/>
                <w:sz w:val="18"/>
                <w:szCs w:val="18"/>
                <w:b w:val="1"/>
                <w:bCs w:val="1"/>
                <w:color w:val="auto"/>
              </w:rPr>
              <w:t>Exhibits</w:t>
            </w:r>
          </w:p>
        </w:tc>
        <w:tc>
          <w:tcPr>
            <w:tcW w:w="20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9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Amended and Restated Certificate of Incorporation. (1)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Amended and Restated Bylaws. (1)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2"/>
              </w:rPr>
              <w:t>National CineMedia, LLC Third Amended and Restated Limited Liability Company Operating Agreement dated as of February 13,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0"/>
              </w:rPr>
              <w:t>2007, by and among American Multi-Cinema, Inc., Cinemark Media, Inc., Regal CineMedia Holdings, LLC and National CineMedia,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Inc.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89"/>
              </w:rPr>
              <w:t>Exhibitor Services Agreement dated as of February 13, 2007, by and between National CineMedia, Inc. and American Multi-Cinema,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Inc. (Portions omitted pursuant to request for confidential treatment and filed separately with the Commission.)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2"/>
              </w:rPr>
              <w:t>Exhibitor Services Agreement dated as of February 13, 2007, by and between National CineMedia, Inc. and Cinemark USA, Inc.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(Portions omitted pursuant to request for confidential treatment and filed separately with the Commission.)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2"/>
              </w:rPr>
              <w:t>Exhibitor Services Agreement dated as of February 13, 2007, by and between National CineMedia, Inc. and Regal Cinemas, Inc.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(Portions omitted pursuant to request for confidential treatment and filed separately with the Commission.)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89"/>
              </w:rPr>
              <w:t>ESA Payment Letter dated as of February 13, 2007, by and among National CineMedia, Inc., American Multi-Cinema, Inc., Cinemark</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USA, Inc. and Regal Cinemas, Inc.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1"/>
              </w:rPr>
              <w:t>Common Unit Adjustment Agreement dated as of February 13, 2007, by and among National CineMedia, Inc., National CineMedia,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0"/>
              </w:rPr>
              <w:t>LLC, Regal CineMedia Holdings, LLC, American Multi-Cinema, Inc., Cinemark Media, Inc, Regal Cinemas, Inc. and Cinemark USA,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Inc. (Portions omitted pursuant to request for confidential treatment and filed separately with the Commission.)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89"/>
              </w:rPr>
              <w:t>Tax Receivable Agreement dated as of February 13, 2007, by and among National CineMedia, Inc., National CineMedia, LLC, Regal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3"/>
              </w:rPr>
              <w:t>CineMedia Holdings, LLC, Cinemark Media, Inc., Regal Cinemas, Inc., American Multi-Cinema, Inc. and Cinemark USA, Inc.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1"/>
              </w:rPr>
              <w:t>First Amended and Restated Loews Screen Integration Agreement by and between National CineMedia, LLC and American Multi-</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7"/>
              </w:rPr>
              <w:t>Cinema, Inc. (Portions omitted pursuant to request for confidential treatment and filed separately with the Commission.)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89"/>
              </w:rPr>
              <w:t>Second Amended and Restated Software License Agreement dated as of February 13, 2007, by and among American Multi-Cinema,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2"/>
              </w:rPr>
              <w:t>Inc. , Regal CineMedia Corporation, Cinemark USA, Inc., Digital Cinema Implementation Partners, LLC and National CineMedia,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LLC. (2)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w w:val="92"/>
              </w:rPr>
              <w:t>Director Designation Agreement dated as of February 13, 2007, by and among National CineMedia, Inc., American Multi-Cinema,</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Inc., Cinemark Media, Inc. and Regal CineMedia Holdings, LLC. (2)</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00" w:type="dxa"/>
            <w:vAlign w:val="bottom"/>
            <w:gridSpan w:val="2"/>
          </w:tcPr>
          <w:p>
            <w:pPr>
              <w:ind w:left="39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80" w:right="160" w:hanging="850"/>
        <w:spacing w:after="0" w:line="254" w:lineRule="auto"/>
        <w:tabs>
          <w:tab w:leader="none" w:pos="1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Registration Rights Agreement dated as of February 13, 2007, by and among National CineMedia, Inc., American Multi-Cinema, Inc., Regal CineMedia Holdings, LLC and Cinemark Media, Inc. (2)</w:t>
      </w:r>
    </w:p>
    <w:p>
      <w:pPr>
        <w:ind w:left="1780" w:right="380" w:hanging="850"/>
        <w:spacing w:after="0" w:line="250" w:lineRule="auto"/>
        <w:tabs>
          <w:tab w:leader="none" w:pos="1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Management Services Agreement dated as of February 13, 2007, by and among National CineMedia, Inc. and National CineMedia, LLC. (2)</w:t>
      </w:r>
    </w:p>
    <w:p>
      <w:pPr>
        <w:spacing w:after="0" w:line="1" w:lineRule="exact"/>
        <w:rPr>
          <w:sz w:val="20"/>
          <w:szCs w:val="20"/>
          <w:color w:val="auto"/>
        </w:rPr>
      </w:pPr>
    </w:p>
    <w:p>
      <w:pPr>
        <w:ind w:left="1780" w:right="60" w:hanging="850"/>
        <w:spacing w:after="0" w:line="281" w:lineRule="auto"/>
        <w:tabs>
          <w:tab w:leader="none" w:pos="1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$805,000,000 Credit Agreement dated as of February 13, 2007, by and among National CineMedia, LLC, as borrower; the Lenders (as defined therein; Lehman Brothers Inc. and J.P. Morgan Securities, Inc., as arrangers; JPMorgan Chase Bank, N.A., as syndication agent; Credit Suisse (USA) LLC and Morgan Stanley Senior Funding, Inc., as co-documentation agents; and Lehman Commercial Paper Inc., as administrative agent (including forms of Term Note, Revolving Credit Note and Swing Line Note). (2)</w:t>
      </w:r>
    </w:p>
    <w:p>
      <w:pPr>
        <w:spacing w:after="0" w:line="3" w:lineRule="exact"/>
        <w:rPr>
          <w:sz w:val="20"/>
          <w:szCs w:val="20"/>
          <w:color w:val="auto"/>
        </w:rPr>
      </w:pPr>
    </w:p>
    <w:p>
      <w:pPr>
        <w:ind w:left="1780" w:right="40" w:hanging="850"/>
        <w:spacing w:after="0" w:line="250" w:lineRule="auto"/>
        <w:tabs>
          <w:tab w:leader="none" w:pos="1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dated as of February 13, 2007, by and among National CineMedia, Inc., National CineMedia, LLC and Kurt C. Hall. (2)+</w:t>
      </w:r>
    </w:p>
    <w:p>
      <w:pPr>
        <w:spacing w:after="0" w:line="1" w:lineRule="exact"/>
        <w:rPr>
          <w:sz w:val="20"/>
          <w:szCs w:val="20"/>
          <w:color w:val="auto"/>
        </w:rPr>
      </w:pPr>
    </w:p>
    <w:p>
      <w:pPr>
        <w:ind w:left="1780" w:hanging="850"/>
        <w:spacing w:after="0" w:line="250" w:lineRule="auto"/>
        <w:tabs>
          <w:tab w:leader="none" w:pos="1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dated as of February 13, 2007, by and among National CineMedia, Inc., National CineMedia, LLC and Clifford E. Marks. (2)+</w:t>
      </w:r>
    </w:p>
    <w:p>
      <w:pPr>
        <w:spacing w:after="0" w:line="1" w:lineRule="exact"/>
        <w:rPr>
          <w:sz w:val="20"/>
          <w:szCs w:val="20"/>
          <w:color w:val="auto"/>
        </w:rPr>
      </w:pPr>
    </w:p>
    <w:p>
      <w:pPr>
        <w:ind w:left="1780" w:right="220" w:hanging="850"/>
        <w:spacing w:after="0" w:line="250" w:lineRule="auto"/>
        <w:tabs>
          <w:tab w:leader="none" w:pos="17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as of February 13, 2007, by and among National CineMedia, Inc., National CineMedia, LLC and Gary W. Ferrera. (2)+</w:t>
      </w:r>
    </w:p>
    <w:p>
      <w:pPr>
        <w:spacing w:after="0" w:line="1" w:lineRule="exact"/>
        <w:rPr>
          <w:sz w:val="20"/>
          <w:szCs w:val="20"/>
          <w:color w:val="auto"/>
        </w:rPr>
      </w:pPr>
    </w:p>
    <w:p>
      <w:pPr>
        <w:ind w:left="1780" w:hanging="850"/>
        <w:spacing w:after="0" w:line="250" w:lineRule="auto"/>
        <w:tabs>
          <w:tab w:leader="none" w:pos="17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dated as of February 13, 2007, by and among National CineMedia, Inc., National CineMedia, LLC and Thomas C. Galley. (2)+</w:t>
      </w:r>
    </w:p>
    <w:p>
      <w:pPr>
        <w:spacing w:after="0" w:line="1" w:lineRule="exact"/>
        <w:rPr>
          <w:sz w:val="20"/>
          <w:szCs w:val="20"/>
          <w:color w:val="auto"/>
        </w:rPr>
      </w:pPr>
    </w:p>
    <w:p>
      <w:pPr>
        <w:ind w:left="1780" w:right="140" w:hanging="850"/>
        <w:spacing w:after="0" w:line="250" w:lineRule="auto"/>
        <w:tabs>
          <w:tab w:leader="none" w:pos="17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dated as of February 13, 2007, by and among National CineMedia, Inc., National CineMedia, LLC and Ralph E. Hardy. (2)+</w:t>
      </w:r>
    </w:p>
    <w:p>
      <w:pPr>
        <w:spacing w:after="0" w:line="1"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National CineMedia, Inc. 2007 Equity Incentive Plan. (1)+</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Option Substitution Award. (1)+</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Restricted Stock Substitution Award. (1)+</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Stock Option Agreement. (1)+</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Form of Restricted Stock Agreement. (1)+</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w:t>
      </w:r>
    </w:p>
    <w:p>
      <w:pPr>
        <w:spacing w:after="0" w:line="9"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Registrant’s Registration Statement on Form S-8 (File No. 333-140652) filed on February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filed on February 16,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7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NATIONAL CINEMEDIA, INC.</w:t>
            </w:r>
          </w:p>
        </w:tc>
      </w:tr>
      <w:tr>
        <w:trPr>
          <w:trHeight w:val="58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May 14, 2007</w:t>
            </w:r>
          </w:p>
        </w:tc>
        <w:tc>
          <w:tcPr>
            <w:tcW w:w="47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180" w:type="dxa"/>
            <w:vAlign w:val="bottom"/>
          </w:tcPr>
          <w:p>
            <w:pPr>
              <w:ind w:left="80"/>
              <w:spacing w:after="0"/>
              <w:rPr>
                <w:sz w:val="20"/>
                <w:szCs w:val="20"/>
                <w:color w:val="auto"/>
              </w:rPr>
            </w:pPr>
            <w:r>
              <w:rPr>
                <w:rFonts w:ascii="Arial" w:cs="Arial" w:eastAsia="Arial" w:hAnsi="Arial"/>
                <w:sz w:val="18"/>
                <w:szCs w:val="18"/>
                <w:color w:val="auto"/>
              </w:rPr>
              <w:t>Kurt C. Hall</w:t>
            </w:r>
          </w:p>
        </w:tc>
      </w:tr>
      <w:tr>
        <w:trPr>
          <w:trHeight w:val="202"/>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44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Kurt C. Hall</w:t>
            </w: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595"/>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May 14, 2007</w:t>
            </w:r>
          </w:p>
        </w:tc>
        <w:tc>
          <w:tcPr>
            <w:tcW w:w="47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180" w:type="dxa"/>
            <w:vAlign w:val="bottom"/>
          </w:tcPr>
          <w:p>
            <w:pPr>
              <w:ind w:left="80"/>
              <w:spacing w:after="0"/>
              <w:rPr>
                <w:sz w:val="20"/>
                <w:szCs w:val="20"/>
                <w:color w:val="auto"/>
              </w:rPr>
            </w:pPr>
            <w:r>
              <w:rPr>
                <w:rFonts w:ascii="Arial" w:cs="Arial" w:eastAsia="Arial" w:hAnsi="Arial"/>
                <w:sz w:val="18"/>
                <w:szCs w:val="18"/>
                <w:color w:val="auto"/>
              </w:rPr>
              <w:t>Gary W. Ferrera</w:t>
            </w:r>
          </w:p>
        </w:tc>
      </w:tr>
      <w:tr>
        <w:trPr>
          <w:trHeight w:val="202"/>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44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Gary W. Ferrera</w:t>
            </w: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(Principal Accounting and Financial Officer)</w:t>
            </w:r>
          </w:p>
        </w:tc>
      </w:tr>
      <w:tr>
        <w:trPr>
          <w:trHeight w:val="37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80" w:type="dxa"/>
            <w:vAlign w:val="bottom"/>
          </w:tcPr>
          <w:p>
            <w:pPr>
              <w:jc w:val="right"/>
              <w:ind w:right="109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14, 2007</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14, 2007</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29, 2007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14, 2007</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29, 2007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14, 2007</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4"/>
    </w:lvl>
  </w:abstractNum>
  <w:abstractNum w:abstractNumId="2">
    <w:nsid w:val="1F16E9E8"/>
    <w:multiLevelType w:val="hybridMultilevel"/>
    <w:lvl w:ilvl="0">
      <w:lvlJc w:val="left"/>
      <w:lvlText w:val="%1."/>
      <w:numFmt w:val="decimal"/>
      <w:start w:val="5"/>
    </w:lvl>
  </w:abstractNum>
  <w:abstractNum w:abstractNumId="3">
    <w:nsid w:val="1190CDE7"/>
    <w:multiLevelType w:val="hybridMultilevel"/>
    <w:lvl w:ilvl="0">
      <w:lvlJc w:val="left"/>
      <w:lvlText w:val="%1."/>
      <w:numFmt w:val="decimal"/>
      <w:start w:val="7"/>
    </w:lvl>
  </w:abstractNum>
  <w:abstractNum w:abstractNumId="4">
    <w:nsid w:val="66EF438D"/>
    <w:multiLevelType w:val="hybridMultilevel"/>
    <w:lvl w:ilvl="0">
      <w:lvlJc w:val="left"/>
      <w:lvlText w:val="%1."/>
      <w:numFmt w:val="decimal"/>
      <w:start w:val="8"/>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2019-12-15T14:41:46Z</dcterms:created>
  <dcterms:modified xsi:type="dcterms:W3CDTF">2019-12-15T14:41:46Z</dcterms:modified>
</cp:coreProperties>
</file>