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141605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178435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July 2, 2015</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163195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283210</wp:posOffset>
            </wp:positionV>
            <wp:extent cx="17322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150495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172085</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00" w:type="dxa"/>
            <w:vAlign w:val="bottom"/>
          </w:tcPr>
          <w:p>
            <w:pPr>
              <w:ind w:left="500"/>
              <w:spacing w:after="0"/>
              <w:rPr>
                <w:sz w:val="20"/>
                <w:szCs w:val="20"/>
                <w:color w:val="auto"/>
              </w:rPr>
            </w:pPr>
            <w:r>
              <w:rPr>
                <w:rFonts w:ascii="Arial" w:cs="Arial" w:eastAsia="Arial" w:hAnsi="Arial"/>
                <w:sz w:val="18"/>
                <w:szCs w:val="18"/>
                <w:color w:val="auto"/>
              </w:rPr>
              <w:t>o</w:t>
            </w:r>
          </w:p>
        </w:tc>
        <w:tc>
          <w:tcPr>
            <w:tcW w:w="25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360"/>
              <w:spacing w:after="0"/>
              <w:rPr>
                <w:sz w:val="20"/>
                <w:szCs w:val="20"/>
                <w:color w:val="auto"/>
              </w:rPr>
            </w:pPr>
            <w:r>
              <w:rPr>
                <w:rFonts w:ascii="Arial" w:cs="Arial" w:eastAsia="Arial" w:hAnsi="Arial"/>
                <w:sz w:val="18"/>
                <w:szCs w:val="18"/>
                <w:color w:val="auto"/>
              </w:rPr>
              <w:t>o</w:t>
            </w:r>
          </w:p>
        </w:tc>
      </w:t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62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360"/>
              <w:spacing w:after="0"/>
              <w:rPr>
                <w:sz w:val="20"/>
                <w:szCs w:val="20"/>
                <w:color w:val="auto"/>
              </w:rPr>
            </w:pPr>
            <w:r>
              <w:rPr>
                <w:rFonts w:ascii="Arial" w:cs="Arial" w:eastAsia="Arial" w:hAnsi="Arial"/>
                <w:sz w:val="18"/>
                <w:szCs w:val="18"/>
                <w:color w:val="auto"/>
              </w:rPr>
              <w:t>o</w:t>
            </w:r>
          </w:p>
        </w:tc>
      </w:tr>
      <w:tr>
        <w:trPr>
          <w:trHeight w:val="392"/>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r>
      <w:tr>
        <w:trPr>
          <w:trHeight w:val="527"/>
        </w:trPr>
        <w:tc>
          <w:tcPr>
            <w:tcW w:w="2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10, 2015, the registrant had 130,716,532 common membership units outstanding. The common membership units are not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891540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517"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20" w:type="dxa"/>
            <w:vAlign w:val="bottom"/>
            <w:gridSpan w:val="11"/>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080" w:type="dxa"/>
            <w:vAlign w:val="bottom"/>
            <w:gridSpan w:val="3"/>
            <w:vMerge w:val="restart"/>
          </w:tcPr>
          <w:p>
            <w:pPr>
              <w:spacing w:after="0"/>
              <w:rPr>
                <w:sz w:val="24"/>
                <w:szCs w:val="24"/>
                <w:color w:val="auto"/>
              </w:rPr>
            </w:pPr>
          </w:p>
        </w:tc>
        <w:tc>
          <w:tcPr>
            <w:tcW w:w="2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6660" w:type="dxa"/>
            <w:vAlign w:val="bottom"/>
            <w:gridSpan w:val="15"/>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Balance Sheets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Income</w:t>
              </w:r>
            </w:hyperlink>
          </w:p>
        </w:tc>
        <w:tc>
          <w:tcPr>
            <w:tcW w:w="4520" w:type="dxa"/>
            <w:vAlign w:val="bottom"/>
            <w:gridSpan w:val="11"/>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Comprehensive Income</w:t>
              </w:r>
            </w:hyperlink>
          </w:p>
        </w:tc>
        <w:tc>
          <w:tcPr>
            <w:tcW w:w="3340" w:type="dxa"/>
            <w:vAlign w:val="bottom"/>
            <w:gridSpan w:val="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Statements of Cash Flows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8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8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7"/>
          </w:tcPr>
          <w:p>
            <w:pPr>
              <w:jc w:val="center"/>
              <w:ind w:right="29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8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3060" w:type="dxa"/>
            <w:vAlign w:val="bottom"/>
            <w:gridSpan w:val="2"/>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40" w:type="dxa"/>
            <w:vAlign w:val="bottom"/>
            <w:gridSpan w:val="16"/>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3820" w:type="dxa"/>
            <w:vAlign w:val="bottom"/>
            <w:gridSpan w:val="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5840" w:type="dxa"/>
            <w:vAlign w:val="bottom"/>
            <w:gridSpan w:val="13"/>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6400" w:type="dxa"/>
            <w:vAlign w:val="bottom"/>
            <w:gridSpan w:val="1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60" w:type="dxa"/>
            <w:vAlign w:val="bottom"/>
            <w:gridSpan w:val="1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July 2, 2015</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January 1, 2015</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Receivables, net of allowance of $4.8 and $4.3, respectively</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Amounts due from managing member</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Property and equipment, net of accumulated depreciation of $75.9 and $72.9,</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 of accumulated amortization of $80.3 and $69.3, respectively</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Debt issuance costs, net of accumulated amortization of $19.1 and $17.8,</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assets</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Amounts due to founding members</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managing member</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 expenses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Long-term debt</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liabilities</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8"/>
                <w:szCs w:val="18"/>
                <w:color w:val="auto"/>
              </w:rPr>
              <w:t>MEMBERS’ EQUITY/DEFICIT (including accumulated other comprehensive loss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of $0.0 and $1.6, respectively)</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(321.9)</w:t>
            </w: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EQUITY/DEFICIT</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6"/>
              </w:rPr>
              <w:t>July 2, 2015</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June 26, 2014</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6"/>
              </w:rPr>
              <w:t>July 2, 2015</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4"/>
              </w:rPr>
              <w:t>June 26, 2014</w:t>
            </w:r>
          </w:p>
        </w:tc>
        <w:tc>
          <w:tcPr>
            <w:tcW w:w="120" w:type="dxa"/>
            <w:vAlign w:val="bottom"/>
          </w:tcPr>
          <w:p>
            <w:pPr>
              <w:spacing w:after="0"/>
              <w:rPr>
                <w:sz w:val="13"/>
                <w:szCs w:val="13"/>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8"/>
                <w:szCs w:val="18"/>
                <w:color w:val="auto"/>
              </w:rPr>
              <w:t>Advertising (including revenue from founding members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of $9.0, $9.8, $16.7 and $19.3, respectively)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0"/>
                <w:szCs w:val="20"/>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Advertising operating costs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Network costs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Theatre access fees—founding members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 costs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and other costs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Administrative fee—managing member</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FF0FC"/>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NON-OPERATING EXPENSES: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borrowings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non-operating expense</w:t>
            </w: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July 2, 2015</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4"/>
              </w:rPr>
              <w:t>June 26, 2014</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July 2, 2015</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4"/>
              </w:rPr>
              <w:t>June 26, 2014</w:t>
            </w:r>
          </w:p>
        </w:tc>
        <w:tc>
          <w:tcPr>
            <w:tcW w:w="120" w:type="dxa"/>
            <w:vAlign w:val="bottom"/>
          </w:tcPr>
          <w:p>
            <w:pPr>
              <w:spacing w:after="0"/>
              <w:rPr>
                <w:sz w:val="13"/>
                <w:szCs w:val="13"/>
                <w:color w:val="auto"/>
              </w:rPr>
            </w:pPr>
          </w:p>
        </w:tc>
      </w:tr>
      <w:tr>
        <w:trPr>
          <w:trHeight w:val="195"/>
        </w:trPr>
        <w:tc>
          <w:tcPr>
            <w:tcW w:w="50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INCOME, NET OF TAX OF $0.1, $0.3, $0.1 AND</w:t>
            </w:r>
          </w:p>
        </w:tc>
        <w:tc>
          <w:tcPr>
            <w:tcW w:w="9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$0.5, RESPECTIVELY</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4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July 2, 2015</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26, 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96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Amortization of terminated derivatives</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Receivables, net</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Accounts payable and accrued expenses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Amounts due to founding members and managing member</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000"/>
              <w:spacing w:after="0"/>
              <w:rPr>
                <w:sz w:val="20"/>
                <w:szCs w:val="20"/>
                <w:color w:val="auto"/>
              </w:rPr>
            </w:pPr>
            <w:r>
              <w:rPr>
                <w:rFonts w:ascii="Arial" w:cs="Arial" w:eastAsia="Arial" w:hAnsi="Arial"/>
                <w:sz w:val="18"/>
                <w:szCs w:val="18"/>
                <w:color w:val="auto"/>
              </w:rPr>
              <w:t>Other, net</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ind w:left="124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borrowings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Repayments of borrowings</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(70.0)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of debt issuance costs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Founding member integration payments</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(60.6)</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12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(15.4)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Beginning of period</w:t>
            </w:r>
          </w:p>
        </w:tc>
        <w:tc>
          <w:tcPr>
            <w:tcW w:w="12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End of period</w:t>
            </w:r>
          </w:p>
        </w:tc>
        <w:tc>
          <w:tcPr>
            <w:tcW w:w="12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5"/>
          </w:tcPr>
          <w:p>
            <w:pPr>
              <w:ind w:left="8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6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July 2, 2015</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June 26, 2014</w:t>
            </w:r>
          </w:p>
        </w:tc>
        <w:tc>
          <w:tcPr>
            <w:tcW w:w="120" w:type="dxa"/>
            <w:vAlign w:val="bottom"/>
          </w:tcPr>
          <w:p>
            <w:pPr>
              <w:spacing w:after="0"/>
              <w:rPr>
                <w:sz w:val="13"/>
                <w:szCs w:val="13"/>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4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and certain third-party theatre circuits (known as “network affiliates”) under long-term network affiliate agreements, which have terms from three to twenty years.</w:t>
      </w:r>
    </w:p>
    <w:p>
      <w:pPr>
        <w:spacing w:after="0" w:line="100"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As of July 2, 2015, NCM LLC had 130,716,532 common membership units outstanding, of which 59,012,038 (45.2%) were owned by NCM, Inc., 26,409,784 (20.2%) were owned by Regal, 25,631,046 (19.6%) were owned by Cinemark and 19,663,664 (15.0%) were owned by AMC. The membership units held by the founding members are exchangeable into NCM, Inc. common stock on a one-for-one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7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This payment was $2 million lower than the reverse termination fee contemplated by the Merger Agreement. During the six months ended July 2, 2015, the Company also either paid directly or reimbursed NCM, Inc. for the legal and other merger-related costs of approximately $15.0 million ($7.5 million incurred during the year ended January 1, 2015 and approximately $7.5 million incurred during the six months ended July 2, 2015). NCM, Inc. and the founding members each bore a pro rata portion of the merger termination fee and the related merger expenses based on their aggregate ownership percentages in NCM LLC.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January 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January 1, 2015.</w:t>
      </w:r>
    </w:p>
    <w:p>
      <w:pPr>
        <w:spacing w:after="0" w:line="97"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advertising.</w:t>
      </w:r>
    </w:p>
    <w:p>
      <w:pPr>
        <w:spacing w:after="0" w:line="9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January 1, 2015 contain a complete discussion of the Company’s significant accounting policies. Following is additional information related to the Company’s accounting policies.</w:t>
      </w:r>
    </w:p>
    <w:p>
      <w:pPr>
        <w:spacing w:after="0" w:line="170" w:lineRule="exact"/>
        <w:rPr>
          <w:sz w:val="20"/>
          <w:szCs w:val="20"/>
          <w:color w:val="auto"/>
        </w:rPr>
      </w:pPr>
    </w:p>
    <w:p>
      <w:pPr>
        <w:ind w:right="160" w:firstLine="555"/>
        <w:spacing w:after="0" w:line="270"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—Bad debts are provided for using the allowance for doubtful accounts method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the fact that the majority of accounts receivable are with large, national advertising agencies that have strong reputations in the advertising industry and clients with stable financial positions. The Company has smaller contracts with thousands of local clients that are not individually significant. As of July 2, 2015 and January 1, 2015, there were no advertising agency groups or individual customers through which the Company sources national advertising revenue representing more than 10% of the Company’s outstanding gross receivable balance. During the three and six months ended July 2, 2015 and the three months ended June 26, 2014, there were no customers that accounted for more than 10% of revenue. During the six months ended June 26, 2014, revenue related to advertisements of NCM LLC’s founding members’ beverage supplier accounted for 11.3% of total revenue.</w:t>
      </w:r>
    </w:p>
    <w:p>
      <w:pPr>
        <w:spacing w:after="0" w:line="178"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NCM, Inc. Equity Incentive Plan. NCM, Inc. has issued stock options, restricted stock and restricted stock units under the NCM, Inc. Equity Incentive Plan. In 2015 and 2014, NCM, Inc. did not grant stock options. In 2015 and 2014,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July 2, 2015 and June 26, 2014 and the six months ended July 2, 2015 and June 26, 2014, NCM, Inc. acquired 67,993, 25,843, 261,112 and 223,052 units, respectively, due to the vesting of restricted stock and restricted stock units and exercise of stock options and contributed $0.7 million, $0.3 million, $1.1 million and $0.8 million to NCM LLC for the three months ended July 2, 2015 and June 26, 2014 and the six months ended July 2, 2015 and June 26, 2014, respectively.</w:t>
      </w:r>
    </w:p>
    <w:p>
      <w:pPr>
        <w:spacing w:after="0" w:line="183"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NCM, Inc.’s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605,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guidance will be effective for annual periods beginning after December 15, 2017 and early adoption is permitted no earlier than fiscal years beginning after December 15, 2016.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87" w:lineRule="exact"/>
        <w:rPr>
          <w:sz w:val="20"/>
          <w:szCs w:val="20"/>
          <w:color w:val="auto"/>
        </w:rPr>
      </w:pPr>
    </w:p>
    <w:p>
      <w:pPr>
        <w:ind w:right="80" w:firstLine="555"/>
        <w:spacing w:after="0" w:line="270" w:lineRule="auto"/>
        <w:rPr>
          <w:sz w:val="20"/>
          <w:szCs w:val="20"/>
          <w:color w:val="auto"/>
        </w:rPr>
      </w:pPr>
      <w:r>
        <w:rPr>
          <w:rFonts w:ascii="Arial" w:cs="Arial" w:eastAsia="Arial" w:hAnsi="Arial"/>
          <w:sz w:val="17"/>
          <w:szCs w:val="17"/>
          <w:color w:val="auto"/>
        </w:rPr>
        <w:t xml:space="preserve">In January 2015, the FASB issued Accounting Standards Update 2015-01, </w:t>
      </w:r>
      <w:r>
        <w:rPr>
          <w:rFonts w:ascii="Arial" w:cs="Arial" w:eastAsia="Arial" w:hAnsi="Arial"/>
          <w:sz w:val="17"/>
          <w:szCs w:val="17"/>
          <w:i w:val="1"/>
          <w:iCs w:val="1"/>
          <w:color w:val="auto"/>
        </w:rPr>
        <w:t>Income Statement Extraordinary and Unusual Items (Subtopic 225-20):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Income Statement Presentation by Eliminating the Concept of Extraordinary Items </w:t>
      </w:r>
      <w:r>
        <w:rPr>
          <w:rFonts w:ascii="Arial" w:cs="Arial" w:eastAsia="Arial" w:hAnsi="Arial"/>
          <w:sz w:val="17"/>
          <w:szCs w:val="17"/>
          <w:color w:val="auto"/>
        </w:rPr>
        <w:t>(“ASU 2015-01”), which eliminates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This guidance is effective for fiscal years, and interim periods within those fiscal years, beginning after December 15, 2015. Early adoption is permitted provided that the guidance is applied from the beginning of the fiscal year of adoption. A reporting entity may apply ASU 2015-01 prospectively. A reporting entity may also apply ASU 2015-01 retrospectively to all periods presented in the financial statements. The Company expects to adopt this accounting guidance in its first quarter of 2016 and does not expect the application of ASU 2015-01 to have a material impact in the unaudited Condensed Financial Statements or notes thereto.</w:t>
      </w:r>
    </w:p>
    <w:p>
      <w:pPr>
        <w:spacing w:after="0" w:line="182"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 xml:space="preserve">In February 2015, the FASB issued Accounting Standards Update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xml:space="preserve"> (“ASU 2015-02”).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ASU 2015-02 is effective for interim and annual reporting periods beginning after December 15, 2015, with early adoption permitted. The Company does not expect the application of ASU 2015-02 to have a material impact in the unaudited Condensed Financial Statements or notes thereto.</w:t>
      </w:r>
    </w:p>
    <w:p>
      <w:pPr>
        <w:spacing w:after="0" w:line="178"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 xml:space="preserve">In April 2015, the FASB issued Accounting Standards Update 2015-03, </w:t>
      </w:r>
      <w:r>
        <w:rPr>
          <w:rFonts w:ascii="Arial" w:cs="Arial" w:eastAsia="Arial" w:hAnsi="Arial"/>
          <w:sz w:val="18"/>
          <w:szCs w:val="18"/>
          <w:i w:val="1"/>
          <w:iCs w:val="1"/>
          <w:color w:val="auto"/>
        </w:rPr>
        <w:t>Interest - Imputation of Interest (Subtopic 835-30):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(“ASU 2015-03”), which provides guidance for simplifying the presentation of debt issuance costs. ASU 2015-03</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debt issuance costs be presented in the balance sheet as a direct deduction from the carrying amount of debt liability, consistent with debt discounts or premiums. This guidance will be effective for fiscal years beginning after December 15, 2015, and early adoption is permitted for financial statements that have not been previously issued. The standard requires application on a retrospective basis and represents a change in accounting principle. The Company expects to adopt this accounting guidance in its first quarter of 2016 and will present debt issuance costs as a reduction of debt, rather than an asset.</w:t>
      </w:r>
    </w:p>
    <w:p>
      <w:pPr>
        <w:spacing w:after="0" w:line="189"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April 2015, the FASB issued Accounting Standards Update 2015-05, “</w:t>
      </w:r>
      <w:r>
        <w:rPr>
          <w:rFonts w:ascii="Arial" w:cs="Arial" w:eastAsia="Arial" w:hAnsi="Arial"/>
          <w:sz w:val="17"/>
          <w:szCs w:val="17"/>
          <w:i w:val="1"/>
          <w:iCs w:val="1"/>
          <w:color w:val="auto"/>
        </w:rPr>
        <w:t>Intangibles-Goodwill and Other – 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Fees Paid in a Cloud Computing Arrangement” </w:t>
      </w:r>
      <w:r>
        <w:rPr>
          <w:rFonts w:ascii="Arial" w:cs="Arial" w:eastAsia="Arial" w:hAnsi="Arial"/>
          <w:sz w:val="17"/>
          <w:szCs w:val="17"/>
          <w:color w:val="auto"/>
        </w:rPr>
        <w:t>(“ASU 2015-05”), which provides guidance on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This guidance is effective for fiscal years beginning after December 15, 2015, including interim periods within that reporting period, with early adoption permitted. The Company does not expect the application of ASU 2015-05 to have a material impact in the unaudited Condensed Financial Statements or notes thereto.</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2015 and 2014, the Company issued 2,160,915 and 1,087,911 common membership units to our founding members, respectively, for the rights to exclusive access to the theatre screens and attendees added, net of dispositions by the founding members to NCM LLC’s network during the previous year. The Company recorded a net intangible asset of $31.4 million and $16.4 million during the three months ended April 2, 2015 and March 27, 2014, respectively, as a result of the Common Unit Adjustments.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July 2, 2015 and June 26, 2014 and the six months ended July 2, 2015 and June 26, 2014, the Company recorded a reduction to net intangible assets of $0.8 million, $0.6 million, $1.1 million and $0.8 million, respectively, related to integration payments due from AMC and Cinemark related to their acquisitions of theatres from Rave Cinemas that are encumbered by an existing on-screen advertising agreement with an alternative provider. During the three months ended July 2, 2015 and June 26, 2014 and the six months ended July 2, 2015 and June 26, 2014, AMC and Cinemark paid a total of $0.3 million, $0.2 million, $1.1 million and $0.9 million, respectively, in integration payments.</w:t>
      </w:r>
    </w:p>
    <w:p>
      <w:pPr>
        <w:spacing w:after="0" w:line="173"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00" w:right="60" w:hanging="537"/>
        <w:spacing w:after="0" w:line="255" w:lineRule="auto"/>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ESAs</w:t>
      </w:r>
      <w:r>
        <w:rPr>
          <w:rFonts w:ascii="Arial" w:cs="Arial" w:eastAsia="Arial" w:hAnsi="Arial"/>
          <w:sz w:val="18"/>
          <w:szCs w:val="18"/>
          <w:color w:val="auto"/>
        </w:rPr>
        <w:t>. Under the ESAs, NCM LLC is the exclusive provider within the United States of advertising services in the founding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theatres (subject to pre-existing contractual obligations and other limited exceptions for the benefit of the founding members). The advertising services include the on-screen advertising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use of the lobby entertainment network (“LEN”) and lobby promotions. Further, some advertising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sold to the founding members to be used to satisfy the founding members’ on-screen advertising commitments under their beverage concessionaire agreements. In consideration for access to the founding members’ theatre attendees for on-screen advertising and use of the founding members’ theatres for the LEN and lobby promotions, the founding members receive a monthly theatre access fee.</w:t>
      </w:r>
    </w:p>
    <w:p>
      <w:pPr>
        <w:spacing w:after="0" w:line="81" w:lineRule="exact"/>
        <w:rPr>
          <w:rFonts w:ascii="Arial" w:cs="Arial" w:eastAsia="Arial" w:hAnsi="Arial"/>
          <w:sz w:val="18"/>
          <w:szCs w:val="18"/>
          <w:color w:val="auto"/>
        </w:rPr>
      </w:pPr>
    </w:p>
    <w:p>
      <w:pPr>
        <w:ind w:left="1100" w:right="60" w:hanging="537"/>
        <w:spacing w:after="0" w:line="313" w:lineRule="auto"/>
        <w:tabs>
          <w:tab w:leader="none" w:pos="11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Common Unit Adjustment Agreement. </w:t>
      </w:r>
      <w:r>
        <w:rPr>
          <w:rFonts w:ascii="Arial" w:cs="Arial" w:eastAsia="Arial" w:hAnsi="Arial"/>
          <w:sz w:val="17"/>
          <w:szCs w:val="17"/>
          <w:color w:val="auto"/>
        </w:rPr>
        <w:t>The common unit adjustment agreement provides a mechanism for adjusting membership units held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founding members based on increases or decreases in the number of screens operated by each founding member.</w:t>
      </w:r>
    </w:p>
    <w:p>
      <w:pPr>
        <w:spacing w:after="0" w:line="30" w:lineRule="exact"/>
        <w:rPr>
          <w:rFonts w:ascii="Arial" w:cs="Arial" w:eastAsia="Arial" w:hAnsi="Arial"/>
          <w:sz w:val="17"/>
          <w:szCs w:val="17"/>
          <w:color w:val="auto"/>
        </w:rPr>
      </w:pPr>
    </w:p>
    <w:p>
      <w:pPr>
        <w:ind w:left="1100" w:right="80" w:hanging="537"/>
        <w:spacing w:after="0" w:line="303" w:lineRule="auto"/>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digital content network (“DCN”) to screens in the U.S. NCM LLC has made improvements to this software since NCM, Inc.’s IPO date and the Company owns those improvements, except for improvements that were developed jointly by NCM LLC and the founding members, if 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r>
      <w:tr>
        <w:trPr>
          <w:trHeight w:val="237"/>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July 2, 2015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June 26, 2014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July 2, 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26, 2014</w:t>
            </w:r>
          </w:p>
        </w:tc>
      </w:tr>
      <w:tr>
        <w:trPr>
          <w:trHeight w:val="183"/>
        </w:trPr>
        <w:tc>
          <w:tcPr>
            <w:tcW w:w="240" w:type="dxa"/>
            <w:vAlign w:val="bottom"/>
            <w:tcBorders>
              <w:top w:val="single" w:sz="8" w:color="CFF0FC"/>
            </w:tcBorders>
            <w:shd w:val="clear" w:color="auto" w:fill="CFF0FC"/>
          </w:tcPr>
          <w:p>
            <w:pPr>
              <w:spacing w:after="0"/>
              <w:rPr>
                <w:sz w:val="15"/>
                <w:szCs w:val="15"/>
                <w:color w:val="auto"/>
              </w:rPr>
            </w:pPr>
          </w:p>
        </w:tc>
        <w:tc>
          <w:tcPr>
            <w:tcW w:w="442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7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Beverage concessionaire revenue (included 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r>
      <w:tr>
        <w:trPr>
          <w:trHeight w:val="215"/>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Advertising inventory revenue (included in</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r>
      <w:tr>
        <w:trPr>
          <w:trHeight w:val="189"/>
        </w:trPr>
        <w:tc>
          <w:tcPr>
            <w:tcW w:w="466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9"/>
                <w:szCs w:val="19"/>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Purchase of movie tickets and concession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products and rental of theatre space (included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r>
      <w:tr>
        <w:trPr>
          <w:trHeight w:val="215"/>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Purchase of movie tickets and concession</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40" w:type="dxa"/>
            <w:vAlign w:val="bottom"/>
            <w:shd w:val="clear" w:color="auto" w:fill="CFF0FC"/>
          </w:tcPr>
          <w:p>
            <w:pPr>
              <w:spacing w:after="0"/>
              <w:rPr>
                <w:sz w:val="18"/>
                <w:szCs w:val="18"/>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products and rental of theatre space (included</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40" w:type="dxa"/>
            <w:vAlign w:val="bottom"/>
            <w:shd w:val="clear" w:color="auto" w:fill="CFF0FC"/>
          </w:tcPr>
          <w:p>
            <w:pPr>
              <w:spacing w:after="0"/>
              <w:rPr>
                <w:sz w:val="20"/>
                <w:szCs w:val="20"/>
                <w:color w:val="auto"/>
              </w:rPr>
            </w:pPr>
          </w:p>
        </w:tc>
        <w:tc>
          <w:tcPr>
            <w:tcW w:w="44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in other administrative and other costs)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19"/>
                <w:szCs w:val="19"/>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r>
      <w:tr>
        <w:trPr>
          <w:trHeight w:val="189"/>
        </w:trPr>
        <w:tc>
          <w:tcPr>
            <w:tcW w:w="240" w:type="dxa"/>
            <w:vAlign w:val="bottom"/>
            <w:shd w:val="clear" w:color="auto" w:fill="CFF0FC"/>
          </w:tcPr>
          <w:p>
            <w:pPr>
              <w:spacing w:after="0"/>
              <w:rPr>
                <w:sz w:val="16"/>
                <w:szCs w:val="16"/>
                <w:color w:val="auto"/>
              </w:rPr>
            </w:pPr>
          </w:p>
        </w:tc>
        <w:tc>
          <w:tcPr>
            <w:tcW w:w="442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Interest income from notes receivable (included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4420" w:type="dxa"/>
            <w:vAlign w:val="bottom"/>
            <w:gridSpan w:val="4"/>
          </w:tcPr>
          <w:p>
            <w:pPr>
              <w:ind w:left="38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r>
    </w:tbl>
    <w:p>
      <w:pPr>
        <w:spacing w:after="0" w:line="148" w:lineRule="exact"/>
        <w:rPr>
          <w:sz w:val="20"/>
          <w:szCs w:val="20"/>
          <w:color w:val="auto"/>
        </w:rPr>
      </w:pPr>
    </w:p>
    <w:p>
      <w:pPr>
        <w:ind w:left="580" w:right="20" w:hanging="572"/>
        <w:spacing w:after="0" w:line="256" w:lineRule="auto"/>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For the three and six months ended July 2, 2015 and June 26, 2014,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580" w:hanging="572"/>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80" w:right="80" w:hanging="572"/>
        <w:spacing w:after="0" w:line="250" w:lineRule="auto"/>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ind w:left="580" w:hanging="572"/>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80" w:right="80" w:hanging="572"/>
        <w:spacing w:after="0" w:line="250" w:lineRule="auto"/>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580" w:right="140" w:hanging="572"/>
        <w:spacing w:after="0" w:line="253" w:lineRule="auto"/>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-2346960</wp:posOffset>
            </wp:positionV>
            <wp:extent cx="1294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Included in the Condensed Balance Sheets:</w:t>
            </w: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b w:val="1"/>
                <w:bCs w:val="1"/>
                <w:color w:val="auto"/>
              </w:rPr>
              <w:t>July 2, 2015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1, 2015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2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(included in Prepaid expenses) </w:t>
            </w:r>
            <w:r>
              <w:rPr>
                <w:rFonts w:ascii="Arial" w:cs="Arial" w:eastAsia="Arial" w:hAnsi="Arial"/>
                <w:sz w:val="18"/>
                <w:szCs w:val="18"/>
                <w:i w:val="1"/>
                <w:iCs w:val="1"/>
                <w:color w:val="auto"/>
              </w:rPr>
              <w:t>(1)</w:t>
            </w:r>
          </w:p>
        </w:tc>
        <w:tc>
          <w:tcPr>
            <w:tcW w:w="2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w w:val="99"/>
              </w:rPr>
              <w:t xml:space="preserve">Current portion of notes receivable - founding members </w:t>
            </w:r>
            <w:r>
              <w:rPr>
                <w:rFonts w:ascii="Arial" w:cs="Arial" w:eastAsia="Arial" w:hAnsi="Arial"/>
                <w:sz w:val="18"/>
                <w:szCs w:val="18"/>
                <w:i w:val="1"/>
                <w:iCs w:val="1"/>
                <w:color w:val="auto"/>
                <w:w w:val="99"/>
              </w:rPr>
              <w:t>(2)</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 xml:space="preserve">Long-term portion of notes receivable - founding members </w:t>
            </w:r>
            <w:r>
              <w:rPr>
                <w:rFonts w:ascii="Arial" w:cs="Arial" w:eastAsia="Arial" w:hAnsi="Arial"/>
                <w:sz w:val="18"/>
                <w:szCs w:val="18"/>
                <w:i w:val="1"/>
                <w:iCs w:val="1"/>
                <w:color w:val="auto"/>
                <w:w w:val="94"/>
              </w:rPr>
              <w:t>(2)</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(2)</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(3)</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w w:val="98"/>
              </w:rPr>
              <w:t>Common unit adjustments and integration payments, net of</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(4)</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60" w:type="dxa"/>
            <w:vAlign w:val="bottom"/>
          </w:tcPr>
          <w:p>
            <w:pPr>
              <w:jc w:val="right"/>
              <w:ind w:right="185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rFonts w:ascii="Arial" w:cs="Arial" w:eastAsia="Arial" w:hAnsi="Arial"/>
          <w:sz w:val="18"/>
          <w:szCs w:val="18"/>
          <w:i w:val="1"/>
          <w:iCs w:val="1"/>
          <w:color w:val="auto"/>
        </w:rPr>
      </w:pPr>
    </w:p>
    <w:p>
      <w:pPr>
        <w:ind w:left="580" w:hanging="572"/>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580" w:right="320" w:hanging="572"/>
        <w:spacing w:after="0" w:line="281" w:lineRule="auto"/>
        <w:tabs>
          <w:tab w:leader="none" w:pos="58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580" w:hanging="572"/>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16, 2015, NCM, Inc. announced the termination of the Merger Agreement with Screenvision. After the Merger Agreement was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NCM LLC reimbursed NCM, Inc. for certain expenses pursuant to an indemnification agreement among NCM LLC, NCM, Inc. and the founding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members. On March 17, 2015, the Company paid Screenvision an approximate $26.8 million termination payment on behalf of NCM, Inc. This payment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million lower than the reverse termination fee contemplated by the Merger Agreement. During the six months ended July 2, 2015, the Company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either paid directly or reimbursed NCM, Inc. for the legal and other merger-related costs of approximately $15.0 million ($7.5 million incurred by NCM,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January 1, 2015 and approximately $7.5 million incurred by NCM LLC during the six months ended July 2, 2015). NCM, Inc.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founding members each bore a pro rata portion of the termination fee and the related merger expenses based on their aggregate ownership percentages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NCM LLC.</w:t>
      </w:r>
    </w:p>
    <w:p>
      <w:pPr>
        <w:spacing w:after="0" w:line="211"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six months ended July 2, 2015 and June 26, 2014 were as follows (in millions):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July 2, 2015</w:t>
            </w:r>
          </w:p>
        </w:tc>
        <w:tc>
          <w:tcPr>
            <w:tcW w:w="12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26, 2014</w:t>
            </w: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2, 2015</w:t>
            </w:r>
          </w:p>
        </w:tc>
        <w:tc>
          <w:tcPr>
            <w:tcW w:w="2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26, 2014</w:t>
            </w: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4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Cinemark</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15.6</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34.0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Due to the merger termination fee and related merger expenses, the mandatory distributions of available cash by the Company to its founding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members and NCM, Inc. for the three months ended April 2, 2015 was calculated as negative $25.5 million ($14.0 million for the founding members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 million for NCM, Inc.). Therefore, there was no distribution made in the second quarter of 2015 relating to the available cash produced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April 2, 2015. Under the terms of the NCM LLC Operating Agreement, this negative amount will be netted against the available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distributions for the second quarter of 2016, which will be paid in the third quarter of 2016. Until the settlement in the third quarter of 2016,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merger-related costs will be funded through borrowings on the NCM LLC revolving credit facility.</w:t>
      </w:r>
    </w:p>
    <w:p>
      <w:pPr>
        <w:spacing w:after="0" w:line="211" w:lineRule="exact"/>
        <w:rPr>
          <w:sz w:val="20"/>
          <w:szCs w:val="20"/>
          <w:color w:val="auto"/>
        </w:rPr>
      </w:pPr>
    </w:p>
    <w:p>
      <w:pPr>
        <w:jc w:val="both"/>
        <w:ind w:right="220" w:firstLine="555"/>
        <w:spacing w:after="0" w:line="342" w:lineRule="auto"/>
        <w:rPr>
          <w:sz w:val="20"/>
          <w:szCs w:val="20"/>
          <w:color w:val="auto"/>
        </w:rPr>
      </w:pPr>
      <w:r>
        <w:rPr>
          <w:rFonts w:ascii="Arial" w:cs="Arial" w:eastAsia="Arial" w:hAnsi="Arial"/>
          <w:sz w:val="16"/>
          <w:szCs w:val="16"/>
          <w:color w:val="auto"/>
        </w:rPr>
        <w:t>The mandatory distributions of available cash by the Company to its founding members for the three months ended July 2, 2015 of $25.1 million is included in amounts due to founding members on the unaudited Condensed Balance Sheets as of July 2, 2015 and will be made in the third quarter of 2015.</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July 2, 2015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Cinemark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Regal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9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9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900" w:type="dxa"/>
            <w:vAlign w:val="bottom"/>
          </w:tcPr>
          <w:p>
            <w:pPr>
              <w:spacing w:after="0"/>
              <w:rPr>
                <w:sz w:val="19"/>
                <w:szCs w:val="19"/>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January 1, 2015 were comprised of the following (in millions):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vMerge w:val="restart"/>
          </w:tcPr>
          <w:p>
            <w:pPr>
              <w:spacing w:after="0"/>
              <w:rPr>
                <w:sz w:val="20"/>
                <w:szCs w:val="20"/>
                <w:color w:val="auto"/>
              </w:rPr>
            </w:pPr>
            <w:r>
              <w:rPr>
                <w:rFonts w:ascii="Arial" w:cs="Arial" w:eastAsia="Arial" w:hAnsi="Arial"/>
                <w:sz w:val="18"/>
                <w:szCs w:val="18"/>
                <w:color w:val="auto"/>
              </w:rPr>
              <w:t>Theatre access fees, net of beverage revenues</w:t>
            </w: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Cinemark</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Borders>
              <w:top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and other reimbursement</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(0.6)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Distributions payable to founding members</w:t>
            </w:r>
          </w:p>
        </w:tc>
        <w:tc>
          <w:tcPr>
            <w:tcW w:w="10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12.2</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w:t>
            </w:r>
          </w:p>
        </w:tc>
        <w:tc>
          <w:tcPr>
            <w:tcW w:w="10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13.4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4"/>
              </w:rPr>
              <w:t>July 2, 2015</w:t>
            </w:r>
          </w:p>
        </w:tc>
        <w:tc>
          <w:tcPr>
            <w:tcW w:w="4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January 1, 2015</w:t>
            </w:r>
          </w:p>
        </w:tc>
        <w:tc>
          <w:tcPr>
            <w:tcW w:w="80" w:type="dxa"/>
            <w:vAlign w:val="bottom"/>
          </w:tcPr>
          <w:p>
            <w:pPr>
              <w:spacing w:after="0"/>
              <w:rPr>
                <w:sz w:val="13"/>
                <w:szCs w:val="13"/>
                <w:color w:val="auto"/>
              </w:rPr>
            </w:pPr>
          </w:p>
        </w:tc>
      </w:tr>
      <w:tr>
        <w:trPr>
          <w:trHeight w:val="223"/>
        </w:trPr>
        <w:tc>
          <w:tcPr>
            <w:tcW w:w="5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23"/>
        </w:trPr>
        <w:tc>
          <w:tcPr>
            <w:tcW w:w="55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$1.4 million and $1.3 million as of July 2, 2015 and January 1, 2015, respectively. Equity in earnings from AC JV, LLC was $0.0 million, $0.1 million, $0.1 million and $0.1 million for the three months ended July 2, 2015 and June 26, 2014 and the six months ended July 2, 2015 and June 26, 2014, respectively and is included in non-operating expenses in the unaudited Condensed Statements of Income.</w:t>
      </w:r>
    </w:p>
    <w:p>
      <w:pPr>
        <w:spacing w:after="0" w:line="178"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July 2, 2015 and June 26, 2014 and the six months ended July 2, 2015 and June 26, 2014, there was approximately $0.0 million, $0.1 million $0.1 million and $0.1 million, respectively, included in advertising operating costs related to LA Live, and there was approximately $0.1 million and $0.1 million of accounts payable with this company as of July 2, 2015 and January 1, 2015, respectively.</w:t>
      </w:r>
    </w:p>
    <w:p>
      <w:pPr>
        <w:spacing w:after="0" w:line="1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Company has an agreement with Starplex Operating L.P. (“Starplex”), an affiliate of one of NCM, Inc.’s former directors, who was a long-standing member of NCM, Inc.’s board of directors until his resignation during 2014. During the three and six months ended June 26, 2014, there was approximately $0.8 million and $1.3 million included in advertising operating costs related to Starplex, and there was approximately $0.9 million of accounts payable with Starplex as of January 1, 2015. Following the director’s resignation from NCM, Inc.’s board of directors in 2014, Starplex is no longer a related party.</w:t>
      </w:r>
    </w:p>
    <w:p>
      <w:pPr>
        <w:spacing w:after="0" w:line="188"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b w:val="1"/>
          <w:bCs w:val="1"/>
          <w:i w:val="1"/>
          <w:iCs w:val="1"/>
          <w:color w:val="auto"/>
        </w:rPr>
        <w:t>Other Transactions</w:t>
      </w:r>
      <w:r>
        <w:rPr>
          <w:rFonts w:ascii="Arial" w:cs="Arial" w:eastAsia="Arial" w:hAnsi="Arial"/>
          <w:sz w:val="16"/>
          <w:szCs w:val="16"/>
          <w:color w:val="auto"/>
        </w:rPr>
        <w:t>—The Company has an agreement with an interactive media company to sell some of its online inventory. One of NCM, Inc.’s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is also a director of this media company. During the three months ended July 2, 2015 and June 26, 2014 and the six months ended July 2, 2015 and June 26, 2014, this company generated approximately $0.0 million, $0.1 million, $0.0 million and $0.2 million, respectively, in revenue for NCM LLC and there was approximately $0.3 million and $0.3 million of accounts receivable due from this company as of July 2, 2015 and January 1, 2015, respectively.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NCM LLC’s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During the three months ended July 2, 2015 and June 26, 2014 and the six months ended July 2, 2015 and June 26, 2014,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approximately $0.5 million, $0.0 million, $0.9 million and $0.0 million, respectively, in revenue from AEG Live and as of July 2, 2015 and January 1, 2015, had $0.0 million and $0.4 million, respectively, of accounts receivable from AEG Live.</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July 2, 2015 and January 1, 2015 and the significant terms of its borrowing arrangements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Outstanding Balance as of</w:t>
            </w:r>
          </w:p>
        </w:tc>
        <w:tc>
          <w:tcPr>
            <w:tcW w:w="200" w:type="dxa"/>
            <w:vAlign w:val="bottom"/>
          </w:tcPr>
          <w:p>
            <w:pPr>
              <w:spacing w:after="0"/>
              <w:rPr>
                <w:sz w:val="14"/>
                <w:szCs w:val="14"/>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Maturity Date</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75"/>
              <w:spacing w:after="0" w:line="155" w:lineRule="exact"/>
              <w:rPr>
                <w:sz w:val="20"/>
                <w:szCs w:val="20"/>
                <w:color w:val="auto"/>
              </w:rPr>
            </w:pPr>
            <w:r>
              <w:rPr>
                <w:rFonts w:ascii="Arial" w:cs="Arial" w:eastAsia="Arial" w:hAnsi="Arial"/>
                <w:sz w:val="14"/>
                <w:szCs w:val="14"/>
                <w:b w:val="1"/>
                <w:bCs w:val="1"/>
                <w:color w:val="auto"/>
                <w:w w:val="94"/>
              </w:rPr>
              <w:t>July 2, 2015</w:t>
            </w:r>
          </w:p>
        </w:tc>
        <w:tc>
          <w:tcPr>
            <w:tcW w:w="200" w:type="dxa"/>
            <w:vAlign w:val="bottom"/>
          </w:tcPr>
          <w:p>
            <w:pPr>
              <w:spacing w:after="0"/>
              <w:rPr>
                <w:sz w:val="13"/>
                <w:szCs w:val="13"/>
                <w:color w:val="auto"/>
              </w:rPr>
            </w:pPr>
          </w:p>
        </w:tc>
        <w:tc>
          <w:tcPr>
            <w:tcW w:w="1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5"/>
              </w:rPr>
              <w:t>January 1, 2015</w:t>
            </w:r>
          </w:p>
        </w:tc>
        <w:tc>
          <w:tcPr>
            <w:tcW w:w="2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November 26, 2019</w:t>
            </w: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Term Loans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270.0</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89"/>
              </w:rPr>
              <w:t>November 26, 2019</w:t>
            </w:r>
          </w:p>
        </w:tc>
        <w:tc>
          <w:tcPr>
            <w:tcW w:w="102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Notes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July 15, 2021</w:t>
            </w:r>
          </w:p>
        </w:tc>
        <w:tc>
          <w:tcPr>
            <w:tcW w:w="10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Notes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95"/>
              </w:rPr>
              <w:t>April 15, 2022</w:t>
            </w:r>
          </w:p>
        </w:tc>
        <w:tc>
          <w:tcPr>
            <w:tcW w:w="1020" w:type="dxa"/>
            <w:vAlign w:val="bottom"/>
            <w:tcBorders>
              <w:bottom w:val="single" w:sz="8" w:color="CFF0FC"/>
            </w:tcBorders>
          </w:tcPr>
          <w:p>
            <w:pPr>
              <w:jc w:val="right"/>
              <w:ind w:right="114"/>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2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July 2, 2015 and January 1, 2015, the Company’s senior secured credit facility consisted of a $135.0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and a $270.0 million term loan.</w:t>
      </w:r>
    </w:p>
    <w:p>
      <w:pPr>
        <w:spacing w:after="0" w:line="170"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July 2, 2015, the Company’s total availability under the revolving credit facility was $70.0 million. The unused line fee is 0.50% per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annum. Borrowings under the revolving credit facility bear interest at the Company’s option of either the LIBOR index plus an applicable margin or the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(Prime Rate or the Federal Funds Effective Rate, as defined in the senior secured credit facility) plus an applicable margin. The applicable margin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is determined quarterly and is subject to adjustment based upon a consolidated net senior secured leverage ratio for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ratio of secured funded debt less unrestricted cash and cash equivalents, over a non-GAAP measure defined in the senior secured credit facility).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interest rate on the outstanding balance on the revolving credit facility as of July 2, 2015 was 2.57%.</w:t>
      </w:r>
    </w:p>
    <w:p>
      <w:pPr>
        <w:spacing w:after="0" w:line="21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July 2, 2015 was 2.94%. Interest on the term loans is currently paid monthly.</w:t>
      </w:r>
    </w:p>
    <w:p>
      <w:pPr>
        <w:spacing w:after="0" w:line="18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July 2, 2015,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July 2, 2015, the Company’s consolidated net senior secured leverage ratio was 3.3 times (versus the covenant of 6.5 times).</w:t>
      </w:r>
    </w:p>
    <w:p>
      <w:pPr>
        <w:spacing w:after="0" w:line="188"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Secured Notes defined below. The Senior Unsecured Notes contain certain non-maintenance covenants with which the Company is in compliance as of July 2, 2015.</w:t>
      </w:r>
    </w:p>
    <w:p>
      <w:pPr>
        <w:spacing w:after="0" w:line="170"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is in compliance as of July 2, 2015.</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120" w:firstLine="555"/>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into in the ordinary course of business under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As of July 2, 2015, the maximum potential amount of future payments the Company could be required to make pursuant to the minimum revenue guarantees is $32.3 million over the remaining terms of the network affiliate agreements, which calculation does not include any potential future extensions. As of July 2, 2015, the Company had no liabilities recorded for these obligations as such guarantees are less than the expected share of revenue paid to the affiliate. As of January 1, 2015, the Company had an inconsequential amount of liabilities recorded for these obligations.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 2015</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1, 2015</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580" w:right="300" w:hanging="572"/>
        <w:spacing w:after="0" w:line="255" w:lineRule="auto"/>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During 2014 and the first quarter of 2015, 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190"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fair value of the investments has not been estimated as of July 2, 2015 and January 1, 2015 as there were no identified events or changes in the circumstances that had a significant adverse effect on the fair value of the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8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As of July 2, 2015 and January 1, 2015, the Company had notes receivable totaling $20.8 million and $20.8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1"/>
              </w:rPr>
              <w:t>As of July 2, 2015</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9"/>
              </w:rPr>
              <w:t>As of January 1, 2015</w:t>
            </w:r>
          </w:p>
        </w:tc>
        <w:tc>
          <w:tcPr>
            <w:tcW w:w="60" w:type="dxa"/>
            <w:vAlign w:val="bottom"/>
          </w:tcPr>
          <w:p>
            <w:pPr>
              <w:spacing w:after="0"/>
              <w:rPr>
                <w:sz w:val="14"/>
                <w:szCs w:val="14"/>
                <w:color w:val="auto"/>
              </w:rPr>
            </w:pPr>
          </w:p>
        </w:tc>
      </w:tr>
      <w:tr>
        <w:trPr>
          <w:trHeight w:val="237"/>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Carrying Value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Carrying Value</w:t>
            </w:r>
          </w:p>
        </w:tc>
        <w:tc>
          <w:tcPr>
            <w:tcW w:w="1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267.9</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Senior Unsecured Notes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415.5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6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left="580" w:right="60" w:hanging="572"/>
        <w:spacing w:after="0" w:line="277" w:lineRule="auto"/>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294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2012, the Company terminated interest rate swap agreements that were used to hedge its interest rate risk associated with its term</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loan. Following the termination of the swap agreements, the variable interest rate on the Company’s $270.0 million term loan is unhedged and as of July 2, 2015 and January 1, 2015, the Company did not have any outstanding derivative assets or liabilities.</w:t>
      </w:r>
    </w:p>
    <w:p>
      <w:pPr>
        <w:spacing w:after="0" w:line="184"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July 2, 2015, there were no amounts outstanding related to these discontinued cash flow hedges.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5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AOCI by component for the six months ended July 2, 2015 and June 26, 2014 were as follows (in millions):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Location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July 2, 2015</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6"/>
              </w:rPr>
              <w:t>June 26, 2014</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9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423"/>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Amounts reclassified from AOCI:</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on discontinued cash flow hedges</w:t>
            </w:r>
          </w:p>
        </w:tc>
        <w:tc>
          <w:tcPr>
            <w:tcW w:w="4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amounts reclassified from AOCI</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other comprehensive income</w:t>
            </w:r>
          </w:p>
        </w:tc>
        <w:tc>
          <w:tcPr>
            <w:tcW w:w="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0"/>
          </w:cols>
          <w:pgMar w:left="800" w:top="121" w:right="1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heading “Risk Factors” contained in our annual report on Form 10-K for the Company’s fiscal year ended January 1, 2015. The following discussion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January 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 xml:space="preserve">We operate the largest digital in-theatre media network in North America, through which we sell in-theatre and online advertising and promotions. Our revenue is principally derived from the sale of advertising through long-term ESAs with NCM LLC’s founding members (approximately 22 years remaining as of July 2, 2015) and multi-year agreements with network affiliates, which expire at various dates through July 22, 2031. The weighted average remaining term of our network affiliate agreements is 6.3 years. The ESAs with the founding members and network affiliate agreements grant NCM LLC exclusive rights in their theatres to sell advertising, subject to limited exceptions.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97% of the aggregate founding member and network affiliate theatre attendance is generated by theatres connected to our DCN (754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(85% digital cinema projectors and 15% LCD projectors).</w:t>
      </w:r>
    </w:p>
    <w:p>
      <w:pPr>
        <w:spacing w:after="0" w:line="7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“Non-GAAP Financial Measures” below, as some of our primary measurement metrics. In addition, we monitor our monthly advertising performance measurements, including advertising inventory utilization, advertising pricing (CPM), local and total advertising revenue per attendee, as well as, our free cash flow and related financial leverage and cash balances and revolving credit facility availability to ensure that there is adequate cash availability to fund our working capital needs and debt obligations and current and future distributions to members.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On May 5, 2014, NCM, Inc. entered into the Merger Agreement to merge with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w:t>
      </w:r>
    </w:p>
    <w:p>
      <w:pPr>
        <w:spacing w:after="0"/>
        <w:rPr>
          <w:sz w:val="20"/>
          <w:szCs w:val="20"/>
          <w:color w:val="auto"/>
        </w:rPr>
      </w:pPr>
      <w:r>
        <w:rPr>
          <w:rFonts w:ascii="Arial" w:cs="Arial" w:eastAsia="Arial" w:hAnsi="Arial"/>
          <w:sz w:val="16"/>
          <w:szCs w:val="16"/>
          <w:color w:val="auto"/>
        </w:rPr>
        <w:t>among NCM LLC, NCM, Inc. and the founding members. On March 17, 2015, the Company paid Screenvision an approximate $26.8 million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on behalf of NCM, Inc. This payment was $2 million lower than the reverse termination fee contemplated by the Merger Agreement.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2, 2015, the Company also either paid directly or reimbursed NCM, Inc. for the legal and other merger-related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($7.5 million incurred by NCM, Inc. during the year ended January 1, 2015 and approximately $7.5 million incurred by NCM LLC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2, 2015). NCM, Inc. and the founding members each bore a pro rata portion of the termination fee and the related merger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their aggregate ownership percentages in NCM LLC.</w:t>
      </w:r>
    </w:p>
    <w:p>
      <w:pPr>
        <w:spacing w:after="0" w:line="211" w:lineRule="exact"/>
        <w:rPr>
          <w:sz w:val="20"/>
          <w:szCs w:val="20"/>
          <w:color w:val="auto"/>
        </w:rPr>
      </w:pPr>
    </w:p>
    <w:p>
      <w:pPr>
        <w:ind w:right="460" w:firstLine="555"/>
        <w:spacing w:after="0" w:line="342" w:lineRule="auto"/>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 in our Form 10-K filed with the SEC on March 10, 2015 for the Company’s fiscal year ended January 1, 2015 and Item 1A of this Form 10-Q.</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8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July 2,</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6"/>
              </w:rPr>
              <w:t>June 26,</w:t>
            </w: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July 2,</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93"/>
              <w:spacing w:after="0" w:line="133" w:lineRule="exact"/>
              <w:rPr>
                <w:sz w:val="20"/>
                <w:szCs w:val="20"/>
                <w:color w:val="auto"/>
              </w:rPr>
            </w:pPr>
            <w:r>
              <w:rPr>
                <w:rFonts w:ascii="Arial" w:cs="Arial" w:eastAsia="Arial" w:hAnsi="Arial"/>
                <w:sz w:val="14"/>
                <w:szCs w:val="14"/>
                <w:b w:val="1"/>
                <w:bCs w:val="1"/>
                <w:color w:val="auto"/>
                <w:w w:val="92"/>
              </w:rPr>
              <w:t>June 26,</w:t>
            </w:r>
          </w:p>
        </w:tc>
        <w:tc>
          <w:tcPr>
            <w:tcW w:w="28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348"/>
              <w:spacing w:after="0" w:line="133" w:lineRule="exact"/>
              <w:rPr>
                <w:sz w:val="20"/>
                <w:szCs w:val="20"/>
                <w:color w:val="auto"/>
              </w:rPr>
            </w:pPr>
            <w:r>
              <w:rPr>
                <w:rFonts w:ascii="Arial" w:cs="Arial" w:eastAsia="Arial" w:hAnsi="Arial"/>
                <w:sz w:val="14"/>
                <w:szCs w:val="14"/>
                <w:b w:val="1"/>
                <w:bCs w:val="1"/>
                <w:color w:val="auto"/>
              </w:rPr>
              <w:t>Q2 2015 to</w:t>
            </w:r>
          </w:p>
        </w:tc>
        <w:tc>
          <w:tcPr>
            <w:tcW w:w="1260" w:type="dxa"/>
            <w:vAlign w:val="bottom"/>
            <w:tcBorders>
              <w:top w:val="single" w:sz="8" w:color="auto"/>
            </w:tcBorders>
          </w:tcPr>
          <w:p>
            <w:pPr>
              <w:jc w:val="right"/>
              <w:ind w:right="153"/>
              <w:spacing w:after="0" w:line="133" w:lineRule="exact"/>
              <w:rPr>
                <w:sz w:val="20"/>
                <w:szCs w:val="20"/>
                <w:color w:val="auto"/>
              </w:rPr>
            </w:pPr>
            <w:r>
              <w:rPr>
                <w:rFonts w:ascii="Arial" w:cs="Arial" w:eastAsia="Arial" w:hAnsi="Arial"/>
                <w:sz w:val="14"/>
                <w:szCs w:val="14"/>
                <w:b w:val="1"/>
                <w:bCs w:val="1"/>
                <w:color w:val="auto"/>
              </w:rPr>
              <w:t>YTD 2015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1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Q2 2014</w:t>
            </w: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YTD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170.1</w:t>
            </w:r>
          </w:p>
        </w:tc>
        <w:tc>
          <w:tcPr>
            <w:tcW w:w="280" w:type="dxa"/>
            <w:vAlign w:val="bottom"/>
          </w:tcPr>
          <w:p>
            <w:pPr>
              <w:spacing w:after="0"/>
              <w:rPr>
                <w:sz w:val="19"/>
                <w:szCs w:val="19"/>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21.6%</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9"/>
                <w:szCs w:val="19"/>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14.0%</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Network, administrative and unallocated</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9.8%</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Merger termination fee and related merger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(1)</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8"/>
              <w:spacing w:after="0"/>
              <w:rPr>
                <w:sz w:val="20"/>
                <w:szCs w:val="20"/>
                <w:color w:val="auto"/>
              </w:rPr>
            </w:pPr>
            <w:r>
              <w:rPr>
                <w:rFonts w:ascii="Arial" w:cs="Arial" w:eastAsia="Arial" w:hAnsi="Arial"/>
                <w:sz w:val="18"/>
                <w:szCs w:val="18"/>
                <w:color w:val="auto"/>
              </w:rPr>
              <w:t>NM</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14.2%</w:t>
            </w:r>
          </w:p>
        </w:tc>
        <w:tc>
          <w:tcPr>
            <w:tcW w:w="14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9"/>
                <w:szCs w:val="19"/>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31.9%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(15.7%)</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48"/>
              <w:spacing w:after="0"/>
              <w:rPr>
                <w:sz w:val="20"/>
                <w:szCs w:val="20"/>
                <w:color w:val="auto"/>
              </w:rPr>
            </w:pPr>
            <w:r>
              <w:rPr>
                <w:rFonts w:ascii="Arial" w:cs="Arial" w:eastAsia="Arial" w:hAnsi="Arial"/>
                <w:sz w:val="18"/>
                <w:szCs w:val="18"/>
                <w:color w:val="auto"/>
              </w:rPr>
              <w:t>(66.7%)</w:t>
            </w:r>
          </w:p>
        </w:tc>
        <w:tc>
          <w:tcPr>
            <w:tcW w:w="14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60.6%</w:t>
            </w:r>
          </w:p>
        </w:tc>
        <w:tc>
          <w:tcPr>
            <w:tcW w:w="14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Adjusted OIBDA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29.6%</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Adjusted OIBDA margin</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9.4%</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580" w:right="760" w:hanging="572"/>
        <w:spacing w:after="0" w:line="250" w:lineRule="auto"/>
        <w:tabs>
          <w:tab w:leader="none" w:pos="58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80" w:right="360" w:hanging="572"/>
        <w:spacing w:after="0" w:line="261" w:lineRule="auto"/>
        <w:tabs>
          <w:tab w:leader="none" w:pos="58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net income plus income tax expense, interest and other costs and depreciation and amortization expense. Adjusted OIBDA excludes from OIBDA non-cash share based payment costs and the merger termination fee and related merger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Screenvision merger.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661" w:right="199" w:bottom="1440" w:gutter="0" w:footer="0" w:header="0"/>
        </w:sectPr>
      </w:pPr>
    </w:p>
    <w:bookmarkStart w:id="21" w:name="page22"/>
    <w:bookmarkEnd w:id="21"/>
    <w:p>
      <w:pPr>
        <w:ind w:left="560"/>
        <w:spacing w:after="0"/>
        <w:rPr>
          <w:sz w:val="20"/>
          <w:szCs w:val="20"/>
          <w:color w:val="auto"/>
        </w:rPr>
      </w:pPr>
      <w:r>
        <w:rPr>
          <w:rFonts w:ascii="Arial" w:cs="Arial" w:eastAsia="Arial" w:hAnsi="Arial"/>
          <w:sz w:val="18"/>
          <w:szCs w:val="18"/>
          <w:color w:val="auto"/>
        </w:rPr>
        <w:t>The following table reconciles net income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4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July 2,</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June 26,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July 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93"/>
              <w:spacing w:after="0" w:line="133" w:lineRule="exact"/>
              <w:rPr>
                <w:sz w:val="20"/>
                <w:szCs w:val="20"/>
                <w:color w:val="auto"/>
              </w:rPr>
            </w:pPr>
            <w:r>
              <w:rPr>
                <w:rFonts w:ascii="Arial" w:cs="Arial" w:eastAsia="Arial" w:hAnsi="Arial"/>
                <w:sz w:val="14"/>
                <w:szCs w:val="14"/>
                <w:b w:val="1"/>
                <w:bCs w:val="1"/>
                <w:color w:val="auto"/>
                <w:w w:val="99"/>
              </w:rPr>
              <w:t>June 26,</w:t>
            </w:r>
          </w:p>
        </w:tc>
        <w:tc>
          <w:tcPr>
            <w:tcW w:w="180" w:type="dxa"/>
            <w:vAlign w:val="bottom"/>
          </w:tcPr>
          <w:p>
            <w:pPr>
              <w:spacing w:after="0"/>
              <w:rPr>
                <w:sz w:val="11"/>
                <w:szCs w:val="11"/>
                <w:color w:val="auto"/>
              </w:rPr>
            </w:pPr>
          </w:p>
        </w:tc>
      </w:tr>
      <w:tr>
        <w:trPr>
          <w:trHeight w:val="171"/>
        </w:trPr>
        <w:tc>
          <w:tcPr>
            <w:tcW w:w="44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non-operating costs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FF0FC"/>
            </w:tcBorders>
          </w:tcPr>
          <w:p>
            <w:pPr>
              <w:spacing w:after="0"/>
              <w:rPr>
                <w:sz w:val="19"/>
                <w:szCs w:val="19"/>
                <w:color w:val="auto"/>
              </w:rPr>
            </w:pPr>
          </w:p>
        </w:tc>
      </w:tr>
      <w:tr>
        <w:trPr>
          <w:trHeight w:val="223"/>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4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Adjusted OIBDA</w:t>
            </w:r>
          </w:p>
        </w:tc>
        <w:tc>
          <w:tcPr>
            <w:tcW w:w="7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80" w:type="dxa"/>
            <w:vAlign w:val="bottom"/>
            <w:shd w:val="clear" w:color="auto" w:fill="CFF0FC"/>
          </w:tcPr>
          <w:p>
            <w:pPr>
              <w:spacing w:after="0"/>
              <w:rPr>
                <w:sz w:val="18"/>
                <w:szCs w:val="18"/>
                <w:color w:val="auto"/>
              </w:rPr>
            </w:pP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Adjusted OIBDA margin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bl>
    <w:p>
      <w:pPr>
        <w:spacing w:after="0" w:line="201" w:lineRule="exact"/>
        <w:rPr>
          <w:sz w:val="20"/>
          <w:szCs w:val="20"/>
          <w:color w:val="auto"/>
        </w:rPr>
      </w:pPr>
    </w:p>
    <w:p>
      <w:pPr>
        <w:ind w:left="580" w:right="20" w:hanging="572"/>
        <w:spacing w:after="0" w:line="253" w:lineRule="auto"/>
        <w:tabs>
          <w:tab w:leader="none" w:pos="58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$1.7 million, $1.2 million, $3.4 million and $2.4 million for the three months ended July 2, 2015 and June 26, 2014 and the six months ended July 2, 2015 and June 26, 2014, respectively.</w:t>
      </w:r>
    </w:p>
    <w:p>
      <w:pPr>
        <w:spacing w:after="0" w:line="3" w:lineRule="exact"/>
        <w:rPr>
          <w:rFonts w:ascii="Arial" w:cs="Arial" w:eastAsia="Arial" w:hAnsi="Arial"/>
          <w:sz w:val="18"/>
          <w:szCs w:val="18"/>
          <w:i w:val="1"/>
          <w:iCs w:val="1"/>
          <w:color w:val="auto"/>
        </w:rPr>
      </w:pPr>
    </w:p>
    <w:p>
      <w:pPr>
        <w:ind w:left="580" w:right="700" w:hanging="572"/>
        <w:spacing w:after="0" w:line="261" w:lineRule="auto"/>
        <w:tabs>
          <w:tab w:leader="none" w:pos="58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84"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results for the first six months of 2015 to our results for the first six months of 2014 without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results of operations data for the three and six months ended July 2, 2015 and June 26, 2014 was derived from the unaudited Condensed Financial Statements and accounting records of NCM LLC and should be read in conjunction with the notes thereto.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2, 2015 and June 26, 2014</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21.6%, from $99.9 million for the three months ended June 26, 2014 to $121.5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 2015. The following is a summary of revenue by category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Q2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2015 to</w:t>
            </w:r>
          </w:p>
        </w:tc>
        <w:tc>
          <w:tcPr>
            <w:tcW w:w="260" w:type="dxa"/>
            <w:vAlign w:val="bottom"/>
          </w:tcPr>
          <w:p>
            <w:pPr>
              <w:spacing w:after="0"/>
              <w:rPr>
                <w:sz w:val="11"/>
                <w:szCs w:val="1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Q2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2014</w:t>
            </w:r>
          </w:p>
        </w:tc>
        <w:tc>
          <w:tcPr>
            <w:tcW w:w="26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30.4%</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July 2, 2015 and June 26, 2014:</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July 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5"/>
              <w:spacing w:after="0" w:line="133" w:lineRule="exact"/>
              <w:rPr>
                <w:sz w:val="20"/>
                <w:szCs w:val="20"/>
                <w:color w:val="auto"/>
              </w:rPr>
            </w:pPr>
            <w:r>
              <w:rPr>
                <w:rFonts w:ascii="Arial" w:cs="Arial" w:eastAsia="Arial" w:hAnsi="Arial"/>
                <w:sz w:val="14"/>
                <w:szCs w:val="14"/>
                <w:b w:val="1"/>
                <w:bCs w:val="1"/>
                <w:color w:val="auto"/>
              </w:rPr>
              <w:t>June 26,</w:t>
            </w:r>
          </w:p>
        </w:tc>
        <w:tc>
          <w:tcPr>
            <w:tcW w:w="16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2015 to</w:t>
            </w:r>
          </w:p>
        </w:tc>
        <w:tc>
          <w:tcPr>
            <w:tcW w:w="24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2014</w:t>
            </w:r>
          </w:p>
        </w:tc>
        <w:tc>
          <w:tcPr>
            <w:tcW w:w="24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0.390</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19.2%</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0.124</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5"/>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0.587</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0.514</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0.570</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r>
    </w:tbl>
    <w:p>
      <w:pPr>
        <w:spacing w:after="0" w:line="202" w:lineRule="exact"/>
        <w:rPr>
          <w:sz w:val="20"/>
          <w:szCs w:val="20"/>
          <w:color w:val="auto"/>
        </w:rPr>
      </w:pPr>
    </w:p>
    <w:p>
      <w:pPr>
        <w:ind w:left="580" w:right="280" w:hanging="572"/>
        <w:spacing w:after="0" w:line="277" w:lineRule="auto"/>
        <w:tabs>
          <w:tab w:leader="none" w:pos="58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62" w:lineRule="exact"/>
        <w:rPr>
          <w:rFonts w:ascii="Arial" w:cs="Arial" w:eastAsia="Arial" w:hAnsi="Arial"/>
          <w:sz w:val="18"/>
          <w:szCs w:val="18"/>
          <w:i w:val="1"/>
          <w:iCs w:val="1"/>
          <w:color w:val="auto"/>
        </w:rPr>
      </w:pPr>
    </w:p>
    <w:p>
      <w:pPr>
        <w:ind w:left="560"/>
        <w:spacing w:after="0" w:line="286"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$20.8 million, or 30.4%, increase in national advertising revenue (excluding beverage revenue from NCM LLC’s founding members) was due primarily to a 20.5% increase in impressions sold (net of make-good reserve) in the second quarter of 2015, compared to the second quarter of 2014 and an increase in national advertising CPMs (excluding beverage) of 10.6% in the second quarter of 2015, compared to the second quarter of 2014. The increase in impressions sold (net of make-good reserve) was driven by an increase in national inventory utilization, which rose from 122.9% for the second quarter of 2014 to 133.3% for the second quarter of 2015, due to an overall expansion of our client base, related in part to the success of our strategy to compete in the national television upfront marketplace. National inventory utilization also increased due to a decrease in the length of approximately 50% of our content partner entertainment segments in our FirstLook preshow from two and a half minutes to two minutes in 2015, which contributed to the increase in our utilization by providing up to two additional 30 second national units across approximately 50% of our impression base. Inventory utilization is calculated as utilized impressions divided by total advertising impressions, which is based on eleven 30-second salable national advertising units in our pre-show, which can be expanded, should market demand dictate. The increase in impressions sold (net of make-good reserve) was also driven by an increase in our network theatre attendance of 9.3% related to an overall increase in cinema industry attendance resulting from a stronger film release schedule and the addition of new network affiliates discussed below in “Known Trends and Uncertainties”. The increase in CPMs relates primarily to strong scatter market demand combined with limited inventory availability due to our successful upfront sales campaign last year.</w:t>
      </w:r>
    </w:p>
    <w:p>
      <w:pPr>
        <w:spacing w:after="0" w:line="63" w:lineRule="exact"/>
        <w:rPr>
          <w:rFonts w:ascii="Arial" w:cs="Arial" w:eastAsia="Arial" w:hAnsi="Arial"/>
          <w:sz w:val="18"/>
          <w:szCs w:val="18"/>
          <w:i w:val="1"/>
          <w:iCs w:val="1"/>
          <w:color w:val="auto"/>
        </w:rPr>
      </w:pPr>
    </w:p>
    <w:p>
      <w:pPr>
        <w:ind w:left="560" w:right="80"/>
        <w:spacing w:after="0" w:line="302"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Local advertising revenue.</w:t>
      </w:r>
      <w:r>
        <w:rPr>
          <w:rFonts w:ascii="Arial" w:cs="Arial" w:eastAsia="Arial" w:hAnsi="Arial"/>
          <w:sz w:val="16"/>
          <w:szCs w:val="16"/>
          <w:color w:val="auto"/>
        </w:rPr>
        <w:t xml:space="preserve"> The $1.6 million, or 7.4% increase in local advertising revenue was driven by a 5.1% increase in average contract value and a 3.0% increase in total contract volume, compared to the second quarter of 2014. The increase in average contract value was driven by a 13.2% increase in the average value of contracts between $100,000 and $250,000, partially offset by a 17.6% decrease in the average value of contracts above $250,000. The increase in contract volume was driven primarily by an increase of 2.2% in the number of contracts below $10,000.</w:t>
      </w:r>
    </w:p>
    <w:p>
      <w:pPr>
        <w:spacing w:after="0" w:line="46" w:lineRule="exact"/>
        <w:rPr>
          <w:rFonts w:ascii="Arial" w:cs="Arial" w:eastAsia="Arial" w:hAnsi="Arial"/>
          <w:sz w:val="18"/>
          <w:szCs w:val="18"/>
          <w:i w:val="1"/>
          <w:iCs w:val="1"/>
          <w:color w:val="auto"/>
        </w:rPr>
      </w:pPr>
    </w:p>
    <w:p>
      <w:pPr>
        <w:ind w:left="560" w:right="40"/>
        <w:spacing w:after="0" w:line="259"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$0.8 million, or 8.2%, decrease in national advertising revenue from NCM LLC’s founding members’ beverage concessionaire agreements was due to a 14.4% decrease in beverage revenue CPMs, partially offset by a 7.6% increase in founding member attendance in the second quarter of 2015, compared to the second quarter of 2014. The 2015 beverage revenue CPM is based on the change in CPM during segment one of</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3" w:name="page24"/>
    <w:bookmarkEnd w:id="23"/>
    <w:p>
      <w:pPr>
        <w:ind w:left="560" w:right="8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2013 to 2014, which decreased 14.4%. The increase in founding member attendance was primarily related to an overall increase in cinema industry attendance resulting from a stronger film release schedule.</w:t>
      </w:r>
    </w:p>
    <w:p>
      <w:pPr>
        <w:spacing w:after="0" w:line="170"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14.2%, from $57.9 million for the three months ended June 26, 2014 to $66.1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July 2, 2015. The following table shows the changes in operating expense for the three months ended July 2, 2015 and June 26,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4"/>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3"/>
              <w:spacing w:after="0" w:line="133" w:lineRule="exact"/>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93"/>
              </w:rPr>
              <w:t>Q2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2015 to</w:t>
            </w:r>
          </w:p>
        </w:tc>
        <w:tc>
          <w:tcPr>
            <w:tcW w:w="260" w:type="dxa"/>
            <w:vAlign w:val="bottom"/>
          </w:tcPr>
          <w:p>
            <w:pPr>
              <w:spacing w:after="0"/>
              <w:rPr>
                <w:sz w:val="11"/>
                <w:szCs w:val="11"/>
                <w:color w:val="auto"/>
              </w:rPr>
            </w:pPr>
          </w:p>
        </w:tc>
      </w:tr>
      <w:tr>
        <w:trPr>
          <w:trHeight w:val="171"/>
        </w:trPr>
        <w:tc>
          <w:tcPr>
            <w:tcW w:w="438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Q2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2014</w:t>
            </w:r>
          </w:p>
        </w:tc>
        <w:tc>
          <w:tcPr>
            <w:tcW w:w="26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25.8%</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Network costs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w:t>
            </w: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$1.7 million, or 25.8%, from $6.6 million for the second quarter of 2014 to $8.3 million for the second quarter of 2015. This increase was primarily the result of a $1.5 million increase in affiliate advertising payments. The increase in affiliate advertising payments was driven by higher national and local advertising revenue and a 7.4% or 252 screen increase in the number of average affiliate screens in the second quarter of 2015, compared to the second quarter of 2014.</w:t>
      </w:r>
    </w:p>
    <w:p>
      <w:pPr>
        <w:spacing w:after="0" w:line="6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$0.2 million, or 4.5%, from $4.4 million for the second quarter of 2014 to $4.2 million for the second quarter of 2015 due to a decrease in personnel related expenses.</w:t>
      </w:r>
    </w:p>
    <w:p>
      <w:pPr>
        <w:spacing w:after="0" w:line="62" w:lineRule="exact"/>
        <w:rPr>
          <w:sz w:val="20"/>
          <w:szCs w:val="20"/>
          <w:color w:val="auto"/>
        </w:rPr>
      </w:pPr>
    </w:p>
    <w:p>
      <w:pPr>
        <w:ind w:left="560" w:right="140"/>
        <w:spacing w:after="0" w:line="293" w:lineRule="auto"/>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increased $1.3 million, or 7.3%, from $17.9 million for the second quarter of 2014 to $19.2 million for the second quarter of 2015. The increase was due to a $0.9 million increase related to the 7.6% increase in founding member attendance in the second quarter of 2015 compared to the second quarter of 2014 and a $0.4 million increase in theatre access fees due to an increase in the fee associated with the number of digital screens that are connected to DCN, including higher quality digital cinema projectors and related equipment. The fees for digital screens and equipment increased $0.3 million related to an annual 5% rate increase specified in the ESAs and $0.1 million from an increase in the number of founding member screens equipped with the higher quality digital cinema equipment.</w:t>
      </w:r>
    </w:p>
    <w:p>
      <w:pPr>
        <w:spacing w:after="0" w:line="57"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$2.9 million, or 20.6%, from $14.1 million for the second quarter of 2014 to $17.0 million for the second quarter of 2015. This increase was primarily due to an increase of $1.5 million in personnel related expenses due primarily to $0.6 million of higher non-cash share-based compensation expense, as well as, an increase of $0.4 million in salaries and related benefit costs and an increase of $0.4 million in local sales commissions resulting from higher revenue and better performance against targets compared to 2014. Selling and marketing costs also increased due to an increase of $0.5 million in certain marketing and research expenses, an increase of $0.4 million in non-cash barter expense related to timing of barter transactions, and an increase of $0.4 million in software and publishing costs.</w:t>
      </w:r>
    </w:p>
    <w:p>
      <w:pPr>
        <w:spacing w:after="0" w:line="57" w:lineRule="exact"/>
        <w:rPr>
          <w:sz w:val="20"/>
          <w:szCs w:val="20"/>
          <w:color w:val="auto"/>
        </w:rPr>
      </w:pPr>
    </w:p>
    <w:p>
      <w:pPr>
        <w:ind w:left="560" w:right="20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$0.5 million, or 11.9%, from $4.2 million for the second quarter of 2014 to $4.7 million for the second quarter of 2015 due primarily to a $0.6 million increase in personnel related expenses due primarily to an increase in salaries and related benefit costs of $0.4 million related to a more fully staffed workforce in 2015 and an increase in bonuses of $0.2 million due primarily to higher revenue and better performance against targets compared to 2014.</w:t>
      </w:r>
    </w:p>
    <w:p>
      <w:pPr>
        <w:spacing w:after="0" w:line="7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from $2.9 million for the three months ended June 26, 2014 to $3.6 million for the three months ended July 2, 2015 due primarily to an increase in personnel expense. Amounts recorded are based on the terms of the management services agreement which states NCM LLC pays NCM, Inc. service fees which are equal to the cost of NCM, Inc. employees and any reimbursable costs incurred by NCM, Inc.</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jc w:val="both"/>
        <w:ind w:left="560" w:right="26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$0.4 million, or 5.1%, from $7.8 million for the second quarter of 2014 to $8.2 million for the second quarter of 2015. The increase was primarily due to NCM LLC founding member common unit adjustments and amortization of intangible assets related to new affiliate agreements.</w:t>
      </w:r>
    </w:p>
    <w:p>
      <w:pPr>
        <w:spacing w:after="0" w:line="7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$0.9 million for the second quarter of 2015 primarily for legal, accounting, advisory and other professional fees associated with the terminated Screenvision merger.</w:t>
      </w:r>
    </w:p>
    <w:p>
      <w:pPr>
        <w:spacing w:after="0" w:line="170"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15.7%, from $15.3 million for the three months ended June 26, 2014 to $12.9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July 2, 2015. The following table shows the changes in non-operating expense for the three months ended July 2, 2015 and June 26,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July 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5"/>
              <w:spacing w:after="0" w:line="133" w:lineRule="exact"/>
              <w:rPr>
                <w:sz w:val="20"/>
                <w:szCs w:val="20"/>
                <w:color w:val="auto"/>
              </w:rPr>
            </w:pPr>
            <w:r>
              <w:rPr>
                <w:rFonts w:ascii="Arial" w:cs="Arial" w:eastAsia="Arial" w:hAnsi="Arial"/>
                <w:sz w:val="14"/>
                <w:szCs w:val="14"/>
                <w:b w:val="1"/>
                <w:bCs w:val="1"/>
                <w:color w:val="auto"/>
              </w:rPr>
              <w:t>June 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Q2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2015 to</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Q2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2014</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3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$2.5 million decrease in the amortization of terminated derivatives as the amortization period ended in February 2015.</w:t>
      </w:r>
    </w:p>
    <w:p>
      <w:pPr>
        <w:spacing w:after="0" w:line="170" w:lineRule="exact"/>
        <w:rPr>
          <w:sz w:val="20"/>
          <w:szCs w:val="20"/>
          <w:color w:val="auto"/>
        </w:rPr>
      </w:pPr>
    </w:p>
    <w:p>
      <w:pPr>
        <w:ind w:right="240" w:firstLine="555"/>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$16.0 million from $26.4 million for the three months ended June 26, 2014 to $42.4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2, 2015. The increase in net income was primarily due to an increase in operating income of $13.4 million, as described further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2, 2015 and June 26, 2014</w:t>
      </w:r>
    </w:p>
    <w:p>
      <w:pPr>
        <w:spacing w:after="0" w:line="117"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16.6%, from $170.1 million for the six months ended June 26, 2014 to $198.4 million for the six months ended July</w:t>
      </w:r>
      <w:r>
        <w:rPr>
          <w:rFonts w:ascii="Arial" w:cs="Arial" w:eastAsia="Arial" w:hAnsi="Arial"/>
          <w:sz w:val="18"/>
          <w:szCs w:val="18"/>
          <w:i w:val="1"/>
          <w:iCs w:val="1"/>
          <w:color w:val="auto"/>
        </w:rPr>
        <w:t xml:space="preserve"> </w:t>
      </w:r>
      <w:r>
        <w:rPr>
          <w:rFonts w:ascii="Arial" w:cs="Arial" w:eastAsia="Arial" w:hAnsi="Arial"/>
          <w:sz w:val="18"/>
          <w:szCs w:val="18"/>
          <w:color w:val="auto"/>
        </w:rPr>
        <w:t>2, 2015. The following is a summary of revenue by category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5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rPr>
              <w:t>June 26,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YTD 2015 to</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60" w:type="dxa"/>
            <w:vAlign w:val="bottom"/>
          </w:tcPr>
          <w:p>
            <w:pPr>
              <w:spacing w:after="0"/>
              <w:rPr>
                <w:sz w:val="11"/>
                <w:szCs w:val="1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YTD 2014</w:t>
            </w:r>
          </w:p>
        </w:tc>
        <w:tc>
          <w:tcPr>
            <w:tcW w:w="1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26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26.1%</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concessionaire agreements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six months ended July 2, 2015 and June 26, 2014:</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July 2,</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95"/>
              <w:spacing w:after="0" w:line="133" w:lineRule="exact"/>
              <w:rPr>
                <w:sz w:val="20"/>
                <w:szCs w:val="20"/>
                <w:color w:val="auto"/>
              </w:rPr>
            </w:pPr>
            <w:r>
              <w:rPr>
                <w:rFonts w:ascii="Arial" w:cs="Arial" w:eastAsia="Arial" w:hAnsi="Arial"/>
                <w:sz w:val="14"/>
                <w:szCs w:val="14"/>
                <w:b w:val="1"/>
                <w:bCs w:val="1"/>
                <w:color w:val="auto"/>
              </w:rPr>
              <w:t>June 26,</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1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0.325</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0.116</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 member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beverage revenue) per attendee</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0.441</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0.498</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580" w:right="320" w:hanging="572"/>
        <w:spacing w:after="0" w:line="277" w:lineRule="auto"/>
        <w:tabs>
          <w:tab w:leader="none" w:pos="5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560" w:right="20"/>
        <w:spacing w:after="0" w:line="268"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$29.0 million, or 26.1%, increase in national advertising revenue (excluding beverage revenue from NCM LLC’s founding members) was due primarily to a 27.1% increase in impressions sold (net of make-good reserve) in the first six months of 2015, compared to the first six months of 2014 and an increase in national advertising CPMs (excluding beverage) of 1.8% in the first six months of 2015, compared to the first six months of 2014. The increase in impressions sold (net of make-good reserve) was driven by an increase in national inventory utilization, which rose from 98.7% for the first six months of 2014 to 118.3% for the first six months of 2015, due to an overall expansion of our client base, related in part to the success of our strategy to compete in the national television upfront marketplace. National inventory utilization also increased due to a decrease in the length of approximately 50% of our content partner entertainment segments in our FirstLook preshow from two and a half minutes to two minutes in 2015, which contributed to the increase in our utilization by providing up to two additional 30 second national units across approximately 50% of our impression base. Inventory utilization is calculated as utilized impressions divided by total advertising impressions, which is based on eleven 30-second salable national advertising units in our pre-show, which can be expanded, should market demand dictate. This increase in impressions sold (net of make-good reserve) was also driven by an increase in our network theatre attendance of 3.3% related to an overall increase in cinema industry attendance resulting from a stronger film release schedule and the addition of new network affiliates discussed below in “Known Trends and Uncertainties”</w:t>
      </w:r>
      <w:r>
        <w:rPr>
          <w:rFonts w:ascii="Arial" w:cs="Arial" w:eastAsia="Arial" w:hAnsi="Arial"/>
          <w:sz w:val="17"/>
          <w:szCs w:val="17"/>
          <w:color w:val="FF0000"/>
        </w:rPr>
        <w:t>.</w:t>
      </w:r>
      <w:r>
        <w:rPr>
          <w:rFonts w:ascii="Arial" w:cs="Arial" w:eastAsia="Arial" w:hAnsi="Arial"/>
          <w:sz w:val="17"/>
          <w:szCs w:val="17"/>
          <w:color w:val="auto"/>
        </w:rPr>
        <w:t xml:space="preserve"> The increase in CPMs relates primarily to strong scatter market demand combined with limited inventory availability due to our successful upfront sales campaign last year.</w:t>
      </w:r>
    </w:p>
    <w:p>
      <w:pPr>
        <w:spacing w:after="0" w:line="77"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$1.9 million, or 4.8%, increase in local advertising revenue was driven by a 7.5% increase in average contract value, partially offset by a 2.6% decrease in total contract volume, compared to the first six months of 2014. The increase in average contract value was driven by a 7.9% increase in the average value of contracts between $100,000 and $250,000, while the decrease in contract volume was driven by a 4.4% decrease in the number of contracts below $10,000.</w:t>
      </w:r>
    </w:p>
    <w:p>
      <w:pPr>
        <w:spacing w:after="0" w:line="79" w:lineRule="exact"/>
        <w:rPr>
          <w:sz w:val="20"/>
          <w:szCs w:val="20"/>
          <w:color w:val="auto"/>
        </w:rPr>
      </w:pPr>
    </w:p>
    <w:p>
      <w:pPr>
        <w:ind w:left="56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$2.6 million, or 13.5%, decrease in national advertising revenue from NCM LLC’s founding members’ beverage concessionaire agreements was due to a 14.4% decrease in beverage revenue CPMs, partially offset by an increase of 1.2% in founding member attendance in the first six months of 2015, compared to the first six months of 2014. The 2015 beverage revenue CPM is based on the change in CPM during segment one of the FirstLook pre-show from 2013 to 2014, which decreased 14.4%. The increase in founding member attendance was primarily related to an overall increase in cinema industry attendance resulting from a stronger film release schedule.</w:t>
      </w:r>
    </w:p>
    <w:p>
      <w:pPr>
        <w:spacing w:after="0" w:line="158"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45.0%, from $115.3 million for the six months ended June 26, 2014 to $167.2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July 2, 2015 due primarily to the Screenvision merger termination fee and related merger costs. The following table shows the changes in operating expense for the six months ended July 2, 2015 and June 26,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Change</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4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4"/>
              <w:spacing w:after="0" w:line="133" w:lineRule="exact"/>
              <w:rPr>
                <w:sz w:val="20"/>
                <w:szCs w:val="20"/>
                <w:color w:val="auto"/>
              </w:rPr>
            </w:pPr>
            <w:r>
              <w:rPr>
                <w:rFonts w:ascii="Arial" w:cs="Arial" w:eastAsia="Arial" w:hAnsi="Arial"/>
                <w:sz w:val="14"/>
                <w:szCs w:val="14"/>
                <w:b w:val="1"/>
                <w:bCs w:val="1"/>
                <w:color w:val="auto"/>
              </w:rPr>
              <w:t>July 2,</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June 26,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YTD 2015 to</w:t>
            </w:r>
          </w:p>
        </w:tc>
        <w:tc>
          <w:tcPr>
            <w:tcW w:w="16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60" w:type="dxa"/>
            <w:vAlign w:val="bottom"/>
          </w:tcPr>
          <w:p>
            <w:pPr>
              <w:spacing w:after="0"/>
              <w:rPr>
                <w:sz w:val="11"/>
                <w:szCs w:val="11"/>
                <w:color w:val="auto"/>
              </w:rPr>
            </w:pPr>
          </w:p>
        </w:tc>
      </w:tr>
      <w:tr>
        <w:trPr>
          <w:trHeight w:val="171"/>
        </w:trPr>
        <w:tc>
          <w:tcPr>
            <w:tcW w:w="438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YTD 2014</w:t>
            </w:r>
          </w:p>
        </w:tc>
        <w:tc>
          <w:tcPr>
            <w:tcW w:w="1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2014</w:t>
            </w:r>
          </w:p>
        </w:tc>
        <w:tc>
          <w:tcPr>
            <w:tcW w:w="26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Network costs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0"/>
        </w:trPr>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$2.5 million, or 21.6%, from $11.6 million for the first six months of 2014 to $14.1 million for the first six months of 2015. This increase was primarily the result of a $2.1 million increase in affiliate advertising payments and an increase of $0.2 million in production costs. The increase in affiliate advertising payments and production costs was driven by higher national and local advertising revenue and a 7.9% or 266 screen increase in the number of average affiliate screens in the first six months of 2015, compared to the first six months of 2014.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left="560" w:right="4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$0.3 million, or 3.3%, from $9.0 million for the first six months of 2014 to $8.7 million for the first six months of 2015 due to a decrease in personnel related expenses.</w:t>
      </w:r>
    </w:p>
    <w:p>
      <w:pPr>
        <w:spacing w:after="0" w:line="62"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increased $1.1 million, or 3.1%, from $35.3 million for the first six months of 2014 to $36.4 million for the first six months of 2015. The increase was due to a $0.8 million increase in theatre access fees due to an increase in the fee associated with the number of digital screens that are connected to DCN, including higher quality digital cinema projectors and related equipment and a $0.3 million increase related to the 1.2% increase in founding member attendance in the first six months of 2015 compared to the first six months of 2014 and. The fees for digital screens and equipment increased $0.7 million related to an annual 5% rate increase specified in the ESAs and $0.1 million from an increase in the number of founding member screens equipped with the higher quality digital cinema equipment.</w:t>
      </w:r>
    </w:p>
    <w:p>
      <w:pPr>
        <w:spacing w:after="0" w:line="5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$3.9 million, or 13.4%, from $29.1 million for the first six months of 2014 to $33.0 million for the first six months of 2015. This increase was primarily due to an increase of $2.5 million in personnel related expenses due primarily to $1.0 million of higher non-cash share-based compensation expense, as well as, an increase of $0.8 million in salaries and related benefit costs and an increase of $0.5 million in local sales commissions resulting from higher revenue and better performance against targets compared to 2014. Selling and marketing costs also increased due to an increase of $0.7 million in certain marketing and research expenses and an increase of $0.6 million in non-cash barter expense related to timing of barter transactions.</w:t>
      </w:r>
    </w:p>
    <w:p>
      <w:pPr>
        <w:spacing w:after="0" w:line="85"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$1.3 million, or 14.6%, from $8.9 million for the first six months of 2014 to $10.2 million for the first six months of 2015 due primarily to a $1.1 million increase in personnel related expenses due primarily to an increase in salaries and related benefit costs of $0.7 million related to a more fully staffed workforce in 2015 and an increase in bonuses of $0.2 million due primarily to higher revenue and better performance against targets compared to 2014.</w:t>
      </w:r>
    </w:p>
    <w:p>
      <w:pPr>
        <w:spacing w:after="0" w:line="79"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from $5.8 million for the first six months of 2014 to $6.8 million for the first six months of 2015 due primarily to an increase in personnel expense.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jc w:val="both"/>
        <w:ind w:left="560" w:right="10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$0.6 million, or 3.8%, from $15.6 million for the first six months of 2014 to $16.2 million for the first six months of 2015. The increase was primarily due to NCM LLC founding member common unit adjustments and amortization of intangible assets related to new affiliate agreements.</w:t>
      </w:r>
    </w:p>
    <w:p>
      <w:pPr>
        <w:spacing w:after="0" w:line="73" w:lineRule="exact"/>
        <w:rPr>
          <w:sz w:val="20"/>
          <w:szCs w:val="20"/>
          <w:color w:val="auto"/>
        </w:rPr>
      </w:pPr>
    </w:p>
    <w:p>
      <w:pPr>
        <w:ind w:left="560" w:right="40"/>
        <w:spacing w:after="0" w:line="302" w:lineRule="auto"/>
        <w:rPr>
          <w:sz w:val="20"/>
          <w:szCs w:val="20"/>
          <w:color w:val="auto"/>
        </w:rPr>
      </w:pPr>
      <w:r>
        <w:rPr>
          <w:rFonts w:ascii="Arial" w:cs="Arial" w:eastAsia="Arial" w:hAnsi="Arial"/>
          <w:sz w:val="16"/>
          <w:szCs w:val="16"/>
          <w:u w:val="single" w:color="auto"/>
          <w:color w:val="auto"/>
        </w:rPr>
        <w:t>Merger termination fee and related merger costs.</w:t>
      </w:r>
      <w:r>
        <w:rPr>
          <w:rFonts w:ascii="Arial" w:cs="Arial" w:eastAsia="Arial" w:hAnsi="Arial"/>
          <w:sz w:val="16"/>
          <w:szCs w:val="16"/>
          <w:color w:val="auto"/>
        </w:rPr>
        <w:t xml:space="preserve"> The merger termination fee and related merger costs were $41.8 million for the first six months of 2015 due to the merger termination payment of approximately $26.8 million, approximately $7.5 million in primarily legal, accounting, advisory and other professional fees associated with the terminated Screenvision merger incurred during the first six months of 2015 and the payment to NCM, Inc. for the reimbursement of merger-related administrative costs of $7.5 million incurred during the year ended January 1, 2015.</w:t>
      </w:r>
    </w:p>
    <w:p>
      <w:pPr>
        <w:spacing w:after="0" w:line="154"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10.7%, from $30.7 million for the six months ended June 26, 2014 to $27.4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July 2, 2015. The following table shows the changes in non-operating expense for the six months ended July 2, 2015 and June 26, 2014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July 2,</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5"/>
              <w:spacing w:after="0" w:line="133" w:lineRule="exact"/>
              <w:rPr>
                <w:sz w:val="20"/>
                <w:szCs w:val="20"/>
                <w:color w:val="auto"/>
              </w:rPr>
            </w:pPr>
            <w:r>
              <w:rPr>
                <w:rFonts w:ascii="Arial" w:cs="Arial" w:eastAsia="Arial" w:hAnsi="Arial"/>
                <w:sz w:val="14"/>
                <w:szCs w:val="14"/>
                <w:b w:val="1"/>
                <w:bCs w:val="1"/>
                <w:color w:val="auto"/>
              </w:rPr>
              <w:t>June 26,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7"/>
              </w:rPr>
              <w:t>YTD 2015 to</w:t>
            </w:r>
          </w:p>
        </w:tc>
        <w:tc>
          <w:tcPr>
            <w:tcW w:w="16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2015 to</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YTD 2014</w:t>
            </w:r>
          </w:p>
        </w:tc>
        <w:tc>
          <w:tcPr>
            <w:tcW w:w="1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2014</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4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decrease in non-operating expense was due primarily to a $3.4 million decrease in the amortization of terminated derivatives as the amortization period ended in February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140" w:firstLine="555"/>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$19.9 million from $23.6 million for the six months ended June 26, 2014 to $3.7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2, 2015. The decrease in net income was primarily due to an increase of $41.8 million of the merger termination fee and related merger costs, as described further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Changes in the current macro-economic environment and changes in the national and local and regional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audience targeting systems that are being accelerated. We could also benefit from the effectiveness of cinema advertising relative to other advertising mediums as consumer viewing habits shift to smaller less effective mobile devices and television ratings and effectiveness as a marketing platform declines due to the time-shifting of programming and related ad-skipping associated with the increasing use of DVRs by consumers. The impact of these consumer and media market trends appear to have improved our upfront national bookings that were up approximately 100% going into 2015 (for the period from October 1, 2014 through December 31, 2015). Consistent with the television industry upfront booking practices, a portion of our upfront commitments have cancellation options that could reduce what is ultimately spent by clients that have made upfront commitments.</w:t>
      </w:r>
    </w:p>
    <w:p>
      <w:pPr>
        <w:spacing w:after="0" w:line="173" w:lineRule="exact"/>
        <w:rPr>
          <w:sz w:val="20"/>
          <w:szCs w:val="20"/>
          <w:color w:val="auto"/>
        </w:rPr>
      </w:pPr>
    </w:p>
    <w:p>
      <w:pPr>
        <w:ind w:right="160" w:firstLine="555"/>
        <w:spacing w:after="0" w:line="291" w:lineRule="auto"/>
        <w:rPr>
          <w:sz w:val="20"/>
          <w:szCs w:val="20"/>
          <w:color w:val="auto"/>
        </w:rPr>
      </w:pPr>
      <w:r>
        <w:rPr>
          <w:rFonts w:ascii="Arial" w:cs="Arial" w:eastAsia="Arial" w:hAnsi="Arial"/>
          <w:sz w:val="16"/>
          <w:szCs w:val="16"/>
          <w:color w:val="auto"/>
        </w:rPr>
        <w:t>During 2014 and thus far in 2015, we have entered into agreements with seven new affiliate theatre circuits with 406 screens. In total, these affiliate additions are expected to add approximately 15 million new attendees on a full-year pro-forma basis, which we expect will result in approximately</w:t>
      </w:r>
    </w:p>
    <w:p>
      <w:pPr>
        <w:ind w:right="40"/>
        <w:spacing w:after="0" w:line="269" w:lineRule="auto"/>
        <w:rPr>
          <w:sz w:val="20"/>
          <w:szCs w:val="20"/>
          <w:color w:val="auto"/>
        </w:rPr>
      </w:pPr>
      <w:r>
        <w:rPr>
          <w:rFonts w:ascii="Arial" w:cs="Arial" w:eastAsia="Arial" w:hAnsi="Arial"/>
          <w:sz w:val="17"/>
          <w:szCs w:val="17"/>
          <w:color w:val="auto"/>
        </w:rPr>
        <w:t>216 million new salable national advertising impressions (assuming 14 national advertising units of 30 seconds each). One of these affiliates, with 142 screens and approximately 7 million attendees, will become a part of our network in January 2016. We expect these additional attendees to provide our advertising clients a better marketing product with increased advertising impressions, improved geographic coverage and better audience targeting capabilities that is expected to expand our and our theatre circuit partner’s revenue, operating income and cash flow. Our future revenue growth could also be positively impacted by the expansion of our advertising network. We also believe that the continued growth of our market coverage ubiquity and overall number of impressions will strengthen our selling proposition and competitive positioning versus other national and local video advertising platforms, including television, online and mobile video platforms and other out-of home advertising platforms.</w:t>
      </w:r>
    </w:p>
    <w:p>
      <w:pPr>
        <w:spacing w:after="0" w:line="181"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period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industries that traditionally buy their television advertising at lower CPMs. However, during the first six months of 2015, we experienced an increase of 1.8% in national advertising CPMs (excluding beverage revenue) as a result of a 10.6% increase in CPMs during the second quarter of 2015 and an 11.1% decline in CPMs during the first quarter of 2015. This volatility in quarterly national CPMs combined with an increase in national inventory utilization reflects the success of our upfront inventory packaging strategy that created multi-flight campaigns for clients that were priced based on expected lower market demand in the first quarter of 2015 as compared to the rest of the year. As a result of this new packaging strategy and more dynamic scatter pricing that is responsive to week-to-week market demand and inventory availability, we expect our national advertising CPMs (excluding beverage) to continue to be higher during higher demand periods and lower during periods of lower demand where we have greater amounts of unsold inventory.</w:t>
      </w:r>
    </w:p>
    <w:p>
      <w:pPr>
        <w:spacing w:after="0" w:line="183" w:lineRule="exact"/>
        <w:rPr>
          <w:sz w:val="20"/>
          <w:szCs w:val="20"/>
          <w:color w:val="auto"/>
        </w:rPr>
      </w:pPr>
    </w:p>
    <w:p>
      <w:pPr>
        <w:ind w:right="60" w:firstLine="555"/>
        <w:spacing w:after="0" w:line="254"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2014 and in the first six months of 2015, we sold 60 seconds to our founding members. In December 2014, we were notified by one of our founding members that beginning in July 2015, they will reduce their beverage advertising from 60 seconds to 30 seconds to accommodate a six-month test of other in-theatre marketing activities by their beverage supplier. During the six-month test, we will have the right to sell the 30 second unit to other clients. We expect this decrease to result in a reduction in beverage revenue of approximately $2.8 million for the second half of 2015. However, we believe that given the higher inventory utilization experienced during the first six months of the year, some or all of this revenue may be replaced through the sale of national advertising to other brands who will find this premium inventory attractive. The other founding members have signed long-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40"/>
        <w:spacing w:after="0" w:line="293" w:lineRule="auto"/>
        <w:rPr>
          <w:sz w:val="20"/>
          <w:szCs w:val="20"/>
          <w:color w:val="auto"/>
        </w:rPr>
      </w:pPr>
      <w:r>
        <w:rPr>
          <w:rFonts w:ascii="Arial" w:cs="Arial" w:eastAsia="Arial" w:hAnsi="Arial"/>
          <w:sz w:val="16"/>
          <w:szCs w:val="16"/>
          <w:color w:val="auto"/>
        </w:rPr>
        <w:t xml:space="preserve">term contracts with their beverage suppliers that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beginning in 2012,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us. Due to a 14.4% decline in segment one CPMs in 2014, the CPM on our beverage concessionaire revenue declined during the first six months of 2015 by 14.4% and the remainder of 2015 will decline by an equivalent percentage.</w:t>
      </w:r>
    </w:p>
    <w:p>
      <w:pPr>
        <w:spacing w:after="0" w:line="16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July 2, 2015, 92.1% of our founding member network screens were showing advertising on digital cinema projectors and thus, the future impact on the theatre access fee rate of additional digital cinema installations in the existing founding member theatres will be minimal.</w:t>
      </w:r>
    </w:p>
    <w:p>
      <w:pPr>
        <w:spacing w:after="0" w:line="178" w:lineRule="exact"/>
        <w:rPr>
          <w:sz w:val="20"/>
          <w:szCs w:val="20"/>
          <w:color w:val="auto"/>
        </w:rPr>
      </w:pPr>
    </w:p>
    <w:p>
      <w:pPr>
        <w:ind w:right="280" w:firstLine="555"/>
        <w:spacing w:after="0" w:line="293" w:lineRule="auto"/>
        <w:rPr>
          <w:sz w:val="20"/>
          <w:szCs w:val="20"/>
          <w:color w:val="auto"/>
        </w:rPr>
      </w:pPr>
      <w:r>
        <w:rPr>
          <w:rFonts w:ascii="Arial" w:cs="Arial" w:eastAsia="Arial" w:hAnsi="Arial"/>
          <w:sz w:val="16"/>
          <w:szCs w:val="16"/>
          <w:color w:val="auto"/>
        </w:rPr>
        <w:t>During 2015, we reduced the length of our content partner entertainment programming segments from two and a half minutes to two minutes in content partner agreements representing about 50% of our FirstLook preshow impressions. During 2016, the remainder of our content partner agreements will also only provide for two minute entertainment content segments. The reduction in the length of all of our FirstLook content partner entertainment segments from two and one half minutes to two minutes in will provide two additional 30 second national units and one additional local or regional advertising unit for us to sell across approximately 50% of our network impressions in 2015 and 100% in 2016. This addition salable national, local and regional FirstLook preshow inventory could allow us to increase our future advertising revenue provided that there is adequate market demand.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by over six years. The average remaining maturity is 5.8 years as of July 2, 2015. As of July 2, 2015, approximately 64% of our total borrowings bear interest at fixed rates. The remaining 36% of our borrowings bear interest at variable rates and as such, our net income could fluctuate with interest rate fluctuations related to our borrowings. Refer to Note 4—</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 regarding the Company’s borrowings.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16, 2015, NCM, Inc. announced the termination of the Merger Agreement with Screenvision. After the Merger Agreement was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NCM LLC reimbursed NCM, Inc. for certain expenses pursuant to an indemnification agreement among NCM LLC, NCM, Inc. and the founding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members. On March 17, 2015, the Company paid Screenvision an approximate $26.8 million termination payment on behalf of NCM, Inc. This payment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million lower than the reverse termination fee contemplated by the Merger Agreement. During the six months ended July 2, 2015, the Company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either paid directly or reimbursed NCM, Inc. for the legal and other merger-related costs of approximately $15.0 million ($7.5 million incurred by NCM,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January 1, 2015 and approximately $7.5 million incurred by NCM LLC during the six months ended July 2, 2015). NCM, Inc.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founding members each bore a pro rata portion of the termination fee and the related merger expenses based on their aggregate ownership percentages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NCM LLC. We do not expect to incur additional material expenses related to the terminated merger.</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In accordance with our Common Unit Adjustment Agreement with our founding members, on an annual basis we determine the amount of common membership units to be issued to or returned by the founding members based on theatre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120"/>
        <w:spacing w:after="0" w:line="259" w:lineRule="auto"/>
        <w:rPr>
          <w:sz w:val="20"/>
          <w:szCs w:val="20"/>
          <w:color w:val="auto"/>
        </w:rPr>
      </w:pPr>
      <w:r>
        <w:rPr>
          <w:rFonts w:ascii="Arial" w:cs="Arial" w:eastAsia="Arial" w:hAnsi="Arial"/>
          <w:sz w:val="18"/>
          <w:szCs w:val="18"/>
          <w:color w:val="auto"/>
        </w:rPr>
        <w:t>additions or dispositions during the previous year. During the first quarter of 2015 and 2014, we issued 2,160,915 and 1,087,911 common membership units to our founding members, respectively, for the rights to exclusive access to the theatre screens and attendees added, net of dispositions by the founding members to our network during the previous year. We recorded a net intangible asset of $31.4 million and $16.4 million during the first quarter of 2015 and 2014, respectively, as a result of the Common Unit Adjustments.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77"/>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Change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July 2,</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89"/>
              </w:rPr>
              <w:t>June 26,</w:t>
            </w: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Q2 2015 to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Q2 2015 to</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 2014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Q2 2014</w:t>
            </w: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liquidity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80" w:right="60" w:hanging="572"/>
        <w:spacing w:after="0" w:line="264" w:lineRule="auto"/>
        <w:tabs>
          <w:tab w:leader="none" w:pos="58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is $135.0 million.</w:t>
      </w:r>
    </w:p>
    <w:p>
      <w:pPr>
        <w:spacing w:after="0" w:line="18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The $47.7 million decrease in liquidity as of July 2, 2015, compared to June 26, 2014, was due primarily to the funding of the merger termination fee of $26.8 million during the first three months of 2015 and related merger costs of approximately $15.0 million ($7.5 million incurred by NCM, Inc. during the year ended January 1, 2015 and approximately $7.5 million incurred by NCM LLC during the six months ended July 2, 2015). The decrease in liquidity was also a result of the maturity of $14.0 million of the revolving credit facility in December 2014, for which the Company paid the balance in full, thus decreasing the capacity under the revolving credit facility to $135.0 million from $149.0 million. Pursuant to the NCM LLC Operating Agreement, the $25.5 million negative available cash distribution calculation for the first quarter of 2015 will be netted against the available cash distributions for the second quarter of 2016 (to be paid in the third quarter of 2016). As such, the revolving credit facility borrowings related to these remaining merger costs are expected to be repaid at that time.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1"/>
              </w:rPr>
              <w:t>July 2, 2015</w:t>
            </w:r>
          </w:p>
        </w:tc>
        <w:tc>
          <w:tcPr>
            <w:tcW w:w="4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26, 2014</w:t>
            </w:r>
          </w:p>
        </w:tc>
        <w:tc>
          <w:tcPr>
            <w:tcW w:w="100" w:type="dxa"/>
            <w:vAlign w:val="bottom"/>
          </w:tcPr>
          <w:p>
            <w:pPr>
              <w:spacing w:after="0"/>
              <w:rPr>
                <w:sz w:val="13"/>
                <w:szCs w:val="13"/>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Investing cash flow</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560" w:type="dxa"/>
            <w:vAlign w:val="bottom"/>
            <w:gridSpan w:val="2"/>
          </w:tcPr>
          <w:p>
            <w:pPr>
              <w:jc w:val="right"/>
              <w:ind w:right="36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w:t>
            </w:r>
          </w:p>
        </w:tc>
        <w:tc>
          <w:tcPr>
            <w:tcW w:w="56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(58.5)</w:t>
            </w:r>
          </w:p>
        </w:tc>
      </w:tr>
    </w:tbl>
    <w:p>
      <w:pPr>
        <w:spacing w:after="0" w:line="198" w:lineRule="exact"/>
        <w:rPr>
          <w:sz w:val="20"/>
          <w:szCs w:val="20"/>
          <w:color w:val="auto"/>
        </w:rPr>
      </w:pPr>
    </w:p>
    <w:p>
      <w:pPr>
        <w:ind w:left="1620" w:right="200" w:hanging="504"/>
        <w:spacing w:after="0" w:line="298"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$37.7 million decrease in cash provided by operating activities for the six months ended July 2, 2015</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six months ended June 26, 2014 was due primarily to the $22.9 million lower change in accounts receivable period over period primarily due to higher revenue and timing of collections in the period and a $19.9 million decrease in net income, primarily related to the Screenvision merger termination fee and related merger costs, as described further above, partially offset by a $10.5 million decrease in accounts payable and accrued expenses period over period primarily due to the timing of payments.</w:t>
      </w:r>
    </w:p>
    <w:p>
      <w:pPr>
        <w:spacing w:after="0" w:line="46" w:lineRule="exact"/>
        <w:rPr>
          <w:rFonts w:ascii="Arial" w:cs="Arial" w:eastAsia="Arial" w:hAnsi="Arial"/>
          <w:sz w:val="16"/>
          <w:szCs w:val="16"/>
          <w:color w:val="auto"/>
        </w:rPr>
      </w:pPr>
    </w:p>
    <w:p>
      <w:pPr>
        <w:ind w:left="1620" w:right="180" w:hanging="504"/>
        <w:spacing w:after="0" w:line="282"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$0.0 million increase in cash used in investing activities for the six months ended July 2, 2015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June 26, 2014 was due to an increase of $0.4 million 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left="1620" w:right="100"/>
        <w:spacing w:after="0" w:line="277" w:lineRule="auto"/>
        <w:rPr>
          <w:sz w:val="20"/>
          <w:szCs w:val="20"/>
          <w:color w:val="auto"/>
        </w:rPr>
      </w:pPr>
      <w:r>
        <w:rPr>
          <w:rFonts w:ascii="Arial" w:cs="Arial" w:eastAsia="Arial" w:hAnsi="Arial"/>
          <w:sz w:val="18"/>
          <w:szCs w:val="18"/>
          <w:color w:val="auto"/>
        </w:rPr>
        <w:t>affiliate payments for the up-front fees paid upon commencement of network affiliate agreements, offset by a decrease of $0.4 million of purchases of property, plant and equipment.</w:t>
      </w:r>
    </w:p>
    <w:p>
      <w:pPr>
        <w:spacing w:after="0" w:line="58" w:lineRule="exact"/>
        <w:rPr>
          <w:sz w:val="20"/>
          <w:szCs w:val="20"/>
          <w:color w:val="auto"/>
        </w:rPr>
      </w:pPr>
    </w:p>
    <w:p>
      <w:pPr>
        <w:ind w:left="1620" w:right="160" w:hanging="504"/>
        <w:spacing w:after="0" w:line="30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The $43.1 million decrease in cash used in financing activities during the six months ended July 2, 2015</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six months ended June 26, 2014 was due primarily to an increase in proceeds from borrowings, net of repayments of $34.0 million due to higher borrowings on the revolving credit facility to pay the Screenvision merger termination fee and related merger costs, as described above and a decrease in distributions to NCM LLC’s founding members of $8.5 million.</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will be netted against available cash distributions for the second quarter of 2016, which will be paid in the third quarter of 2016. The available cash distribution to the members of NCM LLC for the three months ended July 2, 2015 (which will be made during the third quarter of 2015) was approximately $45.8 million.</w:t>
      </w:r>
    </w:p>
    <w:p>
      <w:pPr>
        <w:spacing w:after="0" w:line="178"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We expect to make $13.0 million to $15.0 million of capital expenditures in fiscal 2015. This increase of $2.0 million to $3.0 million from our initial estimates is primarily related to an acceleration of the development of our management systems, including upgrades to our digital content software distribution and content management software and our proposal, inventory and audience targeting management systems. Our total capital expenditure projections also include investments in reporting systems, server and storage upgrades, software licensing, our internet site and network equipment related to currently contracted network affiliate theatres.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January 1, 2015 and incorporated by reference herein. As of July 2, 2015,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January 1, 2015 and incorporated by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1" w:name="page32"/>
    <w:bookmarkEnd w:id="31"/>
    <w:p>
      <w:pPr>
        <w:ind w:right="540"/>
        <w:spacing w:after="0" w:line="277" w:lineRule="auto"/>
        <w:rPr>
          <w:sz w:val="20"/>
          <w:szCs w:val="20"/>
          <w:color w:val="auto"/>
        </w:rPr>
      </w:pPr>
      <w:r>
        <w:rPr>
          <w:rFonts w:ascii="Arial" w:cs="Arial" w:eastAsia="Arial" w:hAnsi="Arial"/>
          <w:sz w:val="18"/>
          <w:szCs w:val="18"/>
          <w:color w:val="auto"/>
        </w:rPr>
        <w:t>reference herein. We do not believe these arrangements are material to our current or future financial condition, results of operations, liquidity, capital resources or capital expenditures.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July 2,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2011, 2012 2013 and 2014.</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27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26.2%</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27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FF0FC"/>
            </w:tcBorders>
          </w:tcPr>
          <w:p>
            <w:pPr>
              <w:spacing w:after="0"/>
              <w:rPr>
                <w:sz w:val="14"/>
                <w:szCs w:val="14"/>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FY 2013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Senior Unsecured Notes and the Senior Secured Notes are at fixed rates, and therefore are not subject to market risk. As of July 2, 2015, the only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$3.4 million for an annual period on the $65.0 million revolving credit balance and $270.0 million term loan outstanding as of July 2, 2015. For a discussion of market risks, see Item 7A. “Quantitative and Qualitative Disclosures About Market Risk” contained in our annual report on Form 10-K for the fiscal year ended January 1, 2015 and incorporated by reference herein.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July 2, 2015,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July 2, 2015 were effective.</w:t>
      </w:r>
    </w:p>
    <w:p>
      <w:pPr>
        <w:spacing w:after="0" w:line="179"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July 2, 2015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There have been no material changes from risk factors as previously disclosed in our annual report on Form 10-K filed with the SEC on March 10, 2015 for the fiscal year ended January 1, 2015. However, on March 16, 2015, NCM, Inc. announced the termination of the Merger Agreement, as described in Note 1 –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this Form 10-Q and the Company believes the merger-related risk factors in the Form 10-K are no longer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ind w:left="5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500"/>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11, 2015</w:t>
            </w:r>
          </w:p>
        </w:tc>
        <w:tc>
          <w:tcPr>
            <w:tcW w:w="6100" w:type="dxa"/>
            <w:vAlign w:val="bottom"/>
          </w:tcPr>
          <w:p>
            <w:pPr>
              <w:spacing w:after="0"/>
              <w:rPr>
                <w:sz w:val="20"/>
                <w:szCs w:val="20"/>
                <w:color w:val="auto"/>
              </w:rPr>
            </w:pPr>
            <w:r>
              <w:rPr>
                <w:rFonts w:ascii="Arial" w:cs="Arial" w:eastAsia="Arial" w:hAnsi="Arial"/>
                <w:sz w:val="18"/>
                <w:szCs w:val="18"/>
                <w:color w:val="auto"/>
              </w:rPr>
              <w:t>/s/ Kurt C. Hall</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Kurt C. Hall</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11, 2015</w:t>
            </w:r>
          </w:p>
        </w:tc>
        <w:tc>
          <w:tcPr>
            <w:tcW w:w="6100" w:type="dxa"/>
            <w:vAlign w:val="bottom"/>
          </w:tcPr>
          <w:p>
            <w:pPr>
              <w:spacing w:after="0"/>
              <w:rPr>
                <w:sz w:val="20"/>
                <w:szCs w:val="20"/>
                <w:color w:val="auto"/>
              </w:rPr>
            </w:pPr>
            <w:r>
              <w:rPr>
                <w:rFonts w:ascii="Arial" w:cs="Arial" w:eastAsia="Arial" w:hAnsi="Arial"/>
                <w:sz w:val="18"/>
                <w:szCs w:val="18"/>
                <w:color w:val="auto"/>
              </w:rPr>
              <w:t>/s/ David J. Oddo</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Oddo</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w w:val="96"/>
              </w:rPr>
              <w:t>Senior Vice President, Finance and Interim Co-Chief Financial Officer (Principal</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11, 2015</w:t>
            </w:r>
          </w:p>
        </w:tc>
        <w:tc>
          <w:tcPr>
            <w:tcW w:w="6100" w:type="dxa"/>
            <w:vAlign w:val="bottom"/>
          </w:tcPr>
          <w:p>
            <w:pPr>
              <w:spacing w:after="0"/>
              <w:rPr>
                <w:sz w:val="20"/>
                <w:szCs w:val="20"/>
                <w:color w:val="auto"/>
              </w:rPr>
            </w:pPr>
            <w:r>
              <w:rPr>
                <w:rFonts w:ascii="Arial" w:cs="Arial" w:eastAsia="Arial" w:hAnsi="Arial"/>
                <w:sz w:val="18"/>
                <w:szCs w:val="18"/>
                <w:color w:val="auto"/>
              </w:rPr>
              <w:t>/s/ Jeffrey T. Cabot</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T. Cabot</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w w:val="93"/>
              </w:rPr>
              <w:t>Senior Vice President, Controller and Interim Co-Chief Financial Officer (Principal</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225" w:lineRule="exact"/>
        <w:rPr>
          <w:sz w:val="20"/>
          <w:szCs w:val="20"/>
          <w:color w:val="auto"/>
        </w:rPr>
      </w:pPr>
    </w:p>
    <w:p>
      <w:pPr>
        <w:ind w:left="700" w:hanging="17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2015</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700" w:hanging="17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2015</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July 2, 2015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11, 2015</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July 2, 2015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11, 2015</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2019-12-29T17:05:24Z</dcterms:created>
  <dcterms:modified xsi:type="dcterms:W3CDTF">2019-12-29T17:05:24Z</dcterms:modified>
</cp:coreProperties>
</file>