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National CineMedia,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080" w:type="dxa"/>
        <w:tblCellMar>
          <w:top w:w="0" w:type="dxa"/>
          <w:left w:w="0" w:type="dxa"/>
          <w:bottom w:w="0" w:type="dxa"/>
          <w:right w:w="0" w:type="dxa"/>
        </w:tblCellMar>
      </w:tblPr>
      <w:tr>
        <w:trPr>
          <w:trHeight w:val="222"/>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2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001-33296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20-5665602</w:t>
            </w:r>
          </w:p>
        </w:tc>
      </w:tr>
      <w:tr>
        <w:trPr>
          <w:trHeight w:val="149"/>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20" w:type="dxa"/>
            <w:vAlign w:val="bottom"/>
          </w:tcPr>
          <w:p>
            <w:pPr>
              <w:jc w:val="center"/>
              <w:ind w:right="28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2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6300 S. Syracuse Way, Suite 300</w:t>
            </w:r>
          </w:p>
        </w:tc>
        <w:tc>
          <w:tcPr>
            <w:tcW w:w="32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8"/>
                <w:szCs w:val="18"/>
                <w:b w:val="1"/>
                <w:bCs w:val="1"/>
                <w:color w:val="auto"/>
                <w:w w:val="99"/>
              </w:rPr>
              <w:t>Centennial, Colorado</w:t>
            </w:r>
          </w:p>
        </w:tc>
        <w:tc>
          <w:tcPr>
            <w:tcW w:w="322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80111</w:t>
            </w:r>
          </w:p>
        </w:tc>
      </w:tr>
      <w:tr>
        <w:trPr>
          <w:trHeight w:val="178"/>
        </w:trPr>
        <w:tc>
          <w:tcPr>
            <w:tcW w:w="3120" w:type="dxa"/>
            <w:vAlign w:val="bottom"/>
          </w:tcPr>
          <w:p>
            <w:pPr>
              <w:jc w:val="center"/>
              <w:ind w:right="56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2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792-3600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NCMI</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17, 2025, National CineMedia, LLC issued a press release announcing it recently completed the acquisition (the “Acquisition”) of Spotlight Cinema Networks, LLC (“Spotlight”). A copy of the press release is included as Exhibit 99.1 to this Current Report on Form 8-K and is incorporated herein solely for purposes of this Item 7.01 disclosure.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shall not be deemed “filed” for purposes of Section 18 of the Securities Exchange Act of 1934, as amended, nor shall it be deemed incorporated by reference in any filing under the Securities Act of 1933, as amended, except as shall be expressly set forth by reference to such filing.</w:t>
      </w:r>
    </w:p>
    <w:p>
      <w:pPr>
        <w:spacing w:after="0" w:line="17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(d)Exhibits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22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0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Press Release of National CineMedia, Inc., November 17, 2025</w:t>
            </w:r>
          </w:p>
        </w:tc>
      </w:tr>
      <w:tr>
        <w:trPr>
          <w:trHeight w:val="20"/>
        </w:trPr>
        <w:tc>
          <w:tcPr>
            <w:tcW w:w="88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700" w:type="dxa"/>
            <w:vAlign w:val="bottom"/>
            <w:tcBorders>
              <w:right w:val="single" w:sz="8" w:color="0000EE"/>
            </w:tcBorders>
            <w:shd w:val="clear" w:color="auto" w:fill="0000FF"/>
          </w:tcPr>
          <w:p>
            <w:pPr>
              <w:spacing w:after="0" w:line="20" w:lineRule="exact"/>
              <w:rPr>
                <w:sz w:val="1"/>
                <w:szCs w:val="1"/>
                <w:color w:val="auto"/>
              </w:rPr>
            </w:pPr>
          </w:p>
        </w:tc>
      </w:tr>
    </w:tbl>
    <w:p>
      <w:pPr>
        <w:spacing w:after="0" w:line="36" w:lineRule="exact"/>
        <w:rPr>
          <w:sz w:val="20"/>
          <w:szCs w:val="20"/>
          <w:color w:val="auto"/>
        </w:rPr>
      </w:pPr>
    </w:p>
    <w:p>
      <w:pPr>
        <w:ind w:left="1280" w:hanging="1259"/>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89"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NATIONAL CINEMEDIA,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17,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Ronnie Y. 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Ronnie Y. Ng</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2874010</wp:posOffset>
            </wp:positionH>
            <wp:positionV relativeFrom="page">
              <wp:posOffset>637540</wp:posOffset>
            </wp:positionV>
            <wp:extent cx="1808480" cy="8915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808480"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line="273" w:lineRule="auto"/>
        <w:rPr>
          <w:sz w:val="20"/>
          <w:szCs w:val="20"/>
          <w:color w:val="auto"/>
        </w:rPr>
      </w:pPr>
      <w:r>
        <w:rPr>
          <w:rFonts w:ascii="Times New Roman" w:cs="Times New Roman" w:eastAsia="Times New Roman" w:hAnsi="Times New Roman"/>
          <w:sz w:val="20"/>
          <w:szCs w:val="20"/>
          <w:b w:val="1"/>
          <w:bCs w:val="1"/>
          <w:color w:val="auto"/>
        </w:rPr>
        <w:t>National CineMedia, Inc. Announces Strategic Acquisition of Spotlight Cinema Networks to Enhance Advertising Network and Expand Reach Among Luxury Audiences</w:t>
      </w:r>
    </w:p>
    <w:p>
      <w:pPr>
        <w:spacing w:after="0" w:line="44"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i w:val="1"/>
          <w:iCs w:val="1"/>
          <w:color w:val="auto"/>
        </w:rPr>
        <w:t>Acquisition increases NCM’s national market share by approximately 6% and expands theater presence in the critical New York and Los Angeles markets by 30%</w:t>
      </w:r>
    </w:p>
    <w:p>
      <w:pPr>
        <w:spacing w:after="0" w:line="4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Centennial, Colo. - </w:t>
      </w:r>
      <w:r>
        <w:rPr>
          <w:rFonts w:ascii="Times New Roman" w:cs="Times New Roman" w:eastAsia="Times New Roman" w:hAnsi="Times New Roman"/>
          <w:sz w:val="20"/>
          <w:szCs w:val="20"/>
          <w:color w:val="auto"/>
        </w:rPr>
        <w:t>November 17, 2025 - National CineMedia, Inc. (NASDAQ: NCMI) (the “Company” or “NCM”), the managing member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National CineMedia, LLC (NCM LLC), the operator of the largest cinema advertising platform in the U.S., today announced that it has acquired Spotlight Cinema Networks (“Spotlight”), the only U.S. cinema advertising company dedicated to serving art house, luxury, and dine-in exhibitors.</w:t>
      </w:r>
    </w:p>
    <w:p>
      <w:pPr>
        <w:spacing w:after="0" w:line="72" w:lineRule="exact"/>
        <w:rPr>
          <w:sz w:val="20"/>
          <w:szCs w:val="20"/>
          <w:color w:val="auto"/>
        </w:rPr>
      </w:pPr>
    </w:p>
    <w:p>
      <w:pPr>
        <w:ind w:right="280"/>
        <w:spacing w:after="0" w:line="245" w:lineRule="auto"/>
        <w:rPr>
          <w:sz w:val="20"/>
          <w:szCs w:val="20"/>
          <w:color w:val="auto"/>
        </w:rPr>
      </w:pPr>
      <w:r>
        <w:rPr>
          <w:rFonts w:ascii="Times New Roman" w:cs="Times New Roman" w:eastAsia="Times New Roman" w:hAnsi="Times New Roman"/>
          <w:sz w:val="20"/>
          <w:szCs w:val="20"/>
          <w:color w:val="auto"/>
        </w:rPr>
        <w:t>The acquisition of Spotlight adds high-scale luxury screens and exhibitors that offer unique and engaging customer experiences to NCM’s platform, unlocking new advertising and preshow entertainment inventory across theaters nationwide. Spotlight’s exhibitor partners, including Cinépolis Luxury Cinema, Landmark Theatres, Flix Brewhouse, and LOOK Dine-In Cinemas, complement NCM’s national theater network and extend NCM’s reach among culturally engaged premium audiences. The addition of Spotlight’s footprint increases NCM’s national market share by approximately 6% and expands its theater presence by 30% in the critical New York and Los Angeles markets.</w:t>
      </w:r>
    </w:p>
    <w:p>
      <w:pPr>
        <w:spacing w:after="0" w:line="13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acquisition of Spotlight Cinema Networks strengthens our network and expands access to luxury audiences, enhancing the value of our platform for premium advertisers,” said Tom Lesinski, Chief Executive Officer of NCM. “With our differentiated targeting and measurement capabilities, we are well-positioned to unlock the full value of Spotlight’s inventory, capture new revenue opportunities, and advance our leadership in the cinema advertising marketplace.”</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NCM expects to realize the full run-rate synergies over the course of 2026. On a pro forma basis, the transaction is expected to be accretive to shareholders, with a purchase multiple of 4.5x pro forma EBITDA. This underscores the Company’s disciplined approach to capital allocation and management’s commitment to delivering long-term shareholder value.</w:t>
      </w:r>
    </w:p>
    <w:p>
      <w:pPr>
        <w:spacing w:after="0" w:line="14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This transaction is aligned with NCM’s long-term growth strategy and supports near-term priorities, including reinforcing the Company’s commitment to strategic investment and sustainable growth.</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National CineMedia, Inc.</w:t>
      </w:r>
    </w:p>
    <w:p>
      <w:pPr>
        <w:spacing w:after="0" w:line="11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 xml:space="preserve">National CineMedia, Inc. (NCM, </w:t>
      </w:r>
      <w:r>
        <w:rPr>
          <w:rFonts w:ascii="Times New Roman" w:cs="Times New Roman" w:eastAsia="Times New Roman" w:hAnsi="Times New Roman"/>
          <w:sz w:val="19"/>
          <w:szCs w:val="19"/>
          <w:u w:val="single" w:color="auto"/>
          <w:color w:val="auto"/>
        </w:rPr>
        <w:t>NASDAQ:NCMI</w:t>
      </w:r>
      <w:r>
        <w:rPr>
          <w:rFonts w:ascii="Times New Roman" w:cs="Times New Roman" w:eastAsia="Times New Roman" w:hAnsi="Times New Roman"/>
          <w:sz w:val="19"/>
          <w:szCs w:val="19"/>
          <w:color w:val="auto"/>
        </w:rPr>
        <w:t xml:space="preserve">)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NCM’s </w:t>
      </w:r>
      <w:r>
        <w:rPr>
          <w:rFonts w:ascii="Times New Roman" w:cs="Times New Roman" w:eastAsia="Times New Roman" w:hAnsi="Times New Roman"/>
          <w:sz w:val="19"/>
          <w:szCs w:val="19"/>
          <w:i w:val="1"/>
          <w:iCs w:val="1"/>
          <w:color w:val="auto"/>
        </w:rPr>
        <w:t>Noovie®</w:t>
      </w:r>
      <w:r>
        <w:rPr>
          <w:rFonts w:ascii="Times New Roman" w:cs="Times New Roman" w:eastAsia="Times New Roman" w:hAnsi="Times New Roman"/>
          <w:sz w:val="19"/>
          <w:szCs w:val="19"/>
          <w:color w:val="auto"/>
        </w:rPr>
        <w:t xml:space="preserve"> Show is presented exclusively in 42 leading national and regional theater circuits including the only three national chains, AMC Entertainment Inc. (NYSE:AMC), Cinemark Holdings, Inc. (NYSE:CNK) and Regal Entertainment Group (a subsidiary of Cineworld Group PLC). NCM’s cinema advertising platform consists of more than 17,500 screens in over 1,350 theaters in 184 Designated Market Areas® (all of the top 50). NCM is the managing member and owner of 100% of National CineMedia, LLC (NCM LLC). For more information, visit www.ncm.com.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08" w:lineRule="exact"/>
        <w:rPr>
          <w:sz w:val="20"/>
          <w:szCs w:val="20"/>
          <w:color w:val="auto"/>
        </w:rPr>
      </w:pPr>
    </w:p>
    <w:p>
      <w:pPr>
        <w:jc w:val="both"/>
        <w:ind w:firstLine="57"/>
        <w:spacing w:after="0" w:line="245" w:lineRule="auto"/>
        <w:rPr>
          <w:sz w:val="20"/>
          <w:szCs w:val="20"/>
          <w:color w:val="auto"/>
        </w:rPr>
      </w:pPr>
      <w:r>
        <w:rPr>
          <w:rFonts w:ascii="Times New Roman" w:cs="Times New Roman" w:eastAsia="Times New Roman" w:hAnsi="Times New Roman"/>
          <w:sz w:val="20"/>
          <w:szCs w:val="20"/>
          <w:i w:val="1"/>
          <w:iCs w:val="1"/>
          <w:color w:val="auto"/>
        </w:rPr>
        <w:t>This press release contains various forward-looking statements, within the meaning of Section 27A of the Securities Act and Section 21E of the Securities Exchange Act of 1934, that reflect management’s current expectations or beliefs regarding, among other things, the acquisition of Spotlight, potential cost and revenue synergies, and NCM’s future prospects. Forward-looking statements are subject to a number of important factors, risks, uncertainties and assumptions that could cause actual results to differ materially from those described in any forward-looking statements. Please refer to National CineMedia, Inc.’s (“NCM, Inc.”) Securities and Exchange Commission filings, including the “Risk Factor” section of the NCM Inc.’s Annual Report on Form 10-K for the year ended December 26, 2024 and subsequent Quarterly Reports on Form 10-Q, for further information about risks and uncertainties that could cause actual results to differ</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6" w:lineRule="auto"/>
        <w:rPr>
          <w:sz w:val="20"/>
          <w:szCs w:val="20"/>
          <w:color w:val="auto"/>
        </w:rPr>
      </w:pPr>
      <w:r>
        <w:rPr>
          <w:rFonts w:ascii="Times New Roman" w:cs="Times New Roman" w:eastAsia="Times New Roman" w:hAnsi="Times New Roman"/>
          <w:sz w:val="20"/>
          <w:szCs w:val="20"/>
          <w:i w:val="1"/>
          <w:iCs w:val="1"/>
          <w:color w:val="auto"/>
        </w:rPr>
        <w:t>materially. Investors are cautioned that reliance on these forward-looking statements involves risks and uncertainties. NCM undertakes no obligation to update any forward-looking statement, whether as a result, of new information, future events or otherwise, except as required by law.</w:t>
      </w:r>
    </w:p>
    <w:p>
      <w:pPr>
        <w:spacing w:after="0" w:line="142" w:lineRule="exact"/>
        <w:rPr>
          <w:sz w:val="20"/>
          <w:szCs w:val="20"/>
          <w:color w:val="auto"/>
        </w:rPr>
      </w:pPr>
    </w:p>
    <w:p>
      <w:pPr>
        <w:ind w:left="2820"/>
        <w:spacing w:after="0"/>
        <w:tabs>
          <w:tab w:leader="none" w:pos="5900" w:val="left"/>
        </w:tabs>
        <w:rPr>
          <w:sz w:val="20"/>
          <w:szCs w:val="20"/>
          <w:color w:val="auto"/>
        </w:rPr>
      </w:pPr>
      <w:r>
        <w:rPr>
          <w:rFonts w:ascii="Times New Roman" w:cs="Times New Roman" w:eastAsia="Times New Roman" w:hAnsi="Times New Roman"/>
          <w:sz w:val="20"/>
          <w:szCs w:val="20"/>
          <w:b w:val="1"/>
          <w:bCs w:val="1"/>
          <w:i w:val="1"/>
          <w:iCs w:val="1"/>
          <w:color w:val="auto"/>
        </w:rPr>
        <w:t>INVESTOR CONTACT:</w:t>
      </w:r>
      <w:r>
        <w:rPr>
          <w:sz w:val="20"/>
          <w:szCs w:val="20"/>
          <w:color w:val="auto"/>
        </w:rPr>
        <w:tab/>
      </w:r>
      <w:r>
        <w:rPr>
          <w:rFonts w:ascii="Times New Roman" w:cs="Times New Roman" w:eastAsia="Times New Roman" w:hAnsi="Times New Roman"/>
          <w:sz w:val="19"/>
          <w:szCs w:val="19"/>
          <w:b w:val="1"/>
          <w:bCs w:val="1"/>
          <w:i w:val="1"/>
          <w:iCs w:val="1"/>
          <w:color w:val="auto"/>
        </w:rPr>
        <w:t>MEDIA CONTACT:</w:t>
      </w:r>
    </w:p>
    <w:p>
      <w:pPr>
        <w:spacing w:after="0" w:line="9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Chan Park</w:t>
      </w:r>
    </w:p>
    <w:p>
      <w:pPr>
        <w:spacing w:after="0" w:line="94" w:lineRule="exact"/>
        <w:rPr>
          <w:sz w:val="20"/>
          <w:szCs w:val="20"/>
          <w:color w:val="auto"/>
        </w:rPr>
      </w:pPr>
    </w:p>
    <w:p>
      <w:pPr>
        <w:ind w:left="2820"/>
        <w:spacing w:after="0"/>
        <w:tabs>
          <w:tab w:leader="none" w:pos="5900" w:val="left"/>
        </w:tabs>
        <w:rPr>
          <w:sz w:val="20"/>
          <w:szCs w:val="20"/>
          <w:color w:val="auto"/>
        </w:rPr>
      </w:pPr>
      <w:r>
        <w:rPr>
          <w:rFonts w:ascii="Times New Roman" w:cs="Times New Roman" w:eastAsia="Times New Roman" w:hAnsi="Times New Roman"/>
          <w:sz w:val="20"/>
          <w:szCs w:val="20"/>
          <w:color w:val="auto"/>
        </w:rPr>
        <w:t>investors@ncm.com</w:t>
      </w:r>
      <w:r>
        <w:rPr>
          <w:sz w:val="20"/>
          <w:szCs w:val="20"/>
          <w:color w:val="auto"/>
        </w:rPr>
        <w:tab/>
      </w:r>
      <w:r>
        <w:rPr>
          <w:rFonts w:ascii="Times New Roman" w:cs="Times New Roman" w:eastAsia="Times New Roman" w:hAnsi="Times New Roman"/>
          <w:sz w:val="20"/>
          <w:szCs w:val="20"/>
          <w:color w:val="auto"/>
        </w:rPr>
        <w:t>press@ncm.com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2025-11-17T07:19:49Z</dcterms:created>
  <dcterms:modified xsi:type="dcterms:W3CDTF">2025-11-17T07:19:49Z</dcterms:modified>
</cp:coreProperties>
</file>