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Arial" w:cs="Arial" w:eastAsia="Arial" w:hAnsi="Arial"/>
          <w:sz w:val="18"/>
          <w:szCs w:val="18"/>
          <w:b w:val="1"/>
          <w:bCs w:val="1"/>
          <w:color w:val="auto"/>
        </w:rPr>
        <w:t>As filed with the United States Securities and Exchange Commission on August 4, 2011</w:t>
      </w:r>
    </w:p>
    <w:p>
      <w:pPr>
        <w:spacing w:after="0" w:line="21"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-17780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4040" w:type="dxa"/>
            <w:vAlign w:val="bottom"/>
          </w:tcPr>
          <w:p>
            <w:pPr>
              <w:jc w:val="center"/>
              <w:ind w:right="2186"/>
              <w:spacing w:after="0"/>
              <w:rPr>
                <w:sz w:val="20"/>
                <w:szCs w:val="20"/>
                <w:color w:val="auto"/>
              </w:rPr>
            </w:pPr>
            <w:r>
              <w:rPr>
                <w:rFonts w:ascii="Arial" w:cs="Arial" w:eastAsia="Arial" w:hAnsi="Arial"/>
                <w:sz w:val="18"/>
                <w:szCs w:val="18"/>
                <w:b w:val="1"/>
                <w:bCs w:val="1"/>
                <w:color w:val="auto"/>
                <w:w w:val="88"/>
              </w:rPr>
              <w:t>Delaware</w:t>
            </w:r>
          </w:p>
        </w:tc>
        <w:tc>
          <w:tcPr>
            <w:tcW w:w="3300" w:type="dxa"/>
            <w:vAlign w:val="bottom"/>
          </w:tcPr>
          <w:p>
            <w:pPr>
              <w:jc w:val="center"/>
              <w:ind w:left="2186"/>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040" w:type="dxa"/>
            <w:vAlign w:val="bottom"/>
          </w:tcPr>
          <w:p>
            <w:pPr>
              <w:jc w:val="center"/>
              <w:ind w:right="21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300" w:type="dxa"/>
            <w:vAlign w:val="bottom"/>
          </w:tcPr>
          <w:p>
            <w:pPr>
              <w:jc w:val="center"/>
              <w:ind w:left="218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04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incorporation or organization)</w:t>
            </w:r>
          </w:p>
        </w:tc>
        <w:tc>
          <w:tcPr>
            <w:tcW w:w="3300" w:type="dxa"/>
            <w:vAlign w:val="bottom"/>
          </w:tcPr>
          <w:p>
            <w:pPr>
              <w:jc w:val="center"/>
              <w:ind w:left="2186"/>
              <w:spacing w:after="0"/>
              <w:rPr>
                <w:sz w:val="20"/>
                <w:szCs w:val="20"/>
                <w:color w:val="auto"/>
              </w:rPr>
            </w:pPr>
            <w:r>
              <w:rPr>
                <w:rFonts w:ascii="Arial" w:cs="Arial" w:eastAsia="Arial" w:hAnsi="Arial"/>
                <w:sz w:val="14"/>
                <w:szCs w:val="14"/>
                <w:b w:val="1"/>
                <w:bCs w:val="1"/>
                <w:color w:val="auto"/>
                <w:w w:val="87"/>
              </w:rPr>
              <w:t>Identification No.)</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9110 E. Nichols Ave.,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Centennial, Colorado 80112-3405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792-3600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Ralph E. Hardy,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9110 E. Nichols Ave.,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Centennial, Colorado 80112-3405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792-3600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 Dean Salter,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Mashenka Lundberg,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Holme Roberts &amp; Owen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1700 Lincoln Street, Suite 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Denver, Colorado 80203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861-7000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 as determined by market conditions.</w:t>
      </w:r>
    </w:p>
    <w:p>
      <w:pPr>
        <w:spacing w:after="0" w:line="132"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20" w:type="dxa"/>
            <w:vAlign w:val="bottom"/>
          </w:tcPr>
          <w:p>
            <w:pPr>
              <w:ind w:left="540"/>
              <w:spacing w:after="0"/>
              <w:rPr>
                <w:sz w:val="20"/>
                <w:szCs w:val="20"/>
                <w:color w:val="auto"/>
              </w:rPr>
            </w:pPr>
            <w:r>
              <w:rPr>
                <w:rFonts w:ascii="Arial" w:cs="Arial" w:eastAsia="Arial" w:hAnsi="Arial"/>
                <w:sz w:val="18"/>
                <w:szCs w:val="18"/>
                <w:color w:val="auto"/>
                <w:w w:val="96"/>
              </w:rPr>
              <w:t>Accelerated filer</w:t>
            </w:r>
          </w:p>
        </w:tc>
        <w:tc>
          <w:tcPr>
            <w:tcW w:w="1500" w:type="dxa"/>
            <w:vAlign w:val="bottom"/>
          </w:tcPr>
          <w:p>
            <w:pPr>
              <w:spacing w:after="0"/>
              <w:rPr>
                <w:sz w:val="23"/>
                <w:szCs w:val="23"/>
                <w:color w:val="auto"/>
              </w:rPr>
            </w:pPr>
          </w:p>
        </w:tc>
        <w:tc>
          <w:tcPr>
            <w:tcW w:w="2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040" w:type="dxa"/>
            <w:vAlign w:val="bottom"/>
            <w:gridSpan w:val="4"/>
          </w:tcPr>
          <w:p>
            <w:pPr>
              <w:ind w:left="36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(Do not check if a smaller reporting company)</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2"/>
          </w:tcPr>
          <w:p>
            <w:pPr>
              <w:ind w:left="54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158"/>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90"/>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CALCULATION OF REGISTRATION FEE</w:t>
            </w:r>
          </w:p>
        </w:tc>
        <w:tc>
          <w:tcPr>
            <w:tcW w:w="1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tcPr>
          <w:p>
            <w:pPr>
              <w:jc w:val="center"/>
              <w:ind w:left="30"/>
              <w:spacing w:after="0" w:line="118"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w w:val="93"/>
              </w:rPr>
              <w:t>Proposed</w:t>
            </w: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Borders>
              <w:right w:val="single" w:sz="8" w:color="auto"/>
            </w:tcBorders>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gridSpan w:val="2"/>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jc w:val="center"/>
              <w:ind w:left="54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6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Borders>
              <w:right w:val="single" w:sz="8" w:color="auto"/>
            </w:tcBorders>
          </w:tcPr>
          <w:p>
            <w:pPr>
              <w:jc w:val="center"/>
              <w:ind w:right="232"/>
              <w:spacing w:after="0" w:line="149" w:lineRule="exact"/>
              <w:rPr>
                <w:sz w:val="20"/>
                <w:szCs w:val="20"/>
                <w:color w:val="auto"/>
              </w:rPr>
            </w:pPr>
            <w:r>
              <w:rPr>
                <w:rFonts w:ascii="Arial" w:cs="Arial" w:eastAsia="Arial" w:hAnsi="Arial"/>
                <w:sz w:val="14"/>
                <w:szCs w:val="14"/>
                <w:b w:val="1"/>
                <w:bCs w:val="1"/>
                <w:color w:val="auto"/>
                <w:w w:val="83"/>
              </w:rPr>
              <w:t>to be</w:t>
            </w:r>
          </w:p>
        </w:tc>
        <w:tc>
          <w:tcPr>
            <w:tcW w:w="1840" w:type="dxa"/>
            <w:vAlign w:val="bottom"/>
            <w:tcBorders>
              <w:right w:val="single" w:sz="8" w:color="auto"/>
            </w:tcBorders>
            <w:gridSpan w:val="2"/>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tcPr>
          <w:p>
            <w:pPr>
              <w:jc w:val="center"/>
              <w:ind w:left="286"/>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80" w:type="dxa"/>
            <w:vAlign w:val="bottom"/>
            <w:tcBorders>
              <w:bottom w:val="single" w:sz="8" w:color="auto"/>
            </w:tcBorders>
            <w:gridSpan w:val="2"/>
          </w:tcPr>
          <w:p>
            <w:pPr>
              <w:jc w:val="center"/>
              <w:ind w:left="526"/>
              <w:spacing w:after="0"/>
              <w:rPr>
                <w:sz w:val="20"/>
                <w:szCs w:val="20"/>
                <w:color w:val="auto"/>
              </w:rPr>
            </w:pPr>
            <w:r>
              <w:rPr>
                <w:rFonts w:ascii="Arial" w:cs="Arial" w:eastAsia="Arial" w:hAnsi="Arial"/>
                <w:sz w:val="14"/>
                <w:szCs w:val="14"/>
                <w:b w:val="1"/>
                <w:bCs w:val="1"/>
                <w:color w:val="auto"/>
                <w:w w:val="84"/>
              </w:rPr>
              <w:t>Securities to be Registered</w:t>
            </w:r>
          </w:p>
        </w:tc>
        <w:tc>
          <w:tcPr>
            <w:tcW w:w="64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5"/>
              </w:rPr>
              <w:t>Registered (1)</w:t>
            </w:r>
          </w:p>
        </w:tc>
        <w:tc>
          <w:tcPr>
            <w:tcW w:w="1840" w:type="dxa"/>
            <w:vAlign w:val="bottom"/>
            <w:tcBorders>
              <w:bottom w:val="single" w:sz="8" w:color="auto"/>
              <w:right w:val="single" w:sz="8" w:color="auto"/>
            </w:tcBorders>
            <w:gridSpan w:val="2"/>
          </w:tcPr>
          <w:p>
            <w:pPr>
              <w:jc w:val="center"/>
              <w:ind w:left="10"/>
              <w:spacing w:after="0"/>
              <w:rPr>
                <w:sz w:val="20"/>
                <w:szCs w:val="20"/>
                <w:color w:val="auto"/>
              </w:rPr>
            </w:pPr>
            <w:r>
              <w:rPr>
                <w:rFonts w:ascii="Arial" w:cs="Arial" w:eastAsia="Arial" w:hAnsi="Arial"/>
                <w:sz w:val="14"/>
                <w:szCs w:val="14"/>
                <w:b w:val="1"/>
                <w:bCs w:val="1"/>
                <w:color w:val="auto"/>
                <w:w w:val="87"/>
              </w:rPr>
              <w:t>Per Share (2)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(2)</w:t>
            </w:r>
          </w:p>
        </w:tc>
        <w:tc>
          <w:tcPr>
            <w:tcW w:w="1500" w:type="dxa"/>
            <w:vAlign w:val="bottom"/>
            <w:tcBorders>
              <w:bottom w:val="single" w:sz="8" w:color="auto"/>
            </w:tcBorders>
          </w:tcPr>
          <w:p>
            <w:pPr>
              <w:jc w:val="center"/>
              <w:ind w:left="286"/>
              <w:spacing w:after="0"/>
              <w:rPr>
                <w:sz w:val="20"/>
                <w:szCs w:val="20"/>
                <w:color w:val="auto"/>
              </w:rPr>
            </w:pPr>
            <w:r>
              <w:rPr>
                <w:rFonts w:ascii="Arial" w:cs="Arial" w:eastAsia="Arial" w:hAnsi="Arial"/>
                <w:sz w:val="14"/>
                <w:szCs w:val="14"/>
                <w:b w:val="1"/>
                <w:bCs w:val="1"/>
                <w:color w:val="auto"/>
                <w:w w:val="85"/>
              </w:rPr>
              <w:t>Registration Fee</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6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5"/>
              </w:rPr>
              <w:t>56,879,964 shares</w:t>
            </w:r>
          </w:p>
        </w:tc>
        <w:tc>
          <w:tcPr>
            <w:tcW w:w="1840" w:type="dxa"/>
            <w:vAlign w:val="bottom"/>
            <w:tcBorders>
              <w:bottom w:val="single" w:sz="8" w:color="auto"/>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7"/>
              </w:rPr>
              <w:t>$14.33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$815,089,884.12</w:t>
            </w:r>
          </w:p>
        </w:tc>
        <w:tc>
          <w:tcPr>
            <w:tcW w:w="1500" w:type="dxa"/>
            <w:vAlign w:val="bottom"/>
            <w:tcBorders>
              <w:bottom w:val="single" w:sz="8" w:color="auto"/>
            </w:tcBorders>
          </w:tcPr>
          <w:p>
            <w:pPr>
              <w:jc w:val="center"/>
              <w:ind w:left="266"/>
              <w:spacing w:after="0"/>
              <w:rPr>
                <w:sz w:val="20"/>
                <w:szCs w:val="20"/>
                <w:color w:val="auto"/>
              </w:rPr>
            </w:pPr>
            <w:r>
              <w:rPr>
                <w:rFonts w:ascii="Arial" w:cs="Arial" w:eastAsia="Arial" w:hAnsi="Arial"/>
                <w:sz w:val="18"/>
                <w:szCs w:val="18"/>
                <w:color w:val="auto"/>
                <w:w w:val="88"/>
              </w:rPr>
              <w:t>$94,631.94 (3)</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ind w:left="452" w:hanging="452"/>
        <w:spacing w:after="0" w:line="283"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number of shares of Common Stock included in this Registration Statement that are currently issuable upon exchange of National CineMedia, LLC’s common membership units held by the founding member theatre circuits named as selling stockholders in the prospectus supplement at the ratio of one common membership unit for one share of Common Stock of National CineMedia, Inc. Pursuant to Rule 416 under the Securities Act, the shares being registered hereunder include such indeterminate number of shares of Common Stock as may be issuable with respect to the shares being registered hereunder as a result of stock splits, stock dividends or similar transactions.</w:t>
      </w:r>
    </w:p>
    <w:p>
      <w:pPr>
        <w:spacing w:after="0" w:line="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 under the Securities Act. The price per share and aggregate offering price are based on the average of the high and low sales prices of the registrant’s Common Stock on August 3, 2011, as reported on the Nasdaq Global Select Market.</w:t>
      </w:r>
    </w:p>
    <w:p>
      <w:pPr>
        <w:spacing w:after="0" w:line="1" w:lineRule="exact"/>
        <w:rPr>
          <w:rFonts w:ascii="Arial" w:cs="Arial" w:eastAsia="Arial" w:hAnsi="Arial"/>
          <w:sz w:val="18"/>
          <w:szCs w:val="18"/>
          <w:color w:val="auto"/>
        </w:rPr>
      </w:pPr>
    </w:p>
    <w:p>
      <w:pPr>
        <w:ind w:left="452" w:right="120" w:hanging="452"/>
        <w:spacing w:after="0" w:line="261"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457(p), $49,474.27 of the registration fee has been paid by offsetting registration fees that were previously paid in connection with prior registration statements on Form S-3 (SEC File Nos. 333-162933 and 333-168645).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131"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56,879,964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118110</wp:posOffset>
            </wp:positionV>
            <wp:extent cx="222948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relates to the disposition from time to time by our founding member theatre circuits, or the selling stockholders, of up to 56,879,964 shares of common stock, par value $0.01 per share, of National CineMedia, Inc., or NCM, Inc., issuable upon exchange on a one-for-one basis of common membership units of National CineMedia, LLC, or NCM LLC, the operating company for our business and of which we are a member and the sole manager. Under the terms of the registration rights agreement with the selling stockholders executed at the date of the IPO, NCM Inc. is required to register shares of its common stock equal to the number of NCM LLC common membership units held by each selling stockholder.</w:t>
      </w:r>
    </w:p>
    <w:p>
      <w:pPr>
        <w:spacing w:after="0" w:line="1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selling stockholders hold an aggregate of 56,879,964 common membership units that were issued in conjunction with our IPO and thereafter pursuant to contractual arrangements in effect among NCM, Inc., NCM LLC and the selling stockholders relating to net screens that have been added to our network. We have registered for resale by our selling stockholders NCM, Inc. common stock equal to all of the current outstanding common membership units as required by the registration rights agreement.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not pay any underwriting discounts or commissions on the shares of common stock issued to the selling stockholders. We will not receive any proceeds from the sale of common stock by the selling stockholders.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“NCMI.” On August 3, 2011, the reported last sale price of our common stock on the Nasdaq Global Select Market was $14.43 per share.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selling stockholders or their pledgees, assignees or successors-in-interest may offer and sell or otherwise dispose of the shares of common stock described in this prospectus from time to time through public or private transactions at prevailing market prices, at prices related to prevailing market prices or at privately negotiated prices. See “Plan of Distribution” beginning on page 8 for more information about how the selling stockholders may sell or dispose of their shares of common stock.</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selling stockholders may resell the common stock to or through underwriters, broker-dealers or agents, who may receive compensation in the form of discounts, concessions or commissions. The selling stockholders will bear all commissions and discounts, if any, attributable to the sales of common stock. We will bear all costs, expenses and fees in connection with the registration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in our common stock involves risks. See “Risk Factors” beginning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August 4, 2011.</w:t>
      </w:r>
    </w:p>
    <w:p>
      <w:pPr>
        <w:sectPr>
          <w:pgSz w:w="11900" w:h="16838" w:orient="portrait"/>
          <w:cols w:equalWidth="0" w:num="1">
            <w:col w:w="11360"/>
          </w:cols>
          <w:pgMar w:left="240" w:top="27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7080" w:type="dxa"/>
            <w:vAlign w:val="bottom"/>
            <w:gridSpan w:val="3"/>
          </w:tcPr>
          <w:p>
            <w:pPr>
              <w:jc w:val="right"/>
              <w:ind w:right="46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260" w:type="dxa"/>
            <w:vAlign w:val="bottom"/>
            <w:vMerge w:val="restart"/>
          </w:tcPr>
          <w:p>
            <w:pPr>
              <w:spacing w:after="0"/>
              <w:rPr>
                <w:sz w:val="20"/>
                <w:szCs w:val="20"/>
                <w:color w:val="auto"/>
              </w:rPr>
            </w:pPr>
            <w:r>
              <w:rPr>
                <w:rFonts w:ascii="Arial" w:cs="Arial" w:eastAsia="Arial" w:hAnsi="Arial"/>
                <w:sz w:val="18"/>
                <w:szCs w:val="18"/>
                <w:color w:val="auto"/>
              </w:rPr>
              <w:t>About This Prospectus</w:t>
            </w:r>
          </w:p>
        </w:tc>
        <w:tc>
          <w:tcPr>
            <w:tcW w:w="67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4260" w:type="dxa"/>
            <w:vAlign w:val="bottom"/>
            <w:vMerge w:val="continue"/>
          </w:tcPr>
          <w:p>
            <w:pPr>
              <w:spacing w:after="0"/>
              <w:rPr>
                <w:sz w:val="17"/>
                <w:szCs w:val="17"/>
                <w:color w:val="auto"/>
              </w:rPr>
            </w:pPr>
          </w:p>
        </w:tc>
        <w:tc>
          <w:tcPr>
            <w:tcW w:w="678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Market Information</w:t>
            </w:r>
          </w:p>
        </w:tc>
        <w:tc>
          <w:tcPr>
            <w:tcW w:w="67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Prospectus Summary</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 Factors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Information Regarding Forward-Looking Statements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Determination of Offering Price</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Selling Stockholders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Plan of Distribution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Legal Matters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Experts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THIS PROSPECTUS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or continuous offering process. Under this shelf process, the selling stockholders may from time to time sell the shares of common stock described in this prospectus in one or more offerings. Additionally, under the shelf process, in certain circumstances, we may provide a prospectus supplement that will contain certain specific information about the terms of a particular offering by one or more of the selling stockholders. This prospectus and any applicable prospectus supplement, including the documents incorporated by reference, include important information about us, our common stock and other information you should know before investing in our common stock. We may also provide a prospectus supplement to add information to, or update or change information contained in this prospectus.</w:t>
      </w:r>
    </w:p>
    <w:p>
      <w:pPr>
        <w:spacing w:after="0" w:line="141"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into this prospectus or any applicable prospectus supplement. We have not, and the selling stockholders have not, authorized anyone to provide you with different or additional information. The selling stockholders are offering to sell, and seeking offers to buy, shares of our common stock only in jurisdictions where it is lawful to do so. The information in this prospectus, including the documents incorporated by reference, are accurate only as of the date set forth on the front of this prospectus or the date of the document incorporated by reference, as applicable, regardless of the time of delivery of this prospectus or any sale of our common stock.</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Information regarding market share, market position and industry data pertaining to our business contained in or incorporated by reference into this prospectus or any applicable prospectus supplement consists of estimates based on data and reports compiled by industry professional organizations (including Nielsen Media Research, Inc. and the National Association of Theatre Owners) and analysts, and our knowledge of our revenues and markets. DMA</w:t>
      </w:r>
      <w:r>
        <w:rPr>
          <w:rFonts w:ascii="Arial" w:cs="Arial" w:eastAsia="Arial" w:hAnsi="Arial"/>
          <w:sz w:val="11"/>
          <w:szCs w:val="11"/>
          <w:color w:val="auto"/>
        </w:rPr>
        <w:t>®</w:t>
      </w:r>
      <w:r>
        <w:rPr>
          <w:rFonts w:ascii="Arial" w:cs="Arial" w:eastAsia="Arial" w:hAnsi="Arial"/>
          <w:sz w:val="18"/>
          <w:szCs w:val="18"/>
          <w:color w:val="auto"/>
        </w:rPr>
        <w:t xml:space="preserve"> is a registered trademark of Nielsen Media Research, Inc.</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take responsibility for compiling and extracting, but have not independently verified, market and industry data provided by third parties, or by industry or general publications, and take no further responsibility for such data. Similarly, while we believe our internal estimates are reliable, our estimates have not been verified by any independent sources, and we cannot assure you as to their accuracy.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36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636260"/>
                    </a:xfrm>
                    <a:prstGeom prst="rect">
                      <a:avLst/>
                    </a:prstGeom>
                    <a:noFill/>
                  </pic:spPr>
                </pic:pic>
              </a:graphicData>
            </a:graphic>
          </wp:anchor>
        </w:drawing>
        <w:t>PROSPECTUS SUMMARY</w:t>
      </w:r>
    </w:p>
    <w:p>
      <w:pPr>
        <w:spacing w:after="0" w:line="177" w:lineRule="exact"/>
        <w:rPr>
          <w:sz w:val="20"/>
          <w:szCs w:val="20"/>
          <w:color w:val="auto"/>
        </w:rPr>
      </w:pPr>
    </w:p>
    <w:p>
      <w:pPr>
        <w:ind w:right="460" w:firstLine="443"/>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into this prospectus. Because it is a summary, it does not contain all of the information that you should consider before investing in our securities. You should read this entire prospectus and any applicable prospectus supplement carefully, including the section entitled “Risk Factors” and the documents that we incorporate by reference, before making an investment decision.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860" w:right="780" w:hanging="323"/>
        <w:spacing w:after="0" w:line="268" w:lineRule="auto"/>
        <w:tabs>
          <w:tab w:leader="none" w:pos="8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“NCM, Inc.,”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860" w:right="80" w:hanging="323"/>
        <w:spacing w:after="0" w:line="259" w:lineRule="auto"/>
        <w:tabs>
          <w:tab w:leader="none" w:pos="8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59" w:lineRule="exact"/>
        <w:rPr>
          <w:rFonts w:ascii="Arial" w:cs="Arial" w:eastAsia="Arial" w:hAnsi="Arial"/>
          <w:sz w:val="18"/>
          <w:szCs w:val="18"/>
          <w:i w:val="1"/>
          <w:iCs w:val="1"/>
          <w:color w:val="auto"/>
        </w:rPr>
      </w:pPr>
    </w:p>
    <w:p>
      <w:pPr>
        <w:ind w:left="860" w:right="80" w:hanging="323"/>
        <w:spacing w:after="0" w:line="298" w:lineRule="auto"/>
        <w:tabs>
          <w:tab w:leader="none" w:pos="8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Showplace Theatres, LLC and American Multi-Cinema, Inc., which became party to an amended and restated exhibitor services agreement, or “ESA,” with NCM LLC upon completion of the IPO;</w:t>
      </w:r>
    </w:p>
    <w:p>
      <w:pPr>
        <w:spacing w:after="0" w:line="31" w:lineRule="exact"/>
        <w:rPr>
          <w:rFonts w:ascii="Arial" w:cs="Arial" w:eastAsia="Arial" w:hAnsi="Arial"/>
          <w:sz w:val="16"/>
          <w:szCs w:val="16"/>
          <w:i w:val="1"/>
          <w:iCs w:val="1"/>
          <w:color w:val="auto"/>
        </w:rPr>
      </w:pPr>
    </w:p>
    <w:p>
      <w:pPr>
        <w:ind w:left="860" w:right="100" w:hanging="323"/>
        <w:spacing w:after="0" w:line="332" w:lineRule="auto"/>
        <w:tabs>
          <w:tab w:leader="none" w:pos="8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“Cinemark” refers to Cinemark Holdings, Inc. and its subsidiaries, Cinemark Media, Inc., which joined NCM LLC in July 2005, and Cinemark USA, Inc., which became party to an amended and restated ESA with NCM LLC upon completion of the IPO; and</w:t>
      </w:r>
    </w:p>
    <w:p>
      <w:pPr>
        <w:spacing w:after="0" w:line="4" w:lineRule="exact"/>
        <w:rPr>
          <w:rFonts w:ascii="Arial" w:cs="Arial" w:eastAsia="Arial" w:hAnsi="Arial"/>
          <w:sz w:val="16"/>
          <w:szCs w:val="16"/>
          <w:i w:val="1"/>
          <w:iCs w:val="1"/>
          <w:color w:val="auto"/>
        </w:rPr>
      </w:pPr>
    </w:p>
    <w:p>
      <w:pPr>
        <w:ind w:left="860" w:hanging="323"/>
        <w:spacing w:after="0" w:line="259" w:lineRule="auto"/>
        <w:tabs>
          <w:tab w:leader="none" w:pos="8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IPO.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National CineMedia,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40" w:firstLine="443"/>
        <w:spacing w:after="0" w:line="253" w:lineRule="auto"/>
        <w:rPr>
          <w:sz w:val="20"/>
          <w:szCs w:val="20"/>
          <w:color w:val="auto"/>
        </w:rPr>
      </w:pPr>
      <w:r>
        <w:rPr>
          <w:rFonts w:ascii="Arial" w:cs="Arial" w:eastAsia="Arial" w:hAnsi="Arial"/>
          <w:sz w:val="18"/>
          <w:szCs w:val="18"/>
          <w:color w:val="auto"/>
        </w:rPr>
        <w:t>NCM, Inc. is a Delaware corporation was organized on October 5, 2006 and began operations on February 13, 2007 upon completion of its IPO. NCM, Inc. is a holding company that manages its consolidated subsidiary NCM LLC, but has no business operations or material assets other than its cash and ownership interest of approximately 48.7% of the common membership units in NCM LLC as of June 30, 2011. NCM LLC’s founding members, AMC, Cinemark and Regal, the three largest motion picture exhibition companies in the U.S., hold the remaining 51.3% of NCM LLC’s common membership units.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47" w:lineRule="exact"/>
        <w:rPr>
          <w:sz w:val="20"/>
          <w:szCs w:val="20"/>
          <w:color w:val="auto"/>
        </w:rPr>
      </w:pPr>
    </w:p>
    <w:p>
      <w:pPr>
        <w:ind w:firstLine="443"/>
        <w:spacing w:after="0" w:line="306" w:lineRule="auto"/>
        <w:rPr>
          <w:sz w:val="20"/>
          <w:szCs w:val="20"/>
          <w:color w:val="auto"/>
        </w:rPr>
      </w:pPr>
      <w:r>
        <w:rPr>
          <w:rFonts w:ascii="Arial" w:cs="Arial" w:eastAsia="Arial" w:hAnsi="Arial"/>
          <w:sz w:val="16"/>
          <w:szCs w:val="16"/>
          <w:color w:val="auto"/>
        </w:rPr>
        <w:t>NCM LLC has long-term ESAs with NCM LLC’s founding members and multi-year agreements with several other theatre operators whom we refer to as network affiliates. The ESAs and network affiliate agreements grant NCM LLC exclusive rights in their theatres, subject to limited exceptions, to sell advertising and to sell and distribute entertainment programming and meeting and communication services through our Fathom Events division.</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440" w:top="463" w:right="399" w:bottom="1440" w:gutter="0" w:footer="0" w:header="0"/>
        </w:sectPr>
      </w:pPr>
    </w:p>
    <w:bookmarkStart w:id="6" w:name="page7"/>
    <w:bookmarkEnd w:id="6"/>
    <w:p>
      <w:pPr>
        <w:ind w:right="20" w:firstLine="44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39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739130"/>
                    </a:xfrm>
                    <a:prstGeom prst="rect">
                      <a:avLst/>
                    </a:prstGeom>
                    <a:noFill/>
                  </pic:spPr>
                </pic:pic>
              </a:graphicData>
            </a:graphic>
          </wp:anchor>
        </w:drawing>
        <w:t>The growth of our digital network depends on us entering into new agreements with network affiliates and net increases in the number of screens operated by the founding members of NCM LLC. The common unit adjustment agreement with the founding members of NCM LLC provides a mechanism for adjusting common membership units held by the founding members, based on increases or decreases in the number of screens operated by each founding member. Increases in the number of screens are included in the unit adjustment if arising from acquisition of a theatre or opening of a newly constructed theatre, except that acquired theatres subject to an agreement with an alternative cinema advertising provider will not be included until certain run out payments are made to NCM LLC by the founding member acquiring the theatre pursuant to its ESA or until such third party cinema advertising agreement expires and the theatre is added to our network. Decreases in the number of screens are included in the unit adjustment if arising from disposition of a theatre, unless the purchaser or sublessee enters into an agreement with NCM LLC similar to the ESA, the theatre is closed at the end of its lease term or a non-digitized theatre is closed within three years of the end of its lease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Business</w:t>
      </w:r>
    </w:p>
    <w:p>
      <w:pPr>
        <w:spacing w:after="0" w:line="96" w:lineRule="exact"/>
        <w:rPr>
          <w:sz w:val="20"/>
          <w:szCs w:val="20"/>
          <w:color w:val="auto"/>
        </w:rPr>
      </w:pPr>
    </w:p>
    <w:p>
      <w:pPr>
        <w:ind w:right="440" w:firstLine="443"/>
        <w:spacing w:after="0" w:line="306" w:lineRule="auto"/>
        <w:rPr>
          <w:sz w:val="20"/>
          <w:szCs w:val="20"/>
          <w:color w:val="auto"/>
        </w:rPr>
      </w:pPr>
      <w:r>
        <w:rPr>
          <w:rFonts w:ascii="Arial" w:cs="Arial" w:eastAsia="Arial" w:hAnsi="Arial"/>
          <w:sz w:val="16"/>
          <w:szCs w:val="16"/>
          <w:color w:val="auto"/>
        </w:rPr>
        <w:t>We operate the largest digital in-theatre media network in North America. We sell and produce advertising pre-shows and Fathom business and consumer entertainment events that we distribute across our digital content network (“DCN”) and live digital broadcast network (“DBN”) utilizing our proprietary digital content software (“DCS”). We currently derive revenue principally from the following activities:</w:t>
      </w:r>
    </w:p>
    <w:p>
      <w:pPr>
        <w:spacing w:after="0" w:line="26" w:lineRule="exact"/>
        <w:rPr>
          <w:sz w:val="20"/>
          <w:szCs w:val="20"/>
          <w:color w:val="auto"/>
        </w:rPr>
      </w:pPr>
    </w:p>
    <w:p>
      <w:pPr>
        <w:ind w:left="860" w:right="300" w:hanging="323"/>
        <w:spacing w:after="0" w:line="256"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We develop, produce, sell and distribute several versions of a branded pre-feature entertainment and advertising program called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FirstLook</w:t>
      </w:r>
      <w:r>
        <w:rPr>
          <w:rFonts w:ascii="Arial" w:cs="Arial" w:eastAsia="Arial" w:hAnsi="Arial"/>
          <w:sz w:val="18"/>
          <w:szCs w:val="18"/>
          <w:color w:val="auto"/>
        </w:rPr>
        <w:t>” on theatre screens and advertising programming on our lobby entertainment network (“LEN”). We also sell other forms of advertising and promotions in theatre lobbies. For the six months ended June 30, 2011 and the year ended December 30, 2010, advertising accounted for 85.3% and 88.7%, respectively, of our total revenue</w:t>
      </w:r>
    </w:p>
    <w:p>
      <w:pPr>
        <w:spacing w:after="0" w:line="62" w:lineRule="exact"/>
        <w:rPr>
          <w:rFonts w:ascii="Arial" w:cs="Arial" w:eastAsia="Arial" w:hAnsi="Arial"/>
          <w:sz w:val="18"/>
          <w:szCs w:val="18"/>
          <w:color w:val="auto"/>
        </w:rPr>
      </w:pPr>
    </w:p>
    <w:p>
      <w:pPr>
        <w:ind w:left="860" w:hanging="323"/>
        <w:spacing w:after="0" w:line="294"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Fathom Events and Other</w:t>
      </w:r>
      <w:r>
        <w:rPr>
          <w:rFonts w:ascii="Arial" w:cs="Arial" w:eastAsia="Arial" w:hAnsi="Arial"/>
          <w:sz w:val="16"/>
          <w:szCs w:val="16"/>
          <w:color w:val="auto"/>
        </w:rPr>
        <w:t>: We produce, market and distribute entertainment programming through our Fathom Consumer division and multi-site corporate communication and marketing events through our Fathom Business division to theatres across our DCN (for pre-recorded events) and DBN (for both live and pre-recorded events). Our Fathom Business division also facilitates business meetings, church services, and corporate marketing/communication events in individual movie theatres throughout our theatre network. For the six months ended June 30, 2011 and the year ended December 30, 2010, Fathom Events accounted for 14.7% and 11.3%, respectively, of our total revenue.</w:t>
      </w:r>
    </w:p>
    <w:p>
      <w:pPr>
        <w:spacing w:after="0" w:line="116" w:lineRule="exact"/>
        <w:rPr>
          <w:sz w:val="20"/>
          <w:szCs w:val="20"/>
          <w:color w:val="auto"/>
        </w:rPr>
      </w:pPr>
    </w:p>
    <w:p>
      <w:pPr>
        <w:ind w:firstLine="443"/>
        <w:spacing w:after="0" w:line="290" w:lineRule="auto"/>
        <w:rPr>
          <w:sz w:val="20"/>
          <w:szCs w:val="20"/>
          <w:color w:val="auto"/>
        </w:rPr>
      </w:pPr>
      <w:r>
        <w:rPr>
          <w:rFonts w:ascii="Arial" w:cs="Arial" w:eastAsia="Arial" w:hAnsi="Arial"/>
          <w:sz w:val="16"/>
          <w:szCs w:val="16"/>
          <w:color w:val="auto"/>
        </w:rPr>
        <w:t>We believe that the reach and digital delivery capability of our network provide an effective platform for national and local advertisers to reach a large, young and affluent audience on a highly-targeted, engaging and measurable basis, and for corporations to market to their customers and communicate with their employees. As of June 30, 2011, our network is located in 47 states and the District of Columbia and covers all of the top 25, as well as 49 of the top 50 and 98 of the top 100, Designated Market Areas</w:t>
      </w:r>
      <w:r>
        <w:rPr>
          <w:rFonts w:ascii="Arial" w:cs="Arial" w:eastAsia="Arial" w:hAnsi="Arial"/>
          <w:sz w:val="10"/>
          <w:szCs w:val="10"/>
          <w:color w:val="auto"/>
        </w:rPr>
        <w:t>®</w:t>
      </w:r>
      <w:r>
        <w:rPr>
          <w:rFonts w:ascii="Arial" w:cs="Arial" w:eastAsia="Arial" w:hAnsi="Arial"/>
          <w:sz w:val="16"/>
          <w:szCs w:val="16"/>
          <w:color w:val="auto"/>
        </w:rPr>
        <w:t>, or DMAs</w:t>
      </w:r>
      <w:r>
        <w:rPr>
          <w:rFonts w:ascii="Arial" w:cs="Arial" w:eastAsia="Arial" w:hAnsi="Arial"/>
          <w:sz w:val="10"/>
          <w:szCs w:val="10"/>
          <w:color w:val="auto"/>
        </w:rPr>
        <w:t>®</w:t>
      </w:r>
      <w:r>
        <w:rPr>
          <w:rFonts w:ascii="Arial" w:cs="Arial" w:eastAsia="Arial" w:hAnsi="Arial"/>
          <w:sz w:val="16"/>
          <w:szCs w:val="16"/>
          <w:color w:val="auto"/>
        </w:rPr>
        <w:t>, and 175 DMAs</w:t>
      </w:r>
      <w:r>
        <w:rPr>
          <w:rFonts w:ascii="Arial" w:cs="Arial" w:eastAsia="Arial" w:hAnsi="Arial"/>
          <w:sz w:val="10"/>
          <w:szCs w:val="10"/>
          <w:color w:val="auto"/>
        </w:rPr>
        <w:t>®</w:t>
      </w:r>
      <w:r>
        <w:rPr>
          <w:rFonts w:ascii="Arial" w:cs="Arial" w:eastAsia="Arial" w:hAnsi="Arial"/>
          <w:sz w:val="16"/>
          <w:szCs w:val="16"/>
          <w:color w:val="auto"/>
        </w:rPr>
        <w:t xml:space="preserve"> in total. As of June 30, 2011, our Fathom Events DBN network is located in all 50 states and the District of Columbia and covers all top 50 DMAs</w:t>
      </w:r>
      <w:r>
        <w:rPr>
          <w:rFonts w:ascii="Arial" w:cs="Arial" w:eastAsia="Arial" w:hAnsi="Arial"/>
          <w:sz w:val="10"/>
          <w:szCs w:val="10"/>
          <w:color w:val="auto"/>
        </w:rPr>
        <w:t>®</w:t>
      </w:r>
      <w:r>
        <w:rPr>
          <w:rFonts w:ascii="Arial" w:cs="Arial" w:eastAsia="Arial" w:hAnsi="Arial"/>
          <w:sz w:val="16"/>
          <w:szCs w:val="16"/>
          <w:color w:val="auto"/>
        </w:rPr>
        <w:t xml:space="preserve"> and 165 DMAs</w:t>
      </w:r>
      <w:r>
        <w:rPr>
          <w:rFonts w:ascii="Arial" w:cs="Arial" w:eastAsia="Arial" w:hAnsi="Arial"/>
          <w:sz w:val="10"/>
          <w:szCs w:val="10"/>
          <w:color w:val="auto"/>
        </w:rPr>
        <w:t>®</w:t>
      </w:r>
      <w:r>
        <w:rPr>
          <w:rFonts w:ascii="Arial" w:cs="Arial" w:eastAsia="Arial" w:hAnsi="Arial"/>
          <w:sz w:val="16"/>
          <w:szCs w:val="16"/>
          <w:color w:val="auto"/>
        </w:rPr>
        <w:t xml:space="preserve"> in total. During 2010, approximately 690 million patrons attended movies shown in theatres currently included in our advertising network. As of June 30, 2011, we had a total of 18,137 screens in our advertising network, approximately 16,800 of which are digital, and 960 screens in our Fathom DBN.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100" w:firstLine="443"/>
        <w:spacing w:after="0" w:line="294" w:lineRule="auto"/>
        <w:rPr>
          <w:sz w:val="20"/>
          <w:szCs w:val="20"/>
          <w:color w:val="auto"/>
        </w:rPr>
      </w:pPr>
      <w:r>
        <w:rPr>
          <w:rFonts w:ascii="Arial" w:cs="Arial" w:eastAsia="Arial" w:hAnsi="Arial"/>
          <w:sz w:val="16"/>
          <w:szCs w:val="16"/>
          <w:color w:val="auto"/>
        </w:rPr>
        <w:t xml:space="preserve">We are a Delaware corporation organized on October 5, 2006, and our principal executive offices are located at 9110 E. Nichols Ave., Suite 200, Centennial, Colorado 80112-3405. The telephone number of our principal executive offices is (303) 792-3600. We maintain a website at </w:t>
      </w:r>
      <w:r>
        <w:rPr>
          <w:rFonts w:ascii="Arial" w:cs="Arial" w:eastAsia="Arial" w:hAnsi="Arial"/>
          <w:sz w:val="16"/>
          <w:szCs w:val="16"/>
          <w:i w:val="1"/>
          <w:iCs w:val="1"/>
          <w:color w:val="auto"/>
        </w:rPr>
        <w:t>www.ncm.com</w:t>
      </w:r>
      <w:r>
        <w:rPr>
          <w:rFonts w:ascii="Arial" w:cs="Arial" w:eastAsia="Arial" w:hAnsi="Arial"/>
          <w:sz w:val="16"/>
          <w:szCs w:val="16"/>
          <w:color w:val="auto"/>
        </w:rPr>
        <w:t>, on which we post our key corporate governance documents, including our board committee charters and our code of ethics. We also regularly post information about the Company on the Investor Relations page. We do not incorporate the information on our website into this prospectus and you should not consider any information on, or that can be accessed through, our website as part of this prospectus.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469" w:right="4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406"/>
        </w:trPr>
        <w:tc>
          <w:tcPr>
            <w:tcW w:w="3520" w:type="dxa"/>
            <w:vAlign w:val="bottom"/>
            <w:tcBorders>
              <w:top w:val="single" w:sz="8" w:color="auto"/>
              <w:left w:val="single" w:sz="8" w:color="auto"/>
            </w:tcBorders>
          </w:tcPr>
          <w:p>
            <w:pPr>
              <w:spacing w:after="0"/>
              <w:rPr>
                <w:sz w:val="24"/>
                <w:szCs w:val="24"/>
                <w:color w:val="auto"/>
              </w:rPr>
            </w:pPr>
          </w:p>
        </w:tc>
        <w:tc>
          <w:tcPr>
            <w:tcW w:w="794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National CineMedia, Inc.</w:t>
            </w:r>
          </w:p>
        </w:tc>
      </w:tr>
      <w:tr>
        <w:trPr>
          <w:trHeight w:val="324"/>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Selling Stockholders</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selling stockholders identified in the table on page 7.</w:t>
            </w:r>
          </w:p>
        </w:tc>
      </w:tr>
      <w:tr>
        <w:trPr>
          <w:trHeight w:val="324"/>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Up to 56,879,964 shares of our common stock.</w:t>
            </w:r>
          </w:p>
        </w:tc>
      </w:tr>
      <w:tr>
        <w:trPr>
          <w:trHeight w:val="318"/>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We will not receive any proceeds from sales of the shares of common stock sold from time to time</w:t>
            </w:r>
          </w:p>
        </w:tc>
      </w:tr>
      <w:tr>
        <w:trPr>
          <w:trHeight w:val="216"/>
        </w:trPr>
        <w:tc>
          <w:tcPr>
            <w:tcW w:w="352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2"/>
              </w:rPr>
              <w:t>under this prospectus by the selling stockholders. Such shares will be issued upon an exchange of</w:t>
            </w:r>
          </w:p>
        </w:tc>
      </w:tr>
      <w:tr>
        <w:trPr>
          <w:trHeight w:val="222"/>
        </w:trPr>
        <w:tc>
          <w:tcPr>
            <w:tcW w:w="3520" w:type="dxa"/>
            <w:vAlign w:val="bottom"/>
            <w:tcBorders>
              <w:left w:val="single" w:sz="8" w:color="auto"/>
            </w:tcBorders>
          </w:tcPr>
          <w:p>
            <w:pPr>
              <w:spacing w:after="0"/>
              <w:rPr>
                <w:sz w:val="19"/>
                <w:szCs w:val="19"/>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common membership units, which will increase the ownership of NCM, Inc. in NCM LLC.</w:t>
            </w:r>
          </w:p>
        </w:tc>
      </w:tr>
      <w:tr>
        <w:trPr>
          <w:trHeight w:val="318"/>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7"/>
              </w:rPr>
              <w:t>An investment in our common stock involves a high degree of risk. The “Risk Factors” section</w:t>
            </w:r>
          </w:p>
        </w:tc>
      </w:tr>
      <w:tr>
        <w:trPr>
          <w:trHeight w:val="216"/>
        </w:trPr>
        <w:tc>
          <w:tcPr>
            <w:tcW w:w="352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beginning on page 4 contains a discussion of factors that you should carefully read and consider</w:t>
            </w:r>
          </w:p>
        </w:tc>
      </w:tr>
      <w:tr>
        <w:trPr>
          <w:trHeight w:val="222"/>
        </w:trPr>
        <w:tc>
          <w:tcPr>
            <w:tcW w:w="3520" w:type="dxa"/>
            <w:vAlign w:val="bottom"/>
            <w:tcBorders>
              <w:left w:val="single" w:sz="8" w:color="auto"/>
            </w:tcBorders>
          </w:tcPr>
          <w:p>
            <w:pPr>
              <w:spacing w:after="0"/>
              <w:rPr>
                <w:sz w:val="19"/>
                <w:szCs w:val="19"/>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before deciding to invest in shares of our common stock.</w:t>
            </w:r>
          </w:p>
        </w:tc>
      </w:tr>
      <w:tr>
        <w:trPr>
          <w:trHeight w:val="324"/>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Global Select Market Symbol</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NCMI.</w:t>
            </w:r>
          </w:p>
        </w:tc>
      </w:tr>
      <w:tr>
        <w:trPr>
          <w:trHeight w:val="147"/>
        </w:trPr>
        <w:tc>
          <w:tcPr>
            <w:tcW w:w="3520" w:type="dxa"/>
            <w:vAlign w:val="bottom"/>
            <w:tcBorders>
              <w:left w:val="single" w:sz="8" w:color="auto"/>
              <w:bottom w:val="single" w:sz="8" w:color="auto"/>
            </w:tcBorders>
          </w:tcPr>
          <w:p>
            <w:pPr>
              <w:spacing w:after="0"/>
              <w:rPr>
                <w:sz w:val="12"/>
                <w:szCs w:val="12"/>
                <w:color w:val="auto"/>
              </w:rPr>
            </w:pPr>
          </w:p>
        </w:tc>
        <w:tc>
          <w:tcPr>
            <w:tcW w:w="7940" w:type="dxa"/>
            <w:vAlign w:val="bottom"/>
            <w:tcBorders>
              <w:bottom w:val="single" w:sz="8" w:color="auto"/>
              <w:right w:val="single" w:sz="8" w:color="auto"/>
            </w:tcBorders>
          </w:tcPr>
          <w:p>
            <w:pPr>
              <w:spacing w:after="0"/>
              <w:rPr>
                <w:sz w:val="12"/>
                <w:szCs w:val="12"/>
                <w:color w:val="auto"/>
              </w:rPr>
            </w:pPr>
          </w:p>
        </w:tc>
      </w:tr>
      <w:tr>
        <w:trPr>
          <w:trHeight w:val="359"/>
        </w:trPr>
        <w:tc>
          <w:tcPr>
            <w:tcW w:w="3520" w:type="dxa"/>
            <w:vAlign w:val="bottom"/>
          </w:tcPr>
          <w:p>
            <w:pPr>
              <w:spacing w:after="0"/>
              <w:rPr>
                <w:sz w:val="24"/>
                <w:szCs w:val="24"/>
                <w:color w:val="auto"/>
              </w:rPr>
            </w:pPr>
          </w:p>
        </w:tc>
        <w:tc>
          <w:tcPr>
            <w:tcW w:w="7940" w:type="dxa"/>
            <w:vAlign w:val="bottom"/>
          </w:tcPr>
          <w:p>
            <w:pPr>
              <w:ind w:left="2160"/>
              <w:spacing w:after="0"/>
              <w:rPr>
                <w:sz w:val="20"/>
                <w:szCs w:val="20"/>
                <w:color w:val="auto"/>
              </w:rPr>
            </w:pPr>
            <w:r>
              <w:rPr>
                <w:rFonts w:ascii="Arial" w:cs="Arial" w:eastAsia="Arial" w:hAnsi="Arial"/>
                <w:sz w:val="18"/>
                <w:szCs w:val="18"/>
                <w:color w:val="auto"/>
              </w:rPr>
              <w:t>3</w:t>
            </w:r>
          </w:p>
        </w:tc>
      </w:tr>
    </w:tbl>
    <w:p>
      <w:pPr>
        <w:ind w:left="2160"/>
        <w:spacing w:after="0"/>
        <w:rPr>
          <w:sz w:val="20"/>
          <w:szCs w:val="20"/>
          <w:color w:val="auto"/>
        </w:rPr>
        <w:sectPr>
          <w:pgSz w:w="11900" w:h="16838" w:orient="portrait"/>
          <w:cols w:equalWidth="0" w:num="1">
            <w:col w:w="11460"/>
          </w:cols>
          <w:pgMar w:left="240" w:top="265" w:right="1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Ownership of and an investment in our common stock involve certain risks. You should consider carefully the risks incorporated by reference in this prospectus or any applicable prospectus supplement, including the risks described under the captions “Risks Related to our Business and Industry” and “Risks Related to Our Corporate Structure,” included in our Annual Report on Form 10-K for the year ended December 30, 2010 and other information included and incorporated by reference into this prospectus or any applicable prospectus supplement, including our historical financial statements and related notes, in evaluating an investment in our common stock. The information incorporated by reference in this prospectus or any applicable prospectus supplement may be amended, supplemented or superseded from time to time by other reports we file with the SEC in the future. For a description of these reports and documents, and information about where you can find them, see the sections entitled “Where You Can Find More Information” and “Incorporation of Certain Information by Reference” in this prospectus. The risks and uncertainties described in this prospectus, any applicable prospectus supplement and the documents incorporated by reference herein and therein are not the only ones facing us. Additional risks and uncertainties that we do not presently know about or that we currently believe are not material may also adversely affect our business. If any of the risks and uncertainties described in this prospectus, any applicable prospectus supplement or the documents incorporated by reference herein or therein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historical information, some of the information in this prospectus, including the information we have incorporated by reference, includes “forward-looking statements” within the meaning of Section 27A of the Securities Act of 1933, as amended, or the Securities Act, and Section 21E of the Securities Exchange Act of 1934, as amended, or the Exchange Act. All statements other than statements of historical facts included or incorporated by reference in this prospectus, including, without limitation, certain statements under “Risk Factors,” may constitute forward-looking statements. Discussions containing these forward-looking statements are also contained in “Business” and “Management’s Discussion and Analysis of Financial Condition and Results of Operations” incorporated by reference from our most recent Annual Report on Form 10-K, our Quarterly Reports on Form 10-Q, our Current Reports on Form 8-K, as well as any amendments we make to those filings with the SEC.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4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ESAs or lack of support by the founding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non-competition provisions of the ESAs being deemed unenforceable;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bankruptcy of one of the founding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within the overall advertising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ind w:left="900" w:right="6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technological changes and innovations, including 3D, digital cinema, alternative methods for delivering movies to consumers and failures or disruptions of our technology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 including at founding members’ theatres;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retain our senior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infringement of our technology on intellectual property rights owned by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founding members ability to compete with us, influence our affairs and benefit from corporate opportunities that might otherwise be available to us;</w:t>
      </w:r>
    </w:p>
    <w:p>
      <w:pPr>
        <w:spacing w:after="0" w:line="5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and uncertainties relating to our significant indebtedness and investments, including the availability and adequacy of cash flows to meet our debt service requirements, including payments of amounts due under the notes and our existing senior secured credit facility;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operating costs, capital expenditures, revenue and Adjusted OIBDA;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issuance of membership units by NCM LLC or issuance of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that we or any of our founding members is an investment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should not have been available;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market interest rates and our stock prices;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 policies, guidelines or internal control over financial reporting.</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under “Risk Factors” above. Our historical financial data discussed prior to the completion of our IPO reflects the historical results of operations and financial position of NCM LLC. Accordingly, that historical financial data does not give effect to the reorganization and the NCM LLC senior secured credit facility completed as part of the NCM, Inc. IPO.</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proceeds from the sale or other disposition of the common stock covered by this prospectus are solely for the accounts of the selling stockholders. We will not receive any proceeds from any sale or other disposition of these shares of common stock by the selling stockholders.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OF OFFERING PRICE</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offering is being made solely to allow the selling stockholders to offer and sell shares of our common stock to the public. The selling stockholders may offer for sale some of their shares at the time and price that they choose. On any given day, the price per share is likely to be based on the market price of our common stock, as quoted on the Nasdaq Global Select Market on the date of sale, unless shares are sold in private transactions. Consequently, we cannot currently determine the price at which the shares offered for resale pursuant to this prospectus may be sold.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selling stockholders is a founding member of NCM LLC, our operating company subsidiary. Regal CineMedia Holdings, LLC, or RCM, and an entity now merged into American Multi-Cinema, Inc., or AMCI, formed NCM LLC in March 29, 2005. On July 15, 2005, Cinemark Media, Inc., or Cinemark Media, joined NCM LLC as the third founding member. In February 2007, as part of a reorganization related to our IPO, NCM LLC issued an aggregate of 51,850,951 common membership units to the selling stockholders. Pursuant to the common unit adjustment agreement among us, NCM LLC and the founding members or certain of their affiliates, the founding members may be issued additional common membership units or surrender common membership units from time to time, depending on changes in the numbers of movie theatre screens that participate in our advertising services. As of the date of this prospectus, an aggregate of 17,464,122 additional common membership units have been issued to the founding members since our IPO due to positive common unit adjustments, and 1,479,638 common membership units have been surrendered to NCM LLC by the founding members due to negative common unit adjustments. In addition, an aggregate of 10,955,471 common membership units have been redeemed by the founding members in exchange for shares of our common stock, which were then sold.</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common membership units were issued as “restricted securities” under the Securities Act and are subject to certain restrictions on transfer under NCM LLC’s operating agreement. The common membership units can be exchanged for our common stock on a one-to-one basis, except if we exercise our option to exchange the common membership units for cash. This prospectus covers the offer and sale or other disposition by the selling stockholders of 56,879,964 shares of common stock issuable to the selling stockholders upon exchange of the common membership units.</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have registered the above-referenced shares to permit each of the selling stockholders and their pledgees, donees, transferees or other successors-in-interest that, after the date of this prospectus, receive shares of common stock issued upon exchange of their common membership units to resell or otherwise dispose of the shares in the manner contemplated under the “Plan of Distribution.”</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selling stockholders may exchange some, all or none of their common membership units for shares of common stock (subject to our option to exchange units for cash), and they may sell some, all or none of their shares of common stock. The shares of common stock offered by this prospectus may be offered from time to time by the selling stockholders. As part of the original agreement with the selling stockholders at the time of the IPO, we have agreed to use reasonable best efforts to keep a registration statement effective for each selling stockholder until the earlier of (a) such time as all the shares owned by the selling stockholder as a consequence of their exchange and conversion of the common membership units have been disposed of by the selling stockholder or (b) all such shares may be sold by the selling stockholder in reliance on Rule 144 without restriction. We have registered for resale by the founding members common stock equal to all of the current outstanding common membership units as required by the registration rights agreement executed at the date of the IPO.</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Since the formation of NCM LLC, AMCI and affiliates of RCM and Cinemark Media have been parties to exhibitor services agreements (as amended from time to time) with NCM LLC, which govern the terms by which NCM LLC provides advertising, digital programming and meeting events in the theatres of the selling stockholders and their affiliates. We and the selling stockholders are also party to a software license agreement related to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of services under the exhibitor services agreements. Pursuant to a director designation agreement dated February 13, 2007, between us and the selling stockholders, so long as a selling stockholder owns at least 5% of NCM LLC’s issued and outstanding common membership units, such selling stockholder will have the right to designate a total of two nominees to our ten-member board of directors, who are voted upon by our stockholders. If a selling stockholder’s director designee is not elected, then NCM LLC’s operating agreement provides that each of the selling stockholders with at least 5% of NCM LLC’s issued and outstanding common membership units has approval rights for certain NCM LLC actions. The operating agreement also provides for mandatory distributions from NCM LLC to its members (the selling stockholders and us). Additionally, for as long as a selling stockholder beneficially owns at least 5% of NCM LLC’s issued and outstanding common membership units, our certificate of incorporation provides that supermajority voting is required on certain of our board actions and actions we, in our capacity as sole manager of NCM LLC, may authorize NCM LLC to take. A tax receivable agreement between us and the selling stockholders provides for our payment of certain tax savings to the selling stockholders. We are also party to a joint defense agreement with the selling stockholders, as well as a registration rights agreement, which pertains to the registration of shares issuable in exchange for NCM LLC common membership units, as contemplated in this prospectus.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table sets forth the name of each selling stockholder, the number of shares of our common stock beneficially owned (through redemption rights associated with the common membership units) by each selling stockholder, the number of shares that may be offered under this prospectus and the number of shares of our common stock to be owned by each selling stockholder after this offering is completed. The number of shares in the column “Number of Shares Being Offered” represents all of the shares that a selling stockholder may offer under this prospectus. Information regarding any position, office or other material relationship which any selling stockholder has had with us within the past three years is described above. For additional information regarding relationships between us and the selling stockholders, see “Certain Relationships and Related Party Transactions” in our Definitive Proxy Statement on Schedule 14A filed with the SEC on March 17, 2011, which is incorporated by reference in this prospectus.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the date of this prospectus, the selling stockholders do not hold any shares of our common stock, but rather hold common membership units in NCM LLC. Under the limited liability company agreement for NCM LLC, the selling stockholders have the right to redeem their membership units for, at our election, cash or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Beneficial ownership of a security is determined in accordance with the rules and regulations of the SEC. Under these rules, a person is deemed to beneficially own a share of our common stock if that person has or shares voting power or investment power with respect to that share, or has the right to acquire beneficial ownership of that share within 60 days, including through the exercise of any option or other right or the conversion of any other security. Shares issuable under stock options and warrants not subject to this offering are deemed outstanding for computing the percentage of the person holding options or warrants but are not deemed outstanding for computing the percentage of any other person. As of June 30, 2011, the percentage of beneficial ownership for the following table is based upon 53,923,511 shares of our common stock (excluding unvested restricted stock) outstanding of NCM, Inc. and 110,803,475 common membership units of NCM LLC outstanding, of which 53,923,511 are owned by NCM, Inc.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5"/>
              </w:rPr>
              <w:t>Shares Beneficially</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Owned Prior to Offering (1)</w:t>
            </w: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Owned After Offering (2)</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of Shares</w:t>
            </w:r>
          </w:p>
        </w:tc>
        <w:tc>
          <w:tcPr>
            <w:tcW w:w="5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8"/>
              </w:rPr>
              <w:t>Number</w:t>
            </w:r>
          </w:p>
        </w:tc>
        <w:tc>
          <w:tcPr>
            <w:tcW w:w="5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86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of Shares</w:t>
            </w:r>
          </w:p>
        </w:tc>
        <w:tc>
          <w:tcPr>
            <w:tcW w:w="520" w:type="dxa"/>
            <w:vAlign w:val="bottom"/>
          </w:tcPr>
          <w:p>
            <w:pPr>
              <w:spacing w:after="0"/>
              <w:rPr>
                <w:sz w:val="12"/>
                <w:szCs w:val="12"/>
                <w:color w:val="auto"/>
              </w:rPr>
            </w:pPr>
          </w:p>
        </w:tc>
        <w:tc>
          <w:tcPr>
            <w:tcW w:w="13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of Class</w:t>
            </w:r>
          </w:p>
        </w:tc>
        <w:tc>
          <w:tcPr>
            <w:tcW w:w="15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6"/>
              </w:rPr>
              <w:t>Being Offered (1)</w:t>
            </w:r>
          </w:p>
        </w:tc>
        <w:tc>
          <w:tcPr>
            <w:tcW w:w="5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4"/>
              </w:rPr>
              <w:t>of Shares</w:t>
            </w:r>
          </w:p>
        </w:tc>
        <w:tc>
          <w:tcPr>
            <w:tcW w:w="540" w:type="dxa"/>
            <w:vAlign w:val="bottom"/>
          </w:tcPr>
          <w:p>
            <w:pPr>
              <w:spacing w:after="0"/>
              <w:rPr>
                <w:sz w:val="12"/>
                <w:szCs w:val="12"/>
                <w:color w:val="auto"/>
              </w:rPr>
            </w:pPr>
          </w:p>
        </w:tc>
        <w:tc>
          <w:tcPr>
            <w:tcW w:w="8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of Class</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American Multi-Cinema, Inc. and affiliates (3)</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17,323,782</w:t>
            </w:r>
          </w:p>
        </w:tc>
        <w:tc>
          <w:tcPr>
            <w:tcW w:w="5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24.3%</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17,323,782</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Cinemark Holdings, Inc. and affiliates (4)</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17,495,920</w:t>
            </w:r>
          </w:p>
        </w:tc>
        <w:tc>
          <w:tcPr>
            <w:tcW w:w="1820" w:type="dxa"/>
            <w:vAlign w:val="bottom"/>
            <w:gridSpan w:val="3"/>
          </w:tcPr>
          <w:p>
            <w:pPr>
              <w:ind w:left="860"/>
              <w:spacing w:after="0"/>
              <w:rPr>
                <w:sz w:val="20"/>
                <w:szCs w:val="20"/>
                <w:color w:val="auto"/>
              </w:rPr>
            </w:pPr>
            <w:r>
              <w:rPr>
                <w:rFonts w:ascii="Arial" w:cs="Arial" w:eastAsia="Arial" w:hAnsi="Arial"/>
                <w:sz w:val="18"/>
                <w:szCs w:val="18"/>
                <w:color w:val="auto"/>
              </w:rPr>
              <w:t>24.5%</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17,495,920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Regal Entertainment Group and affiliates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22,060,262</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22,060,262</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56,879,964</w:t>
            </w:r>
          </w:p>
        </w:tc>
        <w:tc>
          <w:tcPr>
            <w:tcW w:w="520" w:type="dxa"/>
            <w:vAlign w:val="bottom"/>
            <w:vMerge w:val="continue"/>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51.3%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56,879,964</w:t>
            </w:r>
          </w:p>
        </w:tc>
        <w:tc>
          <w:tcPr>
            <w:tcW w:w="540" w:type="dxa"/>
            <w:vAlign w:val="bottom"/>
            <w:vMerge w:val="continue"/>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vMerge w:val="continue"/>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5680" w:right="2420" w:hanging="5672"/>
        <w:spacing w:after="0" w:line="440" w:lineRule="auto"/>
        <w:tabs>
          <w:tab w:leader="none" w:pos="4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redemption of all of the holder’s common membership units into shares of common stock on a one-to-one basis. 7</w:t>
      </w:r>
    </w:p>
    <w:p>
      <w:pPr>
        <w:sectPr>
          <w:pgSz w:w="11900" w:h="16838" w:orient="portrait"/>
          <w:cols w:equalWidth="0" w:num="1">
            <w:col w:w="11420"/>
          </w:cols>
          <w:pgMar w:left="240" w:top="280" w:right="239" w:bottom="1440" w:gutter="0" w:footer="0" w:header="0"/>
        </w:sectPr>
      </w:pPr>
    </w:p>
    <w:bookmarkStart w:id="12" w:name="page13"/>
    <w:bookmarkEnd w:id="12"/>
    <w:p>
      <w:pPr>
        <w:jc w:val="both"/>
        <w:ind w:left="460" w:right="12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Assumes all offered shares are sold and beneficial ownership of any additional shares or securities which are convertible or exchangeable into shares are not acquired. The registration of these shares does not necessarily mean that the selling stockholders will sell all or any portion of their shares covered by this prospectus.</w:t>
      </w:r>
    </w:p>
    <w:p>
      <w:pPr>
        <w:ind w:left="460" w:right="4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American Multi-Cinema, Inc., AMC Entertainment Inc., Marquee Holdings Inc., AMC Entertainment Holdings, Inc. and AMC ShowPlace Theatres, Inc. The address of these stockholders is 920 Main Street, Kansas City, Missouri 64105.</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Cinemark USA, Inc. and Cinemark Media, Inc. The address of these stockholders is 3900 Dallas Parkway, Suite 500, Plano, Texas 75093.</w:t>
      </w:r>
    </w:p>
    <w:p>
      <w:pPr>
        <w:spacing w:after="0" w:line="32"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Regal Entertainment Group and Regal Cinemas, Inc. at 7132 Regal Lane, Knoxville, Tennessee 37918 and Anschutz Company and Phillip F. Anschutz at 555 Seventeenth Street, Suite 2400, Denver, Colorado 80202.</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common membership units or shares received after the date of this prospectus from a selling stockholder as a gift, pledge, partnership distribution or other transfer, may, from time to time, sell, transfer or otherwise dispose of any or all of their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offering price of the shares from time to time will be determined by the selling stockholder and, at the time of determination, may be higher or lower than the market price of our common stock on the Nasdaq Global Select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may use any one or more of the following methods from time to time when disposing of shares: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13" w:name="page14"/>
    <w:bookmarkEnd w:id="13"/>
    <w:p>
      <w:pPr>
        <w:jc w:val="both"/>
        <w:ind w:right="8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selling stockholders may also sell shares under Rule 144 under the Securities Act, if available, rather than under this prospectus. The selling stockholders are not obligated to, and there is no assurance that the selling stockholders will, sell all or any of the shares we are registering. The selling stockholders may transfer, devise or gift such shares by other means not described in this prospectus.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the sale of our shares, the selling stockholders may sell the shares directly or through broker-dealers acting as a principal or agent, or pursuant to a distribution by one or more underwriters on a firm commitment or best efforts basis. The selling stockholders may also enter into hedging transactions with broker-dealers or other financial institutions, which may in turn engage in short sales of the common stock in the course of hedging the positions they assume.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2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aggregate proceeds to each selling stockholder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Any profits on the resale of shares by a broker-dealer acting as principal might be deemed to be underwriting discounts or commissions under the Securities Act. Discounts, concessions, commissions and similar selling expenses, if any, attributable to the sale of shares will be borne by a selling stockholder. The selling stockholders may agree to indemnify any agent, dealer or broker-dealer that participates in transactions involving sales of the shares if liabilities are imposed on that person under the Securities Act.</w:t>
      </w:r>
    </w:p>
    <w:p>
      <w:pPr>
        <w:spacing w:after="0" w:line="14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the registration agreement, we are required to pay certain fees and expenses incurred by us incident to the registration of the shares. We have agreed to indemnify the selling stockholders against certain losses, claims, damages and liabilities, including liabilities under the Securities Act. The selling stockholders have severally agreed to indemnify us against certain losses, claims, damages and liabilities, including liabilities under the Securities Act.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owned by them and, if they default in the performance of any of their secured obligations, the pledgees or secured parties may offer and sell the shares from time to time under this prospectus as it may be supplemented from time to time,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 the extent required, the shares to be sold, the names of the selling stockholders, the respective purchase prices and public offering prices, the names of any agents, dealer or underwriter, any applicable commissions or discounts with respect to a particular offer will be set forth in a supplement to this prospectus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anti-manipulation rules of Regulation M under the Exchange Act may apply to sales of shares in the market and to the activities of the founding members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agreed with the selling stockholders to use reasonable best efforts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 without restriction.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Upon our notification by a selling stockholder that any material arrangement has been entered into with an underwriter or broker-dealer for the sale of shares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selling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being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 or concessions allowed or re-allowed or paid by any underwriters to dealers;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 offering price;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3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offered hereby will be passed on for us by Holme Roberts &amp; Owen LLP, Denver, Colorado.</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for the year ended December 30, 2010, and the effectiveness of National CineMedia, Inc.’s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file electronically with the Securities and Exchange Commission our Annual Reports on Form 10-K, Quarterly Reports on Form 10-Q, Current Reports on Form 8-K, and amendments to those reports filed or furnished pursuant to Section 13(a) or 15(d) of the Exchange Act. You can request copies of such documents by contacting our Investor Relations Department at National CineMedia, Inc., 9110 E. Nichols Avenue, Suite 200, Centennial, CO 80112-3405, calling 1-800-844-0935 or sending an email to investors@ncm.com. We also make available on or through our website, at </w:t>
      </w:r>
      <w:r>
        <w:rPr>
          <w:rFonts w:ascii="Arial" w:cs="Arial" w:eastAsia="Arial" w:hAnsi="Arial"/>
          <w:sz w:val="16"/>
          <w:szCs w:val="16"/>
          <w:i w:val="1"/>
          <w:iCs w:val="1"/>
          <w:color w:val="auto"/>
        </w:rPr>
        <w:t>www.ncm.com</w:t>
      </w:r>
      <w:r>
        <w:rPr>
          <w:rFonts w:ascii="Arial" w:cs="Arial" w:eastAsia="Arial" w:hAnsi="Arial"/>
          <w:sz w:val="16"/>
          <w:szCs w:val="16"/>
          <w:color w:val="auto"/>
        </w:rPr>
        <w:t>, free of charge, copies of these reports as soon as reasonably practicable after we electronically file or furnish it to the SEC.</w:t>
      </w:r>
    </w:p>
    <w:p>
      <w:pPr>
        <w:spacing w:after="0" w:line="110" w:lineRule="exact"/>
        <w:rPr>
          <w:sz w:val="20"/>
          <w:szCs w:val="20"/>
          <w:color w:val="auto"/>
        </w:rPr>
      </w:pPr>
    </w:p>
    <w:p>
      <w:pPr>
        <w:ind w:right="480" w:firstLine="456"/>
        <w:spacing w:after="0" w:line="262" w:lineRule="auto"/>
        <w:rPr>
          <w:sz w:val="20"/>
          <w:szCs w:val="20"/>
          <w:color w:val="auto"/>
        </w:rPr>
      </w:pPr>
      <w:r>
        <w:rPr>
          <w:rFonts w:ascii="Arial" w:cs="Arial" w:eastAsia="Arial" w:hAnsi="Arial"/>
          <w:sz w:val="18"/>
          <w:szCs w:val="18"/>
          <w:b w:val="1"/>
          <w:bCs w:val="1"/>
          <w:color w:val="auto"/>
        </w:rPr>
        <w:t>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read and copy any document we file at the following location at the SEC: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Room 1580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can also obtain copies of this information by mail from the Public Reference Room of the SEC, 100 F Street, N.E., Room 1580, Washington D.C.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20549, at prescribed rates. You may obtain information on the operation of the Public Reference Room by calling the SEC at (800) SEC-0330.</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The SEC also maintains a website that contains reports, proxy statements and other information about issuers, like NCM Inc., that file electronically with the SEC. The address of that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have filed with the SEC a registration statement on Form S-3 that registers the securities the selling stockholders are offering. The registration statement, including the attached exhibits and schedules, contains additional relevant information about us and our securities. The rules and regulations of the SEC allow us to omit certain information included in the registration statement from this prospectus.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information that is included directly in this document.</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prospectus includes by reference the documents listed below that we have previously filed with the SEC and that are not included in or delivered with this document. They contain important information about us and our financial condition.</w:t>
      </w:r>
    </w:p>
    <w:p>
      <w:pPr>
        <w:spacing w:after="0" w:line="51" w:lineRule="exact"/>
        <w:rPr>
          <w:sz w:val="20"/>
          <w:szCs w:val="20"/>
          <w:color w:val="auto"/>
        </w:rPr>
      </w:pPr>
    </w:p>
    <w:p>
      <w:pPr>
        <w:ind w:left="900" w:right="2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30, 2010, filed with the SEC on February 25, 2011 (including the portions of our proxy statement for our 2011 annual meeting of stockholders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2011, filed with the SEC on May 6,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6" w:name="page17"/>
    <w:bookmarkEnd w:id="16"/>
    <w:p>
      <w:pPr>
        <w:ind w:left="900" w:right="10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Current Reports on Form 8-K, filed with the SEC on January 19, 2011, February 24, 2011, March 22, 2011, May 2, 2011, June 16, 2011, June 23, 2011 (excluding portions furnished pursuant to Item 7.01), June 30, 2011 and July 7, 2011; and</w:t>
      </w:r>
    </w:p>
    <w:p>
      <w:pPr>
        <w:spacing w:after="0" w:line="4"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that is contained in our Registration Statement on Form 8-A filed with the SEC on February 5, 2007, including any amendment or reports filed for the purpose of updating such description.</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All documents filed by us pursuant to Section 13(a), 13(c), 14 or 15(d) of the Exchange Act after the date of this prospectus and prior to the termination of this offering shall be deemed to be incorporated by reference herein and to be a part of this prospectus from the date of filing of such documents, excluding any information furnished under Item 2.02 or Item 7.01 of any Current Report on Form 8-K and exhibits furnished on such form that are related to such items. We also specifically incorporate by reference any documents filed by us with the SEC under Section 13(a), 13(c), 14 or 15(d) of the Exchange Act after the date of the initial registration statement and prior to the effectiveness of the registration statement.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can obtain any of the documents incorporated by reference in this document from us without charge, excluding any exhibits to those documents unless the exhibit is specifically incorporated by reference as an exhibit to this prospectus. You can obtain documents incorporated by reference in this prospectus by requesting them in writing or by telephone from us at the following address: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9110 East Nichols Avenue, Suite 200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Centennial, CO 80112-3405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1-800-844-0935</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selling stockholders have not, authorized anyone to give any information or make any representation about us that is different from, or in addition to, that contained in this prospectus or in any of the materials that we have incorporated by reference into this document. Therefore, if anyone does give you information of this sort, you should not rely on it. 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2472690</wp:posOffset>
            </wp:positionH>
            <wp:positionV relativeFrom="page">
              <wp:posOffset>1752600</wp:posOffset>
            </wp:positionV>
            <wp:extent cx="2624455" cy="917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62445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National CineMedia, Inc.</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56,879,964 Shares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290195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2011</w:t>
      </w:r>
    </w:p>
    <w:p>
      <w:pPr>
        <w:sectPr>
          <w:pgSz w:w="11900" w:h="16838" w:orient="portrait"/>
          <w:cols w:equalWidth="0" w:num="1">
            <w:col w:w="9019"/>
          </w:cols>
          <w:pgMar w:left="1440" w:top="144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96"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The following table sets forth all expenses payable by the registrants in connection with the issuance and distribution of the securities, other than underwriting discounts and commissions. The registrants will bear all of such expenses. All the amounts shown are estimates, except the registration fee.</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94,631.94</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Miscellaneous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149,631.94</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102 of the Delaware General Corporation Law (the “DGCL”) grants us the power to limit the personal liability of our directors or our stockholders for monetary damages for breach of a fiduciary duty. Article Sixth of our Amended and Restated Certificate of Incorporation eliminates the personal liability of directors for monetary damages for actions taken as a director, except for liability for breach of duty of loyalty; for acts or omissions not in good faith or involving intentional misconduct or knowing violation of law; under Section 174 of the DGCL (unlawful dividends); or for transactions from which the director derived improper personal benefit.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Section 145 of the DGCL, a corporation has the power to indemnify directors and officers under certain prescribed circumstances against certain costs and expenses, actually and reasonably incurred in connection with any action, suit or proceeding, whether civil, criminal, administrative or investigative, to which any of them is a party by reason of his being a director or officer of the corporation if it is determined that he acted in accordance with the applicable standard of conduct set forth in such statutory provision. Article VI of our Amended and Restated Bylaws requires us to indemnify any current or former directors or officers to the fullest extent permitted by the DGCL, and to pay expenses incurred in defending any such proceeding in advance of its final disposition upon delivery to us of an undertaking, by or on behalf of an indemnified person, to repay all amounts so advanced if it should be determined ultimately that such person is not entitled to be indemnified under this section or otherwise. Article VI also permits us to indemnify any current or former employees or agents to the fullest extent permitted by the DGCL, and to pay expenses incurred in defending any such proceeding in advance of its final disposition upon such terms and conditions, if any, as we deem appropriate.</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Section 145 of the DGCL authorizes a corporation to purchase and maintain insurance on behalf of any person who is or was a director, officer, employee or agent of the corporation against any liability asserted against and incurred by such person in any such capacity, or arising out of such person’s status as such. As permitted by Section 145 and Section 6.08 of our Amended and Restated Bylaws, we carry insurance policies insuring our directors and officers against certain liabilities that they may incur in their capacity as directors and officers.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entered into separate indemnification agreements with each of our directors and officers, which may be broader than the specific indemnification provisions contained in the DGCL.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19" w:name="page20"/>
    <w:bookmarkEnd w:id="19"/>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indemnification rights set forth above shall not be exclusive of any other right which an indemnified person may have or hereafter acquire under any statute, provision of our Amended and Restated Certificate of Incorporation or Amended and Restated Bylaws, agreement, vote of stockholders or disinterested directors or otherwise.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w w:val="98"/>
              </w:rPr>
              <w:t>ITEM 16.</w:t>
            </w:r>
          </w:p>
        </w:tc>
        <w:tc>
          <w:tcPr>
            <w:tcW w:w="9980" w:type="dxa"/>
            <w:vAlign w:val="bottom"/>
            <w:gridSpan w:val="4"/>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232"/>
        </w:trPr>
        <w:tc>
          <w:tcPr>
            <w:tcW w:w="4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w w:val="91"/>
              </w:rPr>
              <w:t>Exhibit No.</w:t>
            </w:r>
          </w:p>
        </w:tc>
        <w:tc>
          <w:tcPr>
            <w:tcW w:w="50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16"/>
        </w:trPr>
        <w:tc>
          <w:tcPr>
            <w:tcW w:w="4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Amended</w:t>
            </w:r>
          </w:p>
        </w:tc>
        <w:tc>
          <w:tcPr>
            <w:tcW w:w="8700" w:type="dxa"/>
            <w:vAlign w:val="bottom"/>
          </w:tcPr>
          <w:p>
            <w:pPr>
              <w:ind w:left="80"/>
              <w:spacing w:after="0"/>
              <w:rPr>
                <w:sz w:val="20"/>
                <w:szCs w:val="20"/>
                <w:color w:val="auto"/>
              </w:rPr>
            </w:pPr>
            <w:r>
              <w:rPr>
                <w:rFonts w:ascii="Arial" w:cs="Arial" w:eastAsia="Arial" w:hAnsi="Arial"/>
                <w:sz w:val="18"/>
                <w:szCs w:val="18"/>
                <w:color w:val="auto"/>
              </w:rPr>
              <w:t>and Restated Certificate of Incorporation. (1)</w:t>
            </w:r>
          </w:p>
        </w:tc>
      </w:tr>
      <w:tr>
        <w:trPr>
          <w:trHeight w:val="3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Amended and Restated Bylaws. (2)</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National CineMedia, LLC Third Amended and Restated Limited Liability Company Operating Agreement dated as of February 13,</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8"/>
              </w:rPr>
              <w:t>2007, by and among American Multi-Cinema, Inc., Cinemark Media, Inc., Regal CineMedia Holdings, LLC and National</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CineMedia, Inc. (3)</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2"/>
              </w:rPr>
              <w:t>First Amendment to Third Amended and Restated Limited Liability Company Operating Agreement of National CineMedia, LLC</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dated as of March 16, 2009, by and among American Multi-Cinema, Inc., Cinemark Media, Inc., Regal CineMedia Holdings, LLC</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National CineMedia, Inc. (4)</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Second Amendment to Third Amended and Restated Limited Liability Company Operating Agreement of National CineMedia, LLC</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dated as of August 6, 2010, by and among American Multi-Cinema, Inc., Cinemark Media, Inc., Regal CineMedia Holdings, LLC</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National CineMedia, Inc. (5)</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3"/>
              </w:rPr>
              <w:t>LLC, Regal CineMedia Holdings, LLC, American Multi-Cinema, Inc., Cinemark Media, Inc, Regal Cinemas, Inc. and Cinemark</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Commission.) (3)</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Director Designation Agreement dated as of February 13, 2007, by and among National CineMedia, Inc., American Multi-Cinema,</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Inc., Cinemark Media, Inc. and Regal CineMedia Holdings, LLC. (3)</w:t>
            </w:r>
          </w:p>
        </w:tc>
      </w:tr>
      <w:tr>
        <w:trPr>
          <w:trHeight w:val="318"/>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February 13, 2007, by and among National CineMedia, Inc., American Multi-Cinema,</w:t>
            </w:r>
          </w:p>
        </w:tc>
      </w:tr>
      <w:tr>
        <w:trPr>
          <w:trHeight w:val="222"/>
        </w:trPr>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Inc., Regal CineMedia Holdings, LLC and Cinemark Media, Inc. (3)</w:t>
            </w:r>
          </w:p>
        </w:tc>
      </w:tr>
      <w:tr>
        <w:trPr>
          <w:trHeight w:val="324"/>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Opinion of Holme Roberts &amp; Owen LLP.*</w:t>
            </w:r>
          </w:p>
        </w:tc>
      </w:tr>
      <w:tr>
        <w:trPr>
          <w:trHeight w:val="324"/>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Holme Roberts &amp; Owen LLP (included in Exhibit 5.1).*</w:t>
            </w:r>
          </w:p>
        </w:tc>
      </w:tr>
      <w:tr>
        <w:trPr>
          <w:trHeight w:val="324"/>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Powers of Attorney of National CineMedia,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for the quarter ended March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Exhibit 4.2 from the Company’s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February 16,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 10.1.1 from the Company’s Quarterly Report on Form 10-Q for the quarter ended July 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August 10, 2010.</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71" w:lineRule="exact"/>
        <w:rPr>
          <w:rFonts w:ascii="Arial" w:cs="Arial" w:eastAsia="Arial" w:hAnsi="Arial"/>
          <w:sz w:val="18"/>
          <w:szCs w:val="18"/>
          <w:color w:val="auto"/>
        </w:rPr>
      </w:pPr>
    </w:p>
    <w:p>
      <w:pPr>
        <w:ind w:left="5580" w:right="1800" w:hanging="5116"/>
        <w:spacing w:after="0" w:line="440" w:lineRule="auto"/>
        <w:tabs>
          <w:tab w:leader="none" w:pos="7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II-2</w:t>
      </w:r>
    </w:p>
    <w:p>
      <w:pPr>
        <w:sectPr>
          <w:pgSz w:w="11900" w:h="16838" w:orient="portrait"/>
          <w:cols w:equalWidth="0" w:num="1">
            <w:col w:w="11220"/>
          </w:cols>
          <w:pgMar w:left="240" w:top="280" w:right="439" w:bottom="1440" w:gutter="0" w:footer="0" w:header="0"/>
        </w:sectPr>
      </w:pPr>
    </w:p>
    <w:bookmarkStart w:id="20" w:name="page21"/>
    <w:bookmarkEnd w:id="20"/>
    <w:p>
      <w:pPr>
        <w:ind w:left="1100" w:hanging="217"/>
        <w:spacing w:after="0"/>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prospectus required by Section 10(a)(3) of the Securities Act.</w:t>
      </w:r>
    </w:p>
    <w:p>
      <w:pPr>
        <w:spacing w:after="0" w:line="90" w:lineRule="exact"/>
        <w:rPr>
          <w:rFonts w:ascii="Arial" w:cs="Arial" w:eastAsia="Arial" w:hAnsi="Arial"/>
          <w:sz w:val="18"/>
          <w:szCs w:val="18"/>
          <w:color w:val="auto"/>
        </w:rPr>
      </w:pPr>
    </w:p>
    <w:p>
      <w:pPr>
        <w:ind w:left="440" w:right="60" w:firstLine="443"/>
        <w:spacing w:after="0" w:line="291" w:lineRule="auto"/>
        <w:tabs>
          <w:tab w:leader="none" w:pos="11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39" w:lineRule="exact"/>
        <w:rPr>
          <w:rFonts w:ascii="Arial" w:cs="Arial" w:eastAsia="Arial" w:hAnsi="Arial"/>
          <w:sz w:val="16"/>
          <w:szCs w:val="16"/>
          <w:color w:val="auto"/>
        </w:rPr>
      </w:pPr>
    </w:p>
    <w:p>
      <w:pPr>
        <w:jc w:val="both"/>
        <w:ind w:left="440" w:right="40" w:firstLine="443"/>
        <w:spacing w:after="0" w:line="294" w:lineRule="auto"/>
        <w:tabs>
          <w:tab w:leader="none" w:pos="11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of this section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15" w:lineRule="exact"/>
        <w:rPr>
          <w:rFonts w:ascii="Arial" w:cs="Arial" w:eastAsia="Arial" w:hAnsi="Arial"/>
          <w:sz w:val="16"/>
          <w:szCs w:val="16"/>
          <w:color w:val="auto"/>
        </w:rPr>
      </w:pPr>
    </w:p>
    <w:p>
      <w:pPr>
        <w:ind w:left="-20" w:firstLine="464"/>
        <w:spacing w:after="0" w:line="370" w:lineRule="auto"/>
        <w:tabs>
          <w:tab w:leader="none" w:pos="685"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left="-20" w:right="200" w:firstLine="464"/>
        <w:spacing w:after="0" w:line="268"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to any purchaser:</w:t>
      </w:r>
    </w:p>
    <w:p>
      <w:pPr>
        <w:spacing w:after="0" w:line="90" w:lineRule="exact"/>
        <w:rPr>
          <w:rFonts w:ascii="Arial" w:cs="Arial" w:eastAsia="Arial" w:hAnsi="Arial"/>
          <w:sz w:val="18"/>
          <w:szCs w:val="18"/>
          <w:color w:val="auto"/>
        </w:rPr>
      </w:pPr>
    </w:p>
    <w:p>
      <w:pPr>
        <w:ind w:left="440" w:right="180" w:firstLine="443"/>
        <w:spacing w:after="0" w:line="268"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440" w:right="120" w:firstLine="443"/>
        <w:spacing w:after="0" w:line="286"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rFonts w:ascii="Arial" w:cs="Arial" w:eastAsia="Arial" w:hAnsi="Arial"/>
          <w:sz w:val="16"/>
          <w:szCs w:val="16"/>
          <w:color w:val="auto"/>
        </w:rPr>
      </w:pPr>
    </w:p>
    <w:p>
      <w:pPr>
        <w:ind w:left="-20" w:right="300" w:firstLine="464"/>
        <w:spacing w:after="0" w:line="323" w:lineRule="auto"/>
        <w:tabs>
          <w:tab w:leader="none" w:pos="68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60" w:top="280" w:right="259" w:bottom="1440" w:gutter="0" w:footer="0" w:header="0"/>
        </w:sectPr>
      </w:pPr>
    </w:p>
    <w:bookmarkStart w:id="21" w:name="page22"/>
    <w:bookmarkEnd w:id="21"/>
    <w:p>
      <w:pPr>
        <w:ind w:left="1120" w:hanging="217"/>
        <w:spacing w:after="0"/>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720" w:firstLine="443"/>
        <w:spacing w:after="0" w:line="268" w:lineRule="auto"/>
        <w:tabs>
          <w:tab w:leader="none" w:pos="11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right="60" w:firstLine="8"/>
        <w:spacing w:after="0" w:line="256"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undersigned registrants hereby undertake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w:t>
      </w:r>
    </w:p>
    <w:p>
      <w:pPr>
        <w:spacing w:after="0" w:line="38"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pursuant to any charter provision, by law, contract, arrangement, statute,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such registrant by such director, officer or controlling person in connection with the securities being registered, such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00"/>
          </w:cols>
          <w:pgMar w:left="240" w:top="280" w:right="35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Centennial, State of Colorado, on the 4</w:t>
      </w:r>
      <w:r>
        <w:rPr>
          <w:rFonts w:ascii="Arial" w:cs="Arial" w:eastAsia="Arial" w:hAnsi="Arial"/>
          <w:sz w:val="11"/>
          <w:szCs w:val="11"/>
          <w:color w:val="auto"/>
        </w:rPr>
        <w:t>th</w:t>
      </w:r>
      <w:r>
        <w:rPr>
          <w:rFonts w:ascii="Arial" w:cs="Arial" w:eastAsia="Arial" w:hAnsi="Arial"/>
          <w:sz w:val="18"/>
          <w:szCs w:val="18"/>
          <w:color w:val="auto"/>
        </w:rPr>
        <w:t xml:space="preserve"> day of August, 2011.</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w:t>
      </w:r>
    </w:p>
    <w:p>
      <w:pPr>
        <w:spacing w:after="0" w:line="16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S-3 has been signed by the following persons in the capacities indicated on the 4</w:t>
      </w:r>
      <w:r>
        <w:rPr>
          <w:rFonts w:ascii="Arial" w:cs="Arial" w:eastAsia="Arial" w:hAnsi="Arial"/>
          <w:sz w:val="11"/>
          <w:szCs w:val="11"/>
          <w:color w:val="auto"/>
        </w:rPr>
        <w:t>th</w:t>
      </w:r>
      <w:r>
        <w:rPr>
          <w:rFonts w:ascii="Arial" w:cs="Arial" w:eastAsia="Arial" w:hAnsi="Arial"/>
          <w:sz w:val="18"/>
          <w:szCs w:val="18"/>
          <w:color w:val="auto"/>
        </w:rPr>
        <w:t xml:space="preserve"> day of August, 2011.</w:t>
      </w:r>
    </w:p>
    <w:p>
      <w:pPr>
        <w:sectPr>
          <w:pgSz w:w="11900" w:h="16838" w:orient="portrait"/>
          <w:cols w:equalWidth="0" w:num="1">
            <w:col w:w="11320"/>
          </w:cols>
          <w:pgMar w:left="240" w:top="274" w:right="339" w:bottom="1440" w:gutter="0" w:footer="0" w:header="0"/>
        </w:sectPr>
      </w:pPr>
    </w:p>
    <w:p>
      <w:pPr>
        <w:spacing w:after="0" w:line="251" w:lineRule="exact"/>
        <w:rPr>
          <w:sz w:val="20"/>
          <w:szCs w:val="20"/>
          <w:color w:val="auto"/>
        </w:rPr>
      </w:pPr>
    </w:p>
    <w:p>
      <w:pPr>
        <w:ind w:left="2380"/>
        <w:spacing w:after="0"/>
        <w:rPr>
          <w:sz w:val="20"/>
          <w:szCs w:val="20"/>
          <w:color w:val="auto"/>
        </w:rPr>
      </w:pPr>
      <w:r>
        <w:rPr>
          <w:rFonts w:ascii="Arial" w:cs="Arial" w:eastAsia="Arial" w:hAnsi="Arial"/>
          <w:sz w:val="14"/>
          <w:szCs w:val="14"/>
          <w:u w:val="single" w:color="auto"/>
          <w:color w:val="auto"/>
        </w:rPr>
        <w:t>Name</w:t>
      </w:r>
    </w:p>
    <w:p>
      <w:pPr>
        <w:spacing w:after="0" w:line="2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Kurt C. Hall</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Gary W. Ferrera</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Lawrence A. Goodman</w:t>
      </w: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David R. Haas</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James R. Holland, Jr.</w:t>
      </w: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Stephen L. Lanning</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Gerardo I. Lopez</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67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Edward H. Meyer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4"/>
          <w:szCs w:val="14"/>
          <w:u w:val="single" w:color="auto"/>
          <w:color w:val="auto"/>
        </w:rPr>
        <w:t>Title</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President, Chief Executive Officer and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and Financial Officer)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II-5</w:t>
      </w:r>
    </w:p>
    <w:p>
      <w:pPr>
        <w:sectPr>
          <w:pgSz w:w="11900" w:h="16838" w:orient="portrait"/>
          <w:cols w:equalWidth="0" w:num="2">
            <w:col w:w="4700" w:space="720"/>
            <w:col w:w="5900"/>
          </w:cols>
          <w:pgMar w:left="240" w:top="274" w:right="339" w:bottom="1440" w:gutter="0" w:footer="0" w:header="0"/>
          <w:type w:val="continuous"/>
        </w:sectPr>
      </w:pPr>
    </w:p>
    <w:bookmarkStart w:id="23" w:name="page24"/>
    <w:bookmarkEnd w:id="23"/>
    <w:p>
      <w:pPr>
        <w:ind w:left="2400"/>
        <w:spacing w:after="0"/>
        <w:rPr>
          <w:sz w:val="20"/>
          <w:szCs w:val="20"/>
          <w:color w:val="auto"/>
        </w:rPr>
      </w:pPr>
      <w:r>
        <w:rPr>
          <w:rFonts w:ascii="Arial" w:cs="Arial" w:eastAsia="Arial" w:hAnsi="Arial"/>
          <w:sz w:val="14"/>
          <w:szCs w:val="14"/>
          <w:u w:val="single" w:color="auto"/>
          <w:color w:val="auto"/>
        </w:rPr>
        <w:t>Name</w:t>
      </w:r>
    </w:p>
    <w:p>
      <w:pPr>
        <w:spacing w:after="0" w:line="2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2667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Amy E. Miles</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2667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Lee Roy Mitchell</w:t>
      </w:r>
    </w:p>
    <w:p>
      <w:pPr>
        <w:spacing w:after="0" w:line="2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2667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Scott N. Schneider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 /s/ Ralph E. 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2667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Ralph E. Hardy</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Arial" w:cs="Arial" w:eastAsia="Arial" w:hAnsi="Arial"/>
          <w:sz w:val="14"/>
          <w:szCs w:val="14"/>
          <w:u w:val="single" w:color="auto"/>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-240665</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Attorney-in-fact</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700" w:space="720"/>
            <w:col w:w="4799"/>
          </w:cols>
          <w:pgMar w:left="240" w:top="358" w:right="1440" w:bottom="1440" w:gutter="0" w:footer="0" w:header="0"/>
        </w:sectPr>
      </w:pPr>
    </w:p>
    <w:bookmarkStart w:id="24" w:name="page25"/>
    <w:bookmarkEnd w:id="24"/>
    <w:tbl>
      <w:tblPr>
        <w:tblLayout w:type="fixed"/>
        <w:tblInd w:w="412"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60" w:type="dxa"/>
            <w:vAlign w:val="bottom"/>
          </w:tcPr>
          <w:p>
            <w:pPr>
              <w:jc w:val="right"/>
              <w:spacing w:after="0"/>
              <w:rPr>
                <w:sz w:val="20"/>
                <w:szCs w:val="20"/>
                <w:color w:val="auto"/>
              </w:rPr>
            </w:pPr>
            <w:r>
              <w:rPr>
                <w:rFonts w:ascii="Arial" w:cs="Arial" w:eastAsia="Arial" w:hAnsi="Arial"/>
                <w:sz w:val="14"/>
                <w:szCs w:val="14"/>
                <w:color w:val="auto"/>
                <w:w w:val="91"/>
              </w:rPr>
              <w:t>Exhibit No.</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16"/>
        </w:trPr>
        <w:tc>
          <w:tcPr>
            <w:tcW w:w="6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Amended</w:t>
            </w:r>
          </w:p>
        </w:tc>
        <w:tc>
          <w:tcPr>
            <w:tcW w:w="8700" w:type="dxa"/>
            <w:vAlign w:val="bottom"/>
          </w:tcPr>
          <w:p>
            <w:pPr>
              <w:ind w:left="80"/>
              <w:spacing w:after="0"/>
              <w:rPr>
                <w:sz w:val="20"/>
                <w:szCs w:val="20"/>
                <w:color w:val="auto"/>
              </w:rPr>
            </w:pPr>
            <w:r>
              <w:rPr>
                <w:rFonts w:ascii="Arial" w:cs="Arial" w:eastAsia="Arial" w:hAnsi="Arial"/>
                <w:sz w:val="18"/>
                <w:szCs w:val="18"/>
                <w:color w:val="auto"/>
              </w:rPr>
              <w:t>and Restated Certificate of Incorporation. (1)</w:t>
            </w:r>
          </w:p>
        </w:tc>
      </w:tr>
      <w:tr>
        <w:trPr>
          <w:trHeight w:val="316"/>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Amended and Restated Bylaws. (2)</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National CineMedia, LLC Third Amended and Restated Limited Liability Company Operating Agreement dated as of February 13,</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8"/>
              </w:rPr>
              <w:t>2007, by and among American Multi-Cinema, Inc., Cinemark Media, Inc., Regal CineMedia Holdings, LLC and National</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CineMedia, Inc. (3)</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2"/>
              </w:rPr>
              <w:t>First Amendment to Third Amended and Restated Limited Liability Company Operating Agreement of National CineMedia, LLC</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dated as of March 16, 2009, by and among American Multi-Cinema, Inc., Cinemark Media, Inc., Regal CineMedia Holdings, LLC</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National CineMedia, Inc. (4)</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Second Amendment to Third Amended and Restated Limited Liability Company Operating Agreement of National CineMedia, LLC</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dated as of August 6, 2010, by and among American Multi-Cinema, Inc., Cinemark Media, Inc., Regal CineMedia Holdings, LLC</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National CineMedia, Inc. (5)</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3"/>
              </w:rPr>
              <w:t>LLC, Regal CineMedia Holdings, LLC, American Multi-Cinema, Inc., Cinemark Media, Inc, Regal Cinemas, Inc. and Cinemark</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Commission.) (3)</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Director Designation Agreement dated as of February 13, 2007, by and among National CineMedia, Inc., American Multi-Cinema,</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Inc., Cinemark Media, Inc. and Regal CineMedia Holdings, LLC. (3)</w:t>
            </w:r>
          </w:p>
        </w:tc>
      </w:tr>
      <w:tr>
        <w:trPr>
          <w:trHeight w:val="318"/>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February 13, 2007, by and among National CineMedia, Inc., American Multi-Cinema,</w:t>
            </w:r>
          </w:p>
        </w:tc>
      </w:tr>
      <w:tr>
        <w:trPr>
          <w:trHeight w:val="222"/>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Inc., Regal CineMedia Holdings, LLC and Cinemark Media, Inc. (3)</w:t>
            </w:r>
          </w:p>
        </w:tc>
      </w:tr>
      <w:tr>
        <w:trPr>
          <w:trHeight w:val="324"/>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Opinion of Holme Roberts &amp; Owen LLP.*</w:t>
            </w:r>
          </w:p>
        </w:tc>
      </w:tr>
      <w:tr>
        <w:trPr>
          <w:trHeight w:val="324"/>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Holme Roberts &amp; Owen LLP (included in Exhibit 5.1).*</w:t>
            </w:r>
          </w:p>
        </w:tc>
      </w:tr>
      <w:tr>
        <w:trPr>
          <w:trHeight w:val="324"/>
        </w:trPr>
        <w:tc>
          <w:tcPr>
            <w:tcW w:w="660" w:type="dxa"/>
            <w:vAlign w:val="bottom"/>
          </w:tcPr>
          <w:p>
            <w:pPr>
              <w:jc w:val="right"/>
              <w:ind w:right="94"/>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Powers of Attorney of National CineMedia,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for the quarter ended March 31, 2011.</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to Exhibit 4.2 from the Company’s Registration Statement on Form S-8 (File No. 333-140652) filed on February 13, 2007.</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February 16,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10.1.1 from the Company’s Quarterly Report on Form 10-Q for the quarter ended July 2, 2009.</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August 10, 2010.</w:t>
      </w:r>
    </w:p>
    <w:p>
      <w:pPr>
        <w:sectPr>
          <w:pgSz w:w="11900" w:h="16838" w:orient="portrait"/>
          <w:cols w:equalWidth="0" w:num="1">
            <w:col w:w="10932"/>
          </w:cols>
          <w:pgMar w:left="248" w:top="274" w:right="7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HOLME ROBERTS &amp; OWEN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9110 E. Nichols Ave.,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 80112-3405</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National CineMedia, Inc. Form S-3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acted as counsel to National CineMedia,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related prospectus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on August 4, 2011. The Registration Statement covers the resale of up to 56,879,964 shares (the “</w:t>
      </w:r>
      <w:r>
        <w:rPr>
          <w:rFonts w:ascii="Arial" w:cs="Arial" w:eastAsia="Arial" w:hAnsi="Arial"/>
          <w:sz w:val="16"/>
          <w:szCs w:val="16"/>
          <w:u w:val="single" w:color="auto"/>
          <w:color w:val="auto"/>
        </w:rPr>
        <w:t>Agreement Shares</w:t>
      </w:r>
      <w:r>
        <w:rPr>
          <w:rFonts w:ascii="Arial" w:cs="Arial" w:eastAsia="Arial" w:hAnsi="Arial"/>
          <w:sz w:val="16"/>
          <w:szCs w:val="16"/>
          <w:color w:val="auto"/>
        </w:rPr>
        <w:t>”) of common stock of the Company, $0.01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issueable as described below. American Multi-Cinema, Inc. and affiliates, Cinemark Holdings, Inc. and Regal Entertainment Group and affiliates (collectively, the “</w:t>
      </w:r>
      <w:r>
        <w:rPr>
          <w:rFonts w:ascii="Arial" w:cs="Arial" w:eastAsia="Arial" w:hAnsi="Arial"/>
          <w:sz w:val="16"/>
          <w:szCs w:val="16"/>
          <w:u w:val="single" w:color="auto"/>
          <w:color w:val="auto"/>
        </w:rPr>
        <w:t>Founding Members</w:t>
      </w:r>
      <w:r>
        <w:rPr>
          <w:rFonts w:ascii="Arial" w:cs="Arial" w:eastAsia="Arial" w:hAnsi="Arial"/>
          <w:sz w:val="16"/>
          <w:szCs w:val="16"/>
          <w:color w:val="auto"/>
        </w:rPr>
        <w:t>”) collectively hold 56,879,964 common membership units (the “</w:t>
      </w:r>
      <w:r>
        <w:rPr>
          <w:rFonts w:ascii="Arial" w:cs="Arial" w:eastAsia="Arial" w:hAnsi="Arial"/>
          <w:sz w:val="16"/>
          <w:szCs w:val="16"/>
          <w:u w:val="single" w:color="auto"/>
          <w:color w:val="auto"/>
        </w:rPr>
        <w:t>Common Units</w:t>
      </w:r>
      <w:r>
        <w:rPr>
          <w:rFonts w:ascii="Arial" w:cs="Arial" w:eastAsia="Arial" w:hAnsi="Arial"/>
          <w:sz w:val="16"/>
          <w:szCs w:val="16"/>
          <w:color w:val="auto"/>
        </w:rPr>
        <w:t>”) of National CineMedia, LLC (the “</w:t>
      </w:r>
      <w:r>
        <w:rPr>
          <w:rFonts w:ascii="Arial" w:cs="Arial" w:eastAsia="Arial" w:hAnsi="Arial"/>
          <w:sz w:val="16"/>
          <w:szCs w:val="16"/>
          <w:u w:val="single" w:color="auto"/>
          <w:color w:val="auto"/>
        </w:rPr>
        <w:t>LLC</w:t>
      </w:r>
      <w:r>
        <w:rPr>
          <w:rFonts w:ascii="Arial" w:cs="Arial" w:eastAsia="Arial" w:hAnsi="Arial"/>
          <w:sz w:val="16"/>
          <w:szCs w:val="16"/>
          <w:color w:val="auto"/>
        </w:rPr>
        <w:t>”). Each of the Founding Members, pursuant to the Operating Agreement (as defined herein), is entitled to cause the LLC to redeem its Common Units from time to time and is entitled to receive either the Share Settlement or the Cash Settlement, in each case as defined in the Operating Agreement, in connection with such redemption. The Company, in its sole discretion, may elect either a Share Settlement or a Cash Settlement. The Agreement Shares are issueable under the terms of the Certificate (as defined herein) in exchange for the Common Units in the event that the Company elects to satisfy its exchange obligation through a Share Settlement. Pursuant to the Company’s Certificate, the LLC is entitled to exchange the Common Units at any time and from time to time, on a one-for-one basis, for the Agreement Shares as required for the LLC to meet its obligation under the Operating Agreement to redeem the Common Units in the event of a Share Settlement.</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which are not defined herein shall have the meanings assigned to them in the Registration Statement.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Company’s preparation and filing of the Registration Statement, we have examined originals or copies of all documents, corporate records or other writings that we consider relevant for the purposes of this opinion. In such examination, we have assumed, without independent investigation or inquiry, the legal capacity of all natural persons executing documents, the genuineness of all signatures on all original documents or certified copies, the authenticity of all documents submitted to us as originals or certified copies, and the conformity to original documents of all documents submitted to us as conformed or reproduction copies. We have relied as to factual matters upon, and have assumed the accuracy of, the statements made in a certificate of an officer of the Company delivered to us and the certificates and other statements or information of or from public officials and officers and representatives of the Company. In connection with this opinion, we have examined the following documents:</w:t>
      </w:r>
    </w:p>
    <w:p>
      <w:pPr>
        <w:spacing w:after="0" w:line="118" w:lineRule="exact"/>
        <w:rPr>
          <w:sz w:val="20"/>
          <w:szCs w:val="20"/>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Registration Statement to be filed by the Company with the SEC on the date hereof;</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specimen certificate representing the Common Stock;</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as amended to date (the “</w:t>
      </w: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 to date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Third Amended and Restated Limited Liability Company Operating Agreement of the LLC, as amended to date (the “</w:t>
      </w:r>
      <w:r>
        <w:rPr>
          <w:rFonts w:ascii="Arial" w:cs="Arial" w:eastAsia="Arial" w:hAnsi="Arial"/>
          <w:sz w:val="16"/>
          <w:szCs w:val="16"/>
          <w:u w:val="single" w:color="auto"/>
          <w:color w:val="auto"/>
        </w:rPr>
        <w:t>Operating Agreement</w:t>
      </w:r>
      <w:r>
        <w:rPr>
          <w:rFonts w:ascii="Arial" w:cs="Arial" w:eastAsia="Arial" w:hAnsi="Arial"/>
          <w:sz w:val="16"/>
          <w:szCs w:val="16"/>
          <w:color w:val="auto"/>
        </w:rPr>
        <w:t>”);</w:t>
      </w:r>
    </w:p>
    <w:p>
      <w:pPr>
        <w:sectPr>
          <w:pgSz w:w="11900" w:h="16838" w:orient="portrait"/>
          <w:cols w:equalWidth="0" w:num="1">
            <w:col w:w="11320"/>
          </w:cols>
          <w:pgMar w:left="240" w:top="2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8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records of the corporate proceedings of the Company that we have considered necessary or appropriate for the purpose of rendering this opinion, including actions taken by the Company’s Board of Directors in connection with the authorization of the Common Stock, the filing of the Registration Statement and related matters;</w:t>
      </w:r>
    </w:p>
    <w:p>
      <w:pPr>
        <w:spacing w:after="0" w:line="140" w:lineRule="exact"/>
        <w:rPr>
          <w:rFonts w:ascii="Arial" w:cs="Arial" w:eastAsia="Arial" w:hAnsi="Arial"/>
          <w:sz w:val="18"/>
          <w:szCs w:val="18"/>
          <w:color w:val="auto"/>
        </w:rPr>
      </w:pPr>
    </w:p>
    <w:p>
      <w:pPr>
        <w:jc w:val="both"/>
        <w:ind w:right="44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records of the corporate proceedings of the LLC that we have considered necessary or appropriate for the purpose of rendering this opinion, including actions taken by the Company as managing member of the LLC in connection with the authorization of the Common Units, the redemption of the Common Units and related matters; and</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certificates and assurances from public officials and officers and representatives of the Company that we considered necessary or appropriate for the purpose of rendering this opinion.</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Based on the foregoing and the limitations, qualifications, exceptions and assumptions set forth herein, we are of the opinion that the Agreement Shares will be validly issued, fully paid and non-assessable, if and when (i) the Registration Statement, as amended (including any necessary post-effective amendments), shall have become and remain effective under the Act, and provided that no stop order shall have been issued by the SEC relating thereto; (ii) the Company shall have received a Redemption Notice, as defined in the Certificate; (iii) the Company shall have elected to make a Share Settlement, as defined in the Certificate, and the Board of the Company shall have adopted final resolutions authorizing the issuance of the Agreement Shares; (iv) the Founding Member that submitted the Redemption Notice shall have surrendered its Common Units for redemption to the LLC; (v) the LLC shall have (A) issued and delivered to the Company a certificate representing the number of Common Units to be redeemed and (B) delivered to the Company all transfer tax stamps or funds sufficient to pay in full all applicable transfer taxes (such Common Units, transfer tax stamps and funds collectively, the “</w:t>
      </w:r>
      <w:r>
        <w:rPr>
          <w:rFonts w:ascii="Arial" w:cs="Arial" w:eastAsia="Arial" w:hAnsi="Arial"/>
          <w:sz w:val="16"/>
          <w:szCs w:val="16"/>
          <w:u w:val="single" w:color="auto"/>
          <w:color w:val="auto"/>
        </w:rPr>
        <w:t>Consideration</w:t>
      </w:r>
      <w:r>
        <w:rPr>
          <w:rFonts w:ascii="Arial" w:cs="Arial" w:eastAsia="Arial" w:hAnsi="Arial"/>
          <w:sz w:val="16"/>
          <w:szCs w:val="16"/>
          <w:color w:val="auto"/>
        </w:rPr>
        <w:t>”); and (vi) certificates representing the Agreement Shares shall have been duly executed and delivered to the LLC for transfer to the Founding</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Member that delivered the Redemption Notice against receipt of the agreed Consideration therefor.</w:t>
      </w:r>
    </w:p>
    <w:p>
      <w:pPr>
        <w:spacing w:after="0" w:line="171"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For purposes of this opinion, we have assumed that, at the time of issuance, sale and delivery of the Agreement Shares: (a) the authorization thereof by the Board of the Company shall not have been modified or rescinded; (b) no change in law affecting the validity, legally binding character or enforceability of such authorization by the Board of the Company shall have occurred; (c) upon issuance of the Agreement Shares, the total number of shares of Common Stock issued and outstanding will not exceed the number of shares of Common Stock that the Company is then authorized to issue; (d) the Certificate of the Company and the Operating Agreement of the LLC shall not have been modified or amended in any respect that would affect this opinion and are in full force and effect; and</w:t>
      </w:r>
    </w:p>
    <w:p>
      <w:pPr>
        <w:spacing w:after="0" w:line="2" w:lineRule="exact"/>
        <w:rPr>
          <w:sz w:val="20"/>
          <w:szCs w:val="20"/>
          <w:color w:val="auto"/>
        </w:rPr>
      </w:pPr>
    </w:p>
    <w:p>
      <w:pPr>
        <w:ind w:right="60" w:firstLine="8"/>
        <w:spacing w:after="0" w:line="261"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authorizations by the Board of the Company will be made in accordance with the Certificate, the Bylaws and the General Corporation Law of the State of Delaware.</w:t>
      </w:r>
    </w:p>
    <w:p>
      <w:pPr>
        <w:spacing w:after="0" w:line="13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opinions expressed herein are limited to the General Corporation Law of the State of Delaware (including the statutory provisions thereof, all applicable provisions of the Delaware Constitution and reported judicial decisions interpreting these laws).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opinion may be filed as an exhibit to the Registration Statement. Consent is also given to the reference to this firm under the caption “Legal Matters” in the Registration Statement. In giving this consent, we do not admit we are included in the category of persons whose consent is required under Section 7 of the Act or the rules and regulations of the SEC promulgated thereunder.</w:t>
      </w:r>
    </w:p>
    <w:p>
      <w:pPr>
        <w:spacing w:after="0" w:line="14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do not express an opinion on any matters other than those expressly set forth in this letter. The opinions expressed herein are rendered as of the date hereof. We do not undertake to advise you of matters that may come to our attention subsequent to the date hereof and that may affect the opinions expressed herein, including without limitation, future changes in applicable law. This letter is our opinion as to certain legal conclusions as specifically set</w:t>
      </w:r>
    </w:p>
    <w:p>
      <w:pPr>
        <w:sectPr>
          <w:pgSz w:w="11900" w:h="16838" w:orient="portrait"/>
          <w:cols w:equalWidth="0" w:num="1">
            <w:col w:w="11360"/>
          </w:cols>
          <w:pgMar w:left="240" w:top="280"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forth herein and is not and should not be deemed to be a representation or opinion as to any factual matters. The opinions expressed herein may not be quoted in whole or in part or otherwise used or referred to in connection with any other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HOLME ROBERTS &amp; OWEN LLP</w:t>
      </w:r>
    </w:p>
    <w:p>
      <w:pPr>
        <w:sectPr>
          <w:pgSz w:w="11900" w:h="16838" w:orient="portrait"/>
          <w:cols w:equalWidth="0" w:num="1">
            <w:col w:w="11260"/>
          </w:cols>
          <w:pgMar w:left="240" w:top="280" w:right="3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Registration Statement on Form S-3 of our reports dated February 24, 2011, relating to the consolidated financial statements of National CineMedia, Inc. and subsidiary and the financial statements of National CineMedia, LLC and our report dated February 24, 2011 on the effectiveness of National CineMedia, Inc. and subsidiary’s internal control over financial reporting appearing in the Annual Report on Form 10-K of National CineMedia, Inc. for the year ended December 30, 2010, and to the reference to us under the heading “Experts” in the Prospectus, which is part of this Registration Statement.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person whose signature appears below hereby constitutes and appoints Kurt C. Hall, Gary W. Ferrera and Ralph E. Hardy, and each of them singly, his true and lawful attorney-in-fact and agent with full power of substitution and resubstitution, for him and in his name, place, and stead, in any and all capacities, any and all amendments (including post-effective amendments or any abbreviated Registration Statement, and any amendments thereto, filed pursuant to Rule 462(b) under the Securities Act of 1933, as amended)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attorneys-in-fact and agents or his substitute or substitutes may lawfully do or cause to be done by virtue hereof.</w:t>
      </w:r>
    </w:p>
    <w:p>
      <w:pPr>
        <w:sectPr>
          <w:pgSz w:w="11900" w:h="16838" w:orient="portrait"/>
          <w:cols w:equalWidth="0" w:num="1">
            <w:col w:w="11420"/>
          </w:cols>
          <w:pgMar w:left="240" w:top="125"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URT</w:t>
      </w:r>
      <w:r>
        <w:rPr>
          <w:rFonts w:ascii="Arial" w:cs="Arial" w:eastAsia="Arial" w:hAnsi="Arial"/>
          <w:sz w:val="18"/>
          <w:szCs w:val="18"/>
          <w:color w:val="auto"/>
        </w:rPr>
        <w:t xml:space="preserve"> C. H</w:t>
      </w:r>
      <w:r>
        <w:rPr>
          <w:rFonts w:ascii="Arial" w:cs="Arial" w:eastAsia="Arial" w:hAnsi="Arial"/>
          <w:sz w:val="14"/>
          <w:szCs w:val="14"/>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Kurt C. Hall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W. F</w:t>
      </w:r>
      <w:r>
        <w:rPr>
          <w:rFonts w:ascii="Arial" w:cs="Arial" w:eastAsia="Arial" w:hAnsi="Arial"/>
          <w:sz w:val="14"/>
          <w:szCs w:val="14"/>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Gary W. Ferrera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 L</w:t>
      </w:r>
      <w:r>
        <w:rPr>
          <w:rFonts w:ascii="Arial" w:cs="Arial" w:eastAsia="Arial" w:hAnsi="Arial"/>
          <w:sz w:val="13"/>
          <w:szCs w:val="13"/>
          <w:color w:val="auto"/>
        </w:rPr>
        <w:t>AWRENCE</w:t>
      </w:r>
      <w:r>
        <w:rPr>
          <w:rFonts w:ascii="Arial" w:cs="Arial" w:eastAsia="Arial" w:hAnsi="Arial"/>
          <w:sz w:val="16"/>
          <w:szCs w:val="16"/>
          <w:color w:val="auto"/>
        </w:rPr>
        <w:t xml:space="preserve"> A. G</w:t>
      </w:r>
      <w:r>
        <w:rPr>
          <w:rFonts w:ascii="Arial" w:cs="Arial" w:eastAsia="Arial" w:hAnsi="Arial"/>
          <w:sz w:val="13"/>
          <w:szCs w:val="13"/>
          <w:color w:val="auto"/>
        </w:rPr>
        <w:t>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Lawrence A. Goodman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R. H</w:t>
      </w:r>
      <w:r>
        <w:rPr>
          <w:rFonts w:ascii="Arial" w:cs="Arial" w:eastAsia="Arial" w:hAnsi="Arial"/>
          <w:sz w:val="14"/>
          <w:szCs w:val="14"/>
          <w:color w:val="auto"/>
        </w:rPr>
        <w:t>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R. Haas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R. H</w:t>
      </w:r>
      <w:r>
        <w:rPr>
          <w:rFonts w:ascii="Arial" w:cs="Arial" w:eastAsia="Arial" w:hAnsi="Arial"/>
          <w:sz w:val="14"/>
          <w:szCs w:val="14"/>
          <w:color w:val="auto"/>
        </w:rPr>
        <w:t>OLLAND</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R. Holland, Jr.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L. L</w:t>
      </w:r>
      <w:r>
        <w:rPr>
          <w:rFonts w:ascii="Arial" w:cs="Arial" w:eastAsia="Arial" w:hAnsi="Arial"/>
          <w:sz w:val="14"/>
          <w:szCs w:val="14"/>
          <w:color w:val="auto"/>
        </w:rPr>
        <w:t>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L. Lanning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ERARDO</w:t>
      </w:r>
      <w:r>
        <w:rPr>
          <w:rFonts w:ascii="Arial" w:cs="Arial" w:eastAsia="Arial" w:hAnsi="Arial"/>
          <w:sz w:val="18"/>
          <w:szCs w:val="18"/>
          <w:color w:val="auto"/>
        </w:rPr>
        <w:t xml:space="preserve"> I. L</w:t>
      </w:r>
      <w:r>
        <w:rPr>
          <w:rFonts w:ascii="Arial" w:cs="Arial" w:eastAsia="Arial" w:hAnsi="Arial"/>
          <w:sz w:val="14"/>
          <w:szCs w:val="14"/>
          <w:color w:val="auto"/>
        </w:rPr>
        <w:t>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Gerardo I. Lopez</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380"/>
        <w:spacing w:after="0"/>
        <w:rPr>
          <w:sz w:val="20"/>
          <w:szCs w:val="20"/>
          <w:color w:val="auto"/>
        </w:rPr>
      </w:pPr>
      <w:r>
        <w:rPr>
          <w:rFonts w:ascii="Arial" w:cs="Arial" w:eastAsia="Arial" w:hAnsi="Arial"/>
          <w:sz w:val="14"/>
          <w:szCs w:val="14"/>
          <w:b w:val="1"/>
          <w:bCs w:val="1"/>
          <w:u w:val="single" w:color="auto"/>
          <w:color w:val="auto"/>
        </w:rPr>
        <w:t>Title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4"/>
          <w:szCs w:val="14"/>
          <w:b w:val="1"/>
          <w:bCs w:val="1"/>
          <w:u w:val="single" w:color="auto"/>
          <w:color w:val="auto"/>
        </w:rPr>
        <w:t>Date</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August 4, 2011</w:t>
      </w:r>
    </w:p>
    <w:p>
      <w:pPr>
        <w:sectPr>
          <w:pgSz w:w="11900" w:h="16838" w:orient="portrait"/>
          <w:cols w:equalWidth="0" w:num="3">
            <w:col w:w="3740" w:space="720"/>
            <w:col w:w="4860" w:space="720"/>
            <w:col w:w="1380"/>
          </w:cols>
          <w:pgMar w:left="240" w:top="125"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H. M</w:t>
      </w:r>
      <w:r>
        <w:rPr>
          <w:rFonts w:ascii="Arial" w:cs="Arial" w:eastAsia="Arial" w:hAnsi="Arial"/>
          <w:sz w:val="14"/>
          <w:szCs w:val="14"/>
          <w:color w:val="auto"/>
        </w:rPr>
        <w:t>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H. Meyer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MY</w:t>
      </w:r>
      <w:r>
        <w:rPr>
          <w:rFonts w:ascii="Arial" w:cs="Arial" w:eastAsia="Arial" w:hAnsi="Arial"/>
          <w:sz w:val="18"/>
          <w:szCs w:val="18"/>
          <w:color w:val="auto"/>
        </w:rPr>
        <w:t xml:space="preserve"> E. M</w:t>
      </w:r>
      <w:r>
        <w:rPr>
          <w:rFonts w:ascii="Arial" w:cs="Arial" w:eastAsia="Arial" w:hAnsi="Arial"/>
          <w:sz w:val="14"/>
          <w:szCs w:val="14"/>
          <w:color w:val="auto"/>
        </w:rPr>
        <w: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Miles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EE</w:t>
      </w:r>
      <w:r>
        <w:rPr>
          <w:rFonts w:ascii="Arial" w:cs="Arial" w:eastAsia="Arial" w:hAnsi="Arial"/>
          <w:sz w:val="18"/>
          <w:szCs w:val="18"/>
          <w:color w:val="auto"/>
        </w:rPr>
        <w:t xml:space="preserve"> R</w:t>
      </w:r>
      <w:r>
        <w:rPr>
          <w:rFonts w:ascii="Arial" w:cs="Arial" w:eastAsia="Arial" w:hAnsi="Arial"/>
          <w:sz w:val="14"/>
          <w:szCs w:val="14"/>
          <w:color w:val="auto"/>
        </w:rPr>
        <w:t>OY</w:t>
      </w:r>
      <w:r>
        <w:rPr>
          <w:rFonts w:ascii="Arial" w:cs="Arial" w:eastAsia="Arial" w:hAnsi="Arial"/>
          <w:sz w:val="18"/>
          <w:szCs w:val="18"/>
          <w:color w:val="auto"/>
        </w:rPr>
        <w:t xml:space="preserve"> M</w:t>
      </w:r>
      <w:r>
        <w:rPr>
          <w:rFonts w:ascii="Arial" w:cs="Arial" w:eastAsia="Arial" w:hAnsi="Arial"/>
          <w:sz w:val="14"/>
          <w:szCs w:val="14"/>
          <w:color w:val="auto"/>
        </w:rPr>
        <w:t>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Lee Roy Mitchell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 S</w:t>
      </w:r>
      <w:r>
        <w:rPr>
          <w:rFonts w:ascii="Arial" w:cs="Arial" w:eastAsia="Arial" w:hAnsi="Arial"/>
          <w:sz w:val="13"/>
          <w:szCs w:val="13"/>
          <w:color w:val="auto"/>
        </w:rPr>
        <w:t>COTT</w:t>
      </w:r>
      <w:r>
        <w:rPr>
          <w:rFonts w:ascii="Arial" w:cs="Arial" w:eastAsia="Arial" w:hAnsi="Arial"/>
          <w:sz w:val="16"/>
          <w:szCs w:val="16"/>
          <w:color w:val="auto"/>
        </w:rPr>
        <w:t xml:space="preserve"> N. S</w:t>
      </w:r>
      <w:r>
        <w:rPr>
          <w:rFonts w:ascii="Arial" w:cs="Arial" w:eastAsia="Arial" w:hAnsi="Arial"/>
          <w:sz w:val="13"/>
          <w:szCs w:val="13"/>
          <w:color w:val="auto"/>
        </w:rPr>
        <w:t>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8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Scott N. Schneider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33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80" w:type="dxa"/>
            <w:vAlign w:val="bottom"/>
          </w:tcPr>
          <w:p>
            <w:pPr>
              <w:spacing w:after="0"/>
              <w:rPr>
                <w:sz w:val="14"/>
                <w:szCs w:val="14"/>
                <w:color w:val="auto"/>
              </w:rPr>
            </w:pPr>
          </w:p>
        </w:tc>
      </w:tr>
      <w:tr>
        <w:trPr>
          <w:trHeight w:val="437"/>
        </w:trPr>
        <w:tc>
          <w:tcPr>
            <w:tcW w:w="2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32"/>
              <w:spacing w:after="0"/>
              <w:rPr>
                <w:sz w:val="20"/>
                <w:szCs w:val="20"/>
                <w:color w:val="auto"/>
              </w:rPr>
            </w:pPr>
            <w:r>
              <w:rPr>
                <w:rFonts w:ascii="Arial" w:cs="Arial" w:eastAsia="Arial" w:hAnsi="Arial"/>
                <w:sz w:val="18"/>
                <w:szCs w:val="18"/>
                <w:color w:val="auto"/>
                <w:w w:val="87"/>
              </w:rPr>
              <w:t>August 4, 2011</w:t>
            </w:r>
          </w:p>
        </w:tc>
      </w:tr>
      <w:tr>
        <w:trPr>
          <w:trHeight w:val="567"/>
        </w:trPr>
        <w:tc>
          <w:tcPr>
            <w:tcW w:w="2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32"/>
              <w:spacing w:after="0"/>
              <w:rPr>
                <w:sz w:val="20"/>
                <w:szCs w:val="20"/>
                <w:color w:val="auto"/>
              </w:rPr>
            </w:pPr>
            <w:r>
              <w:rPr>
                <w:rFonts w:ascii="Arial" w:cs="Arial" w:eastAsia="Arial" w:hAnsi="Arial"/>
                <w:sz w:val="18"/>
                <w:szCs w:val="18"/>
                <w:color w:val="auto"/>
                <w:w w:val="87"/>
              </w:rPr>
              <w:t>August 4, 2011</w:t>
            </w:r>
          </w:p>
        </w:tc>
      </w:tr>
      <w:tr>
        <w:trPr>
          <w:trHeight w:val="567"/>
        </w:trPr>
        <w:tc>
          <w:tcPr>
            <w:tcW w:w="2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32"/>
              <w:spacing w:after="0"/>
              <w:rPr>
                <w:sz w:val="20"/>
                <w:szCs w:val="20"/>
                <w:color w:val="auto"/>
              </w:rPr>
            </w:pPr>
            <w:r>
              <w:rPr>
                <w:rFonts w:ascii="Arial" w:cs="Arial" w:eastAsia="Arial" w:hAnsi="Arial"/>
                <w:sz w:val="18"/>
                <w:szCs w:val="18"/>
                <w:color w:val="auto"/>
                <w:w w:val="87"/>
              </w:rPr>
              <w:t>August 4, 2011</w:t>
            </w:r>
          </w:p>
        </w:tc>
      </w:tr>
      <w:tr>
        <w:trPr>
          <w:trHeight w:val="567"/>
        </w:trPr>
        <w:tc>
          <w:tcPr>
            <w:tcW w:w="2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32"/>
              <w:spacing w:after="0"/>
              <w:rPr>
                <w:sz w:val="20"/>
                <w:szCs w:val="20"/>
                <w:color w:val="auto"/>
              </w:rPr>
            </w:pPr>
            <w:r>
              <w:rPr>
                <w:rFonts w:ascii="Arial" w:cs="Arial" w:eastAsia="Arial" w:hAnsi="Arial"/>
                <w:sz w:val="18"/>
                <w:szCs w:val="18"/>
                <w:color w:val="auto"/>
                <w:w w:val="87"/>
              </w:rPr>
              <w:t>August 4,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-1558925</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2">
        <w:col w:w="3740" w:space="720"/>
        <w:col w:w="6640"/>
      </w:cols>
      <w:pgMar w:left="240" w:top="27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Letter"/>
      <w:start w:val="1"/>
    </w:lvl>
    <w:lvl w:ilvl="1">
      <w:lvlJc w:val="left"/>
      <w:lvlText w:val="(%2)"/>
      <w:numFmt w:val="decimal"/>
      <w:start w:val="1"/>
    </w:lvl>
  </w:abstractNum>
  <w:abstractNum w:abstractNumId="14">
    <w:nsid w:val="7C83E458"/>
    <w:multiLevelType w:val="hybridMultilevel"/>
    <w:lvl w:ilvl="0">
      <w:lvlJc w:val="left"/>
      <w:lvlText w:val="%1"/>
      <w:numFmt w:val="decimal"/>
      <w:start w:val="1"/>
    </w:lvl>
    <w:lvl w:ilvl="1">
      <w:lvlJc w:val="left"/>
      <w:lvlText w:val="(%2)"/>
      <w:numFmt w:val="lowerRoman"/>
      <w:start w:val="1"/>
    </w:lvl>
  </w:abstractNum>
  <w:abstractNum w:abstractNumId="15">
    <w:nsid w:val="257130A3"/>
    <w:multiLevelType w:val="hybridMultilevel"/>
    <w:lvl w:ilvl="0">
      <w:lvlJc w:val="left"/>
      <w:lvlText w:val="(%1)"/>
      <w:numFmt w:val="decimal"/>
      <w:start w:val="2"/>
    </w:lvl>
    <w:lvl w:ilvl="1">
      <w:lvlJc w:val="left"/>
      <w:lvlText w:val="(%2)"/>
      <w:numFmt w:val="lowerRoman"/>
      <w:start w:val="1"/>
    </w:lvl>
  </w:abstractNum>
  <w:abstractNum w:abstractNumId="16">
    <w:nsid w:val="62BBD95A"/>
    <w:multiLevelType w:val="hybridMultilevel"/>
    <w:lvl w:ilvl="0">
      <w:lvlJc w:val="left"/>
      <w:lvlText w:val="%1"/>
      <w:numFmt w:val="lowerLetter"/>
      <w:start w:val="1"/>
    </w:lvl>
    <w:lvl w:ilvl="1">
      <w:lvlJc w:val="left"/>
      <w:lvlText w:val="(%2)"/>
      <w:numFmt w:val="lowerRoman"/>
      <w:start w:val="1"/>
    </w:lvl>
  </w:abstractNum>
  <w:abstractNum w:abstractNumId="17">
    <w:nsid w:val="436C6125"/>
    <w:multiLevelType w:val="hybridMultilevel"/>
    <w:lvl w:ilvl="0">
      <w:lvlJc w:val="left"/>
      <w:lvlText w:val="(%1)"/>
      <w:numFmt w:val="lowerLetter"/>
      <w:start w:val="2"/>
    </w:lvl>
    <w:lvl w:ilvl="1">
      <w:lvlJc w:val="left"/>
      <w:lvlText w:val="%2"/>
      <w:numFmt w:val="lowerRoman"/>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6"/>
    </w:lvl>
  </w:abstractNum>
  <w:abstractNum w:abstractNumId="22">
    <w:nsid w:val="2D1D5A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2019-12-11T03:54:17Z</dcterms:created>
  <dcterms:modified xsi:type="dcterms:W3CDTF">2019-12-11T03:54:17Z</dcterms:modified>
</cp:coreProperties>
</file>