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25,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20-2632505</w:t>
            </w:r>
          </w:p>
        </w:tc>
      </w:tr>
      <w:tr>
        <w:trPr>
          <w:trHeight w:val="149"/>
        </w:trPr>
        <w:tc>
          <w:tcPr>
            <w:tcW w:w="466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40" w:type="dxa"/>
            <w:vAlign w:val="bottom"/>
          </w:tcPr>
          <w:p>
            <w:pPr>
              <w:spacing w:after="0"/>
              <w:rPr>
                <w:sz w:val="24"/>
                <w:szCs w:val="24"/>
                <w:color w:val="auto"/>
              </w:rPr>
            </w:pPr>
          </w:p>
        </w:tc>
      </w:tr>
      <w:tr>
        <w:trPr>
          <w:trHeight w:val="225"/>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Centennial, Colorado</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2014, the registrant had 128,290,567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40" w:type="dxa"/>
            <w:vAlign w:val="bottom"/>
            <w:gridSpan w:val="11"/>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0" w:type="dxa"/>
            <w:vAlign w:val="bottom"/>
            <w:gridSpan w:val="5"/>
          </w:tcPr>
          <w:p>
            <w:pPr>
              <w:jc w:val="center"/>
              <w:ind w:right="4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00" w:type="dxa"/>
            <w:vAlign w:val="bottom"/>
          </w:tcPr>
          <w:p>
            <w:pPr>
              <w:spacing w:after="0"/>
              <w:rPr>
                <w:sz w:val="22"/>
                <w:szCs w:val="22"/>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3100" w:type="dxa"/>
            <w:vAlign w:val="bottom"/>
            <w:gridSpan w:val="10"/>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8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Income</w:t>
              </w:r>
            </w:hyperlink>
          </w:p>
        </w:tc>
        <w:tc>
          <w:tcPr>
            <w:tcW w:w="64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Income</w:t>
              </w:r>
            </w:hyperlink>
          </w:p>
        </w:tc>
        <w:tc>
          <w:tcPr>
            <w:tcW w:w="52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47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6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6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76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82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2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7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520" w:type="dxa"/>
            <w:vAlign w:val="bottom"/>
          </w:tcPr>
          <w:p>
            <w:pPr>
              <w:jc w:val="center"/>
              <w:ind w:left="109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18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20" w:type="dxa"/>
            <w:vAlign w:val="bottom"/>
          </w:tcPr>
          <w:p>
            <w:pPr>
              <w:jc w:val="center"/>
              <w:ind w:left="1090"/>
              <w:spacing w:after="0"/>
              <w:rPr>
                <w:sz w:val="20"/>
                <w:szCs w:val="20"/>
                <w:color w:val="auto"/>
              </w:rPr>
            </w:pPr>
            <w:r>
              <w:rPr>
                <w:rFonts w:ascii="Arial" w:cs="Arial" w:eastAsia="Arial" w:hAnsi="Arial"/>
                <w:sz w:val="18"/>
                <w:szCs w:val="18"/>
                <w:b w:val="1"/>
                <w:bCs w:val="1"/>
                <w:color w:val="auto"/>
              </w:rPr>
              <w:t>NATIONAL CINEMEDIA, LLC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8"/>
              </w:rPr>
              <w:t>CONDENSED BALANCE SHEETS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jc w:val="center"/>
              <w:ind w:left="1090"/>
              <w:spacing w:after="0"/>
              <w:rPr>
                <w:sz w:val="20"/>
                <w:szCs w:val="20"/>
                <w:color w:val="auto"/>
              </w:rPr>
            </w:pPr>
            <w:r>
              <w:rPr>
                <w:rFonts w:ascii="Arial" w:cs="Arial" w:eastAsia="Arial" w:hAnsi="Arial"/>
                <w:sz w:val="18"/>
                <w:szCs w:val="18"/>
                <w:b w:val="1"/>
                <w:bCs w:val="1"/>
                <w:color w:val="auto"/>
                <w:w w:val="93"/>
              </w:rPr>
              <w:t>(In millions)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20" w:type="dxa"/>
            <w:vAlign w:val="bottom"/>
          </w:tcPr>
          <w:p>
            <w:pPr>
              <w:jc w:val="center"/>
              <w:ind w:left="10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25,</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r>
      <w:tr>
        <w:trPr>
          <w:trHeight w:val="171"/>
        </w:trPr>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66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Receivables, net of allowance of $6.2 and $5.7, respectively</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(including $0.2 and $0.0 to founding members, respectively)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Prepaid administrative fees to managing member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portion of notes receivable - founding members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23"/>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Other current assets - founding members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Property and equipment, net of accumulated depreciation of $76.3 and $69.5,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Intangible assets, net of accumulated amortization of $64.0 and $48.7, respectively</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492.0</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Debt issuance costs, net of accumulated amortization of $17.1 and $15.0,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investments - related party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w:t>
            </w:r>
          </w:p>
        </w:tc>
      </w:tr>
      <w:tr>
        <w:trPr>
          <w:trHeight w:val="223"/>
        </w:trPr>
        <w:tc>
          <w:tcPr>
            <w:tcW w:w="88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Amounts due to founding members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Amounts due to managing member</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 (including $0.9 and $0.8 to related party affiliates, respectively)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8880" w:type="dxa"/>
            <w:vAlign w:val="bottom"/>
            <w:gridSpan w:val="3"/>
          </w:tcPr>
          <w:p>
            <w:pPr>
              <w:ind w:left="360"/>
              <w:spacing w:after="0"/>
              <w:rPr>
                <w:sz w:val="20"/>
                <w:szCs w:val="20"/>
                <w:color w:val="auto"/>
              </w:rPr>
            </w:pPr>
            <w:r>
              <w:rPr>
                <w:rFonts w:ascii="Arial" w:cs="Arial" w:eastAsia="Arial" w:hAnsi="Arial"/>
                <w:sz w:val="18"/>
                <w:szCs w:val="18"/>
                <w:color w:val="auto"/>
              </w:rPr>
              <w:t>Other current liabilities - related party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r>
      <w:tr>
        <w:trPr>
          <w:trHeight w:val="230"/>
        </w:trPr>
        <w:tc>
          <w:tcPr>
            <w:tcW w:w="70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0"/>
                <w:szCs w:val="20"/>
                <w:color w:val="auto"/>
              </w:rPr>
            </w:pPr>
          </w:p>
        </w:tc>
      </w:tr>
      <w:tr>
        <w:trPr>
          <w:trHeight w:val="216"/>
        </w:trPr>
        <w:tc>
          <w:tcPr>
            <w:tcW w:w="70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w:t>
            </w:r>
          </w:p>
        </w:tc>
      </w:t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MEMBERS’ EQUITY/DEFICIT (including accumulated other comprehensive loss of $4.0 and $11.6,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(306.5)</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w:t>
            </w:r>
          </w:p>
        </w:tc>
      </w:tr>
      <w:tr>
        <w:trPr>
          <w:trHeight w:val="223"/>
        </w:trPr>
        <w:tc>
          <w:tcPr>
            <w:tcW w:w="8880" w:type="dxa"/>
            <w:vAlign w:val="bottom"/>
            <w:gridSpan w:val="3"/>
          </w:tcPr>
          <w:p>
            <w:pPr>
              <w:spacing w:after="0"/>
              <w:rPr>
                <w:sz w:val="20"/>
                <w:szCs w:val="20"/>
                <w:color w:val="auto"/>
              </w:rPr>
            </w:pPr>
            <w:r>
              <w:rPr>
                <w:rFonts w:ascii="Arial" w:cs="Arial" w:eastAsia="Arial" w:hAnsi="Arial"/>
                <w:sz w:val="18"/>
                <w:szCs w:val="18"/>
                <w:color w:val="auto"/>
              </w:rPr>
              <w:t>TOTAL LIABILITIES AND EQUITY/DEFICIT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Advertising (including revenue from founding members of $9.1,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$11.5, $28.4 and $31.6 respectively)</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30"/>
        </w:trPr>
        <w:tc>
          <w:tcPr>
            <w:tcW w:w="20" w:type="dxa"/>
            <w:vAlign w:val="bottom"/>
          </w:tcPr>
          <w:p>
            <w:pPr>
              <w:spacing w:after="0"/>
              <w:rPr>
                <w:sz w:val="20"/>
                <w:szCs w:val="20"/>
                <w:color w:val="auto"/>
              </w:rPr>
            </w:pPr>
          </w:p>
        </w:tc>
        <w:tc>
          <w:tcPr>
            <w:tcW w:w="5980" w:type="dxa"/>
            <w:vAlign w:val="bottom"/>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Advertising operating costs (including $1.2, $1.1, $2.6 and $2.6 to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related parties,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Fathom Events operating costs (including $0.0, $1.3, $0.0 and $3.3 to</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founding members,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02"/>
        </w:trPr>
        <w:tc>
          <w:tcPr>
            <w:tcW w:w="20" w:type="dxa"/>
            <w:vAlign w:val="bottom"/>
          </w:tcPr>
          <w:p>
            <w:pPr>
              <w:spacing w:after="0"/>
              <w:rPr>
                <w:sz w:val="17"/>
                <w:szCs w:val="17"/>
                <w:color w:val="auto"/>
              </w:rPr>
            </w:pPr>
          </w:p>
        </w:tc>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Selling and marketing costs (including $0.2, $0.3, $0.7 and $1.0 to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founding members,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30"/>
        </w:trPr>
        <w:tc>
          <w:tcPr>
            <w:tcW w:w="20" w:type="dxa"/>
            <w:vAlign w:val="bottom"/>
          </w:tcPr>
          <w:p>
            <w:pPr>
              <w:spacing w:after="0"/>
              <w:rPr>
                <w:sz w:val="20"/>
                <w:szCs w:val="20"/>
                <w:color w:val="auto"/>
              </w:rPr>
            </w:pPr>
          </w:p>
        </w:tc>
        <w:tc>
          <w:tcPr>
            <w:tcW w:w="5980" w:type="dxa"/>
            <w:vAlign w:val="bottom"/>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borrowings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02"/>
        </w:trPr>
        <w:tc>
          <w:tcPr>
            <w:tcW w:w="20" w:type="dxa"/>
            <w:vAlign w:val="bottom"/>
          </w:tcPr>
          <w:p>
            <w:pPr>
              <w:spacing w:after="0"/>
              <w:rPr>
                <w:sz w:val="17"/>
                <w:szCs w:val="17"/>
                <w:color w:val="auto"/>
              </w:rPr>
            </w:pPr>
          </w:p>
        </w:tc>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rPr>
              <w:t>Interest income (including $0.3, $0.0, $0.9 and $0.0 from founding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members,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 non-operating expense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30"/>
        </w:trPr>
        <w:tc>
          <w:tcPr>
            <w:tcW w:w="20" w:type="dxa"/>
            <w:vAlign w:val="bottom"/>
          </w:tcPr>
          <w:p>
            <w:pPr>
              <w:spacing w:after="0"/>
              <w:rPr>
                <w:sz w:val="20"/>
                <w:szCs w:val="20"/>
                <w:color w:val="auto"/>
              </w:rPr>
            </w:pPr>
          </w:p>
        </w:tc>
        <w:tc>
          <w:tcPr>
            <w:tcW w:w="598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04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5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60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6"/>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Write-off of debt issuance costs and other non-operating items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Amounts due to founding members and managing member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 from affiliate circuits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Proceeds from borrowings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borrowings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(87.0)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Payment of debt issuance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Founding member integration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Distributions to founding members and managing member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 settlement for share-based compensation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(96.4)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86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r>
      <w:tr>
        <w:trPr>
          <w:trHeight w:val="171"/>
        </w:trPr>
        <w:tc>
          <w:tcPr>
            <w:tcW w:w="8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Purchase of an intangible asset with NCM LLC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Write-off of property and equipment included in accrued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right="9160" w:hanging="452"/>
        <w:spacing w:after="0" w:line="453" w:lineRule="auto"/>
        <w:tabs>
          <w:tab w:leader="none" w:pos="44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and certain third-party theatre circuits under long-term network affiliate agreements referred to in this document as “network affiliates”, which have terms from three to twenty years.</w:t>
      </w:r>
    </w:p>
    <w:p>
      <w:pPr>
        <w:spacing w:after="0" w:line="19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of September 25, 2014, NCM LLC had 128,290,567 common membership units outstanding, of which 58,746,988 (45.8%) were owned by NCM, Inc., 25,792,942 (20.1%) were owned by Regal, 24,556,136 (19.1%) were owned by Cinemark and 19,194,501 (15.0%) were owned by AMC. The membership units held by the founding members are exchangeable into NCM, Inc. common stock on a one-for-one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as described further in Note 3—</w:t>
      </w:r>
      <w:r>
        <w:rPr>
          <w:rFonts w:ascii="Arial" w:cs="Arial" w:eastAsia="Arial" w:hAnsi="Arial"/>
          <w:sz w:val="18"/>
          <w:szCs w:val="18"/>
          <w:i w:val="1"/>
          <w:iCs w:val="1"/>
          <w:color w:val="auto"/>
        </w:rPr>
        <w:t>Related Party Transactions.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On May 5, 2014, NCM, Inc. entered into an Agreement and Plan of Merger (the “Merger Agreement”) to merge with Screenvision, LLC (“Screenvision”) for $375 million, consisting of $225 million in cash and $150 million of NCM, Inc. common stock (9,900,990 shares based on a price of $15.15 per share) (“the Merger”). The merger consideration is subject to adjustment based upon Screenvision’s Adjusted EBITDA for the twelve months ended April 30, 2014 and Screenvision’s working capital at closing. Consummation of the Merger is subject to clearance under the Hart-Scott-Rodino Antitrust Improvements Act (“HSR Act”) and other customary closing conditions, including satisfaction of representations, warranties and covenants. All necessary corporate action by NCM, Inc. and Screenvision to approve the Merger has occurred. Following the Merger, NCM, Inc. will evaluate whether to contribute the Screenvision assets to NCM LLC. Although it is under no obligation to do so, upon approval of NCM, Inc.’s Board of Directors and the founding members, NCM, Inc. may contribute Screenvision assets and NCM, Inc. debt to NCM LLC in exchange for 9,900,990 NCM LLC membership units. NCM, Inc. has secured a commitment from a group of financial institutions for a $250 million term loan to finance the $225 million portion of the merger consideration that will be paid in cash, along with fees and expenses incurred in connection with the term loan and the merger. In addition, NCM LLC amended its senior secured credit facility to allow for the contribution of the Screenvision assets and NCM, Inc. debt to NCM LLC following the closing of the Merger. On November 3, 2014, the U.S. Department of Justice (the “DOJ”) filed an antitrust lawsuit seeking to enjoin the proposed merger between NCM, Inc. and Screenvision. NCM, Inc. and Screenvision intend to defend their proposed merger. Refer to Note 9 – </w:t>
      </w:r>
      <w:r>
        <w:rPr>
          <w:rFonts w:ascii="Arial" w:cs="Arial" w:eastAsia="Arial" w:hAnsi="Arial"/>
          <w:sz w:val="17"/>
          <w:szCs w:val="17"/>
          <w:i w:val="1"/>
          <w:iCs w:val="1"/>
          <w:color w:val="auto"/>
        </w:rPr>
        <w:t>Subsequent Event</w:t>
      </w:r>
      <w:r>
        <w:rPr>
          <w:rFonts w:ascii="Arial" w:cs="Arial" w:eastAsia="Arial" w:hAnsi="Arial"/>
          <w:sz w:val="17"/>
          <w:szCs w:val="17"/>
          <w:color w:val="auto"/>
        </w:rPr>
        <w:t xml:space="preserve"> for further information.</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Certain reclassifications have been made to the prior years’ financial statements to conform to the current presentation. These reclassifications had no effect on previously reported results of operations or retained earnings. The balance sheet as of December 26, 2013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26, 2013.</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interim periods may not be indicative of the Company’s full year results or future performance. As a result of the various related party agreements discussed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December 26, 2013 contain a complete discussion of the Company’s significant accounting policies. Following is additional information related to our accounting policies.</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Subsequent to the sale of the Fathom business on December 26, 2013, the sale of advertising is the sole business activity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and is the Company’s reportable segment under the requirements of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Until its sale, Fathom Events was an operating segment under ASC 280, but did not meet the annual quantitative thresholds for segment reporting. The Company does not evaluate its segments on a fully allocated cost basis, nor does the Company track segment assets separately. Therefore, the measurement of segment operating income net of direct expenses presented herein is not prepared on the same basis as operating income in the unaudited Condensed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79"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 Bad debts are provided for using the allowance for doubtful accounts method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our national and regional advertising is reduced by dealing with founding members or large, national advertising agencies who have strong reputations in the advertising industry and clients with stable financial positions. We have smaller contracts with thousands of local clients that are not individually significant. As of September 25, 2014 and December 26, 2013, there were no advertising agency groups or individual customers through which the Company sources national advertising revenue representing more than 10% of the Company’s outstanding gross receivable balance. During the nine months ended September 25, 2014, revenue related to NCM LLC’s founding members’ beverage supplier accounted for 10.4% of total revenue. During the three months ended September 25, 2014 and the three and nine months ended September 26, 2013, there were no customers that accounted for more than 10% of revenue.</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Equity Incentive Plan. NCM, Inc. has issued stock options, restricted stock and restricted stock units under the NCM, Inc. Equity Incentive Plan. In 2014 and 2013, the Company did not grant stock options. Restricted stock and restricted stock units granted prior to 2013 vest upon the achievement of NCM, Inc. performance measures and service conditions. In 2013, NCM, Inc. granted restricted stock and restricted stock units that vest upon the achievement of NCM, Inc. performance measures and service conditions, or only service conditions, depending on the title of the employee. In 2014, restricted stock grants for officers vest upon the achievement of NCM, Inc. performance measures and service conditions, or only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estimate of the number of shares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During the three months ended September 25, 2014 and September 26, 2013 and the nine months ended September 25, 2014 and September 26, 2013, respectively, NCM, Inc. acquired 4,799, 230,991, 227,851 and 548,405 units due to the vesting of restricted stock and restricted stock units and exercise of stock options and contributed $0.0 million, $3.6 million, $0.8 million and $7.9 million to NCM LLC for the three months ended September 25, 2014 and September 26, 2013 and the nine months ended September 25, 2014 and September 26, 2013, respectively.</w:t>
      </w:r>
    </w:p>
    <w:p>
      <w:pPr>
        <w:spacing w:after="0" w:line="19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NCM, Inc.’s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 xml:space="preserve">In March 2014, the Emerging Issues Task Force (“EITF”) reached a final consensus on Issue 13-D, </w:t>
      </w:r>
      <w:r>
        <w:rPr>
          <w:rFonts w:ascii="Arial" w:cs="Arial" w:eastAsia="Arial" w:hAnsi="Arial"/>
          <w:sz w:val="17"/>
          <w:szCs w:val="17"/>
          <w:i w:val="1"/>
          <w:iCs w:val="1"/>
          <w:color w:val="auto"/>
        </w:rPr>
        <w:t>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Terms of an Award Provide That a Performance Target Could be Achieved after the Requisite Service Period </w:t>
      </w:r>
      <w:r>
        <w:rPr>
          <w:rFonts w:ascii="Arial" w:cs="Arial" w:eastAsia="Arial" w:hAnsi="Arial"/>
          <w:sz w:val="17"/>
          <w:szCs w:val="17"/>
          <w:color w:val="auto"/>
        </w:rPr>
        <w:t>(“EITF 13-D”). Under EITF 13-D,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target that can be achieved after the requisite service period should be treated as a performance condition that affects vesting, rather than a condition that affects grant date fair value. Compensation cost is recognized over the requisite service period if it is probable that the performance condition will be achieved. If necessary, compensation cost is subsequently adjusted, to reflect those awards that ultimately vest. EITF 13-D will be effective, on a prospective basis, for the Company during its first quarter of 2016, with early adoption permitted. The adoption of this standard is not anticipated to have a material impact on the Company’s unaudited Condensed Financial Statements or notes thereto.</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beginning in fiscal year 2017 and early adoption is not permitted.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(“ASU 2014-15”). ASU 2014-15 requires that management evaluate at each annual and interim reporting period whether there is a substantial doubt about an entity’s ability to continue as a going concern within one year of the date that the financial statements are issued. ASU 2014-15 will be effective for fiscal years and interim periods beginning after December 15, 2016 and early application is permitted. The Company does not expect that the application of ASU 2014-15 will have an impact on the unaudited Condensed Financial Statements or notes thereto.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31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accordance with NCM LLC’s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2014 and 2013, we issued 1,087,911 and 4,536,014 common membership units to our founding members, respectively, for the rights to exclusive access to net new theatre screens and attendees added by the founding members to NCM LLC’s network during the previous year. The Company recorded a net intangible asset of $16.4 million and $69.0 million during the first quarter of 2014 and 2013, respectively, as a result of the Common Unit Adjustments.</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they are required to make payments on a quarterly basis in arrears in accordance with certain run-out provisions pursuant to the ESAs (“integration payments”). During the three months ended September 25, 2014 and September 26, 2013 and the nine months ended September 25, 2014 and September 26, 2013, respectively, the Company recorded a reduction to net intangible assets of $0.6 million, $1.0 million, $1.4 million and $2.1 million related to integration payments due from AMC and Cinemark related to their acquisitions of theatres from Rave Cinemas that are encumbered by an existing on-screen advertising agreement with an alternative provider. During the three months ended September 25, 2014 and September 26, 2013 and the nine months ended September 25, 2014 and September 26, 2013, AMC and Cinemark paid a total of $0.6 million, $0.9 million, $1.5 million and $1.1 million, respectively, in integration payments.</w:t>
      </w:r>
    </w:p>
    <w:p>
      <w:pPr>
        <w:spacing w:after="0" w:line="17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Founding Member and Managing Member Transactions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the transactions between the Company and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its managing member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Included in the Condensed Statements of Income:</w:t>
            </w: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5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gridSpan w:val="4"/>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0" w:type="dxa"/>
            <w:vAlign w:val="bottom"/>
            <w:tcBorders>
              <w:top w:val="single" w:sz="8" w:color="auto"/>
            </w:tcBorders>
          </w:tcPr>
          <w:p>
            <w:pPr>
              <w:spacing w:after="0"/>
              <w:rPr>
                <w:sz w:val="17"/>
                <w:szCs w:val="17"/>
                <w:color w:val="auto"/>
              </w:rPr>
            </w:pPr>
          </w:p>
        </w:tc>
        <w:tc>
          <w:tcPr>
            <w:tcW w:w="4480" w:type="dxa"/>
            <w:vAlign w:val="bottom"/>
            <w:tcBorders>
              <w:top w:val="single" w:sz="8" w:color="CCEEFF"/>
            </w:tcBorders>
            <w:gridSpan w:val="3"/>
          </w:tcPr>
          <w:p>
            <w:pPr>
              <w:ind w:left="40"/>
              <w:spacing w:after="0" w:line="201" w:lineRule="exact"/>
              <w:rPr>
                <w:sz w:val="20"/>
                <w:szCs w:val="20"/>
                <w:color w:val="auto"/>
              </w:rPr>
            </w:pPr>
            <w:r>
              <w:rPr>
                <w:rFonts w:ascii="Arial" w:cs="Arial" w:eastAsia="Arial" w:hAnsi="Arial"/>
                <w:sz w:val="18"/>
                <w:szCs w:val="18"/>
                <w:color w:val="auto"/>
                <w:w w:val="95"/>
              </w:rPr>
              <w:t>Beverage concessionaire revenue (included in advertising</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Advertising inventory revenue (included in advertising</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line="17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44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7"/>
              </w:rPr>
              <w:t>Revenue share from Fathom Events (included in Fathom</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 xml:space="preserve">Events operating costs) </w:t>
            </w:r>
            <w:r>
              <w:rPr>
                <w:rFonts w:ascii="Arial" w:cs="Arial" w:eastAsia="Arial" w:hAnsi="Arial"/>
                <w:sz w:val="18"/>
                <w:szCs w:val="18"/>
                <w:i w:val="1"/>
                <w:iCs w:val="1"/>
                <w:color w:val="auto"/>
              </w:rPr>
              <w:t>(4)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Purchase of movie tickets and concession products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rental of theatre space (included in Fathom Events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44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9"/>
              </w:rPr>
              <w:t>Purchase of movie tickets and concession products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rental of theatre space (included in selling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Purchase of movie tickets and concession products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6"/>
              </w:rPr>
              <w:t>rental of theatre space (included in other administrative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other costs)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80" w:type="dxa"/>
            <w:vAlign w:val="bottom"/>
            <w:gridSpan w:val="3"/>
          </w:tcPr>
          <w:p>
            <w:pPr>
              <w:ind w:left="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6"/>
        </w:trPr>
        <w:tc>
          <w:tcPr>
            <w:tcW w:w="5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Non-operating expenses: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tcPr>
          <w:p>
            <w:pPr>
              <w:spacing w:after="0"/>
              <w:rPr>
                <w:sz w:val="17"/>
                <w:szCs w:val="17"/>
                <w:color w:val="auto"/>
              </w:rPr>
            </w:pPr>
          </w:p>
        </w:tc>
        <w:tc>
          <w:tcPr>
            <w:tcW w:w="448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5"/>
              </w:rPr>
              <w:t>Interest income from notes receivable (included in interest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6"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For the three months ended September 25, 2014 and September 26, 2013,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380" w:hanging="452"/>
        <w:spacing w:after="0" w:line="250"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right="180" w:hanging="452"/>
        <w:spacing w:after="0" w:line="250"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payments were at rates (percentage of event revenue) included in the previous ESAs based on the nature of the event.</w:t>
      </w: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were used primarily for marketing resale to Fathom Events customers.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right="440"/>
        <w:spacing w:after="0" w:line="256" w:lineRule="auto"/>
        <w:rPr>
          <w:sz w:val="20"/>
          <w:szCs w:val="20"/>
          <w:color w:val="auto"/>
        </w:rPr>
      </w:pPr>
      <w:r>
        <w:rPr>
          <w:rFonts w:ascii="Arial" w:cs="Arial" w:eastAsia="Arial" w:hAnsi="Arial"/>
          <w:sz w:val="18"/>
          <w:szCs w:val="18"/>
          <w:color w:val="auto"/>
        </w:rPr>
        <w:t>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ind w:left="460" w:right="20" w:hanging="452"/>
        <w:spacing w:after="0" w:line="295" w:lineRule="auto"/>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4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1500" w:type="dxa"/>
            <w:vAlign w:val="bottom"/>
            <w:gridSpan w:val="3"/>
          </w:tcPr>
          <w:p>
            <w:pPr>
              <w:ind w:left="66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Purchase of movie tickets and concession products (included in Prepaid</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i w:val="1"/>
                <w:iCs w:val="1"/>
                <w:color w:val="auto"/>
              </w:rPr>
              <w:t>(1)</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receivable on notes receivable </w:t>
            </w:r>
            <w:r>
              <w:rPr>
                <w:rFonts w:ascii="Arial" w:cs="Arial" w:eastAsia="Arial" w:hAnsi="Arial"/>
                <w:sz w:val="18"/>
                <w:szCs w:val="18"/>
                <w:i w:val="1"/>
                <w:iCs w:val="1"/>
                <w:color w:val="auto"/>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w w:val="99"/>
              </w:rPr>
              <w:t>Common unit adjustments and integration payments, net of amortization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 xml:space="preserve">(included in intangible assets) </w:t>
            </w:r>
            <w:r>
              <w:rPr>
                <w:rFonts w:ascii="Arial" w:cs="Arial" w:eastAsia="Arial" w:hAnsi="Arial"/>
                <w:sz w:val="18"/>
                <w:szCs w:val="18"/>
                <w:i w:val="1"/>
                <w:iCs w:val="1"/>
                <w:color w:val="auto"/>
              </w:rPr>
              <w:t>(4)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rFonts w:ascii="Arial" w:cs="Arial" w:eastAsia="Arial" w:hAnsi="Arial"/>
          <w:sz w:val="18"/>
          <w:szCs w:val="18"/>
          <w:i w:val="1"/>
          <w:iCs w:val="1"/>
          <w:color w:val="auto"/>
        </w:rPr>
      </w:pPr>
    </w:p>
    <w:p>
      <w:pPr>
        <w:ind w:left="460" w:hanging="452"/>
        <w:spacing w:after="0" w:line="281"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date of NCM, Inc.’s Initial Public Offering (“IPO”), we were granted a perpetual, royalty-free license from our founding members to use certain proprietary software that existed at the time for the delivery of digital advertising and other content through our DCN to screens in the U.S. We have made improvements to this software since the IPO date and we own those improvements, except for improvements that were developed jointly by us and our founding members, if any.</w:t>
      </w:r>
    </w:p>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NCM LLC is required to make mandatory distributions on a proportionate basis to its members of available cash, as defined in the NCM LLC Operating Agreement, on a quarterly basis in arrears. Mandatory distributions for the three and nine months ended September 25, 2014 and September 26, 2013 are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ind w:left="42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Cinemark</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NCM, Inc.</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7"/>
        </w:trPr>
        <w:tc>
          <w:tcPr>
            <w:tcW w:w="2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w:t>
            </w:r>
          </w:p>
        </w:tc>
        <w:tc>
          <w:tcPr>
            <w:tcW w:w="5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85.8</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r>
      <w:tr>
        <w:trPr>
          <w:trHeight w:val="20"/>
        </w:trPr>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34"/>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mandatory distributions of available cash by NCM LLC to its founding members for the three months ended September 25, 2014 of $21.8 million is included in amounts due to founding members on the unaudited Condensed Balance Sheets as of September 25, 2014 and will be made in the fourth quarter of 2014. The mandatory distributions of available cash by NCM LLC to its managing member for the three months ended September 25, 2014 of $18.5 million is included in amounts due to managing member on the unaudited Condensed Balance Sheets as of September 25, 2014 and will be made in the fourth quarter of 2014.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September 25, 2014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AMC</w:t>
            </w:r>
          </w:p>
        </w:tc>
        <w:tc>
          <w:tcPr>
            <w:tcW w:w="6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Regal</w:t>
            </w:r>
          </w:p>
        </w:tc>
        <w:tc>
          <w:tcPr>
            <w:tcW w:w="3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$ 0.7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5"/>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$ 6.3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60" w:type="dxa"/>
            <w:vAlign w:val="bottom"/>
            <w:gridSpan w:val="10"/>
          </w:tcPr>
          <w:p>
            <w:pPr>
              <w:spacing w:after="0"/>
              <w:rPr>
                <w:sz w:val="20"/>
                <w:szCs w:val="20"/>
                <w:color w:val="auto"/>
              </w:rPr>
            </w:pPr>
            <w:r>
              <w:rPr>
                <w:rFonts w:ascii="Arial" w:cs="Arial" w:eastAsia="Arial" w:hAnsi="Arial"/>
                <w:sz w:val="18"/>
                <w:szCs w:val="18"/>
                <w:color w:val="auto"/>
                <w:w w:val="93"/>
              </w:rPr>
              <w:t>Amounts due to founding members as of December 26, 2013 were comprised of the following (in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AMC</w:t>
            </w: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24"/>
                <w:szCs w:val="2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Regal</w:t>
            </w:r>
          </w:p>
        </w:tc>
        <w:tc>
          <w:tcPr>
            <w:tcW w:w="3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$ 0.6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(0.6)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w w:val="96"/>
              </w:rPr>
              <w:t>Amounts due to/from managing member were comprised of the following (in millions):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7"/>
          </w:tcPr>
          <w:p>
            <w:pPr>
              <w:jc w:val="right"/>
              <w:ind w:right="200"/>
              <w:spacing w:after="0" w:line="119" w:lineRule="exact"/>
              <w:rPr>
                <w:sz w:val="20"/>
                <w:szCs w:val="20"/>
                <w:color w:val="auto"/>
              </w:rPr>
            </w:pPr>
            <w:r>
              <w:rPr>
                <w:rFonts w:ascii="Arial" w:cs="Arial" w:eastAsia="Arial" w:hAnsi="Arial"/>
                <w:sz w:val="13"/>
                <w:szCs w:val="13"/>
                <w:b w:val="1"/>
                <w:bCs w:val="1"/>
                <w:color w:val="auto"/>
                <w:w w:val="94"/>
              </w:rPr>
              <w:t>September 25,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1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managing member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6"/>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AC JV, LLC Transactions </w:t>
      </w:r>
      <w:r>
        <w:rPr>
          <w:rFonts w:ascii="Arial" w:cs="Arial" w:eastAsia="Arial" w:hAnsi="Arial"/>
          <w:sz w:val="18"/>
          <w:szCs w:val="18"/>
          <w:color w:val="auto"/>
        </w:rPr>
        <w:t>–Following is a summary of the transactions between NCM LLC and AC JV, LLC (in millions):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Included in the Condensed Statements of Income: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Transition services (included in network costs) </w:t>
      </w:r>
      <w:r>
        <w:rPr>
          <w:rFonts w:ascii="Arial" w:cs="Arial" w:eastAsia="Arial" w:hAnsi="Arial"/>
          <w:sz w:val="18"/>
          <w:szCs w:val="18"/>
          <w:i w:val="1"/>
          <w:iCs w:val="1"/>
          <w:color w:val="auto"/>
        </w:rPr>
        <w:t>(1)</w:t>
      </w:r>
    </w:p>
    <w:p>
      <w:pPr>
        <w:spacing w:after="0" w:line="8" w:lineRule="exact"/>
        <w:rPr>
          <w:sz w:val="20"/>
          <w:szCs w:val="20"/>
          <w:color w:val="auto"/>
        </w:rPr>
      </w:pPr>
    </w:p>
    <w:p>
      <w:pPr>
        <w:ind w:left="640" w:hanging="179"/>
        <w:spacing w:after="0" w:line="276" w:lineRule="auto"/>
        <w:rPr>
          <w:sz w:val="20"/>
          <w:szCs w:val="20"/>
          <w:color w:val="auto"/>
        </w:rPr>
      </w:pPr>
      <w:r>
        <w:rPr>
          <w:rFonts w:ascii="Arial" w:cs="Arial" w:eastAsia="Arial" w:hAnsi="Arial"/>
          <w:sz w:val="18"/>
          <w:szCs w:val="18"/>
          <w:color w:val="auto"/>
        </w:rPr>
        <w:t xml:space="preserve">Equity in earnings of non-consolidated entities (included in other non-operating expense) </w:t>
      </w:r>
      <w:r>
        <w:rPr>
          <w:rFonts w:ascii="Arial" w:cs="Arial" w:eastAsia="Arial" w:hAnsi="Arial"/>
          <w:sz w:val="18"/>
          <w:szCs w:val="18"/>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640" w:type="dxa"/>
            <w:vAlign w:val="bottom"/>
          </w:tcPr>
          <w:p>
            <w:pPr>
              <w:spacing w:after="0"/>
              <w:rPr>
                <w:sz w:val="10"/>
                <w:szCs w:val="10"/>
                <w:color w:val="auto"/>
              </w:rPr>
            </w:pPr>
          </w:p>
        </w:tc>
        <w:tc>
          <w:tcPr>
            <w:tcW w:w="12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3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41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-419735</wp:posOffset>
            </wp:positionV>
            <wp:extent cx="666369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740" w:space="720"/>
            <w:col w:w="5940"/>
          </w:cols>
          <w:pgMar w:left="240" w:top="459" w:right="259" w:bottom="1440" w:gutter="0" w:footer="0" w:header="0"/>
          <w:type w:val="continuous"/>
        </w:sectPr>
      </w:pPr>
    </w:p>
    <w:p>
      <w:pPr>
        <w:ind w:left="460" w:hanging="452"/>
        <w:spacing w:after="0" w:line="254"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These fees received by NCM LLC are included as an offset to network costs in the unaudited Condensed Statements of Income.</w:t>
      </w:r>
    </w:p>
    <w:p>
      <w:pPr>
        <w:spacing w:after="0" w:line="2" w:lineRule="exact"/>
        <w:rPr>
          <w:rFonts w:ascii="Arial" w:cs="Arial" w:eastAsia="Arial" w:hAnsi="Arial"/>
          <w:sz w:val="18"/>
          <w:szCs w:val="18"/>
          <w:i w:val="1"/>
          <w:iCs w:val="1"/>
          <w:color w:val="auto"/>
        </w:rPr>
      </w:pPr>
    </w:p>
    <w:p>
      <w:pPr>
        <w:ind w:left="460" w:right="60" w:hanging="452"/>
        <w:spacing w:after="0" w:line="277" w:lineRule="auto"/>
        <w:tabs>
          <w:tab w:leader="none" w:pos="460"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 xml:space="preserve">The Company accounts for its investment in AC JV, LLC under the equity method of accounting in accordance with ASC 323-30, </w:t>
      </w:r>
      <w:r>
        <w:rPr>
          <w:rFonts w:ascii="Arial" w:cs="Arial" w:eastAsia="Arial" w:hAnsi="Arial"/>
          <w:sz w:val="17"/>
          <w:szCs w:val="17"/>
          <w:i w:val="1"/>
          <w:iCs w:val="1"/>
          <w:color w:val="auto"/>
        </w:rPr>
        <w:t>Investments—Equity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and Joint Ventures </w:t>
      </w:r>
      <w:r>
        <w:rPr>
          <w:rFonts w:ascii="Arial" w:cs="Arial" w:eastAsia="Arial" w:hAnsi="Arial"/>
          <w:sz w:val="17"/>
          <w:szCs w:val="17"/>
          <w:color w:val="auto"/>
        </w:rPr>
        <w:t>(“ASC 323-30”) because AC JV, LLC is a limited liability company with the characteristics of a limited partnership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ASC 323-30 requires the use of equity method accounting unless the Company’s interest is so minor that it would have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right="460"/>
        <w:spacing w:after="0" w:line="264" w:lineRule="auto"/>
        <w:rPr>
          <w:sz w:val="20"/>
          <w:szCs w:val="20"/>
          <w:color w:val="auto"/>
        </w:rPr>
      </w:pPr>
      <w:r>
        <w:rPr>
          <w:rFonts w:ascii="Arial" w:cs="Arial" w:eastAsia="Arial" w:hAnsi="Arial"/>
          <w:sz w:val="18"/>
          <w:szCs w:val="18"/>
          <w:color w:val="auto"/>
        </w:rPr>
        <w:t>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380"/>
        <w:spacing w:after="0"/>
        <w:rPr>
          <w:sz w:val="20"/>
          <w:szCs w:val="20"/>
          <w:color w:val="auto"/>
        </w:rPr>
      </w:pPr>
      <w:r>
        <w:rPr>
          <w:rFonts w:ascii="Arial" w:cs="Arial" w:eastAsia="Arial" w:hAnsi="Arial"/>
          <w:sz w:val="14"/>
          <w:szCs w:val="14"/>
          <w:b w:val="1"/>
          <w:bCs w:val="1"/>
          <w:u w:val="single" w:color="auto"/>
          <w:color w:val="auto"/>
        </w:rPr>
        <w:t>Included in the 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55054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Amounts due to AC JV, LLC (included in other current liabilities) </w:t>
      </w:r>
      <w:r>
        <w:rPr>
          <w:rFonts w:ascii="Arial" w:cs="Arial" w:eastAsia="Arial" w:hAnsi="Arial"/>
          <w:sz w:val="16"/>
          <w:szCs w:val="16"/>
          <w:i w:val="1"/>
          <w:iCs w:val="1"/>
          <w:color w:val="auto"/>
        </w:rPr>
        <w:t>(1)</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Investment in AC JV, LLC (included in other investments) </w:t>
      </w:r>
      <w:r>
        <w:rPr>
          <w:rFonts w:ascii="Arial" w:cs="Arial" w:eastAsia="Arial" w:hAnsi="Arial"/>
          <w:sz w:val="18"/>
          <w:szCs w:val="18"/>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September 25,</w:t>
            </w:r>
          </w:p>
        </w:tc>
        <w:tc>
          <w:tcPr>
            <w:tcW w:w="1460" w:type="dxa"/>
            <w:vAlign w:val="bottom"/>
            <w:gridSpan w:val="3"/>
          </w:tcPr>
          <w:p>
            <w:pPr>
              <w:ind w:left="620"/>
              <w:spacing w:after="0" w:line="119" w:lineRule="exact"/>
              <w:rPr>
                <w:sz w:val="20"/>
                <w:szCs w:val="20"/>
                <w:color w:val="auto"/>
              </w:rPr>
            </w:pPr>
            <w:r>
              <w:rPr>
                <w:rFonts w:ascii="Arial" w:cs="Arial" w:eastAsia="Arial" w:hAnsi="Arial"/>
                <w:sz w:val="13"/>
                <w:szCs w:val="13"/>
                <w:b w:val="1"/>
                <w:bCs w:val="1"/>
                <w:color w:val="auto"/>
                <w:w w:val="96"/>
              </w:rPr>
              <w:t>December 26,</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r>
      <w:tr>
        <w:trPr>
          <w:trHeight w:val="195"/>
        </w:trPr>
        <w:tc>
          <w:tcPr>
            <w:tcW w:w="20" w:type="dxa"/>
            <w:vAlign w:val="bottom"/>
          </w:tcPr>
          <w:p>
            <w:pPr>
              <w:spacing w:after="0"/>
              <w:rPr>
                <w:sz w:val="16"/>
                <w:szCs w:val="16"/>
                <w:color w:val="auto"/>
              </w:rPr>
            </w:pP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62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line="195"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75" w:lineRule="exact"/>
        <w:rPr>
          <w:sz w:val="20"/>
          <w:szCs w:val="20"/>
          <w:color w:val="auto"/>
        </w:rPr>
      </w:pPr>
    </w:p>
    <w:p>
      <w:pPr>
        <w:sectPr>
          <w:pgSz w:w="11900" w:h="16838" w:orient="portrait"/>
          <w:cols w:equalWidth="0" w:num="2">
            <w:col w:w="6900" w:space="720"/>
            <w:col w:w="3800"/>
          </w:cols>
          <w:pgMar w:left="240" w:top="459" w:right="239" w:bottom="1440" w:gutter="0" w:footer="0" w:header="0"/>
          <w:type w:val="continuous"/>
        </w:sectPr>
      </w:pPr>
    </w:p>
    <w:p>
      <w:pPr>
        <w:ind w:left="460" w:right="340" w:hanging="452"/>
        <w:spacing w:after="0" w:line="291" w:lineRule="auto"/>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As described above, NCM LLC entered into a transition services agreement with AC JV, LLC for reimbursement of certain expenses. NCM LLC continued to perform back office accounting and, as such, these amounts primarily represent the settlement of AC JV, LLC’s revenue and expenses.</w:t>
      </w: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investment in AC JV, LLC above.</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Related Party Affiliates </w:t>
      </w:r>
      <w:r>
        <w:rPr>
          <w:rFonts w:ascii="Arial" w:cs="Arial" w:eastAsia="Arial" w:hAnsi="Arial"/>
          <w:sz w:val="18"/>
          <w:szCs w:val="18"/>
          <w:color w:val="auto"/>
        </w:rPr>
        <w:t>— 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Following is a summary of advertising operating costs in the unaudited Condensed Statements of Income between the Company and its related party affiliates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316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38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00" w:type="dxa"/>
            <w:vAlign w:val="bottom"/>
            <w:tcBorders>
              <w:bottom w:val="single" w:sz="8" w:color="auto"/>
            </w:tcBorders>
            <w:vMerge w:val="continue"/>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7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8"/>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unaudited Condensed Balance Sheets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Party Affiliate</w:t>
            </w:r>
          </w:p>
        </w:tc>
        <w:tc>
          <w:tcPr>
            <w:tcW w:w="228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17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6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2014</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2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one of NCM, Inc.’s directors.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Other Transactions </w:t>
      </w:r>
      <w:r>
        <w:rPr>
          <w:rFonts w:ascii="Arial" w:cs="Arial" w:eastAsia="Arial" w:hAnsi="Arial"/>
          <w:sz w:val="18"/>
          <w:szCs w:val="18"/>
          <w:color w:val="auto"/>
        </w:rPr>
        <w:t>— NCM LLC has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During the three months ended September 25, 2014 and September 26, 2013 and the nine months ended September 25, 2014 and September 26, 2013, respectively, this company generated approximately $0.0 million, $0.1 million, $0.1 million and $0.2 million in revenue for NCM LLC and there was approximately $0.1 million and $0.2 million of accounts receivable due from this company as of September 25, 2014 and December 26, 2013, respectively.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The Anschutz Corporation is a wholly-owned subsidiary of the Anschutz Company, which is the controlling stockholder of Regal. During the three and nine months ended September 25, 2014, NCM LLC received approximately $0.2 million and $0.2 million, respectively, in revenue from AEG Live and as of September 25, 2014, had $0.2 million of accounts receivable from AEG Live.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September 25, 2014 and December 26, 2013 and the significant terms of its borrowing arrangements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8"/>
              </w:rPr>
              <w:t>Outstanding Balance as of</w:t>
            </w:r>
          </w:p>
        </w:tc>
        <w:tc>
          <w:tcPr>
            <w:tcW w:w="2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9"/>
              </w:rPr>
              <w:t>Maturity</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19"/>
        </w:trPr>
        <w:tc>
          <w:tcPr>
            <w:tcW w:w="52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Borrowings</w:t>
            </w: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December 26,</w:t>
            </w:r>
          </w:p>
        </w:tc>
        <w:tc>
          <w:tcPr>
            <w:tcW w:w="58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Date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Revolving</w:t>
            </w:r>
          </w:p>
        </w:tc>
        <w:tc>
          <w:tcPr>
            <w:tcW w:w="40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xml:space="preserve">November 26, 2019 </w:t>
            </w:r>
            <w:r>
              <w:rPr>
                <w:rFonts w:ascii="Arial" w:cs="Arial" w:eastAsia="Arial" w:hAnsi="Arial"/>
                <w:sz w:val="18"/>
                <w:szCs w:val="18"/>
                <w:i w:val="1"/>
                <w:iCs w:val="1"/>
                <w:color w:val="auto"/>
                <w:w w:val="91"/>
              </w:rPr>
              <w:t>(1)</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0"/>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270.0</w:t>
            </w: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November 26, 2019</w:t>
            </w:r>
          </w:p>
        </w:tc>
        <w:tc>
          <w:tcPr>
            <w:tcW w:w="740" w:type="dxa"/>
            <w:vAlign w:val="bottom"/>
            <w:gridSpan w:val="2"/>
          </w:tcPr>
          <w:p>
            <w:pPr>
              <w:jc w:val="right"/>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200.0</w:t>
            </w: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1"/>
              </w:rPr>
              <w:t>July 15, 2021</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400.0</w:t>
            </w: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April 15, 2022</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895.0</w:t>
            </w:r>
          </w:p>
        </w:tc>
        <w:tc>
          <w:tcPr>
            <w:tcW w:w="4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890.0</w:t>
            </w: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ind w:left="36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881.0</w:t>
            </w:r>
          </w:p>
        </w:tc>
        <w:tc>
          <w:tcPr>
            <w:tcW w:w="4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876.0</w:t>
            </w: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portion of the revolving credit facility has a maturity date of December 31, 2014, as described in further detail below.</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Senior Secured Credit Facility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September 25, 2014, the Company’s senior secured credit facility consisted of a $149.0 million revolving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and a $270.0 million term loan. On June 18, 2014, the Company entered into an incremental amendment of its senior secured credit facility whereby the revolving credit facility was increased by $25.0 million from $124.0 million to $149.0 million. In addition, on July 2, 2014, the Company entered into an amendment of its senior secured credit facility whereby the maturity date applicable to $135.0 million of the revolving credit facility was extended by two years to November 26, 2019, which corresponds to the maturity date of the $270 million term loans. The maturity date applicable to the remaining $14.0 million of the revolving credit facility continues to be December 31, 2014. The Amendment also contains certain amendments (“Conditional Amendments”) to the senior secured credit facility that will only be effective upon the contribution of Screenvision assets and NCM, Inc. debt to NCM LLC. Although it is under no obligation to do so, upon approval of NCM, Inc.’s Board of Directors and NCM LLC’s founding members, NCM, Inc. may contribute the Screenvision assets and the new NCM, Inc. debt facility to NCM LLC in exchange for NCM LLC common membership units. To allow for this potential contribution to NCM LLC, the Conditional Amendments include an increase in the amount of incremental senior secured indebtedness permitted by the Amended Credit Facility from $160 million to $250 million. If the Screenvision contribution to NCM LLC does not occur by April 1, 2015, the Conditional Amendments will not become effective and lender consent for the Conditional Amendments will be immediately and automatically revoked.</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September 25, 2014, the Company’s total availability under the revolving credit facility was $149.0 million. The unused line fee is 0.50% per annum. Of the total available, $14.0 million outstanding principal of the revolving credit facility will not be repaid in connection with any future prepayments of the revolving credit facility amounts. This portion of the revolving credit facility will be paid in full by the Company, along with any accrued and unpaid fees and interest, by December 31, 2014. The maturity date applicable to any remaining outstanding revolving credit facility principal is November 26, 2019.</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applicable margins on the $135.0 million portion of the revolving credit facility are the LIBOR index plus 2.00% or the base rate plus 1.00%. The margins on the $14.0 million portion of the revolving credit facility discussed above are at the LIBOR index plus 1.50% or the base rate plus 0.50%. The weighted-average interest rate on the outstanding balance on the revolving credit facility as of September 25, 2014 was 1.88%.</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interest rate on the term loans is a rate chosen at the Company’s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September 25, 2014 was 2.91%. Interest on the term loans is currently paid monthly.</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September 25, 2014,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September 25, 2014, the Company’s consolidated net senior secured leverage ratio was 3.6 times (versus the covenant of 6.5 times).</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color w:val="auto"/>
        </w:rPr>
        <w:t>— 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is in compliance.</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27, 2012, the Company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is in compliance.</w:t>
      </w:r>
    </w:p>
    <w:p>
      <w:pPr>
        <w:spacing w:after="0" w:line="33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6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Minimum Revenue Guarantees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network affiliate agreements entered into in the ordinary course of business under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During October 2014,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offered to all of its network affiliates an extension of their existing agreements by five years, with the per-attendee guarantee and other terms remaining the same as those on the last year of their original term. None of these agreements have yet been signed. As of September 25, 2014, the maximum potential amount of future payments the Company could be required to make pursuant to the minimum revenue guarantees is $35.4 million over the remaining terms of the network affiliate agreements, which calculation does not include any potential extensions offered subsequent to September 25, 2014. As of September 25, 2014 and December 26, 2013, the Company had no liabilities recorded for these obligations as such guarantees are less than the expected share of revenue paid to the affiliate.</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Merger Termination Payment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1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Company</w:t>
      </w:r>
      <w:r>
        <w:rPr>
          <w:rFonts w:ascii="Arial" w:cs="Arial" w:eastAsia="Arial" w:hAnsi="Arial"/>
          <w:sz w:val="16"/>
          <w:szCs w:val="16"/>
          <w:color w:val="auto"/>
        </w:rPr>
        <w:t>, on May 5, 2014, NCM, Inc. entered into the Merger Agreement to merge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 Screenvision. Consummation of the Merger is subject to clearance under the HSR Act, as well, as other customary closing conditions. If prior to May 5, 2015 (or 90 days thereafter if extended by NCM, Inc. or Screenvision), certain conditions related to the HSR process are not fulfilled, the Merger is prohibited by law or a final non-appealable government order, or if NCM Inc. materially breaches its representations or covenants such that the closing conditions in the Merger Agreement cannot be satisfied, Screenvision may be able to terminate the Merger Agreement and, upon termination, NCM, Inc. may be required to pay a termination fee of approximately $28.8 million. The Company would indemnify NCM, Inc. and bear a pro rata portion of this fee based upon NCM, Inc.’s ownership percentage in NCM LLC, with our founding members bearing the remainder of the fee in accordance with their ownership percentage in NCM LLC. If Screenvision or its affiliates materially breach their representations or covenants such that the closing conditions in the Merger Agreement cannot be satisfied, they will be required to pay NCM, Inc. a termination fee of $10 million, and if Screenvision is subsequently sold within one year of the termination, an additional amount equal to the amount by which the sale proceeds are greater than $385 million will be paid to NCM, Inc. up to a maximum of $28.8 million (including the $10 million). As of September 25, 2014, the Company did not have a liability recorded for this termination fee as it does not believe payment to be probable. On November 3, 2014, DOJ filed an antitrust lawsuit seeking to enjoin the proposed merger between NCM, Inc. and Screenvision. NCM, Inc. and Screenvision intend to defend their proposed merger. Refer to Note 9 – </w:t>
      </w:r>
      <w:r>
        <w:rPr>
          <w:rFonts w:ascii="Arial" w:cs="Arial" w:eastAsia="Arial" w:hAnsi="Arial"/>
          <w:sz w:val="16"/>
          <w:szCs w:val="16"/>
          <w:i w:val="1"/>
          <w:iCs w:val="1"/>
          <w:color w:val="auto"/>
        </w:rPr>
        <w:t>Subsequent Event</w:t>
      </w:r>
      <w:r>
        <w:rPr>
          <w:rFonts w:ascii="Arial" w:cs="Arial" w:eastAsia="Arial" w:hAnsi="Arial"/>
          <w:sz w:val="16"/>
          <w:szCs w:val="16"/>
          <w:color w:val="auto"/>
        </w:rPr>
        <w:t xml:space="preserve"> for further information.</w:t>
      </w:r>
    </w:p>
    <w:p>
      <w:pPr>
        <w:spacing w:after="0" w:line="3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pricing the asset or liability.</w:t>
      </w:r>
    </w:p>
    <w:p>
      <w:pPr>
        <w:spacing w:after="0" w:line="6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Long-Lived Assets, Intangible Assets, Other Investments and Notes Receivable </w:t>
      </w:r>
      <w:r>
        <w:rPr>
          <w:rFonts w:ascii="Arial" w:cs="Arial" w:eastAsia="Arial" w:hAnsi="Arial"/>
          <w:sz w:val="16"/>
          <w:szCs w:val="16"/>
          <w:color w:val="auto"/>
        </w:rPr>
        <w:t>—The Company regularly reviews long-lived assets (primarily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of September 25, 2014 and December 26, 2013, the Company had other investments of $1.1 million, which was comprised of the Company’s investment in AC JV, LLC. As of December 26, 2013, this investment was valued using comparative market multiples. As the inputs to the determination of fair value are based upon non-identical assets and use significant unobservable inputs, we have classified the assets as Level 3 in the fair value hierarchy. The fair value of the investments was not estimated as of September 25, 2014 as there were no identified events or changes in circumstances that had a significant adverse effect on the fair value of the investments, and it is not practicable to do so because the equity securities are not in a publicly traded company.</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As of September 25, 2014 and December 26, 2013, the Company had notes receivable totaling $25.0 million from its founding members related to the sale of Fathom Events, as described in Note 3—</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As of December 26, 2013, these notes were valued using comparative market multiples and are classified as Level 3 in the fair value hierarchy as the inputs to the determination of fair value are based upon non-identical assets and use significant unobservable inputs. The fair value of the notes was not estimated as of September 25, 2014 as there were no identified events or changes in circumstances that had a significant adverse effect on the fair value of the notes receivable.</w:t>
      </w:r>
    </w:p>
    <w:p>
      <w:pPr>
        <w:spacing w:after="0" w:line="17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September 25, 2014</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26,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6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Carrying Value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10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259.9</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214.1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404.8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September 25, 2014 and December 26, 2013, the Company did not have any outstanding derivative assets or liabilities.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A portion of the breakage fees paid to terminate the swap agreements was for swaps in which the underlying debt remained outstanding. The balance in AOCI related to these swaps was fixed and is being amortized into earnings over the remaining life of the original interest rate swap agreement, or February 13, 2015, as long as the debt remains outstanding. The Company considered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which states that amounts in AOCI shall be reclassified into earnings in the same period or periods during which the hedged forecasted transaction affects earnings. As of September 25, 2014, there was approximately $4.0 million outstanding related to these discontinued cash flow hedges which continues to be reported in AOCI and will be amortized on a straight-line basis into earnings in the next twelve months.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AOCI by component for the nine months ended September 25, 2014 and September 26, 2013 were as follows (in millions):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Amounts reclassified from AOCI:</w:t>
      </w:r>
    </w:p>
    <w:p>
      <w:pPr>
        <w:spacing w:after="0" w:line="23" w:lineRule="exact"/>
        <w:rPr>
          <w:sz w:val="20"/>
          <w:szCs w:val="20"/>
          <w:color w:val="auto"/>
        </w:rPr>
      </w:pPr>
    </w:p>
    <w:p>
      <w:pPr>
        <w:ind w:left="1360" w:hanging="179"/>
        <w:spacing w:after="0" w:line="261" w:lineRule="auto"/>
        <w:rPr>
          <w:sz w:val="20"/>
          <w:szCs w:val="20"/>
          <w:color w:val="auto"/>
        </w:rPr>
      </w:pPr>
      <w:r>
        <w:rPr>
          <w:rFonts w:ascii="Arial" w:cs="Arial" w:eastAsia="Arial" w:hAnsi="Arial"/>
          <w:sz w:val="18"/>
          <w:szCs w:val="18"/>
          <w:color w:val="auto"/>
        </w:rPr>
        <w:t>Amortization on discontinued cash flow hedges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540" w:type="dxa"/>
            <w:vAlign w:val="bottom"/>
          </w:tcPr>
          <w:p>
            <w:pPr>
              <w:spacing w:after="0"/>
              <w:rPr>
                <w:sz w:val="10"/>
                <w:szCs w:val="10"/>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 Location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(21.9)</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7.8</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Amortization of terminated 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-556895</wp:posOffset>
            </wp:positionV>
            <wp:extent cx="666369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-273685</wp:posOffset>
            </wp:positionV>
            <wp:extent cx="66636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080" w:space="600"/>
            <w:col w:w="6500"/>
          </w:cols>
          <w:pgMar w:left="240" w:top="459" w:right="479" w:bottom="1440" w:gutter="0" w:footer="0" w:header="0"/>
          <w:type w:val="continuous"/>
        </w:sectPr>
      </w:pPr>
    </w:p>
    <w:tbl>
      <w:tblPr>
        <w:tblLayout w:type="fixed"/>
        <w:tblInd w:w="460" w:type="dxa"/>
        <w:tblCellMar>
          <w:top w:w="0" w:type="dxa"/>
          <w:left w:w="0" w:type="dxa"/>
          <w:bottom w:w="0" w:type="dxa"/>
          <w:right w:w="0" w:type="dxa"/>
        </w:tblCellMar>
      </w:tblPr>
      <w:tr>
        <w:trPr>
          <w:trHeight w:val="212"/>
        </w:trPr>
        <w:tc>
          <w:tcPr>
            <w:tcW w:w="4220" w:type="dxa"/>
            <w:vAlign w:val="bottom"/>
          </w:tcPr>
          <w:p>
            <w:pPr>
              <w:ind w:left="360"/>
              <w:spacing w:after="0" w:line="205" w:lineRule="exact"/>
              <w:rPr>
                <w:sz w:val="20"/>
                <w:szCs w:val="20"/>
                <w:color w:val="auto"/>
              </w:rPr>
            </w:pPr>
            <w:r>
              <w:rPr>
                <w:rFonts w:ascii="Arial" w:cs="Arial" w:eastAsia="Arial" w:hAnsi="Arial"/>
                <w:sz w:val="18"/>
                <w:szCs w:val="18"/>
                <w:color w:val="auto"/>
              </w:rPr>
              <w:t>Total amounts reclassified from AOCI</w:t>
            </w: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7.6</w:t>
            </w:r>
          </w:p>
        </w:tc>
        <w:tc>
          <w:tcPr>
            <w:tcW w:w="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7.8</w:t>
            </w:r>
          </w:p>
        </w:tc>
        <w:tc>
          <w:tcPr>
            <w:tcW w:w="396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ind w:right="3960"/>
              <w:spacing w:after="0"/>
              <w:rPr>
                <w:sz w:val="20"/>
                <w:szCs w:val="20"/>
                <w:color w:val="auto"/>
              </w:rPr>
            </w:pPr>
            <w:r>
              <w:rPr>
                <w:rFonts w:ascii="Arial" w:cs="Arial" w:eastAsia="Arial" w:hAnsi="Arial"/>
                <w:sz w:val="18"/>
                <w:szCs w:val="18"/>
                <w:color w:val="auto"/>
              </w:rPr>
              <w:t>7.8</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9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Advertising revenue accounted for 100.0%, 94.4%, 100.0% and 93.6% of total revenue for the three and nine months ended September 25, 2014 and September 26, 2013, respectively. The following tables present revenue less directly identifiable expenses to arrive at income before income taxes, net of direct expenses for the advertising reportable segment, the combined Fathom Events operating segments (disposed on December 26, 2013), and network, administrative and unallocated costs (in millions):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 September 25,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Fathom Events</w:t>
            </w:r>
          </w:p>
        </w:tc>
        <w:tc>
          <w:tcPr>
            <w:tcW w:w="16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8"/>
              </w:rPr>
              <w:t>Advertising</w:t>
            </w:r>
          </w:p>
        </w:tc>
        <w:tc>
          <w:tcPr>
            <w:tcW w:w="3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 September 26, 2013</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Fathom Events</w:t>
            </w:r>
          </w:p>
        </w:tc>
        <w:tc>
          <w:tcPr>
            <w:tcW w:w="16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Advertising</w:t>
            </w:r>
          </w:p>
        </w:tc>
        <w:tc>
          <w:tcPr>
            <w:tcW w:w="3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3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6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460" w:type="dxa"/>
            <w:vAlign w:val="bottom"/>
            <w:gridSpan w:val="2"/>
          </w:tcPr>
          <w:p>
            <w:pPr>
              <w:jc w:val="right"/>
              <w:ind w:right="53"/>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8"/>
              </w:rPr>
              <w:t>Nine Months Ended September 25, 2014</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Network,</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Fathom Events</w:t>
            </w:r>
          </w:p>
        </w:tc>
        <w:tc>
          <w:tcPr>
            <w:tcW w:w="36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0"/>
              </w:rPr>
              <w:t>Advertising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i w:val="1"/>
                <w:iCs w:val="1"/>
                <w:color w:val="auto"/>
              </w:rPr>
              <w:t>(1)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and other non-operating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54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8"/>
              </w:rPr>
              <w:t>Nine Months Ended September 26, 2013</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Network,</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Fathom Events</w:t>
            </w:r>
          </w:p>
        </w:tc>
        <w:tc>
          <w:tcPr>
            <w:tcW w:w="36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0"/>
              </w:rPr>
              <w:t>Advertising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i w:val="1"/>
                <w:iCs w:val="1"/>
                <w:color w:val="auto"/>
              </w:rPr>
              <w:t>(1)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$340.1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and other non-operating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(104.5)</w:t>
            </w:r>
          </w:p>
        </w:tc>
        <w:tc>
          <w:tcPr>
            <w:tcW w:w="54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The following is a summary of revenues by category (in millions):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September 25,</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720" w:type="dxa"/>
            <w:vAlign w:val="bottom"/>
            <w:gridSpan w:val="2"/>
          </w:tcPr>
          <w:p>
            <w:pPr>
              <w:spacing w:after="0"/>
              <w:rPr>
                <w:sz w:val="10"/>
                <w:szCs w:val="10"/>
                <w:color w:val="auto"/>
              </w:rPr>
            </w:pPr>
          </w:p>
        </w:tc>
        <w:tc>
          <w:tcPr>
            <w:tcW w:w="15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60" w:type="dxa"/>
            <w:vAlign w:val="bottom"/>
          </w:tcPr>
          <w:p>
            <w:pPr>
              <w:spacing w:after="0"/>
              <w:rPr>
                <w:sz w:val="10"/>
                <w:szCs w:val="10"/>
                <w:color w:val="auto"/>
              </w:rPr>
            </w:pPr>
          </w:p>
        </w:tc>
        <w:tc>
          <w:tcPr>
            <w:tcW w:w="8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91.1</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Local advertising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w w:val="85"/>
              </w:rPr>
              <w:t>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concessionaire agreements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87"/>
              </w:rPr>
              <w:t>9.0</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Fathom Consumer revenue </w:t>
            </w:r>
            <w:r>
              <w:rPr>
                <w:rFonts w:ascii="Arial" w:cs="Arial" w:eastAsia="Arial" w:hAnsi="Arial"/>
                <w:sz w:val="18"/>
                <w:szCs w:val="18"/>
                <w:i w:val="1"/>
                <w:iCs w:val="1"/>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Fathom Business revenue </w:t>
            </w:r>
            <w:r>
              <w:rPr>
                <w:rFonts w:ascii="Arial" w:cs="Arial" w:eastAsia="Arial" w:hAnsi="Arial"/>
                <w:sz w:val="18"/>
                <w:szCs w:val="18"/>
                <w:i w:val="1"/>
                <w:iCs w:val="1"/>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6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135.1</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270.9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Fathom Events was sold on December 26, 2013 as discussed in Note 3—</w:t>
      </w:r>
      <w:r>
        <w:rPr>
          <w:rFonts w:ascii="Arial" w:cs="Arial" w:eastAsia="Arial" w:hAnsi="Arial"/>
          <w:sz w:val="18"/>
          <w:szCs w:val="18"/>
          <w:i w:val="1"/>
          <w:iCs w:val="1"/>
          <w:color w:val="auto"/>
        </w:rPr>
        <w:t>Related Party Transactions.</w:t>
      </w:r>
    </w:p>
    <w:p>
      <w:pPr>
        <w:spacing w:after="0" w:line="37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3, 2014, the DOJ filed an antitrust lawsuit seeking to enjoin the proposed merger between NCM, Inc. and Screenvision. NCM, Inc. and Screenvision intend to defend their proposed merger. If NCM, Inc. is unsuccessful in its defense of the proposed merger prior to May 5, 2015 (or 90 days thereafter if extended by NCM, Inc. or Screenvision), Screenvision may be able to terminate the Merger Agreement and, upon termination, NCM, Inc. may be required to pay Screenvision a termination fee of approximately $28.8 million. NCM LLC would indemnify NCM, Inc. and bear a pro rata portion of this fee based upon NCM, Inc.’s ownership percentage in the Company, with our founding members bearing the remainder of the fee in accordance with their ownership percentage in NCM LLC.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26, 2013.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26, 2013.</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We operate the largest digital in-theatre network in North America, for the distribution of advertising. Our revenue is principally derived from the sale of advertising through long-term ESAs with our founding members (over 22 years remaining as of September 25, 2014) and multi-year agreements with network affiliates. The ESAs with the founding members and network affiliate agreements grant us exclusive rights, subject to limited exceptions, to sell advertising in those theatres.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lobby entertainment network (“LEN”) programming are distributed predominantly via satellite through our proprietary digital content network (“DCN”). Approximately 96% of the aggregate founding member and network affiliate theatre attendance is generated by theatres connected to our DCN (882 screens receive advertisements on thumb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(85% digital cinema projectors and 15% LCD projectors).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the end of the second and third month of each quarter with officers, managers and staff to discuss strategy and analyze operating results and address significant variances to budget in an effort to identify trends and changes in our business and adjust operating strategy and tactics as needed.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as well as our free cash flow and related financial leverage and revolving credit facility availability to ensure that there is adequate cash availability to fund our working capital needs and debt obligations.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December 26, 2013, we sold our Fathom Events business to a newly formed limited liability company (AC JV, LLC) owned 32% by each of the founding members and 4% by us. The Fathom Events business focused on the marketing and distribution of live and pre-recorded entertainment programming to theatre operators to provide additional programs to augment their feature film schedule. In consideration for the sale, we received a total of $25.0 million in promissory notes from our founding members (one-third from each founding member). The notes bear interest at a fixed rate of 5.0% per annum, compounded annually. Interest and principal payments are due annually in six equal installments commencing on the first anniversary of the closing. In connection with the sale, we entered into a transition services agreement to provide certain corporate overhead services for a fee and reimbursement for the use of facilities and certain services including creative, technical event management and event management for AC JV, LLC for nine months following closing (which ended September 25, 2014). In addition, we entered into a services agreement with a term coinciding with the digital programming ESAs, which grants AC JV, LLC advertising on-screen and on our LEN and a pre-feature program prior to Fathom events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reasonably consistent with what was previously dedicated to Fathom. In addition, the services agreement provides that we will assist with event sponsorship sales in return for a share of the sponsorship revenue. We have also agreed to provide creative and media production services for the same fee available to the founding members related to the marketing of their core theatrical business.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On May 5, 2014, NCM, Inc. entered into the Merger Agreement to merge with Screenvision for $375 million, consisting of $225 million in cash and $150 million of NCM, Inc. common stock (9,900,990 shares based on a price of $15.15 per share). The merger consideration is subject to adjustment based upon Screenvision’s Adjusted EBITDA for the twelve months ended April 30, 2014 and Screenvision’s working capital at closing. Consummation of the Merger is subject to clearance under the HSR Act and other customary closing conditions, including satisfaction of representations, warranties and covenants. All necessary corporate action by NCM, Inc. and Screenvision to approve the Merger has occurred. On November 3, 2014, the DOJ filed an antitrust lawsuit challenging the proposed merger between NCM, Inc. and Screenvision. NCM, Inc. and Screenvision intend to defend their proposed merger. Refer to Note 9 –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further information.</w:t>
      </w:r>
    </w:p>
    <w:p>
      <w:pPr>
        <w:spacing w:after="0" w:line="18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 in our Form 10-K filed with the SEC on March 4, 2014 for the Company’s fiscal year ended December 26, 2013 and Item 1A of this Form 10-Q.</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4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 25,</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 26,</w:t>
            </w:r>
          </w:p>
        </w:tc>
        <w:tc>
          <w:tcPr>
            <w:tcW w:w="12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 25,</w:t>
            </w:r>
          </w:p>
        </w:tc>
        <w:tc>
          <w:tcPr>
            <w:tcW w:w="10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 26,</w:t>
            </w:r>
          </w:p>
        </w:tc>
        <w:tc>
          <w:tcPr>
            <w:tcW w:w="9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Q3 2014</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YTD 2014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Q3 2013</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YTD 2013</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127.6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270.9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318.2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100.8</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340.1</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117.9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Network, administrative and unallocated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56.6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193.1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147.0</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60" w:type="dxa"/>
            <w:vAlign w:val="bottom"/>
          </w:tcPr>
          <w:p>
            <w:pPr>
              <w:spacing w:after="0"/>
              <w:rPr>
                <w:sz w:val="20"/>
                <w:szCs w:val="20"/>
                <w:color w:val="auto"/>
              </w:rPr>
            </w:pPr>
            <w:r>
              <w:rPr>
                <w:rFonts w:ascii="Arial" w:cs="Arial" w:eastAsia="Arial" w:hAnsi="Arial"/>
                <w:sz w:val="18"/>
                <w:szCs w:val="18"/>
                <w:color w:val="auto"/>
              </w:rPr>
              <w:t>Adjusted OIBDA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76.7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126.8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172.0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(1)(2)</w:t>
            </w: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163.5</w:t>
            </w: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505.4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533.7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U.S. GAAP. OIBDA represents net income plus income tax expense, interest and other costs and depreciation and amortization expense. Adjusted OIBDA excludes from OIBDA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to OIBDA and Adjusted OIBDA for the periods presented (dollars in millions):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460" w:right="960"/>
        <w:spacing w:after="0" w:line="277" w:lineRule="auto"/>
        <w:rPr>
          <w:sz w:val="20"/>
          <w:szCs w:val="20"/>
          <w:color w:val="auto"/>
        </w:rPr>
      </w:pPr>
      <w:r>
        <w:rPr>
          <w:rFonts w:ascii="Arial" w:cs="Arial" w:eastAsia="Arial" w:hAnsi="Arial"/>
          <w:sz w:val="17"/>
          <w:szCs w:val="17"/>
          <w:color w:val="auto"/>
        </w:rPr>
        <w:t>Interest and other non-operating costs Depreciation and amortization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6"/>
              </w:rPr>
              <w:t>Nine Months Ended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26,</w:t>
            </w:r>
          </w:p>
        </w:tc>
        <w:tc>
          <w:tcPr>
            <w:tcW w:w="800" w:type="dxa"/>
            <w:vAlign w:val="bottom"/>
          </w:tcPr>
          <w:p>
            <w:pPr>
              <w:spacing w:after="0"/>
              <w:rPr>
                <w:sz w:val="10"/>
                <w:szCs w:val="10"/>
                <w:color w:val="auto"/>
              </w:rPr>
            </w:pP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2013</w:t>
            </w: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27.0</w:t>
            </w:r>
          </w:p>
        </w:tc>
        <w:tc>
          <w:tcPr>
            <w:tcW w:w="800" w:type="dxa"/>
            <w:vAlign w:val="bottom"/>
          </w:tcPr>
          <w:p>
            <w:pPr>
              <w:spacing w:after="0"/>
              <w:rPr>
                <w:sz w:val="16"/>
                <w:szCs w:val="16"/>
                <w:color w:val="auto"/>
              </w:rPr>
            </w:pPr>
          </w:p>
        </w:tc>
        <w:tc>
          <w:tcPr>
            <w:tcW w:w="2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51.8</w:t>
            </w:r>
          </w:p>
        </w:tc>
        <w:tc>
          <w:tcPr>
            <w:tcW w:w="80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50.6</w:t>
            </w:r>
          </w:p>
        </w:tc>
        <w:tc>
          <w:tcPr>
            <w:tcW w:w="800" w:type="dxa"/>
            <w:vAlign w:val="bottom"/>
          </w:tcPr>
          <w:p>
            <w:pPr>
              <w:spacing w:after="0"/>
              <w:rPr>
                <w:sz w:val="16"/>
                <w:szCs w:val="16"/>
                <w:color w:val="auto"/>
              </w:rPr>
            </w:pPr>
          </w:p>
        </w:tc>
        <w:tc>
          <w:tcPr>
            <w:tcW w:w="2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98.5</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-556895</wp:posOffset>
            </wp:positionV>
            <wp:extent cx="666369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-273685</wp:posOffset>
            </wp:positionV>
            <wp:extent cx="666369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140" w:space="720"/>
            <w:col w:w="652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3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OIBDA</w:t>
            </w:r>
          </w:p>
        </w:tc>
        <w:tc>
          <w:tcPr>
            <w:tcW w:w="1180" w:type="dxa"/>
            <w:vAlign w:val="bottom"/>
            <w:gridSpan w:val="2"/>
            <w:shd w:val="clear" w:color="auto" w:fill="CCEEFF"/>
          </w:tcPr>
          <w:p>
            <w:pPr>
              <w:jc w:val="right"/>
              <w:ind w:right="125"/>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51.3</w:t>
            </w:r>
          </w:p>
        </w:tc>
        <w:tc>
          <w:tcPr>
            <w:tcW w:w="620" w:type="dxa"/>
            <w:vAlign w:val="bottom"/>
            <w:gridSpan w:val="2"/>
            <w:shd w:val="clear" w:color="auto" w:fill="CCEEFF"/>
          </w:tcPr>
          <w:p>
            <w:pPr>
              <w:jc w:val="right"/>
              <w:ind w:right="125"/>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74.6</w:t>
            </w:r>
          </w:p>
        </w:tc>
        <w:tc>
          <w:tcPr>
            <w:tcW w:w="28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135.1</w:t>
            </w:r>
          </w:p>
        </w:tc>
        <w:tc>
          <w:tcPr>
            <w:tcW w:w="8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270.9</w:t>
            </w:r>
          </w:p>
        </w:tc>
        <w:tc>
          <w:tcPr>
            <w:tcW w:w="8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 margin</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20" w:hanging="452"/>
        <w:spacing w:after="0" w:line="302" w:lineRule="auto"/>
        <w:tabs>
          <w:tab w:leader="none" w:pos="460"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$0.6 million, $1.3 million, $3.0 million and $3.7 million for the three and nine months ended September 25, 2014 and September 26, 2013,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results of operations data for the three and nine months ended September 25, 2014 and September 26, 2013 was derived from the unaudited Condensed Financial Statements and accounting records of NCM LLC and should be read in conjunction with the notes thereto.</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25, 2014 and September 26, 2013</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$34.3 million, or 25.4%, from $135.1 million for the three months ended September 26, 2013 to $100.8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25, 2014, due to a $26.8 million, or 21.0%, decrease in total advertising revenue and a $7.5 million decrease in Fathom Events revenue related to the sale of that part of our business at the end of 2013. The following is a summary of revenue by category (in millions):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advertising revenue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Local advertising revenue</w:t>
      </w:r>
    </w:p>
    <w:p>
      <w:pPr>
        <w:spacing w:after="0" w:line="23" w:lineRule="exact"/>
        <w:rPr>
          <w:sz w:val="20"/>
          <w:szCs w:val="20"/>
          <w:color w:val="auto"/>
        </w:rPr>
      </w:pPr>
    </w:p>
    <w:p>
      <w:pPr>
        <w:ind w:left="640" w:right="600" w:hanging="179"/>
        <w:spacing w:after="0" w:line="257" w:lineRule="auto"/>
        <w:rPr>
          <w:sz w:val="20"/>
          <w:szCs w:val="20"/>
          <w:color w:val="auto"/>
        </w:rPr>
      </w:pPr>
      <w:r>
        <w:rPr>
          <w:rFonts w:ascii="Arial" w:cs="Arial" w:eastAsia="Arial" w:hAnsi="Arial"/>
          <w:sz w:val="18"/>
          <w:szCs w:val="18"/>
          <w:color w:val="auto"/>
        </w:rPr>
        <w:t>Founding member advertising revenue from beverage concessionaire agreements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advertising revenue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Fathom Consumer revenue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Fathom Business revenue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 Change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25,</w:t>
            </w:r>
          </w:p>
        </w:tc>
        <w:tc>
          <w:tcPr>
            <w:tcW w:w="6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Q3 2014 to</w:t>
            </w:r>
          </w:p>
        </w:tc>
        <w:tc>
          <w:tcPr>
            <w:tcW w:w="6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Q3 2014 to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 2013</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62.9</w:t>
            </w:r>
          </w:p>
        </w:tc>
        <w:tc>
          <w:tcPr>
            <w:tcW w:w="6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91.1</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w w:val="91"/>
              </w:rPr>
              <w:t>$   (28.2)</w:t>
            </w:r>
          </w:p>
        </w:tc>
        <w:tc>
          <w:tcPr>
            <w:tcW w:w="640" w:type="dxa"/>
            <w:vAlign w:val="bottom"/>
          </w:tcPr>
          <w:p>
            <w:pPr>
              <w:spacing w:after="0"/>
              <w:rPr>
                <w:sz w:val="16"/>
                <w:szCs w:val="16"/>
                <w:color w:val="auto"/>
              </w:rPr>
            </w:pPr>
          </w:p>
        </w:tc>
        <w:tc>
          <w:tcPr>
            <w:tcW w:w="9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1640" w:type="dxa"/>
            <w:vAlign w:val="bottom"/>
            <w:gridSpan w:val="3"/>
          </w:tcPr>
          <w:p>
            <w:pPr>
              <w:jc w:val="right"/>
              <w:ind w:right="640"/>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127.6</w:t>
            </w:r>
          </w:p>
        </w:tc>
        <w:tc>
          <w:tcPr>
            <w:tcW w:w="3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(26.8)</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-985520</wp:posOffset>
            </wp:positionV>
            <wp:extent cx="666369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-702310</wp:posOffset>
            </wp:positionV>
            <wp:extent cx="666369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27432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-273685</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40" w:space="720"/>
            <w:col w:w="5700"/>
          </w:cols>
          <w:pgMar w:left="240" w:top="459" w:right="2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Total Fathom Events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13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(7.5)</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r>
      <w:tr>
        <w:trPr>
          <w:trHeight w:val="223"/>
        </w:trPr>
        <w:tc>
          <w:tcPr>
            <w:tcW w:w="520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(34.3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data on theatre attendance and revenue per attendee for the three months ended September 25, 2014 and September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ind w:left="40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7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Q3 2014 to</w:t>
            </w:r>
          </w:p>
        </w:tc>
        <w:tc>
          <w:tcPr>
            <w:tcW w:w="260" w:type="dxa"/>
            <w:vAlign w:val="bottom"/>
          </w:tcPr>
          <w:p>
            <w:pPr>
              <w:spacing w:after="0"/>
              <w:rPr>
                <w:sz w:val="10"/>
                <w:szCs w:val="10"/>
                <w:color w:val="auto"/>
              </w:rPr>
            </w:pPr>
          </w:p>
        </w:tc>
      </w:tr>
      <w:tr>
        <w:trPr>
          <w:trHeight w:val="171"/>
        </w:trPr>
        <w:tc>
          <w:tcPr>
            <w:tcW w:w="50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2013</w:t>
            </w:r>
          </w:p>
        </w:tc>
        <w:tc>
          <w:tcPr>
            <w:tcW w:w="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2013</w:t>
            </w:r>
          </w:p>
        </w:tc>
        <w:tc>
          <w:tcPr>
            <w:tcW w:w="26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0.474</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0.177</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0.130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advertising revenue (excluding founding member beverage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per attendee</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0.561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0.617</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0.665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02" w:lineRule="exact"/>
        <w:rPr>
          <w:rFonts w:ascii="Arial" w:cs="Arial" w:eastAsia="Arial" w:hAnsi="Arial"/>
          <w:sz w:val="18"/>
          <w:szCs w:val="18"/>
          <w:i w:val="1"/>
          <w:iCs w:val="1"/>
          <w:color w:val="auto"/>
        </w:rPr>
      </w:pPr>
    </w:p>
    <w:p>
      <w:pPr>
        <w:ind w:left="460"/>
        <w:spacing w:after="0" w:line="287"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$28.2 million, or 31.0%, decrease in national advertising revenue (excluding beverage revenue from NCM LLC’s founding members) was due primarily to a 27.2% decrease in national advertising CPMs (excluding beverage revenue) due primarily to a soft television scatter marketplace, the increase in competition from other national video networks, including several new online and mobile advertising platforms, and the implementation of more aggressive seasonal and volume pricing strategies that contributed to the expansion of our client mix to new client categories that traditionally buy television and other advertising at lower CPMs. National advertising revenue also decreased due to a decline in spending by content partners and scatter spending by our previous cell phone public service announcement (“PSA”) client, which decreased $9.4 million and $5.9 million, respectively, compared to the third quarter of 2013. Further, national advertising revenue (excluding beverage revenue) declined due to a decrease in utilized impressions of 9.3% in the third quarter of 2014 compared to the third quarter of 2013. The decline in utilized impressions was due to a decline in theatre attendance of 14.8% quarter over quarter, partially offset by an increase in national inventory utilization which rose from 117.6% in the third quarter of 2013 to 125.3% in the third quarter of 2014. Inventory utilization is calculated based on eleven 30-second salable national advertising units in our pre-show, which can be expanded, should market demand dictate.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xml:space="preserve"> The $3.9 million, or 15.6%, increase in local advertising revenue was driven by a 9.5% increase in the average contract volume in the third quarter of 2014, compared to the third quarter of 2013, and a 4.5% increase in contract value in the third quarter of 2014, compared to the third quarter of 2013. The increase in average contract value was driven by a $3.6 million, or 131.6%, increase in the total value of contracts over $250,000. The growth in these larger local contracts during the three months ended September 25, 2014 was due in part to the growth of our network and better geographic coverage in many markets and states that increased our appeal to advertisers. The increase in contract volume was driven primarily by the higher number of larger regional contracts and the improving economy that benefited smaller businesses and the continued expansion of the number of theatres in our network.</w:t>
      </w:r>
    </w:p>
    <w:p>
      <w:pPr>
        <w:spacing w:after="0" w:line="7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$2.5 million, or 21.7%, decrease in national advertising revenue from NCM LLC’s founding members’ beverage concessionaire agreements was due to a 16.4% decrease in founding member attendance in the third quarter of 2014, compared to the third quarter of 2013 and a 5.8% decrease in beverage revenue CPMs, which declined because the 2014 beverage revenue CPM is based on the change in CPM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2013 to 2012.</w:t>
      </w:r>
    </w:p>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three months ended September 25, 2014 from $7.5 million for the three months ended September 26, 2013 due to the sale of this portion of our business on December 26, 2013.</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$9.6 million, or 14.2%, from $67.7 million for the three months ended September 26,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$58.1 million for the three months ended September 25, 2014. The following table shows the changes in operating expense for the three months ended September 25, 2014 and September 26,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24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64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Q3 2014 to</w:t>
            </w:r>
          </w:p>
        </w:tc>
        <w:tc>
          <w:tcPr>
            <w:tcW w:w="6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Q3 2014 to</w:t>
            </w:r>
          </w:p>
        </w:tc>
        <w:tc>
          <w:tcPr>
            <w:tcW w:w="260" w:type="dxa"/>
            <w:vAlign w:val="bottom"/>
          </w:tcPr>
          <w:p>
            <w:pPr>
              <w:spacing w:after="0"/>
              <w:rPr>
                <w:sz w:val="10"/>
                <w:szCs w:val="10"/>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Q3 2013</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2013</w:t>
            </w:r>
          </w:p>
        </w:tc>
        <w:tc>
          <w:tcPr>
            <w:tcW w:w="26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8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7"/>
        </w:trPr>
        <w:tc>
          <w:tcPr>
            <w:tcW w:w="5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60"/>
        <w:spacing w:after="0" w:line="293"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$1.4 million, or 17.7%, from $7.9 million for the third quarter of 2013 to $6.5 million for the third quarter of 2014. This decrease was primarily the result of a $0.9 million decrease in affiliate advertising payments, a $0.2 million decrease in lobby production supplies and a $0.2 million decrease in onscreen production costs. The decrease in affiliate advertising payments was driven by lower total advertising revenue partially offset by an 8.6% increase in the number of average affiliate screens in the third quarter of 2014, compared to the third quarter of 2013 due to the addition of 352 affiliate screens related to newly constructed, acquired and signed affiliate theatres. Lobby production supplies and onscreen production costs decreased due to lower advertising revenue in the period.</w:t>
      </w:r>
    </w:p>
    <w:p>
      <w:pPr>
        <w:spacing w:after="0" w:line="5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were zero in the three months ended September 25, 2014 from $5.4 million for the three months ended September 26, 2013 due to the sale of this portion of our business on December 26,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$0.5 million, or 10.2%, from $4.9 million for the third quarter of 2013 to $4.4 million for the third quarter of 2014. The decrease was primarily due to a decrease in personnel expense of $0.3 million due primarily to lower share-based compensation expense, bonus expense and related taxes (related to lower performance against internal targets) and lower benefit costs, as well as a decrease in network maintenance costs of $0.1 million.</w:t>
      </w:r>
    </w:p>
    <w:p>
      <w:pPr>
        <w:spacing w:after="0" w:line="7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decreased $1.7 million, or 9.1%, from $18.7 million for the third quarter of 2013 to $17.0 million for the third quarter of 2014. The decrease was due to a $2.1 million decrease related to the 16.4% decrease in founding member attendance in the third quarter of 2014 compared to the third quarter of 2013, partially offset by a $0.4 million increase in theatre access fees due to an increase in the number of digital screens, including higher quality digital cinema projectors and related equipment. The fees for digital screens and equipment increased $0.3 million related to an annual 5% rate increase specified in the ESAs and $0.1 million from an increase of 1.1% in the average number of NCM LLC’s founding member theatres equipped with the higher quality digital cinema equipment quarter-over-quarter due primarily to acquisitions of new theatres by the founding members.</w:t>
      </w:r>
    </w:p>
    <w:p>
      <w:pPr>
        <w:spacing w:after="0" w:line="8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$0.9 million, or 5.8%, from $15.6 million for the third quarter of 2013 to $14.7 million for the third quarter of 2014. This decrease was primarily due to a decrease of $0.4 million in personnel expense due primarily to lower salaries, bonuses and related taxes (related to lower performance against internal targets) and lower benefit costs. In addition, selling and marketing costs decreased $0.3 million due to a decline in marketing research expense.</w:t>
      </w:r>
    </w:p>
    <w:p>
      <w:pPr>
        <w:spacing w:after="0" w:line="79"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$0.5 million, or 9.4%, from $5.3 million for the third quarter of 2013 to $4.8 million for the third quarter of 2014 due primarily to a $0.2 million decrease in personnel expense due primarily to lower share-based compensation expense, bonus expense and related taxes (related to lower performance against internal targets) and lower benefit costs, as well as a $0.1 million decrease in legal and professional fees.</w:t>
      </w:r>
    </w:p>
    <w:p>
      <w:pPr>
        <w:spacing w:after="0" w:line="79"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decreased from $2.7 million for the three months ended September 26, 2013 to $2.1 million for the three months ended September 25, 2014 due primarily to a decrease in personnel expense.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$1.4 million, or 19.4%, from $7.2 million for the third quarter of 2013 to $8.6 million for the third quarter of 2014. The increase was primarily due to higher amortization of intangible assets related to new affiliate agreements and NCM LLC founding member common unit adjustments, primarily from founding member acquisitions.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$0.3 million, or 1.9%, from $15.4 million for the three months ended September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2013 to $15.7 million for the three months ended September 25, 2014. The following table shows the changes in non-operating expense for the three months ended September 25, 2014 and September 26,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04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September 26,</w:t>
            </w:r>
          </w:p>
        </w:tc>
        <w:tc>
          <w:tcPr>
            <w:tcW w:w="72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Q3 2014 to</w:t>
            </w:r>
          </w:p>
        </w:tc>
        <w:tc>
          <w:tcPr>
            <w:tcW w:w="7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Q3 2014 to</w:t>
            </w:r>
          </w:p>
        </w:tc>
        <w:tc>
          <w:tcPr>
            <w:tcW w:w="260" w:type="dxa"/>
            <w:vAlign w:val="bottom"/>
          </w:tcPr>
          <w:p>
            <w:pPr>
              <w:spacing w:after="0"/>
              <w:rPr>
                <w:sz w:val="10"/>
                <w:szCs w:val="10"/>
                <w:color w:val="auto"/>
              </w:rPr>
            </w:pPr>
          </w:p>
        </w:tc>
      </w:tr>
      <w:tr>
        <w:trPr>
          <w:trHeight w:val="171"/>
        </w:trPr>
        <w:tc>
          <w:tcPr>
            <w:tcW w:w="5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Q3 2013</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Q3 2013</w:t>
            </w:r>
          </w:p>
        </w:tc>
        <w:tc>
          <w:tcPr>
            <w:tcW w:w="26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increase in non-operating expense was due to an increase in other non-operating expense of $0.7 million due to severance expense for employees of the Fathom Events business that was sold at the end of 2013. In addition, interest income increased by $0.3 million due primarily to interest accrued on the notes receivable from NCM LLC’s founding members from the sale of Fathom Events.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$24.8 million from $51.8 million for the three months ended September 26, 2013 to $27.0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2014. The decrease in net income was primarily due to a decrease in operating income of $24.7 million, as described further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25, 2014 and September 26, 2013</w:t>
      </w:r>
    </w:p>
    <w:p>
      <w:pPr>
        <w:spacing w:after="0" w:line="11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$69.2 million, or 20.3%, from $340.1 million for the nine months ended September 26, 2013 to $270.9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25, 2014 due to a $47.3 million, or 14.9%, decrease in advertising revenue and $21.9 million decrease in Fathom Events revenue due to the sale of this part of our business at the end of 2013. The following is a summary of revenue by category (in millions).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advertising revenue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Local advertising revenue</w:t>
      </w:r>
    </w:p>
    <w:p>
      <w:pPr>
        <w:spacing w:after="0" w:line="23" w:lineRule="exact"/>
        <w:rPr>
          <w:sz w:val="20"/>
          <w:szCs w:val="20"/>
          <w:color w:val="auto"/>
        </w:rPr>
      </w:pPr>
    </w:p>
    <w:p>
      <w:pPr>
        <w:ind w:left="640" w:right="440" w:hanging="179"/>
        <w:spacing w:after="0" w:line="257" w:lineRule="auto"/>
        <w:rPr>
          <w:sz w:val="20"/>
          <w:szCs w:val="20"/>
          <w:color w:val="auto"/>
        </w:rPr>
      </w:pPr>
      <w:r>
        <w:rPr>
          <w:rFonts w:ascii="Arial" w:cs="Arial" w:eastAsia="Arial" w:hAnsi="Arial"/>
          <w:sz w:val="18"/>
          <w:szCs w:val="18"/>
          <w:color w:val="auto"/>
        </w:rPr>
        <w:t>Founding member advertising revenue from beverage concessionaire agreements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advertising revenue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Fathom Consumer revenue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Fathom Business revenue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80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 Change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September 26,</w:t>
            </w:r>
          </w:p>
        </w:tc>
        <w:tc>
          <w:tcPr>
            <w:tcW w:w="6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6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6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174.0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226.0</w:t>
            </w:r>
          </w:p>
        </w:tc>
        <w:tc>
          <w:tcPr>
            <w:tcW w:w="6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(52.0)</w:t>
            </w:r>
          </w:p>
        </w:tc>
        <w:tc>
          <w:tcPr>
            <w:tcW w:w="10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318.2</w:t>
            </w: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(47.3)</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-985520</wp:posOffset>
            </wp:positionV>
            <wp:extent cx="666369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-702310</wp:posOffset>
            </wp:positionV>
            <wp:extent cx="666369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3690" cy="27432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-273685</wp:posOffset>
            </wp:positionV>
            <wp:extent cx="66636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80" w:space="720"/>
            <w:col w:w="5900"/>
          </w:cols>
          <w:pgMar w:left="240" w:top="459" w:right="25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Total Fathom Events revenue</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(21.9)</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2"/>
              </w:rPr>
              <w:t>(69.2)</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data on theatre attendance and revenue per attendee for the nine months ended September 25, 2014 and September 26, 2013:</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w w:val="94"/>
              </w:rPr>
              <w:t>Nine Months Ended</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280" w:type="dxa"/>
            <w:vAlign w:val="bottom"/>
          </w:tcPr>
          <w:p>
            <w:pPr>
              <w:spacing w:after="0"/>
              <w:rPr>
                <w:sz w:val="10"/>
                <w:szCs w:val="10"/>
                <w:color w:val="auto"/>
              </w:rPr>
            </w:pPr>
          </w:p>
        </w:tc>
        <w:tc>
          <w:tcPr>
            <w:tcW w:w="16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74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2013</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0.344</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0.423</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0.136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0.114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revenue (excluding founding member</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beverage revenue) per attendee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0.480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0.537</w:t>
            </w:r>
          </w:p>
        </w:tc>
        <w:tc>
          <w:tcPr>
            <w:tcW w:w="7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0.536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0.596</w:t>
            </w:r>
          </w:p>
        </w:tc>
        <w:tc>
          <w:tcPr>
            <w:tcW w:w="7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505.4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7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02" w:lineRule="exact"/>
        <w:rPr>
          <w:rFonts w:ascii="Arial" w:cs="Arial" w:eastAsia="Arial" w:hAnsi="Arial"/>
          <w:sz w:val="18"/>
          <w:szCs w:val="18"/>
          <w:i w:val="1"/>
          <w:iCs w:val="1"/>
          <w:color w:val="auto"/>
        </w:rPr>
      </w:pPr>
    </w:p>
    <w:p>
      <w:pPr>
        <w:ind w:left="460" w:right="40"/>
        <w:spacing w:after="0" w:line="253"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$52.0 million, or 23.0%, decrease in national advertising revenue (excluding beverage revenue from NCM LLC’s founding members) was due primarily to a 21.5% decrease in national advertising CPMs (excluding beverage revenue) due primarily to a soft television scatter market, the increase in competition from other national video networks, including several new online and mobile advertising platforms, and the implementation of more aggressive seasonal and volume pricing strategies that contributed to the expansion of our client mix to new client categories that traditionally buy their television and other advertising at lower CPMs. National advertising revenue also decreased due to a decline in revenue by content partners and scatter spending by our previous cell phone PSA client, which decreased $8.9 million and $12.5 million, respectively, compared to the first nine months of 2013. Further, national advertising revenue (excluding beverage revenue) declined due to a decrease in utilized impressions of 3.2% in the first nine months of 2014 compared to the first nine months of 2013. The decline in utilized impressions was due to a decline in theatre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attendance of 5.3% year-over-year, partially offset by an increase in national inventory utilization which rose from 104.9% in the nine months ended September 26, 2013 to 107.3% in the nine months ended September 25, 2014. Inventory utilization is calculated based on eleven 30-second salable national advertising units in our pre-show, which can be expanded, should market demand dictate.</w:t>
      </w:r>
    </w:p>
    <w:p>
      <w:pPr>
        <w:spacing w:after="0" w:line="73"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$8.0 million, or 13.2%, increase in local advertising revenue was driven by an increase in local advertising contract volume of 9.6% and an increase in the average contract value of 3.1% in the nine months ended September 25, 2014, compared to the nine months ended September 26, 2013. The increase in average contract value was driven primarily by an $8.3 million, or 107.2%, increase in the total value of contracts over $250,000. The growth in these larger local contracts during the nine months ended September 25, 2014 was due in part to the growth of our network and better geographic coverage in many markets and states that increased our appeal to advertisers and attracted several large additional regional contracts in the automotive and telecommunications industries. The increase in contract volume was driven primarily by the higher number of larger regional contracts and the improving economy that benefited smaller businesses and the continued expansion of the number of theatres in our network.</w:t>
      </w:r>
    </w:p>
    <w:p>
      <w:pPr>
        <w:spacing w:after="0" w:line="84" w:lineRule="exact"/>
        <w:rPr>
          <w:sz w:val="20"/>
          <w:szCs w:val="20"/>
          <w:color w:val="auto"/>
        </w:rPr>
      </w:pPr>
    </w:p>
    <w:p>
      <w:pPr>
        <w:ind w:left="460" w:right="220"/>
        <w:spacing w:after="0" w:line="302"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$3.3 million, or 10.5%, decrease in national advertising revenue from NCM LLC’s founding members’ beverage concessionaire agreements was due to a 4.9% decrease in founding member attendance in the nine months ended September 25, 2014, compared to the nine months ended September 26, 2013 and a 5.8% decrease in beverage revenue CPMs, which declined because the 2014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2013 to 2012.</w:t>
      </w:r>
    </w:p>
    <w:p>
      <w:pPr>
        <w:spacing w:after="0" w:line="46"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nine months ended September 25, 2014 from $21.9 million for the nine months ended September 26, 2013 due to the sale of this portion of our business on December 26, 2013.</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$19.7 million, or 10.2%, from $193.1 million for the nine months ended September 26, 2013</w:t>
      </w:r>
      <w:r>
        <w:rPr>
          <w:rFonts w:ascii="Arial" w:cs="Arial" w:eastAsia="Arial" w:hAnsi="Arial"/>
          <w:sz w:val="18"/>
          <w:szCs w:val="18"/>
          <w:i w:val="1"/>
          <w:iCs w:val="1"/>
          <w:color w:val="auto"/>
        </w:rPr>
        <w:t xml:space="preserve"> </w:t>
      </w:r>
      <w:r>
        <w:rPr>
          <w:rFonts w:ascii="Arial" w:cs="Arial" w:eastAsia="Arial" w:hAnsi="Arial"/>
          <w:sz w:val="18"/>
          <w:szCs w:val="18"/>
          <w:color w:val="auto"/>
        </w:rPr>
        <w:t>to $173.4 million for the nine months ended September 25, 2014. The following table shows the changes in operating expense for the nine months ended September 25, 2014 and September 26,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3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4"/>
              </w:rPr>
              <w:t>September 25,</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2014 to</w:t>
            </w:r>
          </w:p>
        </w:tc>
        <w:tc>
          <w:tcPr>
            <w:tcW w:w="6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2013</w:t>
            </w:r>
          </w:p>
        </w:tc>
        <w:tc>
          <w:tcPr>
            <w:tcW w:w="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r>
      <w:tr>
        <w:trPr>
          <w:trHeight w:val="27"/>
        </w:trPr>
        <w:tc>
          <w:tcPr>
            <w:tcW w:w="3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2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173.4</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$3.6 million, or 16.6%, from $21.7 million for the nine months ended September 26, 2013 to $18.1 million for the nine months ended September 25, 2014. This decrease was primarily the result of a $2.3 million decrease in affiliate advertising payments, a $0.5 million decrease in onscreen production costs and a $0.4 million decrease in lobby production supplies. The decrease in affiliate advertising payments was driven by lower total advertising revenue and a 2.7% decrease in the number of average affiliate screens in the nine months ended September 25, 2014, compared to the nine months ended September 26, 2013 due to the acquisition of certain affiliate screens by NCM LLC’s founding members, partially offset by the addition of 352 affiliate screens related to newly constructed, acquired and signed affiliate theatres. Lobby production supplies and onscreen production costs decreased due to lower revenue during the period.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were zero in the nine months ended September 25, 2014 from $15.4 million for the nine months ended September 26, 2013 due to the sale of this portion of our business on December 26, 2013.</w:t>
      </w:r>
    </w:p>
    <w:p>
      <w:pPr>
        <w:spacing w:after="0" w:line="62"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$1.2 million, or 8.2%, from $14.6 million for the nine months ended September 26, 2013 to $13.4 million for the nine months ended September 25, 2014. The decrease was primarily due to a decrease in personnel expense of $0.4 million due primarily to lower share-based compensation expense, bonus expense and related taxes (related to lower performance against internal targets) lower benefit costs, as well as a decrease of $0.2 million for reimbursement of AC JV, LLC transition costs and a decrease of $0.2 million in equipment rental and network maintenance costs.</w:t>
      </w:r>
    </w:p>
    <w:p>
      <w:pPr>
        <w:spacing w:after="0" w:line="80" w:lineRule="exact"/>
        <w:rPr>
          <w:sz w:val="20"/>
          <w:szCs w:val="20"/>
          <w:color w:val="auto"/>
        </w:rPr>
      </w:pPr>
    </w:p>
    <w:p>
      <w:pPr>
        <w:ind w:left="460" w:right="240"/>
        <w:spacing w:after="0" w:line="272" w:lineRule="auto"/>
        <w:rPr>
          <w:sz w:val="20"/>
          <w:szCs w:val="20"/>
          <w:color w:val="auto"/>
        </w:rPr>
      </w:pPr>
      <w:r>
        <w:rPr>
          <w:rFonts w:ascii="Arial" w:cs="Arial" w:eastAsia="Arial" w:hAnsi="Arial"/>
          <w:sz w:val="17"/>
          <w:szCs w:val="17"/>
          <w:u w:val="single" w:color="auto"/>
          <w:color w:val="auto"/>
        </w:rPr>
        <w:t>Theatre access fees.</w:t>
      </w:r>
      <w:r>
        <w:rPr>
          <w:rFonts w:ascii="Arial" w:cs="Arial" w:eastAsia="Arial" w:hAnsi="Arial"/>
          <w:sz w:val="17"/>
          <w:szCs w:val="17"/>
          <w:color w:val="auto"/>
        </w:rPr>
        <w:t xml:space="preserve"> Theatre access fees decreased $0.1 million, or 0.2%, from $52.4 million for the nine months ended September 26, 2013 to $52.3 million for the nine months ended September 25, 2014. The decrease was primarily due to a $1.7 million decrease related to the 4.9% decrease in founding member attendance in the first nine months of 2014 compared to the first nine months of 2013, partially offset by a $1.6 million increase in theatre access fees due to an increase in the number of digital screens, including higher quality digital cinema projectors and related equipment. The fees for digital screens and equipment increased $0.9 million related to an annual 5% rate increase specified in the ESAs and $0.5 million from an increase of 3.7% in the average number of NCM LLC’s founding member theatres equipped with the higher quality digital cinema equipment year-over-year due primarily to acquisitions of new theatres by the founding members.</w:t>
      </w:r>
    </w:p>
    <w:p>
      <w:pPr>
        <w:spacing w:after="0" w:line="70" w:lineRule="exact"/>
        <w:rPr>
          <w:sz w:val="20"/>
          <w:szCs w:val="20"/>
          <w:color w:val="auto"/>
        </w:rPr>
      </w:pPr>
    </w:p>
    <w:p>
      <w:pPr>
        <w:ind w:left="460" w:right="80"/>
        <w:spacing w:after="0" w:line="302"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$2.9 million, or 6.2%, from $46.7 million for the nine months ended September 26, 2013 to $43.8 million for the nine months ended September 25, 2014. This decrease was primarily due to a decrease of $1.7 million in non-cash barter expense related to timing of barter transactions, a decrease of $0.7 million in personnel expense due primarily to lower salaries, bonuses and related taxes (related to lower performance against internal targets) and lower benefit costs and a decrease of $0.3 million in certain marketing expenses.</w:t>
      </w:r>
    </w:p>
    <w:p>
      <w:pPr>
        <w:spacing w:after="0" w:line="46"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decreased $1.6 million, or 10.5%, from $15.3 million for the nine months ended September 26, 2013 to $13.7 million for the nine months ended September 25, 2014 due primarily to a $1.1 million decrease in personnel expense due primarily to lower share-based compensation expense, bonus expense and related taxes (related to lower performance against internal targets) and lower benefit costs, as well as a decrease in legal and professional fees of approximately $0.2 million.</w:t>
      </w:r>
    </w:p>
    <w:p>
      <w:pPr>
        <w:spacing w:after="0" w:line="63"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decreased $0.3 million from $8.2 million for the nine months ended September 26, 2013 to $7.9 million for the nine months ended September 25, 2014.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$5.4 million, or 28.7%, from $18.8 million for the nine months ended September 26, 2013 to $24.2 million for the nine months ended September 25, 2014. The increase was primarily due to higher amortization of intangible assets related to new affiliate agreements and NCM LLC founding member common unit adjustments, primarily related to founding member acquisitions.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$1.5 million, or 3.1%, from $47.9 million for the nine months ended September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2013 to $46.4 million for the nine months ended September 25, 2014. The following table shows the changes in non-operating expense for the nine months ended September 25, 2014 and September 26,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86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680" w:type="dxa"/>
            <w:vAlign w:val="bottom"/>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2014 to</w:t>
            </w:r>
          </w:p>
        </w:tc>
        <w:tc>
          <w:tcPr>
            <w:tcW w:w="6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2013</w:t>
            </w:r>
          </w:p>
        </w:tc>
        <w:tc>
          <w:tcPr>
            <w:tcW w:w="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7"/>
        </w:trPr>
        <w:tc>
          <w:tcPr>
            <w:tcW w:w="4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decline in non-operating expense was due primarily to an increase in interest income of $0.9 million due primarily to interest accrued on the notes receivable from NCM LLC’s founding members from the sale of Fathom Events. In addition, other non-operating expense decreased $0.3 million due to the absence of the write-off of debt issuance costs.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$47.9 million from $98.5 million for the nine months ended September 26, 2013 to $50.6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25, 2014. The decrease in net income was primarily due to a decrease in operating income of $49.5 million, as described further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Changes in the current macro-economic environment and changes in the national and local and regional advertising markets, including increased competition related to the expansion of new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growth in our advertising client base and improvements in the technical quality of our network and upgrades to our inventory management and audience targeting systems that are in process. We could also benefit from the effectiveness of cinema advertising relative to other advertising mediums as consumer viewing habits shift to smaller less effective mobile devices and TV ratings and effectiveness declines due to the time-shifting of programming and related ad-skipping associated with the increasing use of DVRs by consumers. The impact of these consumer and media market trends appear to have favorably impacted our national advertising projections for the fourth quarter of 2014 that are up approximately 20% versus the fourth quarter of 2013 and our upfront bookings that are currently up over 125% for the period October 1, 2014 through the end of 2015 versus the same five quarter period ending in December of 2014, including an agency buying group that is being finalized. Consistent with TV upfront bookings, a portion of our upfront commitments after Q4 2014 have cancellation options associated with them. Our future revenue growth could also be positively impacted by the expansion of our advertising network, including the proposed merger with Screenvision. During 2013 and thus far in 2014, we have added ten new affiliate theatre circuits with 491 screens and 15 million annual attendees and our founding members have added 14 theatres with 223 screens and annual attendance of approximately 10 million. The recent affiliate and founding member theatre additions will result in approximately 350 million new salable national advertising impressions (assuming 14 national advertising units of 30 seconds each). The additional network affiliate and founding member impressions are already integrated into our advertising sales process. These additional attendees will provide our advertising clients a better marketing product with increased advertising impressions, improved geographic coverage and better audience targeting capabilities that is expected to expand our and our theatre circuit partner’s revenue, operating income and cash flow. We also believe that the continued growth of our network strengthens our selling proposition and competitive positioning versus other national and local video advertising platforms, including television, online and mobile video platforms and other out-of home advertising platforms.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2013 and in the first nine months of 2014, we experienced a decline of 7.6% and 21.5%, respectively, compared to the prior period in national advertising CPMs (excluding beverage revenue) due primarily to the increased competition from other national video networks, including several new online and mobile advertising platforms and the implementation of more aggressive seasonal and volume pricing strategies that contributed to the expansion of our client mix to new client categories that traditionally buy their television and other advertising at lower CPMs. We expect this rate of decline to lessen during the fourth quarter of 2014, as compared to the first nine months of 2014 because the trend had begun in the fourth quarter of 2013 (CPMs decreased 19% for the fourth quarter of 2013 versus the fourth quarter of 2012) due to the greater upfront demand and higher expected utilized impressions driven by a higher expected utilization percentage. While the CPM decline in the fourth quarter of 2014 is expected to be less than the second and third quarters of 2014, we expect our CPMs for 2014 to be approximately 17% to 20% below prior year. However, given the large declines for 2014, we do expect CPMs to begin to stabilize in 2015 due to the greater upfront demand.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2013, we sold 60 seconds to our founding members. We expect to continue to sell 60 seconds of time to our founding members in 2014. Our founding members are renegotiating their agreements with their beverage supplier, which could change the amount of advertising time that is bought from us to satisfy those agreements. Should the amount of time acquired as part of these beverage concessionaire arrangements decline, that time will be available for sale to other clients. Through 2011, this time was priced on a CPM basis, which changed each year as specified in the ESAs. Per the ESAs, beginning in 2012, this time is priced equal to the annual percentage change in the advertising CPM for the previous year charged to unaffiliated third parties during segment one (closest to show 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us. Due to the lower CPMs that we realized in 2013, this reduced the CPM on our beverage concessionaire revenue during the first nine months of 2014 and will reduce the CPM on our beverage concessionaire revenue during the remainder of 2014. In addition, our expected lower CPMs for 2014 are expected to further reduce the CPM on our beverage concessionaire revenue during 2015.</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consideration for NCM LLC’s access to the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founding member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September 25, 2014 and September 26, 2013, approximately 88.2% and 86.2%, respectively, of our founding member network screens were showing advertising on digital cinema projectors.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May 5, 2014, NCM, Inc. entered into the Merger Agreement to merge with Screenvision as described in Item 2—Management’s Discussion and Analysis of Financial Condition and Results of Operations—Overview. Consummation of the Merger is subject to clearance under the HSR Act, as well, as other customary closing conditions. On November 3, 2014, the DOJ filed an antitrust lawsuit seeking to enjoin the proposed merger between NCM, Inc. and Screenvision. NCM, Inc. and Screenvision intend to defend their proposed merger. If prior to May 5, 2015 (or 90 days thereafter if extended by NCM, Inc. or Screenvision), certain conditions related to the HSR process are not fulfilled, the Merger is prohibited by law or a final non-appealable government order, or if NCM, Inc. materially breaches its representations or covenants such that the closing conditions in the Merger Agreement cannot be satisfied, Screenvision may be able to terminate the Merger Agreement and, upon termination, NCM, Inc. may be required to pay a termination fee of approximately $28.8 million. NCM LLC would indemnify NCM, Inc. and bear a pro rata portion of this fee based upon NCM, Inc.’s ownership percentage in the Company, with our founding members bearing the remainder of the fee in accordance with their ownership percentage in NCM LLC. If Screenvision or its affiliates materially breach their representations or covenants such that the closing conditions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Merger Agreement cannot be satisfied, they will be required to pay NCM, Inc. a termination fee of $10 million, and if Screenvision is subsequently sold within one year of the termination, an additional amount equal to the amount by which the sale proceeds are greater than $385 million will be paid to NCM, Inc. up to a maximum of $28.8 million (including the $10 million). If the Merger is not completed and NCM, Inc. is required to pay the termination fee, our financial results would be adversely affected.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by over six years. The average remaining maturity is 6.5 years as of September 25, 2014. As of September 25, 2014, approximately 67% of our total borrowings bear interest at fixed rates. The remaining 33% of our borrowings bear interest at variable rates and as such, our net income and earnings per share could fluctuate with interest rate fluctuations related to our borrowings. Refer to Note 4—</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w:t>
      </w:r>
      <w:r>
        <w:rPr>
          <w:rFonts w:ascii="Arial" w:cs="Arial" w:eastAsia="Arial" w:hAnsi="Arial"/>
          <w:sz w:val="16"/>
          <w:szCs w:val="16"/>
          <w:i w:val="1"/>
          <w:iCs w:val="1"/>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2014, NCM LLC issued 1,087,911 common membership units to its founding members for the rights to exclusive access to net new theatre screens and attendees added by the founding members to NCM LLC’s network during 2013. Of these units, 432,646 related to theatre acquisitions and 655,265 related to new theatres constructed, net of closures. NCM LLC recorded a net intangible asset of approximately $16.4 million during the first quarter of 2014 as a result of the annual Common Unit Adjustment. The common unit adjustment for the first quarter of 2014 was lower than the adjustment for the first quarter of 2013 primarily due to the fact that the founding members opened fewer net new theatres but two of the founding members made large acquisitions that exceeded the two percent of attendance threshold requiring NCM LLC to make a special common unit adjustment.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r>
      <w:tr>
        <w:trPr>
          <w:trHeight w:val="119"/>
        </w:trPr>
        <w:tc>
          <w:tcPr>
            <w:tcW w:w="532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50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Q3 2014 to</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Q3 2014 to</w:t>
            </w:r>
          </w:p>
        </w:tc>
        <w:tc>
          <w:tcPr>
            <w:tcW w:w="100" w:type="dxa"/>
            <w:vAlign w:val="bottom"/>
          </w:tcPr>
          <w:p>
            <w:pPr>
              <w:spacing w:after="0"/>
              <w:rPr>
                <w:sz w:val="10"/>
                <w:szCs w:val="10"/>
                <w:color w:val="auto"/>
              </w:rPr>
            </w:pPr>
          </w:p>
        </w:tc>
      </w:tr>
      <w:tr>
        <w:trPr>
          <w:trHeight w:val="17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YE 2013</w:t>
            </w:r>
          </w:p>
        </w:tc>
        <w:tc>
          <w:tcPr>
            <w:tcW w:w="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Q3 2013</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7"/>
        </w:trPr>
        <w:tc>
          <w:tcPr>
            <w:tcW w:w="5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liquidity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ind w:left="460" w:right="100" w:hanging="452"/>
        <w:spacing w:after="0" w:line="297" w:lineRule="auto"/>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availability under the revolving credit facility is $149.0 million. Of the total available, $14.0 million outstanding principal of the revolving credit facility will not be repaid in connection with any future prepayments of the revolving credit facility amounts, but rather that portion of the revolving credit facility will be paid in full, along with any accrued and unpaid fees and interest, on the maturity date of December 31, 2014.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7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25,</w:t>
            </w:r>
          </w:p>
        </w:tc>
        <w:tc>
          <w:tcPr>
            <w:tcW w:w="12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26,</w:t>
            </w:r>
          </w:p>
        </w:tc>
        <w:tc>
          <w:tcPr>
            <w:tcW w:w="120" w:type="dxa"/>
            <w:vAlign w:val="bottom"/>
          </w:tcPr>
          <w:p>
            <w:pPr>
              <w:spacing w:after="0"/>
              <w:rPr>
                <w:sz w:val="10"/>
                <w:szCs w:val="10"/>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Investing cash flow</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(96.4)</w:t>
            </w:r>
          </w:p>
        </w:tc>
        <w:tc>
          <w:tcPr>
            <w:tcW w:w="6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w:t>
            </w:r>
          </w:p>
        </w:tc>
      </w:tr>
    </w:tbl>
    <w:p>
      <w:pPr>
        <w:spacing w:after="0" w:line="107" w:lineRule="exact"/>
        <w:rPr>
          <w:sz w:val="20"/>
          <w:szCs w:val="20"/>
          <w:color w:val="auto"/>
        </w:rPr>
      </w:pPr>
    </w:p>
    <w:p>
      <w:pPr>
        <w:ind w:left="1480" w:right="100" w:hanging="446"/>
        <w:spacing w:after="0" w:line="279" w:lineRule="auto"/>
        <w:tabs>
          <w:tab w:leader="none" w:pos="148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$20.8 million decrease in cash provided by operating activities for the nine months ended September 25,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versus the nine months ended September 26, 2013 was due primarily to an $47.9 million decrease in net income and a $4.7 million decrease in the change in amounts due to the founding members and managing member, partially offset by an $33.0 million increase in accounts receivable period over period primarily from the timing of revenue and collections in the period.</w:t>
      </w:r>
    </w:p>
    <w:p>
      <w:pPr>
        <w:spacing w:after="0" w:line="76" w:lineRule="exact"/>
        <w:rPr>
          <w:rFonts w:ascii="Arial" w:cs="Arial" w:eastAsia="Arial" w:hAnsi="Arial"/>
          <w:sz w:val="17"/>
          <w:szCs w:val="17"/>
          <w:color w:val="auto"/>
        </w:rPr>
      </w:pPr>
    </w:p>
    <w:p>
      <w:pPr>
        <w:ind w:left="1480" w:right="120" w:hanging="446"/>
        <w:spacing w:after="0" w:line="312"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$6.9 million decrease in cash used in investing activities for the nine months ended September 25,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26, 2013 was due to a decrease of $5.9 million in affiliate payments for the up-front fees paid upon commencement of network affiliate agreements and a decrease of $1.0 million of purchases of property, plant and equipment.</w:t>
      </w:r>
    </w:p>
    <w:p>
      <w:pPr>
        <w:spacing w:after="0" w:line="52" w:lineRule="exact"/>
        <w:rPr>
          <w:rFonts w:ascii="Arial" w:cs="Arial" w:eastAsia="Arial" w:hAnsi="Arial"/>
          <w:sz w:val="16"/>
          <w:szCs w:val="16"/>
          <w:color w:val="auto"/>
        </w:rPr>
      </w:pPr>
    </w:p>
    <w:p>
      <w:pPr>
        <w:ind w:left="1480" w:right="120" w:hanging="446"/>
        <w:spacing w:after="0" w:line="259"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$1.3 million decrease in cash used in financing activities during the nine months ended September 25,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26, 2013 was due primarily to a decrease in the consideration received by NCM, Inc. for the exercise of options or vesting of shares of $7.1 million, partially offset by a decrease in distributions to NCM LLC’s founding members of $5.3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NCM LLC’s primary sources of liquidity and capital resources are its cash provided by operating activities, availability under its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September 25, 2014 (which will be made during the fourth quarter of 2014) was approximately $40.3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26, 2013 and incorporated by reference herein. As of September 25, 2014,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In March 2014, the Emerging Issues Task Force (“EITF”) reached a final consensus on Issue 13-D, </w:t>
      </w:r>
      <w:r>
        <w:rPr>
          <w:rFonts w:ascii="Arial" w:cs="Arial" w:eastAsia="Arial" w:hAnsi="Arial"/>
          <w:sz w:val="18"/>
          <w:szCs w:val="18"/>
          <w:i w:val="1"/>
          <w:iCs w:val="1"/>
          <w:color w:val="auto"/>
        </w:rPr>
        <w:t>Accounting for Share-Based Payments When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Terms of an Award Provide That a Performance Target Could be Achieved after the Requisite Service Period </w:t>
      </w:r>
      <w:r>
        <w:rPr>
          <w:rFonts w:ascii="Arial" w:cs="Arial" w:eastAsia="Arial" w:hAnsi="Arial"/>
          <w:sz w:val="18"/>
          <w:szCs w:val="18"/>
          <w:color w:val="auto"/>
        </w:rPr>
        <w:t>(“EITF 13-D”). Under EITF 13-D,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target that can be achieved after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requisite service period should be treated as a performance condition that affects vesting, rather than a condition that affects grant date fair value. Compensation cost is recognized over the requisite service period if it is probable that the performance condition will be achieved. If necessary, compensation cost is subsequently adjusted, to reflect those awards that ultimately vest. EITF 13-D will be effective, on a prospective basis, for the Company during its first quarter of 2016, with early adoption permitted. The adoption of this standard is not anticipated to have a material impact on the Company’s unaudited Condensed Financial Statements or notes thereto.</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beginning in fiscal year 2017 and early adoption is not permitted.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(“ASU 2014-15”). ASU 2014-15 requires that management evaluate at each annual and interim reporting period whether there is a substantial doubt about an entity’s ability to continue as a going concern within one year of the date that the financial statements are issued. ASU 2014-15 will be effective for fiscal years and interim periods beginning after December 15, 2016 and early application is permitted. The Company does not expect that the application of ASU 2014-15 will have an impact on the unaudited Condensed Financial Statements or notes thereto.</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26, 2013 and incorporated by reference herein. We do not believe these arrangements are material to our current or future financial condition, results of operations, liquidity, capital resources or capital expenditures.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nine months ended September 25,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2011</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2011</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15.3%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are at fixed rates, and therefore are not subject to market risk. As of September 25, 2014, the only interest rate risk that we are exposed to is related to our $149.0 million revolving credit facility and our $270.0 million term loan. A 100 basis point fluctuation in market interest rates underlying our term loan and revolving credit facility would have the effect of increasing or decreasing our cash interest expense by approximately $3.0 million for an annual period on the $25.0 million revolving credit balance and $270.0 million term loan outstanding as of September 25, 2014. For a discussion of market risks, see Item 7A. “Quantitative and Qualitative Disclosures About Market Risk” contained in our annual report on Form 10-K for the fiscal year ended December 26, 2013 and incorporated by reference herein.</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September 25, 2014,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September 25, 2014 were effective.</w:t>
      </w:r>
    </w:p>
    <w:p>
      <w:pPr>
        <w:spacing w:after="0" w:line="17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September 25, 2014 that have materially affected, or are reasonably likely to materially affect, the Company’s internal controls over financial reporting.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3, 2014, the DOJ filed, in the U.S. district court for the Southern District of New York, an antitrust lawsuit seeking to enjoin the proposed merger between NCM, Inc. and Screenvision. The Company is named as a co-defendant. The DOJ claims that the proposed merger would eliminate competition in the market for preshow services and eliminate competition between NCM, Inc. and Screenvision for advertisers. NCM, Inc. and Screenvision intend to defend their proposed merger.</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addition, we are sometimes involved in legal proceedings arising in the ordinary course of business. We are not aware of any litigation currently pending that would have a material adverse effect on our operating results or financial condition.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4, 2014 for the fiscal year ended December 26, 2013, except as noted below.</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 xml:space="preserve">On May 5, 2014, NCM, Inc., Screenvision and certain of their affiliates entered into the Merger Agreement, as described in Note 1 – </w:t>
      </w:r>
      <w:r>
        <w:rPr>
          <w:rFonts w:ascii="Arial" w:cs="Arial" w:eastAsia="Arial" w:hAnsi="Arial"/>
          <w:sz w:val="16"/>
          <w:szCs w:val="16"/>
          <w:i w:val="1"/>
          <w:iCs w:val="1"/>
          <w:color w:val="auto"/>
        </w:rPr>
        <w:t>The Company</w:t>
      </w:r>
      <w:r>
        <w:rPr>
          <w:rFonts w:ascii="Arial" w:cs="Arial" w:eastAsia="Arial" w:hAnsi="Arial"/>
          <w:sz w:val="16"/>
          <w:szCs w:val="16"/>
          <w:color w:val="auto"/>
        </w:rPr>
        <w:t xml:space="preserve"> to the unaudited Condensed Financial Statements in this Form 10-Q. As previously disclosed, if NCM, Inc. merges with Screenvision, it may contribute Screenvision’s assets to the Company. On November 3, 2014, the DOJ filed an antitrust lawsuit seeking to enjoin the proposed merger between NCM, Inc. and Screenvision (the “DOJ Action”), as described in Note 9 – </w:t>
      </w:r>
      <w:r>
        <w:rPr>
          <w:rFonts w:ascii="Arial" w:cs="Arial" w:eastAsia="Arial" w:hAnsi="Arial"/>
          <w:sz w:val="16"/>
          <w:szCs w:val="16"/>
          <w:i w:val="1"/>
          <w:iCs w:val="1"/>
          <w:color w:val="auto"/>
        </w:rPr>
        <w:t>Subsequent Event</w:t>
      </w:r>
      <w:r>
        <w:rPr>
          <w:rFonts w:ascii="Arial" w:cs="Arial" w:eastAsia="Arial" w:hAnsi="Arial"/>
          <w:sz w:val="16"/>
          <w:szCs w:val="16"/>
          <w:color w:val="auto"/>
        </w:rPr>
        <w:t xml:space="preserve"> to the unaudited Condensed Financial Statements in this Form 10-Q.</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DOJ Action has delayed, and could ultimately prevent, the consummation of the Merger.</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filing of the DOJ Action has delayed, and, if NCM, Inc. and Screenvision are unsuccessful in defending against or settling the DOJ Action, could ultimately prevent, the consummation of the Merger. There can be no assurance that NCM, Inc. will be successful in defending against or settling the DOJ Action or that the Merger will be consummated by any particular time, if at all.</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addition, even if NCM, Inc. enters into a settlement with respect to the DOJ Action, there can be no assurance that it will not be required to agree to terms, conditions, requirements, limitations, costs or restrictions that could further delay completion of the Merger, impose additional material costs on or limit the revenues of the combined company, or limit some of the synergies and other benefits we presently anticipate to realize following the Merger. We cannot provide any assurance that any such terms, conditions, requirements, limitations, costs or restrictions will not result in a material delay in, or the abandonment of, the Merger.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Delays in completing the Merger have delayed, and could continue to delay, the benefits expected to be achieved thereunder.</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need to satisfy conditions and obtain consents, clearances and approvals for the Merger, as well as the pendency of the DOJ Action, have delayed, and could continue to delay, the consummation of the Merger for a significant period of time or prevent it from occurring. Even if ultimately consummated, the delay in the consummation of the Merger could cause the combined company to be delayed or limited in realizing some of the synergies and other benefits that the parties anticipated had the Merger been successfully completed within its originally expected time frame.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b w:val="1"/>
          <w:bCs w:val="1"/>
          <w:i w:val="1"/>
          <w:iCs w:val="1"/>
          <w:color w:val="auto"/>
        </w:rPr>
        <w:t>If we are unsuccessful in our defense of the Merger, NCM, Inc. may be required to make a termination payment of $28.8 million, for which NCM LLC would indemnify and bear a pro rata portion of this fee, which could adversely impact NCM LLC’s liquidity and financial condition.</w:t>
      </w:r>
    </w:p>
    <w:p>
      <w:pPr>
        <w:spacing w:after="0" w:line="12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Merger Agreement contains certain termination rights, including the right of either party to terminate the Merger Agreement upon the material breach of covenants or representations by the other. Furthermore, if NCM, Inc. is unsuccessful in its defense of the Merger with the DOJ, Screenvision may have the right to terminate the Merger Agreement and, upon termination, NCM, Inc. may be required to pay Screenvision a termination fee of $28.8 million. NCM LLC will bear a pro rata portion of this fee based on the aggregate ownership percentages of the founding member theatre circuits in NCM LLC. Failure to consummate the Merger also may result in negative market reactions.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A continued delay or a failure to ultimately consummate the Merger could materially and adversely affect our future business, financial condition, results of operations and prospects.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Merger is further delayed or is not completed, our ongoing business may be materially and adversely affected, and we will be subject to several risks, including the following:</w:t>
      </w:r>
    </w:p>
    <w:p>
      <w:pPr>
        <w:spacing w:after="0" w:line="76" w:lineRule="exact"/>
        <w:rPr>
          <w:sz w:val="20"/>
          <w:szCs w:val="20"/>
          <w:color w:val="auto"/>
        </w:rPr>
      </w:pPr>
    </w:p>
    <w:p>
      <w:pPr>
        <w:ind w:left="1480" w:right="4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NCM, Inc. may be required to pay a termination fee of $28.8 million under certain circumstances provided in the Merger Agreement, for which NCM LLC would indemnify and bear a pro rata portion of this fee;</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NCM, Inc. will be required to pay substantial out-of-pocket costs relating to the Merger, whether or not it is consummated, such as legal, defense, accounting, and financial adviser fees; and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management will have focused its attention on preparing for and defending the Merger instead of on pursuing other opportunities that could have been beneficial to us.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the Merger is not completed or is further delayed, there can be no assurance that these risks will not materialize and will not materially and adversely affect the Company’s business, financial condition, results of operations and prospects.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The pending Merger, the DOJ Action and the current pre-merger integration planning efforts may divert resources from our management’s day-to-day operations and ongoing efforts related to other strategies and initiatives.</w:t>
      </w:r>
    </w:p>
    <w:p>
      <w:pPr>
        <w:spacing w:after="0" w:line="17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pending Merger, the DOJ Action and our current pre-merger integration planning efforts may divert our management’s attention from day-to-day business operations and the execution and pursuit of strategic plans and initiatives. The diversion of management attention from ongoing business operations and strategic efforts could result in performance shortfalls, which could adversely impact NCM LLC’s business and operations.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The integration of the businesses of the Company and Screenvision may be more difficult, costly or time consuming than expected, and the Merger may not result in any or all of the anticipated benefits, including cost synergies.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under no obligation to do so, following the Merger, NCM, Inc. may contribute the Screenvision business to NCM LLC. The success of combining Screenvision’s business with the Company, including the realization of the anticipated benefits, will depend, in part, on the ability of the combined company to successfully integrate the two businesses. Failure to effectively integrate the businesses could adversely impact the expected benefits of the Merger, including cost synergies stemming from overlapping sales, operating and general and administrative functions that NCM, Inc. has estimated could aggregate $30 million per year and the increase in revenue related to the improvement in our advertising product and competitive positioning of the Company within the broader video advertising marketplace. The integration of two large independent companies will be complex, and we will be required to devote significant management attention and incur substantial costs to integrate the Company’s and Screenvision’s business practices, policies, cultures and operations. The integration process could also result in the loss of key employees, and the disruption of each company’s ongoing businesses, which could materially impact the combined company’s future financial results.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Furthermore, we may encounter additional challenges, difficulties and costs, including those related to, without limitation, managing a larger combined company; consolidating corporate and administrative infrastructures and eliminating overlapping operations; retaining our existing advertisers and customers; unanticipated issues in integrating our networks and information technology, communications and other systems; and unforeseen and unexpected liabilities related to the Merger or Screenvision’s business. Delays encountered in the integration could adversely impact the business, financial condition and operations of the combined company.</w:t>
      </w:r>
    </w:p>
    <w:p>
      <w:pPr>
        <w:spacing w:after="0" w:line="188"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b w:val="1"/>
          <w:bCs w:val="1"/>
          <w:i w:val="1"/>
          <w:iCs w:val="1"/>
          <w:color w:val="auto"/>
        </w:rPr>
        <w:t>NCM LLC may incur significant additional indebtedness if the Screenvision business is contributed to us, which could adversely impact our financial condition and may hinder our ability to obtain additional financing and pursue other business and investment opportunities.</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As described in Note 5 – </w:t>
      </w:r>
      <w:r>
        <w:rPr>
          <w:rFonts w:ascii="Arial" w:cs="Arial" w:eastAsia="Arial" w:hAnsi="Arial"/>
          <w:sz w:val="18"/>
          <w:szCs w:val="18"/>
          <w:i w:val="1"/>
          <w:iCs w:val="1"/>
          <w:color w:val="auto"/>
        </w:rPr>
        <w:t>Borrowings</w:t>
      </w:r>
      <w:r>
        <w:rPr>
          <w:rFonts w:ascii="Arial" w:cs="Arial" w:eastAsia="Arial" w:hAnsi="Arial"/>
          <w:sz w:val="18"/>
          <w:szCs w:val="18"/>
          <w:color w:val="auto"/>
        </w:rPr>
        <w:t>, in contemplation of the Merger with Screenvision, NCM, Inc. entered into a Commitment Letter for a $250 million term loan with certain existing NCM LLC revolving credit facility lenders to finance the $225 million portion of the merger consideration that will be paid in cash, along with fees and expenses incurred in connection with the term loan and the Merger. The Company also amended its senior secured credit facility in the event that NCM, Inc. contributes Screenvision assets and NCM, Inc. debt to NCM LLC. Incurrence of additional indebtedness could have negative consequences, including increasing our vulnerability to adverse economic and industry conditions, and limiting our ability to obtain additional financing and implement and pursue strategic initiatives and opportunities. Additionally, if we do not achieve the expected benefits and cost savings from the Merger with Screenvision, or if the financial performance of NCM, Inc., as the combined company, does not meet current expectations, then our ability to service the debt may be adversely impacted. Our credit ratings may also be impacted as a result of the incurrence of additional acquisition-related indebtedness.</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20" w:type="dxa"/>
            <w:vAlign w:val="bottom"/>
            <w:gridSpan w:val="2"/>
          </w:tcPr>
          <w:p>
            <w:pPr>
              <w:ind w:left="180"/>
              <w:spacing w:after="0"/>
              <w:rPr>
                <w:sz w:val="20"/>
                <w:szCs w:val="20"/>
                <w:color w:val="auto"/>
              </w:rPr>
            </w:pPr>
            <w:r>
              <w:rPr>
                <w:rFonts w:ascii="Arial" w:cs="Arial" w:eastAsia="Arial" w:hAnsi="Arial"/>
                <w:sz w:val="18"/>
                <w:szCs w:val="18"/>
                <w:b w:val="1"/>
                <w:bCs w:val="1"/>
                <w:color w:val="auto"/>
                <w:w w:val="85"/>
              </w:rPr>
              <w:t>Exhibits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426"/>
        </w:trPr>
        <w:tc>
          <w:tcPr>
            <w:tcW w:w="1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79"/>
              </w:rPr>
              <w:t>Reference</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tabs>
          <w:tab w:leader="none" w:pos="540" w:val="left"/>
          <w:tab w:leader="none" w:pos="6120" w:val="left"/>
        </w:tabs>
        <w:rPr>
          <w:sz w:val="20"/>
          <w:szCs w:val="20"/>
          <w:color w:val="auto"/>
        </w:rPr>
      </w:pPr>
      <w:r>
        <w:rPr>
          <w:rFonts w:ascii="Arial" w:cs="Arial" w:eastAsia="Arial" w:hAnsi="Arial"/>
          <w:sz w:val="18"/>
          <w:szCs w:val="18"/>
          <w:color w:val="auto"/>
        </w:rPr>
        <w:t>Date:</w:t>
        <w:tab/>
        <w:t>November 5, 2014</w:t>
      </w:r>
      <w:r>
        <w:rPr>
          <w:sz w:val="20"/>
          <w:szCs w:val="20"/>
          <w:color w:val="auto"/>
        </w:rPr>
        <w:tab/>
      </w:r>
      <w:r>
        <w:rPr>
          <w:rFonts w:ascii="Arial" w:cs="Arial" w:eastAsia="Arial" w:hAnsi="Arial"/>
          <w:sz w:val="17"/>
          <w:szCs w:val="17"/>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40" w:val="left"/>
          <w:tab w:leader="none" w:pos="6120" w:val="left"/>
        </w:tabs>
        <w:rPr>
          <w:sz w:val="20"/>
          <w:szCs w:val="20"/>
          <w:color w:val="auto"/>
        </w:rPr>
      </w:pPr>
      <w:r>
        <w:rPr>
          <w:rFonts w:ascii="Arial" w:cs="Arial" w:eastAsia="Arial" w:hAnsi="Arial"/>
          <w:sz w:val="18"/>
          <w:szCs w:val="18"/>
          <w:color w:val="auto"/>
        </w:rPr>
        <w:t>Date:</w:t>
        <w:tab/>
        <w:t>November 5, 2014</w:t>
      </w:r>
      <w:r>
        <w:rPr>
          <w:sz w:val="20"/>
          <w:szCs w:val="20"/>
          <w:color w:val="auto"/>
        </w:rPr>
        <w:tab/>
      </w:r>
      <w:r>
        <w:rPr>
          <w:rFonts w:ascii="Arial" w:cs="Arial" w:eastAsia="Arial" w:hAnsi="Arial"/>
          <w:sz w:val="16"/>
          <w:szCs w:val="16"/>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Senior Vice President, Finance and Interim Co-Chief Financial Officer</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tabs>
          <w:tab w:leader="none" w:pos="540" w:val="left"/>
          <w:tab w:leader="none" w:pos="6120" w:val="left"/>
        </w:tabs>
        <w:rPr>
          <w:sz w:val="20"/>
          <w:szCs w:val="20"/>
          <w:color w:val="auto"/>
        </w:rPr>
      </w:pPr>
      <w:r>
        <w:rPr>
          <w:rFonts w:ascii="Arial" w:cs="Arial" w:eastAsia="Arial" w:hAnsi="Arial"/>
          <w:sz w:val="18"/>
          <w:szCs w:val="18"/>
          <w:color w:val="auto"/>
        </w:rPr>
        <w:t>Date:</w:t>
        <w:tab/>
        <w:t>November 5, 2014</w:t>
      </w:r>
      <w:r>
        <w:rPr>
          <w:sz w:val="20"/>
          <w:szCs w:val="20"/>
          <w:color w:val="auto"/>
        </w:rPr>
        <w:tab/>
      </w:r>
      <w:r>
        <w:rPr>
          <w:rFonts w:ascii="Arial" w:cs="Arial" w:eastAsia="Arial" w:hAnsi="Arial"/>
          <w:sz w:val="16"/>
          <w:szCs w:val="16"/>
          <w:color w:val="auto"/>
        </w:rPr>
        <w:t>/s/ 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T. Cabot</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Senior Vice President, Controller and Interim Co-Chief Financial</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Officer (Principal Accounting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459"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225"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760" w:firstLine="1"/>
        <w:spacing w:after="0" w:line="308" w:lineRule="auto"/>
        <w:tabs>
          <w:tab w:leader="none" w:pos="11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40" w:firstLine="1"/>
        <w:spacing w:after="0" w:line="277" w:lineRule="auto"/>
        <w:tabs>
          <w:tab w:leader="none" w:pos="11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760" w:firstLine="1"/>
        <w:spacing w:after="0" w:line="308" w:lineRule="auto"/>
        <w:tabs>
          <w:tab w:leader="none" w:pos="116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40" w:firstLine="1"/>
        <w:spacing w:after="0" w:line="277" w:lineRule="auto"/>
        <w:tabs>
          <w:tab w:leader="none" w:pos="11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25, 2014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47" w:lineRule="exact"/>
        <w:rPr>
          <w:sz w:val="20"/>
          <w:szCs w:val="20"/>
          <w:color w:val="auto"/>
        </w:rPr>
      </w:pPr>
    </w:p>
    <w:p>
      <w:pPr>
        <w:ind w:left="1100" w:hanging="179"/>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100" w:hanging="179"/>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September 25, 2014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1100" w:hanging="179"/>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100" w:hanging="179"/>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2014</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8"/>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4"/>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9"/>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2019-12-08T02:26:50Z</dcterms:created>
  <dcterms:modified xsi:type="dcterms:W3CDTF">2019-12-08T02:26:50Z</dcterms:modified>
</cp:coreProperties>
</file>