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National CineMedia,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Kara Bingham Regan</w:t>
              <w:br/>
              <w:t xml:space="preserve">125 Park Avenue, Floor 25, Suite 2507, </w:t>
              <w:br/>
              <w:t>New York, NY, 10017</w:t>
              <w:br/>
              <w:t>(332) 266-2138</w:t>
            </w:r>
          </w:p>
          <w:p>
            <w:pPr>
              <w:pStyle w:val="TableContents"/>
              <w:bidi w:val="0"/>
              <w:jc w:val="left"/>
              <w:rPr/>
            </w:pPr>
            <w:r>
              <w:rPr/>
            </w:r>
          </w:p>
          <w:p>
            <w:pPr>
              <w:pStyle w:val="TableContents"/>
              <w:bidi w:val="0"/>
              <w:spacing w:before="0" w:after="0"/>
              <w:jc w:val="center"/>
              <w:rPr>
                <w:b/>
                <w:color w:val="0000FF"/>
              </w:rPr>
            </w:pPr>
            <w:r>
              <w:rPr>
                <w:b/>
                <w:color w:val="0000FF"/>
              </w:rPr>
              <w:t>Frank G. Zarb</w:t>
              <w:br/>
              <w:t>Proskauer Rose, LLP, 1001 Pennsylvania Ave. NW, Suite 600 S</w:t>
              <w:br/>
              <w:t>Washington, DC, 20004</w:t>
              <w:br/>
              <w:t>(202) 416-6800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04/02/2026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Blantyre Capital II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ARAB EMIRATES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27,141,507.00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27,141,507.00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27,141,507.00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28.9 %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099"/>
        <w:gridCol w:w="9106"/>
      </w:tblGrid>
      <w:tr>
        <w:trPr/>
        <w:tc>
          <w:tcPr>
            <w:tcW w:w="1099" w:type="dxa"/>
            <w:tcBorders/>
            <w:vAlign w:val="center"/>
          </w:tcPr>
          <w:p>
            <w:pPr>
              <w:pStyle w:val="TableContents"/>
              <w:bidi w:val="0"/>
              <w:spacing w:before="0" w:after="283"/>
              <w:jc w:val="left"/>
              <w:rPr/>
            </w:pPr>
            <w:r>
              <w:rPr/>
              <w:t>Item 1.</w:t>
            </w:r>
          </w:p>
        </w:tc>
        <w:tc>
          <w:tcPr>
            <w:tcW w:w="9106" w:type="dxa"/>
            <w:tcBorders/>
            <w:vAlign w:val="center"/>
          </w:tcPr>
          <w:p>
            <w:pPr>
              <w:pStyle w:val="TableContents"/>
              <w:bidi w:val="0"/>
              <w:spacing w:before="0" w:after="283"/>
              <w:jc w:val="left"/>
              <w:rPr/>
            </w:pPr>
            <w:r>
              <w:rPr/>
              <w:t>Security and Issuer</w:t>
            </w:r>
          </w:p>
        </w:tc>
      </w:tr>
      <w:tr>
        <w:trPr/>
        <w:tc>
          <w:tcPr>
            <w:tcW w:w="1099" w:type="dxa"/>
            <w:tcBorders/>
            <w:vAlign w:val="center"/>
          </w:tcPr>
          <w:p>
            <w:pPr>
              <w:pStyle w:val="TableContents"/>
              <w:bidi w:val="0"/>
              <w:spacing w:before="0" w:after="283"/>
              <w:jc w:val="left"/>
              <w:rPr/>
            </w:pPr>
            <w:r>
              <w:rPr/>
              <w:t>(a)</w:t>
            </w:r>
          </w:p>
        </w:tc>
        <w:tc>
          <w:tcPr>
            <w:tcW w:w="910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r>
      <w:tr>
        <w:trPr/>
        <w:tc>
          <w:tcPr>
            <w:tcW w:w="1099" w:type="dxa"/>
            <w:tcBorders/>
            <w:vAlign w:val="center"/>
          </w:tcPr>
          <w:p>
            <w:pPr>
              <w:pStyle w:val="TableContents"/>
              <w:bidi w:val="0"/>
              <w:spacing w:before="0" w:after="283"/>
              <w:jc w:val="left"/>
              <w:rPr/>
            </w:pPr>
            <w:r>
              <w:rPr/>
              <w:t>(b)</w:t>
            </w:r>
          </w:p>
        </w:tc>
        <w:tc>
          <w:tcPr>
            <w:tcW w:w="9106" w:type="dxa"/>
            <w:tcBorders/>
            <w:vAlign w:val="center"/>
          </w:tcPr>
          <w:p>
            <w:pPr>
              <w:pStyle w:val="TableContents"/>
              <w:bidi w:val="0"/>
              <w:jc w:val="left"/>
              <w:rPr/>
            </w:pPr>
            <w:r>
              <w:rPr/>
              <w:t xml:space="preserve">Name of Issuer: </w:t>
            </w:r>
          </w:p>
          <w:p>
            <w:pPr>
              <w:pStyle w:val="TableContents"/>
              <w:bidi w:val="0"/>
              <w:spacing w:before="0" w:after="0"/>
              <w:jc w:val="left"/>
              <w:rPr/>
            </w:pPr>
            <w:r>
              <w:rPr/>
              <w:t>National CineMedia, Inc.</w:t>
            </w:r>
          </w:p>
        </w:tc>
      </w:tr>
      <w:tr>
        <w:trPr/>
        <w:tc>
          <w:tcPr>
            <w:tcW w:w="1099" w:type="dxa"/>
            <w:tcBorders/>
            <w:vAlign w:val="center"/>
          </w:tcPr>
          <w:p>
            <w:pPr>
              <w:pStyle w:val="TableContents"/>
              <w:bidi w:val="0"/>
              <w:spacing w:before="0" w:after="283"/>
              <w:jc w:val="left"/>
              <w:rPr/>
            </w:pPr>
            <w:r>
              <w:rPr/>
              <w:t>(c)</w:t>
            </w:r>
          </w:p>
        </w:tc>
        <w:tc>
          <w:tcPr>
            <w:tcW w:w="910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6300 S. Syracuse Way, Suite 300, Centennial, COLORADO , 80111.</w:t>
            </w:r>
          </w:p>
        </w:tc>
      </w:tr>
      <w:tr>
        <w:trPr/>
        <w:tc>
          <w:tcPr>
            <w:tcW w:w="1099" w:type="dxa"/>
            <w:tcBorders/>
            <w:vAlign w:val="center"/>
          </w:tcPr>
          <w:p>
            <w:pPr>
              <w:pStyle w:val="TableContents"/>
              <w:bidi w:val="0"/>
              <w:spacing w:before="0" w:after="283"/>
              <w:jc w:val="left"/>
              <w:rPr/>
            </w:pPr>
            <w:r>
              <w:rPr/>
              <w:t>Item 2.</w:t>
            </w:r>
          </w:p>
        </w:tc>
        <w:tc>
          <w:tcPr>
            <w:tcW w:w="9106" w:type="dxa"/>
            <w:tcBorders/>
            <w:vAlign w:val="center"/>
          </w:tcPr>
          <w:p>
            <w:pPr>
              <w:pStyle w:val="TableContents"/>
              <w:bidi w:val="0"/>
              <w:spacing w:before="0" w:after="283"/>
              <w:jc w:val="left"/>
              <w:rPr/>
            </w:pPr>
            <w:r>
              <w:rPr/>
              <w:t>Identity and Background</w:t>
            </w:r>
          </w:p>
        </w:tc>
      </w:tr>
      <w:tr>
        <w:trPr/>
        <w:tc>
          <w:tcPr>
            <w:tcW w:w="1099" w:type="dxa"/>
            <w:tcBorders/>
            <w:vAlign w:val="center"/>
          </w:tcPr>
          <w:p>
            <w:pPr>
              <w:pStyle w:val="TableContents"/>
              <w:bidi w:val="0"/>
              <w:spacing w:before="0" w:after="283"/>
              <w:jc w:val="left"/>
              <w:rPr/>
            </w:pPr>
            <w:r>
              <w:rPr/>
              <w:t>(a)</w:t>
            </w:r>
          </w:p>
        </w:tc>
        <w:tc>
          <w:tcPr>
            <w:tcW w:w="9106" w:type="dxa"/>
            <w:tcBorders/>
            <w:vAlign w:val="center"/>
          </w:tcPr>
          <w:p>
            <w:pPr>
              <w:pStyle w:val="TableContents"/>
              <w:bidi w:val="0"/>
              <w:spacing w:before="0" w:after="0"/>
              <w:jc w:val="left"/>
              <w:rPr/>
            </w:pPr>
            <w:r>
              <w:rPr/>
              <w:t>The name of the entity filing this Schedule 13D is Blantyre Capital II Limited (the "Reporting Person"). This Schedule 13D relates to shares of Common Stock, par value $0.01 per share (the "Common Stock") of National CineMedia, Inc. (the "Issuer"). On April 2, 2026 and April 9, 2026, the Reporting Person was appointed as a sub-adviser to certain of the Reporting Persons listed on the Schedule 13D filed by Blantyre Capital Ltd. on August 16, 2023, as amended by Amendment No. 1 thereto filed on November 20, 2024, Amendment No. 2 thereto filed on March 12, 2025, and Amendment No. 3 thereto filed on September 29, 2025 (as amended, the "Blantyre 13D"). As such, the Reporting Person may be deemed to share beneficial ownership of the shares reported on the Blantyre 13D.</w:t>
            </w:r>
          </w:p>
        </w:tc>
      </w:tr>
      <w:tr>
        <w:trPr/>
        <w:tc>
          <w:tcPr>
            <w:tcW w:w="1099" w:type="dxa"/>
            <w:tcBorders/>
            <w:vAlign w:val="center"/>
          </w:tcPr>
          <w:p>
            <w:pPr>
              <w:pStyle w:val="TableContents"/>
              <w:bidi w:val="0"/>
              <w:spacing w:before="0" w:after="283"/>
              <w:jc w:val="left"/>
              <w:rPr/>
            </w:pPr>
            <w:r>
              <w:rPr/>
              <w:t>(b)</w:t>
            </w:r>
          </w:p>
        </w:tc>
        <w:tc>
          <w:tcPr>
            <w:tcW w:w="9106" w:type="dxa"/>
            <w:tcBorders/>
            <w:vAlign w:val="center"/>
          </w:tcPr>
          <w:p>
            <w:pPr>
              <w:pStyle w:val="TableContents"/>
              <w:bidi w:val="0"/>
              <w:spacing w:before="0" w:after="0"/>
              <w:jc w:val="left"/>
              <w:rPr/>
            </w:pPr>
            <w:r>
              <w:rPr/>
              <w:t>The address of the principal business office of the Reporting Person is External Office 113 / Office 2201, Floor 22, Sky Tower, Shams Abu Dhabi, Al Reem Island, Abu Dhabi, United Arab Emirates.</w:t>
            </w:r>
          </w:p>
        </w:tc>
      </w:tr>
      <w:tr>
        <w:trPr/>
        <w:tc>
          <w:tcPr>
            <w:tcW w:w="1099" w:type="dxa"/>
            <w:tcBorders/>
            <w:vAlign w:val="center"/>
          </w:tcPr>
          <w:p>
            <w:pPr>
              <w:pStyle w:val="TableContents"/>
              <w:bidi w:val="0"/>
              <w:spacing w:before="0" w:after="283"/>
              <w:jc w:val="left"/>
              <w:rPr/>
            </w:pPr>
            <w:r>
              <w:rPr/>
              <w:t>(c)</w:t>
            </w:r>
          </w:p>
        </w:tc>
        <w:tc>
          <w:tcPr>
            <w:tcW w:w="9106" w:type="dxa"/>
            <w:tcBorders/>
            <w:vAlign w:val="center"/>
          </w:tcPr>
          <w:p>
            <w:pPr>
              <w:pStyle w:val="TableContents"/>
              <w:bidi w:val="0"/>
              <w:spacing w:before="0" w:after="0"/>
              <w:jc w:val="left"/>
              <w:rPr/>
            </w:pPr>
            <w:r>
              <w:rPr/>
              <w:t>The principal business of the Reporting Person is managing assets of private funds in connection with purchasing, holding and selling securities for investment purposes.</w:t>
            </w:r>
          </w:p>
        </w:tc>
      </w:tr>
      <w:tr>
        <w:trPr/>
        <w:tc>
          <w:tcPr>
            <w:tcW w:w="1099" w:type="dxa"/>
            <w:tcBorders/>
            <w:vAlign w:val="center"/>
          </w:tcPr>
          <w:p>
            <w:pPr>
              <w:pStyle w:val="TableContents"/>
              <w:bidi w:val="0"/>
              <w:spacing w:before="0" w:after="283"/>
              <w:jc w:val="left"/>
              <w:rPr/>
            </w:pPr>
            <w:r>
              <w:rPr/>
              <w:t>(d)</w:t>
            </w:r>
          </w:p>
        </w:tc>
        <w:tc>
          <w:tcPr>
            <w:tcW w:w="9106" w:type="dxa"/>
            <w:tcBorders/>
            <w:vAlign w:val="center"/>
          </w:tcPr>
          <w:p>
            <w:pPr>
              <w:pStyle w:val="TableContents"/>
              <w:bidi w:val="0"/>
              <w:spacing w:before="0" w:after="0"/>
              <w:jc w:val="left"/>
              <w:rPr/>
            </w:pPr>
            <w:r>
              <w:rPr/>
              <w:t>During the last five years, neither the Reporting Person nor, to the Reporting Person's knowledge, any of the persons listed on Schedule A to this Schedule 13D has been convicted in a criminal proceeding (excluding traffic violations or similar misdemeanors).</w:t>
            </w:r>
          </w:p>
        </w:tc>
      </w:tr>
      <w:tr>
        <w:trPr/>
        <w:tc>
          <w:tcPr>
            <w:tcW w:w="1099" w:type="dxa"/>
            <w:tcBorders/>
            <w:vAlign w:val="center"/>
          </w:tcPr>
          <w:p>
            <w:pPr>
              <w:pStyle w:val="TableContents"/>
              <w:bidi w:val="0"/>
              <w:spacing w:before="0" w:after="283"/>
              <w:jc w:val="left"/>
              <w:rPr/>
            </w:pPr>
            <w:r>
              <w:rPr/>
              <w:t>(e)</w:t>
            </w:r>
          </w:p>
        </w:tc>
        <w:tc>
          <w:tcPr>
            <w:tcW w:w="9106" w:type="dxa"/>
            <w:tcBorders/>
            <w:vAlign w:val="center"/>
          </w:tcPr>
          <w:p>
            <w:pPr>
              <w:pStyle w:val="TableContents"/>
              <w:bidi w:val="0"/>
              <w:spacing w:before="0" w:after="0"/>
              <w:jc w:val="left"/>
              <w:rPr/>
            </w:pPr>
            <w:r>
              <w:rPr/>
              <w:t>During the last five years, neither the Reporting Person nor, to the Reporting Person's knowledge, any of the persons listed on Schedule A to this Schedule 13D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099" w:type="dxa"/>
            <w:tcBorders/>
            <w:vAlign w:val="center"/>
          </w:tcPr>
          <w:p>
            <w:pPr>
              <w:pStyle w:val="TableContents"/>
              <w:bidi w:val="0"/>
              <w:spacing w:before="0" w:after="283"/>
              <w:jc w:val="left"/>
              <w:rPr/>
            </w:pPr>
            <w:r>
              <w:rPr/>
              <w:t>(f)</w:t>
            </w:r>
          </w:p>
        </w:tc>
        <w:tc>
          <w:tcPr>
            <w:tcW w:w="9106" w:type="dxa"/>
            <w:tcBorders/>
            <w:vAlign w:val="center"/>
          </w:tcPr>
          <w:p>
            <w:pPr>
              <w:pStyle w:val="TableContents"/>
              <w:bidi w:val="0"/>
              <w:spacing w:before="0" w:after="0"/>
              <w:jc w:val="left"/>
              <w:rPr/>
            </w:pPr>
            <w:r>
              <w:rPr/>
              <w:t>The Reporting Person is a company incorporated under the laws of the Abu Dhabi Global Market.</w:t>
            </w:r>
          </w:p>
        </w:tc>
      </w:tr>
      <w:tr>
        <w:trPr/>
        <w:tc>
          <w:tcPr>
            <w:tcW w:w="1099" w:type="dxa"/>
            <w:tcBorders/>
            <w:vAlign w:val="center"/>
          </w:tcPr>
          <w:p>
            <w:pPr>
              <w:pStyle w:val="TableContents"/>
              <w:bidi w:val="0"/>
              <w:spacing w:before="0" w:after="283"/>
              <w:jc w:val="left"/>
              <w:rPr/>
            </w:pPr>
            <w:r>
              <w:rPr/>
              <w:t>Item 3.</w:t>
            </w:r>
          </w:p>
        </w:tc>
        <w:tc>
          <w:tcPr>
            <w:tcW w:w="9106" w:type="dxa"/>
            <w:tcBorders/>
            <w:vAlign w:val="center"/>
          </w:tcPr>
          <w:p>
            <w:pPr>
              <w:pStyle w:val="TableContents"/>
              <w:bidi w:val="0"/>
              <w:spacing w:before="0" w:after="283"/>
              <w:jc w:val="left"/>
              <w:rPr/>
            </w:pPr>
            <w:r>
              <w:rPr/>
              <w:t>Source and Amount of Funds or Other Consideration</w:t>
            </w:r>
          </w:p>
        </w:tc>
      </w:tr>
      <w:tr>
        <w:trPr/>
        <w:tc>
          <w:tcPr>
            <w:tcW w:w="1099" w:type="dxa"/>
            <w:tcBorders/>
            <w:vAlign w:val="center"/>
          </w:tcPr>
          <w:p>
            <w:pPr>
              <w:pStyle w:val="TableContents"/>
              <w:bidi w:val="0"/>
              <w:spacing w:before="0" w:after="283"/>
              <w:jc w:val="left"/>
              <w:rPr/>
            </w:pPr>
            <w:r>
              <w:rPr/>
              <w:t> </w:t>
            </w:r>
          </w:p>
        </w:tc>
        <w:tc>
          <w:tcPr>
            <w:tcW w:w="9106" w:type="dxa"/>
            <w:tcBorders/>
            <w:vAlign w:val="center"/>
          </w:tcPr>
          <w:p>
            <w:pPr>
              <w:pStyle w:val="TableContents"/>
              <w:bidi w:val="0"/>
              <w:spacing w:before="0" w:after="0"/>
              <w:jc w:val="left"/>
              <w:rPr/>
            </w:pPr>
            <w:r>
              <w:rPr/>
              <w:t>The information set forth in Item 3 of the Blantyre 13D is incorporated herein by reference. The Reporting Person is a sub-adviser of certain of the Reporting Persons listed on the Blantyre 13D.</w:t>
            </w:r>
          </w:p>
        </w:tc>
      </w:tr>
      <w:tr>
        <w:trPr/>
        <w:tc>
          <w:tcPr>
            <w:tcW w:w="1099" w:type="dxa"/>
            <w:tcBorders/>
            <w:vAlign w:val="center"/>
          </w:tcPr>
          <w:p>
            <w:pPr>
              <w:pStyle w:val="TableContents"/>
              <w:bidi w:val="0"/>
              <w:spacing w:before="0" w:after="283"/>
              <w:jc w:val="left"/>
              <w:rPr/>
            </w:pPr>
            <w:r>
              <w:rPr/>
              <w:t>Item 4.</w:t>
            </w:r>
          </w:p>
        </w:tc>
        <w:tc>
          <w:tcPr>
            <w:tcW w:w="9106" w:type="dxa"/>
            <w:tcBorders/>
            <w:vAlign w:val="center"/>
          </w:tcPr>
          <w:p>
            <w:pPr>
              <w:pStyle w:val="TableContents"/>
              <w:bidi w:val="0"/>
              <w:spacing w:before="0" w:after="283"/>
              <w:jc w:val="left"/>
              <w:rPr/>
            </w:pPr>
            <w:r>
              <w:rPr/>
              <w:t>Purpose of Transaction</w:t>
            </w:r>
          </w:p>
        </w:tc>
      </w:tr>
      <w:tr>
        <w:trPr/>
        <w:tc>
          <w:tcPr>
            <w:tcW w:w="1099" w:type="dxa"/>
            <w:tcBorders/>
            <w:vAlign w:val="center"/>
          </w:tcPr>
          <w:p>
            <w:pPr>
              <w:pStyle w:val="TableContents"/>
              <w:bidi w:val="0"/>
              <w:spacing w:before="0" w:after="283"/>
              <w:jc w:val="left"/>
              <w:rPr/>
            </w:pPr>
            <w:r>
              <w:rPr/>
              <w:t> </w:t>
            </w:r>
          </w:p>
        </w:tc>
        <w:tc>
          <w:tcPr>
            <w:tcW w:w="9106" w:type="dxa"/>
            <w:tcBorders/>
            <w:vAlign w:val="center"/>
          </w:tcPr>
          <w:p>
            <w:pPr>
              <w:pStyle w:val="TableContents"/>
              <w:bidi w:val="0"/>
              <w:spacing w:before="0" w:after="0"/>
              <w:jc w:val="left"/>
              <w:rPr/>
            </w:pPr>
            <w:r>
              <w:rPr/>
              <w:t>The information set forth in Item 4 of the Blantyre 13D is incorporated herein by reference. On May 7, 2026, the Board of Directors of the Issuer (the "Board") elected Mark Sardi as a member of the Board. Mr. Sardi was appointed in accordance with the Director DesignationAgreement, dated August 7, 2023 (the "Designation Agreement"), by and among the Issuer, the Consenting Creditor Designation Committee (as defined in the Designation Agreement), and Blantyre Capital Limited, as previously described in the Blantyre 13D.</w:t>
            </w:r>
          </w:p>
        </w:tc>
      </w:tr>
      <w:tr>
        <w:trPr/>
        <w:tc>
          <w:tcPr>
            <w:tcW w:w="1099" w:type="dxa"/>
            <w:tcBorders/>
            <w:vAlign w:val="center"/>
          </w:tcPr>
          <w:p>
            <w:pPr>
              <w:pStyle w:val="TableContents"/>
              <w:bidi w:val="0"/>
              <w:spacing w:before="0" w:after="283"/>
              <w:jc w:val="left"/>
              <w:rPr/>
            </w:pPr>
            <w:r>
              <w:rPr/>
              <w:t>Item 5.</w:t>
            </w:r>
          </w:p>
        </w:tc>
        <w:tc>
          <w:tcPr>
            <w:tcW w:w="9106" w:type="dxa"/>
            <w:tcBorders/>
            <w:vAlign w:val="center"/>
          </w:tcPr>
          <w:p>
            <w:pPr>
              <w:pStyle w:val="TableContents"/>
              <w:bidi w:val="0"/>
              <w:spacing w:before="0" w:after="283"/>
              <w:jc w:val="left"/>
              <w:rPr/>
            </w:pPr>
            <w:r>
              <w:rPr/>
              <w:t>Interest in Securities of the Issuer</w:t>
            </w:r>
          </w:p>
        </w:tc>
      </w:tr>
      <w:tr>
        <w:trPr/>
        <w:tc>
          <w:tcPr>
            <w:tcW w:w="1099" w:type="dxa"/>
            <w:tcBorders/>
            <w:vAlign w:val="center"/>
          </w:tcPr>
          <w:p>
            <w:pPr>
              <w:pStyle w:val="TableContents"/>
              <w:bidi w:val="0"/>
              <w:spacing w:before="0" w:after="283"/>
              <w:jc w:val="left"/>
              <w:rPr/>
            </w:pPr>
            <w:r>
              <w:rPr/>
              <w:t>(a)</w:t>
            </w:r>
          </w:p>
        </w:tc>
        <w:tc>
          <w:tcPr>
            <w:tcW w:w="9106" w:type="dxa"/>
            <w:tcBorders/>
            <w:vAlign w:val="center"/>
          </w:tcPr>
          <w:p>
            <w:pPr>
              <w:pStyle w:val="TableContents"/>
              <w:bidi w:val="0"/>
              <w:spacing w:before="0" w:after="0"/>
              <w:jc w:val="left"/>
              <w:rPr/>
            </w:pPr>
            <w:r>
              <w:rPr/>
              <w:t>The Reporting Person beneficially owns an aggregate of 27,141,507 shares of the Issuer's Common Stock which constitutes 28.9% of the class outstanding. The percentage set forth herein is based on an aggregate of 94,070,443 shares of Common Stock outstanding as of August 6, 2026, as disclosed by the Issuer in its Quarterly Report on Form 10-Q filed with the Securities and Exchange Commission on August 11, 2026. In Amendment No. 3 to the Blantyre 13D, the Reporting Persons disclosed beneficial ownership of 27,144,639 shares of Common Stock. A transaction executed in 2023 settled in Q3 2026, which has resulted in the Reporting Persons on the Blantyre 13D, and the Reporting Person, beneficially owning 27,141,507 shares of Common Stock. The change in the number of shares being reported resulted from automatic calculation adjustments upon settlement in Q3 2026 of the 2023 transaction, and did not result from a transaction in the Issuer's securities during Q3 2026.</w:t>
            </w:r>
          </w:p>
        </w:tc>
      </w:tr>
      <w:tr>
        <w:trPr/>
        <w:tc>
          <w:tcPr>
            <w:tcW w:w="1099" w:type="dxa"/>
            <w:tcBorders/>
            <w:vAlign w:val="center"/>
          </w:tcPr>
          <w:p>
            <w:pPr>
              <w:pStyle w:val="TableContents"/>
              <w:bidi w:val="0"/>
              <w:spacing w:before="0" w:after="283"/>
              <w:jc w:val="left"/>
              <w:rPr/>
            </w:pPr>
            <w:r>
              <w:rPr/>
              <w:t>(b)</w:t>
            </w:r>
          </w:p>
        </w:tc>
        <w:tc>
          <w:tcPr>
            <w:tcW w:w="9106" w:type="dxa"/>
            <w:tcBorders/>
            <w:vAlign w:val="center"/>
          </w:tcPr>
          <w:p>
            <w:pPr>
              <w:pStyle w:val="TableContents"/>
              <w:bidi w:val="0"/>
              <w:spacing w:before="0" w:after="0"/>
              <w:jc w:val="left"/>
              <w:rPr/>
            </w:pPr>
            <w:r>
              <w:rPr/>
              <w:t>The information set forth in rows 7 through 10 of the cover page to this Schedule 13D is incorporated by reference.</w:t>
            </w:r>
          </w:p>
        </w:tc>
      </w:tr>
      <w:tr>
        <w:trPr/>
        <w:tc>
          <w:tcPr>
            <w:tcW w:w="1099" w:type="dxa"/>
            <w:tcBorders/>
            <w:vAlign w:val="center"/>
          </w:tcPr>
          <w:p>
            <w:pPr>
              <w:pStyle w:val="TableContents"/>
              <w:bidi w:val="0"/>
              <w:spacing w:before="0" w:after="283"/>
              <w:jc w:val="left"/>
              <w:rPr/>
            </w:pPr>
            <w:r>
              <w:rPr/>
              <w:t>(c)</w:t>
            </w:r>
          </w:p>
        </w:tc>
        <w:tc>
          <w:tcPr>
            <w:tcW w:w="9106" w:type="dxa"/>
            <w:tcBorders/>
            <w:vAlign w:val="center"/>
          </w:tcPr>
          <w:p>
            <w:pPr>
              <w:pStyle w:val="TableContents"/>
              <w:bidi w:val="0"/>
              <w:spacing w:before="0" w:after="0"/>
              <w:jc w:val="left"/>
              <w:rPr/>
            </w:pPr>
            <w:r>
              <w:rPr/>
              <w:t>The information set forth in Item 5(a) is incorporated herein by reference. The Reporting Person has not engaged in any transactions involving Common Stock during the past sixty days.</w:t>
            </w:r>
          </w:p>
        </w:tc>
      </w:tr>
      <w:tr>
        <w:trPr/>
        <w:tc>
          <w:tcPr>
            <w:tcW w:w="1099" w:type="dxa"/>
            <w:tcBorders/>
            <w:vAlign w:val="center"/>
          </w:tcPr>
          <w:p>
            <w:pPr>
              <w:pStyle w:val="TableContents"/>
              <w:bidi w:val="0"/>
              <w:spacing w:before="0" w:after="283"/>
              <w:jc w:val="left"/>
              <w:rPr/>
            </w:pPr>
            <w:r>
              <w:rPr/>
              <w:t>(d)</w:t>
            </w:r>
          </w:p>
        </w:tc>
        <w:tc>
          <w:tcPr>
            <w:tcW w:w="9106" w:type="dxa"/>
            <w:tcBorders/>
            <w:vAlign w:val="center"/>
          </w:tcPr>
          <w:p>
            <w:pPr>
              <w:pStyle w:val="TableContents"/>
              <w:bidi w:val="0"/>
              <w:spacing w:before="0" w:after="0"/>
              <w:jc w:val="left"/>
              <w:rPr/>
            </w:pPr>
            <w:r>
              <w:rPr/>
              <w:t>Not applicable.</w:t>
            </w:r>
          </w:p>
        </w:tc>
      </w:tr>
      <w:tr>
        <w:trPr/>
        <w:tc>
          <w:tcPr>
            <w:tcW w:w="1099" w:type="dxa"/>
            <w:tcBorders/>
            <w:vAlign w:val="center"/>
          </w:tcPr>
          <w:p>
            <w:pPr>
              <w:pStyle w:val="TableContents"/>
              <w:bidi w:val="0"/>
              <w:spacing w:before="0" w:after="283"/>
              <w:jc w:val="left"/>
              <w:rPr/>
            </w:pPr>
            <w:r>
              <w:rPr/>
              <w:t>(e)</w:t>
            </w:r>
          </w:p>
        </w:tc>
        <w:tc>
          <w:tcPr>
            <w:tcW w:w="9106" w:type="dxa"/>
            <w:tcBorders/>
            <w:vAlign w:val="center"/>
          </w:tcPr>
          <w:p>
            <w:pPr>
              <w:pStyle w:val="TableContents"/>
              <w:bidi w:val="0"/>
              <w:spacing w:before="0" w:after="0"/>
              <w:jc w:val="left"/>
              <w:rPr/>
            </w:pPr>
            <w:r>
              <w:rPr/>
              <w:t>Not applicable.</w:t>
            </w:r>
          </w:p>
        </w:tc>
      </w:tr>
      <w:tr>
        <w:trPr/>
        <w:tc>
          <w:tcPr>
            <w:tcW w:w="1099" w:type="dxa"/>
            <w:tcBorders/>
            <w:vAlign w:val="center"/>
          </w:tcPr>
          <w:p>
            <w:pPr>
              <w:pStyle w:val="TableContents"/>
              <w:bidi w:val="0"/>
              <w:spacing w:before="0" w:after="283"/>
              <w:jc w:val="left"/>
              <w:rPr/>
            </w:pPr>
            <w:r>
              <w:rPr/>
              <w:t>Item 6.</w:t>
            </w:r>
          </w:p>
        </w:tc>
        <w:tc>
          <w:tcPr>
            <w:tcW w:w="9106"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099" w:type="dxa"/>
            <w:tcBorders/>
            <w:vAlign w:val="center"/>
          </w:tcPr>
          <w:p>
            <w:pPr>
              <w:pStyle w:val="TableContents"/>
              <w:bidi w:val="0"/>
              <w:spacing w:before="0" w:after="283"/>
              <w:jc w:val="left"/>
              <w:rPr/>
            </w:pPr>
            <w:r>
              <w:rPr/>
              <w:t> </w:t>
            </w:r>
          </w:p>
        </w:tc>
        <w:tc>
          <w:tcPr>
            <w:tcW w:w="9106" w:type="dxa"/>
            <w:tcBorders/>
            <w:vAlign w:val="center"/>
          </w:tcPr>
          <w:p>
            <w:pPr>
              <w:pStyle w:val="TableContents"/>
              <w:bidi w:val="0"/>
              <w:spacing w:before="0" w:after="0"/>
              <w:jc w:val="left"/>
              <w:rPr/>
            </w:pPr>
            <w:r>
              <w:rPr/>
              <w:t>The information set forth in Item 6 of the Blantyre 13D is incorporated herein by reference.</w:t>
            </w:r>
          </w:p>
        </w:tc>
      </w:tr>
      <w:tr>
        <w:trPr/>
        <w:tc>
          <w:tcPr>
            <w:tcW w:w="1099" w:type="dxa"/>
            <w:tcBorders/>
            <w:vAlign w:val="center"/>
          </w:tcPr>
          <w:p>
            <w:pPr>
              <w:pStyle w:val="TableContents"/>
              <w:bidi w:val="0"/>
              <w:spacing w:before="0" w:after="283"/>
              <w:jc w:val="left"/>
              <w:rPr/>
            </w:pPr>
            <w:r>
              <w:rPr/>
              <w:t>Item 7.</w:t>
            </w:r>
          </w:p>
        </w:tc>
        <w:tc>
          <w:tcPr>
            <w:tcW w:w="9106" w:type="dxa"/>
            <w:tcBorders/>
            <w:vAlign w:val="center"/>
          </w:tcPr>
          <w:p>
            <w:pPr>
              <w:pStyle w:val="TableContents"/>
              <w:bidi w:val="0"/>
              <w:spacing w:before="0" w:after="283"/>
              <w:jc w:val="left"/>
              <w:rPr/>
            </w:pPr>
            <w:r>
              <w:rPr/>
              <w:t>Material to be Filed as Exhibits.</w:t>
            </w:r>
          </w:p>
        </w:tc>
      </w:tr>
      <w:tr>
        <w:trPr/>
        <w:tc>
          <w:tcPr>
            <w:tcW w:w="1099" w:type="dxa"/>
            <w:tcBorders/>
            <w:vAlign w:val="center"/>
          </w:tcPr>
          <w:p>
            <w:pPr>
              <w:pStyle w:val="TableContents"/>
              <w:bidi w:val="0"/>
              <w:spacing w:before="0" w:after="283"/>
              <w:jc w:val="left"/>
              <w:rPr/>
            </w:pPr>
            <w:r>
              <w:rPr/>
              <w:t> </w:t>
            </w:r>
          </w:p>
        </w:tc>
        <w:tc>
          <w:tcPr>
            <w:tcW w:w="9106" w:type="dxa"/>
            <w:tcBorders/>
            <w:vAlign w:val="center"/>
          </w:tcPr>
          <w:p>
            <w:pPr>
              <w:pStyle w:val="TableContents"/>
              <w:bidi w:val="0"/>
              <w:spacing w:before="0" w:after="0"/>
              <w:jc w:val="left"/>
              <w:rPr/>
            </w:pPr>
            <w:r>
              <w:rPr/>
              <w:t>The information set forth in Item 7 of the Blantyre 13D is incorporated herein by reference. Exhibit 99.1 - Schedule 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Blantyre Capital II Limited</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7"/>
        <w:gridCol w:w="4388"/>
      </w:tblGrid>
      <w:tr>
        <w:trPr/>
        <w:tc>
          <w:tcPr>
            <w:tcW w:w="58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Nicholas Blaise Tappin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Nicholas Blaise Tappin,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388"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14" w:name="ormp-ex99_1.htm"/>
      <w:bookmarkStart w:id="15" w:name="ksormpex99_1"/>
      <w:bookmarkEnd w:id="14"/>
      <w:bookmarkEnd w:id="15"/>
      <w:r>
        <w:rPr/>
        <w:t> </w:t>
      </w:r>
      <w:r>
        <w:br w:type="page"/>
      </w:r>
    </w:p>
    <w:p>
      <w:pPr>
        <w:pStyle w:val="TextBody"/>
        <w:bidi w:val="0"/>
        <w:jc w:val="center"/>
        <w:rPr>
          <w:rFonts w:ascii="Times New Roman" w:hAnsi="Times New Roman"/>
          <w:sz w:val="20"/>
        </w:rPr>
      </w:pPr>
      <w:r>
        <w:rPr>
          <w:rFonts w:ascii="Times New Roman" w:hAnsi="Times New Roman"/>
          <w:b/>
          <w:color w:val="000000"/>
          <w:sz w:val="20"/>
        </w:rPr>
        <w:t>SCHEDULE A</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BLANTYRE CAPITAL II LIMITED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351"/>
        <w:gridCol w:w="1934"/>
        <w:gridCol w:w="2105"/>
        <w:gridCol w:w="3523"/>
        <w:gridCol w:w="1292"/>
      </w:tblGrid>
      <w:tr>
        <w:trPr/>
        <w:tc>
          <w:tcPr>
            <w:tcW w:w="1351"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352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13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Name</w:t>
            </w:r>
            <w:r>
              <w:rPr>
                <w:rFonts w:ascii="Times New Roman" w:hAnsi="Times New Roman"/>
                <w:color w:val="000000"/>
                <w:sz w:val="20"/>
              </w:rPr>
              <w:t xml:space="preserve"> </w:t>
            </w:r>
          </w:p>
        </w:tc>
        <w:tc>
          <w:tcPr>
            <w:tcW w:w="193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Business Address</w:t>
            </w:r>
          </w:p>
        </w:tc>
        <w:tc>
          <w:tcPr>
            <w:tcW w:w="210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Occupation or Employment</w:t>
            </w:r>
          </w:p>
        </w:tc>
        <w:tc>
          <w:tcPr>
            <w:tcW w:w="352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and Description of Principal Business of Employer</w:t>
            </w:r>
          </w:p>
        </w:tc>
        <w:tc>
          <w:tcPr>
            <w:tcW w:w="1292"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Citizenship</w:t>
            </w:r>
          </w:p>
        </w:tc>
      </w:tr>
      <w:tr>
        <w:trPr/>
        <w:tc>
          <w:tcPr>
            <w:tcW w:w="13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Nicholas Blaise Tappin</w:t>
            </w:r>
          </w:p>
        </w:tc>
        <w:tc>
          <w:tcPr>
            <w:tcW w:w="1934"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External Office 113 / Office 2201</w:t>
            </w:r>
          </w:p>
          <w:p>
            <w:pPr>
              <w:pStyle w:val="TableContents"/>
              <w:bidi w:val="0"/>
              <w:jc w:val="center"/>
              <w:rPr>
                <w:rFonts w:ascii="Times New Roman" w:hAnsi="Times New Roman"/>
                <w:color w:val="000000"/>
                <w:sz w:val="20"/>
              </w:rPr>
            </w:pPr>
            <w:r>
              <w:rPr>
                <w:rFonts w:ascii="Times New Roman" w:hAnsi="Times New Roman"/>
                <w:color w:val="000000"/>
                <w:sz w:val="20"/>
              </w:rPr>
              <w:t>Floor 22, Sky Tower, Shams Abu Dhabi</w:t>
            </w:r>
          </w:p>
          <w:p>
            <w:pPr>
              <w:pStyle w:val="TableContents"/>
              <w:bidi w:val="0"/>
              <w:jc w:val="center"/>
              <w:rPr>
                <w:rFonts w:ascii="Times New Roman" w:hAnsi="Times New Roman"/>
                <w:color w:val="000000"/>
                <w:sz w:val="20"/>
              </w:rPr>
            </w:pPr>
            <w:r>
              <w:rPr>
                <w:rFonts w:ascii="Times New Roman" w:hAnsi="Times New Roman"/>
                <w:color w:val="000000"/>
                <w:sz w:val="20"/>
              </w:rPr>
              <w:t>Al Reem Island, Abu Dhabi</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Arab Emirates</w:t>
            </w:r>
          </w:p>
        </w:tc>
        <w:tc>
          <w:tcPr>
            <w:tcW w:w="210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352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2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Swiss and British</w:t>
            </w:r>
          </w:p>
        </w:tc>
      </w:tr>
      <w:tr>
        <w:trPr/>
        <w:tc>
          <w:tcPr>
            <w:tcW w:w="13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lineRule="auto" w:line="360" w:before="0" w:after="283"/>
              <w:jc w:val="center"/>
              <w:rPr>
                <w:rFonts w:ascii="Times New Roman" w:hAnsi="Times New Roman"/>
                <w:sz w:val="20"/>
              </w:rPr>
            </w:pPr>
            <w:r>
              <w:rPr>
                <w:rFonts w:ascii="Times New Roman" w:hAnsi="Times New Roman"/>
                <w:color w:val="000000"/>
                <w:sz w:val="20"/>
              </w:rPr>
              <w:t>Joseph Salegna</w:t>
            </w:r>
            <w:r>
              <w:rPr>
                <w:rFonts w:ascii="Times New Roman" w:hAnsi="Times New Roman"/>
                <w:color w:val="000000"/>
                <w:sz w:val="13"/>
              </w:rPr>
              <w:t>1</w:t>
            </w:r>
          </w:p>
        </w:tc>
        <w:tc>
          <w:tcPr>
            <w:tcW w:w="1934"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External Office 113 / Office 2201</w:t>
            </w:r>
          </w:p>
          <w:p>
            <w:pPr>
              <w:pStyle w:val="TableContents"/>
              <w:bidi w:val="0"/>
              <w:jc w:val="center"/>
              <w:rPr>
                <w:rFonts w:ascii="Times New Roman" w:hAnsi="Times New Roman"/>
                <w:color w:val="000000"/>
                <w:sz w:val="20"/>
              </w:rPr>
            </w:pPr>
            <w:r>
              <w:rPr>
                <w:rFonts w:ascii="Times New Roman" w:hAnsi="Times New Roman"/>
                <w:color w:val="000000"/>
                <w:sz w:val="20"/>
              </w:rPr>
              <w:t>Floor 22, Sky Tower, Shams Abu Dhabi</w:t>
            </w:r>
          </w:p>
          <w:p>
            <w:pPr>
              <w:pStyle w:val="TableContents"/>
              <w:bidi w:val="0"/>
              <w:jc w:val="center"/>
              <w:rPr>
                <w:rFonts w:ascii="Times New Roman" w:hAnsi="Times New Roman"/>
                <w:color w:val="000000"/>
                <w:sz w:val="20"/>
              </w:rPr>
            </w:pPr>
            <w:r>
              <w:rPr>
                <w:rFonts w:ascii="Times New Roman" w:hAnsi="Times New Roman"/>
                <w:color w:val="000000"/>
                <w:sz w:val="20"/>
              </w:rPr>
              <w:t>Al Reem Island, Abu Dhabi</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Arab Emirates</w:t>
            </w:r>
          </w:p>
        </w:tc>
        <w:tc>
          <w:tcPr>
            <w:tcW w:w="210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3523"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Blantyre Capital US LLC;</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Subsidiary of Blantyre Capital Limited and affiliate of Blantyre Capital II Limited</w:t>
            </w:r>
          </w:p>
        </w:tc>
        <w:tc>
          <w:tcPr>
            <w:tcW w:w="12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States</w:t>
            </w:r>
          </w:p>
        </w:tc>
      </w:tr>
    </w:tbl>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360" w:before="0" w:after="20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Mr. Salegna is an employee of Blantyre Capital US LLC, a subsidiary of Blantyre Capital Limited. He serves as Chief Financial Officer of Blantyre Capital Limited and Finance Officer (in addition to being a director) of Blantyre Capital II Limited.</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1306</Words>
  <Characters>6761</Characters>
  <CharactersWithSpaces>7984</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