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90170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109855</wp:posOffset>
            </wp:positionV>
            <wp:extent cx="1603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28, 2017</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42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102870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223520</wp:posOffset>
            </wp:positionV>
            <wp:extent cx="1732280"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150495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left="1319"/>
              <w:spacing w:after="0"/>
              <w:rPr>
                <w:sz w:val="20"/>
                <w:szCs w:val="20"/>
                <w:color w:val="auto"/>
              </w:rPr>
            </w:pPr>
            <w:r>
              <w:rPr>
                <w:rFonts w:ascii="Arial" w:cs="Arial" w:eastAsia="Arial" w:hAnsi="Arial"/>
                <w:sz w:val="18"/>
                <w:szCs w:val="18"/>
                <w:b w:val="1"/>
                <w:bCs w:val="1"/>
                <w:color w:val="auto"/>
                <w:w w:val="91"/>
              </w:rPr>
              <w:t>20-2632505</w:t>
            </w:r>
          </w:p>
        </w:tc>
      </w:tr>
      <w:tr>
        <w:trPr>
          <w:trHeight w:val="186"/>
        </w:trPr>
        <w:tc>
          <w:tcPr>
            <w:tcW w:w="5240" w:type="dxa"/>
            <w:vAlign w:val="bottom"/>
          </w:tcPr>
          <w:p>
            <w:pPr>
              <w:jc w:val="center"/>
              <w:ind w:right="1317"/>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00" w:type="dxa"/>
            <w:vAlign w:val="bottom"/>
          </w:tcPr>
          <w:p>
            <w:pPr>
              <w:jc w:val="center"/>
              <w:ind w:left="13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88"/>
              </w:rPr>
              <w:t>9110 East Nichols Avenue, Suite 200</w:t>
            </w:r>
          </w:p>
        </w:tc>
        <w:tc>
          <w:tcPr>
            <w:tcW w:w="3600" w:type="dxa"/>
            <w:vAlign w:val="bottom"/>
          </w:tcPr>
          <w:p>
            <w:pPr>
              <w:spacing w:after="0"/>
              <w:rPr>
                <w:sz w:val="24"/>
                <w:szCs w:val="24"/>
                <w:color w:val="auto"/>
              </w:rPr>
            </w:pPr>
          </w:p>
        </w:tc>
      </w:t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0"/>
              </w:rPr>
              <w:t>Centennial, Colorado</w:t>
            </w:r>
          </w:p>
        </w:tc>
        <w:tc>
          <w:tcPr>
            <w:tcW w:w="3600" w:type="dxa"/>
            <w:vAlign w:val="bottom"/>
          </w:tcPr>
          <w:p>
            <w:pPr>
              <w:jc w:val="center"/>
              <w:ind w:left="1339"/>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5240" w:type="dxa"/>
            <w:vAlign w:val="bottom"/>
          </w:tcPr>
          <w:p>
            <w:pPr>
              <w:jc w:val="center"/>
              <w:ind w:right="13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00" w:type="dxa"/>
            <w:vAlign w:val="bottom"/>
          </w:tcPr>
          <w:p>
            <w:pPr>
              <w:jc w:val="center"/>
              <w:ind w:left="1339"/>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102870</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spacing w:after="0"/>
              <w:rPr>
                <w:sz w:val="19"/>
                <w:szCs w:val="19"/>
                <w:color w:val="auto"/>
              </w:rPr>
            </w:pPr>
          </w:p>
        </w:tc>
        <w:tc>
          <w:tcPr>
            <w:tcW w:w="350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3500" w:type="dxa"/>
            <w:vAlign w:val="bottom"/>
          </w:tcPr>
          <w:p>
            <w:pPr>
              <w:ind w:left="106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3, 2017, the registrant had 154,069,410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445770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340" w:type="dxa"/>
            <w:vAlign w:val="bottom"/>
            <w:gridSpan w:val="10"/>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800" w:type="dxa"/>
            <w:vAlign w:val="bottom"/>
            <w:gridSpan w:val="3"/>
            <w:vMerge w:val="restart"/>
          </w:tcPr>
          <w:p>
            <w:pPr>
              <w:spacing w:after="0"/>
              <w:rPr>
                <w:sz w:val="24"/>
                <w:szCs w:val="2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EE"/>
            </w:tcBorders>
            <w:vMerge w:val="continue"/>
          </w:tcPr>
          <w:p>
            <w:pPr>
              <w:spacing w:after="0"/>
              <w:rPr>
                <w:sz w:val="14"/>
                <w:szCs w:val="14"/>
                <w:color w:val="auto"/>
              </w:rPr>
            </w:pPr>
          </w:p>
        </w:tc>
        <w:tc>
          <w:tcPr>
            <w:tcW w:w="4800" w:type="dxa"/>
            <w:vAlign w:val="bottom"/>
            <w:gridSpan w:val="3"/>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480" w:type="dxa"/>
            <w:vAlign w:val="bottom"/>
            <w:gridSpan w:val="14"/>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Balance Sheets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Statements of Income</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Statements of Cash Flows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Financial Statements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520" w:type="dxa"/>
            <w:vAlign w:val="bottom"/>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98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680" w:type="dxa"/>
            <w:vAlign w:val="bottom"/>
            <w:gridSpan w:val="7"/>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40" w:type="dxa"/>
            <w:vAlign w:val="bottom"/>
            <w:gridSpan w:val="6"/>
          </w:tcPr>
          <w:p>
            <w:pPr>
              <w:jc w:val="center"/>
              <w:ind w:right="4560"/>
              <w:spacing w:after="0"/>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PART II</w:t>
              </w:r>
            </w:hyperlink>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56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640" w:type="dxa"/>
            <w:vAlign w:val="bottom"/>
            <w:tcBorders>
              <w:top w:val="single" w:sz="8" w:color="0000EE"/>
            </w:tcBorders>
            <w:gridSpan w:val="3"/>
          </w:tcPr>
          <w:p>
            <w:pPr>
              <w:spacing w:after="0"/>
              <w:rPr>
                <w:sz w:val="24"/>
                <w:szCs w:val="24"/>
                <w:color w:val="auto"/>
              </w:rPr>
            </w:pPr>
          </w:p>
        </w:tc>
        <w:tc>
          <w:tcPr>
            <w:tcW w:w="4780" w:type="dxa"/>
            <w:vAlign w:val="bottom"/>
            <w:gridSpan w:val="2"/>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660" w:type="dxa"/>
            <w:vAlign w:val="bottom"/>
            <w:gridSpan w:val="15"/>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98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6"/>
          </w:tcPr>
          <w:p>
            <w:pPr>
              <w:spacing w:after="0"/>
              <w:rPr>
                <w:sz w:val="17"/>
                <w:szCs w:val="17"/>
                <w:color w:val="auto"/>
              </w:rPr>
            </w:pPr>
          </w:p>
        </w:tc>
        <w:tc>
          <w:tcPr>
            <w:tcW w:w="5640" w:type="dxa"/>
            <w:vAlign w:val="bottom"/>
            <w:gridSpan w:val="6"/>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98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8220" w:type="dxa"/>
            <w:vAlign w:val="bottom"/>
            <w:gridSpan w:val="13"/>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8680" w:type="dxa"/>
            <w:vAlign w:val="bottom"/>
            <w:gridSpan w:val="16"/>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28,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29,</w:t>
            </w: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Receivables, net of allowance of $6.0 and $6.3, respectively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Prepaid administrative fees to managing member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receivable - founding members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 of accumulated depreciation of $69.3 and $64.1,</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FF0FC"/>
          </w:tcPr>
          <w:p>
            <w:pPr>
              <w:spacing w:after="0"/>
              <w:rPr>
                <w:sz w:val="20"/>
                <w:szCs w:val="20"/>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Intangible assets, net of accumulated amortization of $138.8 and $118.9,</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732.6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20"/>
                <w:szCs w:val="20"/>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607.6</w:t>
            </w:r>
          </w:p>
        </w:tc>
        <w:tc>
          <w:tcPr>
            <w:tcW w:w="100" w:type="dxa"/>
            <w:vAlign w:val="bottom"/>
            <w:shd w:val="clear" w:color="auto" w:fill="CFF0FC"/>
          </w:tcPr>
          <w:p>
            <w:pPr>
              <w:spacing w:after="0"/>
              <w:rPr>
                <w:sz w:val="19"/>
                <w:szCs w:val="19"/>
                <w:color w:val="auto"/>
              </w:rPr>
            </w:pPr>
          </w:p>
        </w:tc>
      </w:tr>
      <w:tr>
        <w:trPr>
          <w:trHeight w:val="26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due to founding members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Amounts due to managing member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Accrued payroll and related expenses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net of debt issuance costs of $9.2 and $10.7, respectively</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924.3</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MEMBERS’ EQUITY/(DEFICIT)</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(256.9)</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LIABILITIES AND EQUITY/(DEFICIT)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2"/>
              <w:spacing w:after="0" w:line="133" w:lineRule="exact"/>
              <w:rPr>
                <w:sz w:val="20"/>
                <w:szCs w:val="20"/>
                <w:color w:val="auto"/>
              </w:rPr>
            </w:pPr>
            <w:r>
              <w:rPr>
                <w:rFonts w:ascii="Arial" w:cs="Arial" w:eastAsia="Arial" w:hAnsi="Arial"/>
                <w:sz w:val="14"/>
                <w:szCs w:val="14"/>
                <w:b w:val="1"/>
                <w:bCs w:val="1"/>
                <w:color w:val="auto"/>
                <w:w w:val="89"/>
              </w:rPr>
              <w:t>September 29,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89"/>
              </w:rPr>
              <w:t>September 28,</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2"/>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100" w:type="dxa"/>
            <w:vAlign w:val="bottom"/>
          </w:tcPr>
          <w:p>
            <w:pPr>
              <w:spacing w:after="0"/>
              <w:rPr>
                <w:sz w:val="11"/>
                <w:szCs w:val="11"/>
                <w:color w:val="auto"/>
              </w:rPr>
            </w:pPr>
          </w:p>
        </w:tc>
      </w:tr>
      <w:tr>
        <w:trPr>
          <w:trHeight w:val="171"/>
        </w:trPr>
        <w:tc>
          <w:tcPr>
            <w:tcW w:w="5040" w:type="dxa"/>
            <w:vAlign w:val="bottom"/>
            <w:tcBorders>
              <w:bottom w:val="single" w:sz="8" w:color="CFF2FA"/>
            </w:tcBorders>
          </w:tcPr>
          <w:p>
            <w:pPr>
              <w:spacing w:after="0"/>
              <w:rPr>
                <w:sz w:val="14"/>
                <w:szCs w:val="14"/>
                <w:color w:val="auto"/>
              </w:rPr>
            </w:pPr>
          </w:p>
        </w:tc>
        <w:tc>
          <w:tcPr>
            <w:tcW w:w="1000" w:type="dxa"/>
            <w:vAlign w:val="bottom"/>
            <w:tcBorders>
              <w:bottom w:val="single" w:sz="8" w:color="CFF2FA"/>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2FA"/>
            </w:tcBorders>
          </w:tcPr>
          <w:p>
            <w:pPr>
              <w:spacing w:after="0"/>
              <w:rPr>
                <w:sz w:val="14"/>
                <w:szCs w:val="14"/>
                <w:color w:val="auto"/>
              </w:rPr>
            </w:pPr>
          </w:p>
        </w:tc>
        <w:tc>
          <w:tcPr>
            <w:tcW w:w="8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2FA"/>
            </w:tcBorders>
          </w:tcPr>
          <w:p>
            <w:pPr>
              <w:spacing w:after="0"/>
              <w:rPr>
                <w:sz w:val="14"/>
                <w:szCs w:val="14"/>
                <w:color w:val="auto"/>
              </w:rPr>
            </w:pPr>
          </w:p>
        </w:tc>
      </w:tr>
      <w:tr>
        <w:trPr>
          <w:trHeight w:val="209"/>
        </w:trPr>
        <w:tc>
          <w:tcPr>
            <w:tcW w:w="5040" w:type="dxa"/>
            <w:vAlign w:val="bottom"/>
            <w:shd w:val="clear" w:color="auto" w:fill="CFF2FA"/>
          </w:tcPr>
          <w:p>
            <w:pPr>
              <w:spacing w:after="0"/>
              <w:rPr>
                <w:sz w:val="20"/>
                <w:szCs w:val="20"/>
                <w:color w:val="auto"/>
              </w:rPr>
            </w:pPr>
            <w:r>
              <w:rPr>
                <w:rFonts w:ascii="Arial" w:cs="Arial" w:eastAsia="Arial" w:hAnsi="Arial"/>
                <w:sz w:val="18"/>
                <w:szCs w:val="18"/>
                <w:color w:val="auto"/>
              </w:rPr>
              <w:t>REVENUE (including revenue from founding members</w:t>
            </w:r>
          </w:p>
        </w:tc>
        <w:tc>
          <w:tcPr>
            <w:tcW w:w="100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04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r>
      <w:tr>
        <w:trPr>
          <w:trHeight w:val="230"/>
        </w:trPr>
        <w:tc>
          <w:tcPr>
            <w:tcW w:w="5040" w:type="dxa"/>
            <w:vAlign w:val="bottom"/>
            <w:shd w:val="clear" w:color="auto" w:fill="CFF2FA"/>
          </w:tcPr>
          <w:p>
            <w:pPr>
              <w:ind w:left="140"/>
              <w:spacing w:after="0"/>
              <w:rPr>
                <w:sz w:val="20"/>
                <w:szCs w:val="20"/>
                <w:color w:val="auto"/>
              </w:rPr>
            </w:pPr>
            <w:r>
              <w:rPr>
                <w:rFonts w:ascii="Arial" w:cs="Arial" w:eastAsia="Arial" w:hAnsi="Arial"/>
                <w:sz w:val="18"/>
                <w:szCs w:val="18"/>
                <w:color w:val="auto"/>
              </w:rPr>
              <w:t>of $6.7, $7.6, $22.7 and $22.1, respectively)</w:t>
            </w:r>
          </w:p>
        </w:tc>
        <w:tc>
          <w:tcPr>
            <w:tcW w:w="11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116.4</w:t>
            </w:r>
          </w:p>
        </w:tc>
        <w:tc>
          <w:tcPr>
            <w:tcW w:w="240" w:type="dxa"/>
            <w:vAlign w:val="bottom"/>
            <w:shd w:val="clear" w:color="auto" w:fill="CFF2FA"/>
          </w:tcPr>
          <w:p>
            <w:pPr>
              <w:spacing w:after="0"/>
              <w:rPr>
                <w:sz w:val="20"/>
                <w:szCs w:val="20"/>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113.5</w:t>
            </w:r>
          </w:p>
        </w:tc>
        <w:tc>
          <w:tcPr>
            <w:tcW w:w="160" w:type="dxa"/>
            <w:vAlign w:val="bottom"/>
            <w:shd w:val="clear" w:color="auto" w:fill="CFF2FA"/>
          </w:tcPr>
          <w:p>
            <w:pPr>
              <w:spacing w:after="0"/>
              <w:rPr>
                <w:sz w:val="20"/>
                <w:szCs w:val="20"/>
                <w:color w:val="auto"/>
              </w:rPr>
            </w:pPr>
          </w:p>
        </w:tc>
        <w:tc>
          <w:tcPr>
            <w:tcW w:w="2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285.4</w:t>
            </w:r>
          </w:p>
        </w:tc>
        <w:tc>
          <w:tcPr>
            <w:tcW w:w="240" w:type="dxa"/>
            <w:vAlign w:val="bottom"/>
            <w:shd w:val="clear" w:color="auto" w:fill="CFF2FA"/>
          </w:tcPr>
          <w:p>
            <w:pPr>
              <w:spacing w:after="0"/>
              <w:rPr>
                <w:sz w:val="20"/>
                <w:szCs w:val="20"/>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FF2FA"/>
          </w:tcPr>
          <w:p>
            <w:pPr>
              <w:spacing w:after="0"/>
              <w:rPr>
                <w:sz w:val="20"/>
                <w:szCs w:val="20"/>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40" w:type="dxa"/>
            <w:vAlign w:val="bottom"/>
            <w:shd w:val="clear" w:color="auto" w:fill="CFF2FA"/>
          </w:tcPr>
          <w:p>
            <w:pPr>
              <w:ind w:left="260"/>
              <w:spacing w:after="0"/>
              <w:rPr>
                <w:sz w:val="20"/>
                <w:szCs w:val="20"/>
                <w:color w:val="auto"/>
              </w:rPr>
            </w:pPr>
            <w:r>
              <w:rPr>
                <w:rFonts w:ascii="Arial" w:cs="Arial" w:eastAsia="Arial" w:hAnsi="Arial"/>
                <w:sz w:val="18"/>
                <w:szCs w:val="18"/>
                <w:color w:val="auto"/>
              </w:rPr>
              <w:t>Advertising operating costs</w:t>
            </w:r>
          </w:p>
        </w:tc>
        <w:tc>
          <w:tcPr>
            <w:tcW w:w="10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2FA"/>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Network costs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r>
      <w:tr>
        <w:trPr>
          <w:trHeight w:val="230"/>
        </w:trPr>
        <w:tc>
          <w:tcPr>
            <w:tcW w:w="5040" w:type="dxa"/>
            <w:vAlign w:val="bottom"/>
            <w:shd w:val="clear" w:color="auto" w:fill="CFF2FA"/>
          </w:tcPr>
          <w:p>
            <w:pPr>
              <w:ind w:left="260"/>
              <w:spacing w:after="0"/>
              <w:rPr>
                <w:sz w:val="20"/>
                <w:szCs w:val="20"/>
                <w:color w:val="auto"/>
              </w:rPr>
            </w:pPr>
            <w:r>
              <w:rPr>
                <w:rFonts w:ascii="Arial" w:cs="Arial" w:eastAsia="Arial" w:hAnsi="Arial"/>
                <w:sz w:val="18"/>
                <w:szCs w:val="18"/>
                <w:color w:val="auto"/>
              </w:rPr>
              <w:t>Theater access fees—founding members</w:t>
            </w:r>
          </w:p>
        </w:tc>
        <w:tc>
          <w:tcPr>
            <w:tcW w:w="10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57.4</w:t>
            </w: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FF2FA"/>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Selling and marketing costs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r>
      <w:tr>
        <w:trPr>
          <w:trHeight w:val="230"/>
        </w:trPr>
        <w:tc>
          <w:tcPr>
            <w:tcW w:w="5040" w:type="dxa"/>
            <w:vAlign w:val="bottom"/>
            <w:shd w:val="clear" w:color="auto" w:fill="CFF2FA"/>
          </w:tcPr>
          <w:p>
            <w:pPr>
              <w:ind w:left="260"/>
              <w:spacing w:after="0"/>
              <w:rPr>
                <w:sz w:val="20"/>
                <w:szCs w:val="20"/>
                <w:color w:val="auto"/>
              </w:rPr>
            </w:pPr>
            <w:r>
              <w:rPr>
                <w:rFonts w:ascii="Arial" w:cs="Arial" w:eastAsia="Arial" w:hAnsi="Arial"/>
                <w:sz w:val="18"/>
                <w:szCs w:val="18"/>
                <w:color w:val="auto"/>
              </w:rPr>
              <w:t>Administrative and other costs</w:t>
            </w:r>
          </w:p>
        </w:tc>
        <w:tc>
          <w:tcPr>
            <w:tcW w:w="10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2FA"/>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Administrative fee—managing member</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r>
      <w:tr>
        <w:trPr>
          <w:trHeight w:val="230"/>
        </w:trPr>
        <w:tc>
          <w:tcPr>
            <w:tcW w:w="5040" w:type="dxa"/>
            <w:vAlign w:val="bottom"/>
            <w:shd w:val="clear" w:color="auto" w:fill="CFF2FA"/>
          </w:tcPr>
          <w:p>
            <w:pPr>
              <w:ind w:left="26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FF2FA"/>
          </w:tcPr>
          <w:p>
            <w:pPr>
              <w:spacing w:after="0"/>
              <w:rPr>
                <w:sz w:val="19"/>
                <w:szCs w:val="19"/>
                <w:color w:val="auto"/>
              </w:rPr>
            </w:pPr>
          </w:p>
        </w:tc>
        <w:tc>
          <w:tcPr>
            <w:tcW w:w="100" w:type="dxa"/>
            <w:vAlign w:val="bottom"/>
            <w:tcBorders>
              <w:bottom w:val="single" w:sz="8" w:color="auto"/>
            </w:tcBorders>
            <w:shd w:val="clear" w:color="auto" w:fill="CFF2FA"/>
          </w:tcPr>
          <w:p>
            <w:pPr>
              <w:spacing w:after="0"/>
              <w:rPr>
                <w:sz w:val="19"/>
                <w:szCs w:val="19"/>
                <w:color w:val="auto"/>
              </w:rPr>
            </w:pP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10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FF2FA"/>
          </w:tcPr>
          <w:p>
            <w:pPr>
              <w:spacing w:after="0"/>
              <w:rPr>
                <w:sz w:val="19"/>
                <w:szCs w:val="19"/>
                <w:color w:val="auto"/>
              </w:rPr>
            </w:pPr>
          </w:p>
        </w:tc>
      </w:tr>
      <w:tr>
        <w:trPr>
          <w:trHeight w:val="223"/>
        </w:trPr>
        <w:tc>
          <w:tcPr>
            <w:tcW w:w="5040" w:type="dxa"/>
            <w:vAlign w:val="bottom"/>
            <w:tcBorders>
              <w:bottom w:val="single" w:sz="8" w:color="CFF2FA"/>
            </w:tcBorders>
          </w:tcPr>
          <w:p>
            <w:pPr>
              <w:ind w:left="6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FF2F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4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FF2FA"/>
            </w:tcBorders>
          </w:tcPr>
          <w:p>
            <w:pPr>
              <w:spacing w:after="0"/>
              <w:rPr>
                <w:sz w:val="19"/>
                <w:szCs w:val="19"/>
                <w:color w:val="auto"/>
              </w:rPr>
            </w:pPr>
          </w:p>
        </w:tc>
      </w:tr>
      <w:tr>
        <w:trPr>
          <w:trHeight w:val="223"/>
        </w:trPr>
        <w:tc>
          <w:tcPr>
            <w:tcW w:w="5040" w:type="dxa"/>
            <w:vAlign w:val="bottom"/>
            <w:shd w:val="clear" w:color="auto" w:fill="CFF2FA"/>
          </w:tcPr>
          <w:p>
            <w:pPr>
              <w:ind w:left="620"/>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FF2FA"/>
          </w:tcPr>
          <w:p>
            <w:pPr>
              <w:spacing w:after="0"/>
              <w:rPr>
                <w:sz w:val="19"/>
                <w:szCs w:val="19"/>
                <w:color w:val="auto"/>
              </w:rPr>
            </w:pPr>
          </w:p>
        </w:tc>
        <w:tc>
          <w:tcPr>
            <w:tcW w:w="100" w:type="dxa"/>
            <w:vAlign w:val="bottom"/>
            <w:tcBorders>
              <w:bottom w:val="single" w:sz="8" w:color="auto"/>
            </w:tcBorders>
            <w:shd w:val="clear" w:color="auto" w:fill="CFF2FA"/>
          </w:tcPr>
          <w:p>
            <w:pPr>
              <w:spacing w:after="0"/>
              <w:rPr>
                <w:sz w:val="19"/>
                <w:szCs w:val="19"/>
                <w:color w:val="auto"/>
              </w:rPr>
            </w:pP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10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FF2FA"/>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NON-OPERATING EXPENSES: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40" w:type="dxa"/>
            <w:vAlign w:val="bottom"/>
            <w:shd w:val="clear" w:color="auto" w:fill="CFF2FA"/>
          </w:tcPr>
          <w:p>
            <w:pPr>
              <w:ind w:left="260"/>
              <w:spacing w:after="0"/>
              <w:rPr>
                <w:sz w:val="20"/>
                <w:szCs w:val="20"/>
                <w:color w:val="auto"/>
              </w:rPr>
            </w:pPr>
            <w:r>
              <w:rPr>
                <w:rFonts w:ascii="Arial" w:cs="Arial" w:eastAsia="Arial" w:hAnsi="Arial"/>
                <w:sz w:val="18"/>
                <w:szCs w:val="18"/>
                <w:color w:val="auto"/>
              </w:rPr>
              <w:t>Interest on borrowings</w:t>
            </w:r>
          </w:p>
        </w:tc>
        <w:tc>
          <w:tcPr>
            <w:tcW w:w="10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FF2FA"/>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30"/>
        </w:trPr>
        <w:tc>
          <w:tcPr>
            <w:tcW w:w="5040" w:type="dxa"/>
            <w:vAlign w:val="bottom"/>
            <w:shd w:val="clear" w:color="auto" w:fill="CFF2FA"/>
          </w:tcPr>
          <w:p>
            <w:pPr>
              <w:ind w:left="260"/>
              <w:spacing w:after="0"/>
              <w:rPr>
                <w:sz w:val="20"/>
                <w:szCs w:val="20"/>
                <w:color w:val="auto"/>
              </w:rPr>
            </w:pPr>
            <w:r>
              <w:rPr>
                <w:rFonts w:ascii="Arial" w:cs="Arial" w:eastAsia="Arial" w:hAnsi="Arial"/>
                <w:sz w:val="18"/>
                <w:szCs w:val="18"/>
                <w:color w:val="auto"/>
              </w:rPr>
              <w:t>Loss on early retirement of debt</w:t>
            </w:r>
          </w:p>
        </w:tc>
        <w:tc>
          <w:tcPr>
            <w:tcW w:w="10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260" w:type="dxa"/>
            <w:vAlign w:val="bottom"/>
            <w:gridSpan w:val="2"/>
            <w:shd w:val="clear" w:color="auto" w:fill="CFF2FA"/>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6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2FA"/>
          </w:tcPr>
          <w:p>
            <w:pPr>
              <w:spacing w:after="0"/>
              <w:rPr>
                <w:sz w:val="19"/>
                <w:szCs w:val="19"/>
                <w:color w:val="auto"/>
              </w:rPr>
            </w:pP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2FA"/>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Other non-operating income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Borders>
              <w:top w:val="single" w:sz="8" w:color="CFF2FA"/>
            </w:tcBorders>
            <w:shd w:val="clear" w:color="auto" w:fill="CFF2FA"/>
          </w:tcPr>
          <w:p>
            <w:pPr>
              <w:ind w:left="6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0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0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0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0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top w:val="single" w:sz="8" w:color="CFF2FA"/>
            </w:tcBorders>
            <w:shd w:val="clear" w:color="auto" w:fill="CFF2FA"/>
          </w:tcPr>
          <w:p>
            <w:pPr>
              <w:spacing w:after="0"/>
              <w:rPr>
                <w:sz w:val="19"/>
                <w:szCs w:val="19"/>
                <w:color w:val="auto"/>
              </w:rPr>
            </w:pPr>
          </w:p>
        </w:tc>
      </w:tr>
      <w:tr>
        <w:trPr>
          <w:trHeight w:val="223"/>
        </w:trPr>
        <w:tc>
          <w:tcPr>
            <w:tcW w:w="504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bottom w:val="single" w:sz="8" w:color="CFF2F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FF2FA"/>
            </w:tcBorders>
          </w:tcPr>
          <w:p>
            <w:pPr>
              <w:spacing w:after="0"/>
              <w:rPr>
                <w:sz w:val="19"/>
                <w:szCs w:val="19"/>
                <w:color w:val="auto"/>
              </w:rPr>
            </w:pPr>
          </w:p>
        </w:tc>
      </w:tr>
      <w:tr>
        <w:trPr>
          <w:trHeight w:val="223"/>
        </w:trPr>
        <w:tc>
          <w:tcPr>
            <w:tcW w:w="5040" w:type="dxa"/>
            <w:vAlign w:val="bottom"/>
            <w:shd w:val="clear" w:color="auto" w:fill="CFF2FA"/>
          </w:tcPr>
          <w:p>
            <w:pPr>
              <w:ind w:left="380"/>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FF2FA"/>
          </w:tcPr>
          <w:p>
            <w:pPr>
              <w:spacing w:after="0"/>
              <w:rPr>
                <w:sz w:val="19"/>
                <w:szCs w:val="19"/>
                <w:color w:val="auto"/>
              </w:rPr>
            </w:pPr>
          </w:p>
        </w:tc>
        <w:tc>
          <w:tcPr>
            <w:tcW w:w="100" w:type="dxa"/>
            <w:vAlign w:val="bottom"/>
            <w:tcBorders>
              <w:bottom w:val="single" w:sz="8" w:color="auto"/>
            </w:tcBorders>
            <w:shd w:val="clear" w:color="auto" w:fill="CFF2FA"/>
          </w:tcPr>
          <w:p>
            <w:pPr>
              <w:spacing w:after="0"/>
              <w:rPr>
                <w:sz w:val="19"/>
                <w:szCs w:val="19"/>
                <w:color w:val="auto"/>
              </w:rPr>
            </w:pP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10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2FA"/>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78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rPr>
              <w:t>September 28,</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271"/>
              <w:spacing w:after="0" w:line="133" w:lineRule="exact"/>
              <w:rPr>
                <w:sz w:val="20"/>
                <w:szCs w:val="20"/>
                <w:color w:val="auto"/>
              </w:rPr>
            </w:pPr>
            <w:r>
              <w:rPr>
                <w:rFonts w:ascii="Arial" w:cs="Arial" w:eastAsia="Arial" w:hAnsi="Arial"/>
                <w:sz w:val="14"/>
                <w:szCs w:val="14"/>
                <w:b w:val="1"/>
                <w:bCs w:val="1"/>
                <w:color w:val="auto"/>
              </w:rPr>
              <w:t>September 29,</w:t>
            </w:r>
          </w:p>
        </w:tc>
        <w:tc>
          <w:tcPr>
            <w:tcW w:w="100" w:type="dxa"/>
            <w:vAlign w:val="bottom"/>
          </w:tcPr>
          <w:p>
            <w:pPr>
              <w:spacing w:after="0"/>
              <w:rPr>
                <w:sz w:val="11"/>
                <w:szCs w:val="11"/>
                <w:color w:val="auto"/>
              </w:rPr>
            </w:pP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r>
      <w:tr>
        <w:trPr>
          <w:trHeight w:val="215"/>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share-based compensation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Impairment on investment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15"/>
        </w:trPr>
        <w:tc>
          <w:tcPr>
            <w:tcW w:w="7880" w:type="dxa"/>
            <w:vAlign w:val="bottom"/>
          </w:tcPr>
          <w:p>
            <w:pPr>
              <w:ind w:left="740"/>
              <w:spacing w:after="0"/>
              <w:rPr>
                <w:sz w:val="20"/>
                <w:szCs w:val="20"/>
                <w:color w:val="auto"/>
              </w:rPr>
            </w:pPr>
            <w:r>
              <w:rPr>
                <w:rFonts w:ascii="Arial" w:cs="Arial" w:eastAsia="Arial" w:hAnsi="Arial"/>
                <w:sz w:val="18"/>
                <w:szCs w:val="18"/>
                <w:color w:val="auto"/>
              </w:rPr>
              <w:t>Redemption premium paid and write-off of debt issuance costs related to</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80" w:type="dxa"/>
            <w:vAlign w:val="bottom"/>
          </w:tcPr>
          <w:p>
            <w:pPr>
              <w:ind w:left="880"/>
              <w:spacing w:after="0"/>
              <w:rPr>
                <w:sz w:val="20"/>
                <w:szCs w:val="20"/>
                <w:color w:val="auto"/>
              </w:rPr>
            </w:pPr>
            <w:r>
              <w:rPr>
                <w:rFonts w:ascii="Arial" w:cs="Arial" w:eastAsia="Arial" w:hAnsi="Arial"/>
                <w:sz w:val="18"/>
                <w:szCs w:val="18"/>
                <w:color w:val="auto"/>
              </w:rPr>
              <w:t>redemption of Senior Notes due 2021</w:t>
            </w:r>
          </w:p>
        </w:tc>
        <w:tc>
          <w:tcPr>
            <w:tcW w:w="2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Amounts due to founding members and managing member</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r>
      <w:tr>
        <w:trPr>
          <w:trHeight w:val="230"/>
        </w:trPr>
        <w:tc>
          <w:tcPr>
            <w:tcW w:w="788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23"/>
        </w:trPr>
        <w:tc>
          <w:tcPr>
            <w:tcW w:w="78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intangible assets from network affiliates</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Acquisition of a business</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notes receivable - founding members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Proceeds from borrowings under the revolving credit facility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of borrowings under the revolving credit facility</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(168.0)</w:t>
            </w: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Proceeds from issuance of Senior Notes due 2026</w:t>
            </w: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Redemption of Senior Notes due 2021</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(207.9)</w:t>
            </w: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Payment of debt issuance costs</w:t>
            </w: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Founding member integration and other encumbered theater payments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Distributions to founding members and managing member</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 settlement for share-based compensation</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Beginning of period</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gridSpan w:val="5"/>
          </w:tcPr>
          <w:p>
            <w:pPr>
              <w:ind w:left="90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6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277"/>
              <w:spacing w:after="0" w:line="133" w:lineRule="exact"/>
              <w:rPr>
                <w:sz w:val="20"/>
                <w:szCs w:val="20"/>
                <w:color w:val="auto"/>
              </w:rPr>
            </w:pPr>
            <w:r>
              <w:rPr>
                <w:rFonts w:ascii="Arial" w:cs="Arial" w:eastAsia="Arial" w:hAnsi="Arial"/>
                <w:sz w:val="14"/>
                <w:szCs w:val="14"/>
                <w:b w:val="1"/>
                <w:bCs w:val="1"/>
                <w:color w:val="auto"/>
              </w:rPr>
              <w:t>September 28,</w:t>
            </w: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295"/>
              <w:spacing w:after="0" w:line="133" w:lineRule="exact"/>
              <w:rPr>
                <w:sz w:val="20"/>
                <w:szCs w:val="20"/>
                <w:color w:val="auto"/>
              </w:rPr>
            </w:pPr>
            <w:r>
              <w:rPr>
                <w:rFonts w:ascii="Arial" w:cs="Arial" w:eastAsia="Arial" w:hAnsi="Arial"/>
                <w:sz w:val="14"/>
                <w:szCs w:val="14"/>
                <w:b w:val="1"/>
                <w:bCs w:val="1"/>
                <w:color w:val="auto"/>
              </w:rPr>
              <w:t>September 29,</w:t>
            </w:r>
          </w:p>
        </w:tc>
        <w:tc>
          <w:tcPr>
            <w:tcW w:w="120" w:type="dxa"/>
            <w:vAlign w:val="bottom"/>
          </w:tcPr>
          <w:p>
            <w:pPr>
              <w:spacing w:after="0"/>
              <w:rPr>
                <w:sz w:val="11"/>
                <w:szCs w:val="11"/>
                <w:color w:val="auto"/>
              </w:rPr>
            </w:pPr>
          </w:p>
        </w:tc>
      </w:tr>
      <w:tr>
        <w:trPr>
          <w:trHeight w:val="171"/>
        </w:trPr>
        <w:tc>
          <w:tcPr>
            <w:tcW w:w="6460" w:type="dxa"/>
            <w:vAlign w:val="bottom"/>
            <w:tcBorders>
              <w:bottom w:val="single" w:sz="8" w:color="CFF0FC"/>
            </w:tcBorders>
          </w:tcPr>
          <w:p>
            <w:pPr>
              <w:spacing w:after="0"/>
              <w:rPr>
                <w:sz w:val="14"/>
                <w:szCs w:val="14"/>
                <w:color w:val="auto"/>
              </w:rPr>
            </w:pPr>
          </w:p>
        </w:tc>
        <w:tc>
          <w:tcPr>
            <w:tcW w:w="13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Purchase of an intangible asset with NCM LLC equity</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201.8</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distributions to founding members and managing member</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Increase in cost and equity method investments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34.9</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80" w:firstLine="555"/>
        <w:spacing w:after="0" w:line="271" w:lineRule="auto"/>
        <w:rPr>
          <w:sz w:val="20"/>
          <w:szCs w:val="20"/>
          <w:color w:val="auto"/>
        </w:rPr>
      </w:pPr>
      <w:r>
        <w:rPr>
          <w:rFonts w:ascii="Arial" w:cs="Arial" w:eastAsia="Arial" w:hAnsi="Arial"/>
          <w:sz w:val="17"/>
          <w:szCs w:val="17"/>
          <w:color w:val="auto"/>
        </w:rPr>
        <w:t>National CineMedia, LLC (“NCM LLC”, “the Company” or “we”) commenced operations on April 1, 2005 and is owned by National CineMedia, Inc. (“NCM, Inc.”, “manager” or “managing member”), American Multi-Cinema, Inc. and AMC ShowPlace Theatres, Inc., wholly owned subsidiaries of AMC Entertainment, Inc. (“AMC”), Regal Cinemas, Inc. and Regal CineMedia Holdings, LLC, wholly owned subsidiaries of Regal Entertainment Group (“Regal”) and Cinemark Media, Inc. and Cinemark USA, Inc., wholly owned subsidiaries of Cinemark Holdings, Inc. (“Cinemark”). AMC, Regal and Cinemark and their affiliates are referred to in this document as “founding members”. NCM LLC operates the largest digital in-theater network in North America, allowing NCM LLC to sell advertising under long-term exhibitor services agreements (“ESAs”) with the founding members (approximately 19 years remaining as of September 28, 2017) and certain third-party theater circuits, referred to in this document as “network affiliates” under long-term network affiliate agreements, which have terms from one to twenty years.</w:t>
      </w:r>
    </w:p>
    <w:p>
      <w:pPr>
        <w:spacing w:after="0" w:line="71" w:lineRule="exact"/>
        <w:rPr>
          <w:sz w:val="20"/>
          <w:szCs w:val="20"/>
          <w:color w:val="auto"/>
        </w:rPr>
      </w:pPr>
    </w:p>
    <w:p>
      <w:pPr>
        <w:ind w:right="80" w:firstLine="555"/>
        <w:spacing w:after="0" w:line="286" w:lineRule="auto"/>
        <w:rPr>
          <w:sz w:val="20"/>
          <w:szCs w:val="20"/>
          <w:color w:val="auto"/>
        </w:rPr>
      </w:pPr>
      <w:r>
        <w:rPr>
          <w:rFonts w:ascii="Arial" w:cs="Arial" w:eastAsia="Arial" w:hAnsi="Arial"/>
          <w:sz w:val="17"/>
          <w:szCs w:val="17"/>
          <w:color w:val="auto"/>
        </w:rPr>
        <w:t>As of September 28, 2017, NCM LLC had 154,069,410 common membership units outstanding, of which 75,230,298 (48.8%) were owned by NCM, Inc., 27,871,862 (18.1%) were owned by Cinemark, 27,574,620 (17.9%) were owned by Regal and 23,392,630 (15.2%) were owned by AMC. The membership units held by the founding members are exchangeable into NCM, Inc. common stock on a one-for-one basis.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29, 2016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29, 2016.</w:t>
      </w:r>
    </w:p>
    <w:p>
      <w:pPr>
        <w:spacing w:after="0" w:line="70"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3—</w:t>
      </w:r>
      <w:r>
        <w:rPr>
          <w:rFonts w:ascii="Arial" w:cs="Arial" w:eastAsia="Arial" w:hAnsi="Arial"/>
          <w:sz w:val="17"/>
          <w:szCs w:val="17"/>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6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760" w:firstLine="555"/>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29, 2016 contain a complete discussion of the Company’s significant accounting policies. Following is additional information related to the Company’s accounting policies.</w:t>
      </w:r>
    </w:p>
    <w:p>
      <w:pPr>
        <w:spacing w:after="0" w:line="16"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b w:val="1"/>
          <w:bCs w:val="1"/>
          <w:i w:val="1"/>
          <w:iCs w:val="1"/>
          <w:color w:val="auto"/>
        </w:rPr>
        <w:t>Concentration of Credit Risk and Significant Customers</w:t>
      </w:r>
      <w:r>
        <w:rPr>
          <w:rFonts w:ascii="Arial" w:cs="Arial" w:eastAsia="Arial" w:hAnsi="Arial"/>
          <w:sz w:val="18"/>
          <w:szCs w:val="18"/>
          <w:color w:val="auto"/>
        </w:rPr>
        <w:t>—Bad debts are provided for using the allowance for doubtful accounts method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September 28, 2017 and December 29, 2016, there were no advertising agency groups or individual customers through which the Company sources national advertising revenue representing more than 10% of the Company’s outstanding gross receivable balance. During the three and nine months ended September 28, 2017 and September 29, 2016, the Company had no customers that accounted for more than 10% of revenue.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20" w:firstLine="555"/>
        <w:spacing w:after="0" w:line="268"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management services agreement between NCM LLC and NCM, Inc. provides that NCM LLC may participate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NCM, Inc. Equity Incentive Plan. NCM, Inc. has issued stock options and restricted stock to certain employees and restricted stock units to its independent directors under the NCM, Inc. Equity Incentive Plan. The Company has not granted stock options since 2012. In 2016 and 2017, the restricted stock grants for Company officers vest upon the achievement of NCM, Inc. performance measures and/or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and nine months ended September 28, 2017 and September 29, 2016, NCM, Inc. acquired 15,692, 17,407, 755,886 and 614,652 units, respectively, due to the vesting of restricted stock and restricted stock units and exercise of stock options and contributed $0.0 million, $0.1 million, $0.6 million and $0.4 million to NCM LLC for stock option exercises for the three and nine months ended September 28, 2017 and September 29, 2016,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 xml:space="preserve">In the first quarter of 2017, the Company adopted Accounting Standards Update 2016-07, </w:t>
      </w:r>
      <w:r>
        <w:rPr>
          <w:rFonts w:ascii="Arial" w:cs="Arial" w:eastAsia="Arial" w:hAnsi="Arial"/>
          <w:sz w:val="18"/>
          <w:szCs w:val="18"/>
          <w:i w:val="1"/>
          <w:iCs w:val="1"/>
          <w:color w:val="auto"/>
        </w:rPr>
        <w:t>Investments- Equity Method and Joint Ventures: Simplifying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Transition to the Equity Method of Accounting </w:t>
      </w:r>
      <w:r>
        <w:rPr>
          <w:rFonts w:ascii="Arial" w:cs="Arial" w:eastAsia="Arial" w:hAnsi="Arial"/>
          <w:sz w:val="18"/>
          <w:szCs w:val="18"/>
          <w:color w:val="auto"/>
        </w:rPr>
        <w:t>(“ASU 2016-07”) on a prospective basis. ASU 2016-07 eliminates the requirement to apply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of accounting retrospectively when a reporting entity obtains significant influence over a previously held investment. The adoption of ASU 2016-07 did not have a material impact on the unaudited Condensed Financial Statements or notes thereto.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555"/>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605,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In August 2015, the FASB revised the effective date for this standard to annual and interim periods beginning on or after December 15, 2017, with early adoption permitted, but not earlier than the original effective date of annual and interim periods beginning after December 15, 2016, for public entities. ASU 2014-09 allows for either a full retrospective or a modified retrospective transition method. The Company expects to adopt this guidance using the modified retrospective transition method during the first quarter of 2018. The Company expects to identify the same performance obligations under ASU 2014-09 as compared with deliverables and separate units of account previously identified. ASU 2014-09 will impact the accounting for barter transactions where the Company exchanges advertising time for products and services used principally for selling and marketing activities. The Company currently recognizes revenue for these transactions at the estimated fair value of the advertising exchanged based on the fair value received for similar advertising from cash paying customers. Under the new guidance, the Company expects to recognize revenue for these transactions based upon the fair value of the products and services received, rather than the value of the advertising provided. The Company has evaluated ASU 2014-09 and does not expect the effect of adopting this guidance to be material to the unaudited Condensed Financial Statements, however, the Company does expect additional disclosures in its notes to the unaudited Condensed Financial Statements. The Company intends to design and implement changes to certain processes and internal controls related to its adoption of ASU 2014-09.</w:t>
      </w:r>
    </w:p>
    <w:p>
      <w:pPr>
        <w:spacing w:after="0" w:line="73"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 xml:space="preserve">In January 2016, the FASB issued Accounting Standards Update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(“ASU 2016-01”), which requires equity investments that are not accounted for under the equity method of accounting to be measured at fair value with changes recognized in earnings (rather than reported through other comprehensive income) and updates certain presentation and disclosure requirements. The guidance is effective for reporting periods (interim and annual) beginning after December 15, 2017, for public companies and should be adopted on a prospective basis. The Company is currently evaluating the impact that adopting this guidance will have on the unaudited Condensed Financial Statements or notes thereto.</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120" w:firstLine="555"/>
        <w:spacing w:after="0" w:line="272"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(“ASU 2016-02”). ASU 2016-02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impact that adopting this guidance will have on the unaudited Condensed Financial Statements or notes thereto.</w:t>
      </w:r>
    </w:p>
    <w:p>
      <w:pPr>
        <w:spacing w:after="0" w:line="70"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Statements (“</w:t>
      </w:r>
      <w:r>
        <w:rPr>
          <w:rFonts w:ascii="Arial" w:cs="Arial" w:eastAsia="Arial" w:hAnsi="Arial"/>
          <w:sz w:val="18"/>
          <w:szCs w:val="18"/>
          <w:color w:val="auto"/>
        </w:rPr>
        <w:t>ASU 2016-13”), which requires a financial asset (or group of financial assets) measured at amortized cost basis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is currently evaluating the impact that adopting this guidance will have on the unaudited Condensed Financial Statements or notes thereto.</w:t>
      </w:r>
    </w:p>
    <w:p>
      <w:pPr>
        <w:spacing w:after="0" w:line="81"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 xml:space="preserve">In August 2016, the FASB issued Accounting Standards Update 2016-15, </w:t>
      </w:r>
      <w:r>
        <w:rPr>
          <w:rFonts w:ascii="Arial" w:cs="Arial" w:eastAsia="Arial" w:hAnsi="Arial"/>
          <w:sz w:val="17"/>
          <w:szCs w:val="17"/>
          <w:i w:val="1"/>
          <w:iCs w:val="1"/>
          <w:color w:val="auto"/>
        </w:rPr>
        <w:t>Statement of Cash Flows (Topic 230): Classification of Certain Cash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Receipts and Cash Payments </w:t>
      </w:r>
      <w:r>
        <w:rPr>
          <w:rFonts w:ascii="Arial" w:cs="Arial" w:eastAsia="Arial" w:hAnsi="Arial"/>
          <w:sz w:val="17"/>
          <w:szCs w:val="17"/>
          <w:color w:val="auto"/>
        </w:rPr>
        <w:t>(“ASU 2016-15”), which provides guidance on how certain cash receipts and cash payments are to be presented and classified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statement of cash flows. ASU 2016-15 is effective for fiscal years beginning after December 15, 2017, including interim periods within those fiscal years, with early adoption permitted. A retrospective transition method should be used in the application of the amendments within ASU 2016-15. If retrospective application is considered impracticable, retrospective application may be used as of the earliest date practicable. The Company is currently evaluating the impact that adopting this guidance will have on the Condensed Financial Statements or notes thereto.</w:t>
      </w:r>
    </w:p>
    <w:p>
      <w:pPr>
        <w:spacing w:after="0" w:line="70"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 xml:space="preserve">In November 2016, the FASB issued Accounting Standards Update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the reconciliation of the beginning-of-period and end-of-period amounts shown in the statement of cash flows include restricted cash and restricted cash equivalents. If restricted cash is presented separately from cash and cash equivalents on the balance sheet, companies will have to reconcile the amounts presented on the statement of cash flows to the amounts on the balance sheet. Companies will also need to disclose information about the nature of the restrictions. ASU 2016-18 is effective for fiscal years beginning after December 15, 2017, including interim periods within those fiscal years. The Company does not expect the adoption of ASU 2016-18 to have a material impact on the unaudited Condensed Financial Statements or notes thereto.</w:t>
      </w:r>
    </w:p>
    <w:p>
      <w:pPr>
        <w:spacing w:after="0" w:line="57"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 or notes thereto.</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INTANGIBLE ASSETS</w:t>
      </w:r>
    </w:p>
    <w:p>
      <w:pPr>
        <w:spacing w:after="0" w:line="121" w:lineRule="exact"/>
        <w:rPr>
          <w:sz w:val="20"/>
          <w:szCs w:val="20"/>
          <w:color w:val="auto"/>
        </w:rPr>
      </w:pPr>
    </w:p>
    <w:p>
      <w:pPr>
        <w:ind w:right="160" w:firstLine="555"/>
        <w:spacing w:after="0" w:line="273" w:lineRule="auto"/>
        <w:rPr>
          <w:sz w:val="20"/>
          <w:szCs w:val="20"/>
          <w:color w:val="auto"/>
        </w:rPr>
      </w:pPr>
      <w:r>
        <w:rPr>
          <w:rFonts w:ascii="Arial" w:cs="Arial" w:eastAsia="Arial" w:hAnsi="Arial"/>
          <w:sz w:val="17"/>
          <w:szCs w:val="17"/>
          <w:color w:val="auto"/>
        </w:rPr>
        <w:t>Intangible assets consist of contractual rights to provide the Company’s services within the theaters of the founding members and network affiliates and are stated at cost, net of accumulated amortization. The Company’s intangible assets with its founding members are recorded at the fair market value of NCM, Inc.’s publicly traded stock as of the date on which the common membership units were issued. The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w:t>
      </w:r>
    </w:p>
    <w:p>
      <w:pPr>
        <w:spacing w:after="0" w:line="70"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 In accordance with the Common Unit Adjustment Agreement with the founding members, on an annual basis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determines the amount of common membership units to be issued to or returned by the founding members based on theater additions or dispositions during the previous year. In addition, the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During the first quarter of 2017, the Company issued 2,351,029 common membership units to the founding members for the rights to exclusive access to the theater screens and attendees added, net of dispositions by the founding members to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network during the 2016 fiscal year. Also during the first quarter of 2017, NCM, Inc. and NCM LLC entered into a binding Memorandum of Understanding (“MOU”) with AMC to effectuate aspects of a final judgment (the “Final Judgment”) entered into by the Department of Justice (the “DOJ”) in connection with AMC’s acquisition of Carmike Cinemas, Inc. (“Carmike”). Pursuant to the MOU, the Company issued 18,425,423 common membership units to AMC in respect of the annual attendance at such Carmike theaters in accordance with the Common Unit Adjustment Agreement during the first quarter of 2017. AMC’s acquisition of Carmike meets the criteria for a Common Unit Adjustment because it resulted in an extraordinary attendance increase of approximately 9.5%. Further, the Final Judgment required AMC to transfer advertising rights to 17 theaters from NCM LLC to another advertising provider. Pursuant to the MOU, AMC surrendered 4,657,673 common membership units in respect of such theaters. The 4,657,673 common membership units were comprised of (i) 2,850,453 common membership units pursuant to the adjustment for divested theaters in the Common Unit Adjustment Agreement and (ii) an additional 1,807,220 common membership units valued at $25.0 million to compensate for NCM LLC’s lost operating income for these theaters during the 10-year term of the Final Judgment. To facilitate the theater transfers, during the first quarter of 2017, AMC and Regal entered into an amendment of its ESA with the Company and Cinemark entered into a waiver of certain rights under its ESA. The Company recorded a net intangible asset of $201.8 million during the first quarter of 2017 related to these transactions.</w:t>
      </w:r>
    </w:p>
    <w:p>
      <w:pPr>
        <w:spacing w:after="0" w:line="72" w:lineRule="exact"/>
        <w:rPr>
          <w:sz w:val="20"/>
          <w:szCs w:val="20"/>
          <w:color w:val="auto"/>
        </w:rPr>
      </w:pPr>
    </w:p>
    <w:p>
      <w:pPr>
        <w:jc w:val="both"/>
        <w:ind w:right="40" w:firstLine="555"/>
        <w:spacing w:after="0" w:line="286" w:lineRule="auto"/>
        <w:rPr>
          <w:sz w:val="20"/>
          <w:szCs w:val="20"/>
          <w:color w:val="auto"/>
        </w:rPr>
      </w:pPr>
      <w:r>
        <w:rPr>
          <w:rFonts w:ascii="Arial" w:cs="Arial" w:eastAsia="Arial" w:hAnsi="Arial"/>
          <w:sz w:val="17"/>
          <w:szCs w:val="17"/>
          <w:color w:val="auto"/>
        </w:rPr>
        <w:t>During the first quarter of 2016, the Company issued 1,416,515 common membership units to the founding members for the rights to exclusive access to the theater screens and attendees added, net of dispositions by the founding members to the Company’s network during the 2015 fiscal year and NCM LLC recorded a net intangible asset of $21.1 million during the first quarter of 2016 as a result of the Common Unit Adjustment.</w:t>
      </w:r>
    </w:p>
    <w:p>
      <w:pPr>
        <w:spacing w:after="0" w:line="57" w:lineRule="exact"/>
        <w:rPr>
          <w:sz w:val="20"/>
          <w:szCs w:val="20"/>
          <w:color w:val="auto"/>
        </w:rPr>
      </w:pPr>
    </w:p>
    <w:p>
      <w:pPr>
        <w:ind w:right="40" w:firstLine="555"/>
        <w:spacing w:after="0" w:line="267" w:lineRule="auto"/>
        <w:rPr>
          <w:sz w:val="20"/>
          <w:szCs w:val="20"/>
          <w:color w:val="auto"/>
        </w:rPr>
      </w:pPr>
      <w:r>
        <w:rPr>
          <w:rFonts w:ascii="Arial" w:cs="Arial" w:eastAsia="Arial" w:hAnsi="Arial"/>
          <w:sz w:val="17"/>
          <w:szCs w:val="17"/>
          <w:b w:val="1"/>
          <w:bCs w:val="1"/>
          <w:i w:val="1"/>
          <w:iCs w:val="1"/>
          <w:color w:val="auto"/>
        </w:rPr>
        <w:t>Integration Payments and Other Encumbered Theater Payments</w:t>
      </w:r>
      <w:r>
        <w:rPr>
          <w:rFonts w:ascii="Arial" w:cs="Arial" w:eastAsia="Arial" w:hAnsi="Arial"/>
          <w:sz w:val="17"/>
          <w:szCs w:val="17"/>
          <w:color w:val="auto"/>
        </w:rPr>
        <w:t>—If an existing on-screen advertising agreement with an alternative provider is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place with respect to any acquired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theaters are subject to an existing on-screen advertising agreement with an alternative provider, AMC will make integration payments to NCM LLC. The integration payments will continue until the earlier of (i) the date the theaters are transferred to the Company’s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the Company to payments related to the founding members’ on-screen advertising commitments under their beverage concessionaire agreements for encumbered theaters. These payments are also accounted for as a reduction to the intangible asset. During the three and nine months ended September 28, 2017 and September 29, 2016, the Company recorded a reduction to net intangible assets of $6.9 million, $0.7 million, $11.6 million and $1.5 million, respectively, related to integration and other encumbered theater payments. These payments received from AMC related to their acquisitions of theaters from Carmike and Rave Cinemas and from Cinemark related to their acquisition of theaters from Rave Cinemas. During the three and nine months ended September 28, 2017 and September 29, 2016, AMC and Cinemark paid a total of $4.6 million, $0.7 million, $6.1 million and $1.7 million, respectively, in integration and other encumbered theater payments (as payments are made one quarter and one month in arrears, respectively).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RELATED PARTY TRANSACTIONS</w:t>
      </w:r>
    </w:p>
    <w:p>
      <w:pPr>
        <w:spacing w:after="0" w:line="121" w:lineRule="exact"/>
        <w:rPr>
          <w:sz w:val="20"/>
          <w:szCs w:val="20"/>
          <w:color w:val="auto"/>
        </w:rPr>
      </w:pPr>
    </w:p>
    <w:p>
      <w:pPr>
        <w:ind w:right="40" w:firstLine="555"/>
        <w:spacing w:after="0" w:line="308" w:lineRule="auto"/>
        <w:rPr>
          <w:sz w:val="20"/>
          <w:szCs w:val="20"/>
          <w:color w:val="auto"/>
        </w:rPr>
      </w:pPr>
      <w:r>
        <w:rPr>
          <w:rFonts w:ascii="Arial" w:cs="Arial" w:eastAsia="Arial" w:hAnsi="Arial"/>
          <w:sz w:val="17"/>
          <w:szCs w:val="17"/>
          <w:b w:val="1"/>
          <w:bCs w:val="1"/>
          <w:i w:val="1"/>
          <w:iCs w:val="1"/>
          <w:color w:val="auto"/>
        </w:rPr>
        <w:t>Founding Member and Managing Member Transactions</w:t>
      </w:r>
      <w:r>
        <w:rPr>
          <w:rFonts w:ascii="Arial" w:cs="Arial" w:eastAsia="Arial" w:hAnsi="Arial"/>
          <w:sz w:val="17"/>
          <w:szCs w:val="17"/>
          <w:i w:val="1"/>
          <w:iCs w:val="1"/>
          <w:color w:val="auto"/>
        </w:rPr>
        <w:t>—</w:t>
      </w:r>
      <w:r>
        <w:rPr>
          <w:rFonts w:ascii="Arial" w:cs="Arial" w:eastAsia="Arial" w:hAnsi="Arial"/>
          <w:sz w:val="17"/>
          <w:szCs w:val="17"/>
          <w:color w:val="auto"/>
        </w:rPr>
        <w:t>In connection with NCM, Inc.’s initial public offering (“IPO”), the Company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agreements to define and regulate the relationships among NCM LLC, NCM, Inc. and the founding members. They include the following:</w:t>
      </w:r>
    </w:p>
    <w:p>
      <w:pPr>
        <w:spacing w:after="0" w:line="34" w:lineRule="exact"/>
        <w:rPr>
          <w:sz w:val="20"/>
          <w:szCs w:val="20"/>
          <w:color w:val="auto"/>
        </w:rPr>
      </w:pPr>
    </w:p>
    <w:p>
      <w:pPr>
        <w:ind w:left="1120" w:right="60" w:hanging="558"/>
        <w:spacing w:after="0" w:line="255"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ESAs</w:t>
      </w:r>
      <w:r>
        <w:rPr>
          <w:rFonts w:ascii="Arial" w:cs="Arial" w:eastAsia="Arial" w:hAnsi="Arial"/>
          <w:sz w:val="18"/>
          <w:szCs w:val="18"/>
          <w:color w:val="auto"/>
        </w:rPr>
        <w:t>. Under the ESAs, NCM LLC is the exclusive provider within the United States of advertising services in the founding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use of the lobby entertainment network (“LEN”) and rights to sell and display certain lobby promotions. Further, 30 to 60 seconds of advertising included in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is sold to the founding members to satisfy the founding members’ on-screen advertising commitments under their beverage concessionaire agreements. In consideration for access to the founding members’ theaters, theater patrons, the network</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54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560" w:right="460"/>
        <w:spacing w:after="0" w:line="277" w:lineRule="auto"/>
        <w:rPr>
          <w:sz w:val="20"/>
          <w:szCs w:val="20"/>
          <w:color w:val="auto"/>
        </w:rPr>
      </w:pPr>
      <w:r>
        <w:rPr>
          <w:rFonts w:ascii="Arial" w:cs="Arial" w:eastAsia="Arial" w:hAnsi="Arial"/>
          <w:sz w:val="18"/>
          <w:szCs w:val="18"/>
          <w:color w:val="auto"/>
        </w:rPr>
        <w:t>equipment required to display on-screen and LEN video advertising and the use of theaters for lobby promotions, the founding members receive a monthly theater access fee.</w:t>
      </w:r>
    </w:p>
    <w:p>
      <w:pPr>
        <w:spacing w:after="0" w:line="58" w:lineRule="exact"/>
        <w:rPr>
          <w:sz w:val="20"/>
          <w:szCs w:val="20"/>
          <w:color w:val="auto"/>
        </w:rPr>
      </w:pPr>
    </w:p>
    <w:p>
      <w:pPr>
        <w:ind w:left="560" w:right="40" w:hanging="558"/>
        <w:spacing w:after="0" w:line="266"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theaters or sale or closure of theaters that are operated by each founding member and included in the Company’s network.</w:t>
      </w:r>
    </w:p>
    <w:p>
      <w:pPr>
        <w:spacing w:after="0" w:line="68" w:lineRule="exact"/>
        <w:rPr>
          <w:rFonts w:ascii="Arial" w:cs="Arial" w:eastAsia="Arial" w:hAnsi="Arial"/>
          <w:sz w:val="18"/>
          <w:szCs w:val="18"/>
          <w:color w:val="auto"/>
        </w:rPr>
      </w:pPr>
    </w:p>
    <w:p>
      <w:pPr>
        <w:ind w:left="560" w:right="140" w:hanging="558"/>
        <w:spacing w:after="0" w:line="303" w:lineRule="auto"/>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NCM, Inc.’s IPO, NCM LLC was granted a perpetual, royalty-free license from the founding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to use certain proprietary software that existed at the time for the delivery of digital advertising and other content through the DCN to screens in the U.S. NCM LLC has made improvements to this software since NCM, Inc.’s IPO date and the Company owns those improvements, except for improvements that were developed jointly by NCM LLC and the founding members, if any.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ind w:lef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44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Included in the Condensed Statements of Income:</w:t>
            </w:r>
          </w:p>
        </w:tc>
        <w:tc>
          <w:tcPr>
            <w:tcW w:w="6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5"/>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4"/>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4"/>
                <w:szCs w:val="14"/>
                <w:b w:val="1"/>
                <w:bCs w:val="1"/>
                <w:color w:val="auto"/>
                <w:w w:val="89"/>
              </w:rPr>
              <w:t>September 28,</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4"/>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2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20" w:type="dxa"/>
            <w:vAlign w:val="bottom"/>
            <w:gridSpan w:val="5"/>
          </w:tcPr>
          <w:p>
            <w:pPr>
              <w:ind w:left="240"/>
              <w:spacing w:after="0" w:line="182" w:lineRule="exact"/>
              <w:rPr>
                <w:sz w:val="20"/>
                <w:szCs w:val="20"/>
                <w:color w:val="auto"/>
              </w:rPr>
            </w:pPr>
            <w:r>
              <w:rPr>
                <w:rFonts w:ascii="Arial" w:cs="Arial" w:eastAsia="Arial" w:hAnsi="Arial"/>
                <w:sz w:val="18"/>
                <w:szCs w:val="18"/>
                <w:color w:val="auto"/>
              </w:rPr>
              <w:t>Revenue: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shd w:val="clear" w:color="auto" w:fill="CFF2FA"/>
          </w:tcPr>
          <w:p>
            <w:pPr>
              <w:spacing w:after="0"/>
              <w:rPr>
                <w:sz w:val="18"/>
                <w:szCs w:val="18"/>
                <w:color w:val="auto"/>
              </w:rPr>
            </w:pPr>
          </w:p>
        </w:tc>
        <w:tc>
          <w:tcPr>
            <w:tcW w:w="4180" w:type="dxa"/>
            <w:vAlign w:val="bottom"/>
            <w:gridSpan w:val="4"/>
            <w:shd w:val="clear" w:color="auto" w:fill="CFF2FA"/>
          </w:tcPr>
          <w:p>
            <w:pPr>
              <w:ind w:left="140"/>
              <w:spacing w:after="0"/>
              <w:rPr>
                <w:sz w:val="20"/>
                <w:szCs w:val="20"/>
                <w:color w:val="auto"/>
              </w:rPr>
            </w:pPr>
            <w:r>
              <w:rPr>
                <w:rFonts w:ascii="Arial" w:cs="Arial" w:eastAsia="Arial" w:hAnsi="Arial"/>
                <w:sz w:val="18"/>
                <w:szCs w:val="18"/>
                <w:color w:val="auto"/>
              </w:rPr>
              <w:t>Beverage concessionaire revenue (included in</w:t>
            </w:r>
          </w:p>
        </w:tc>
        <w:tc>
          <w:tcPr>
            <w:tcW w:w="6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2FA"/>
          </w:tcPr>
          <w:p>
            <w:pPr>
              <w:spacing w:after="0"/>
              <w:rPr>
                <w:sz w:val="20"/>
                <w:szCs w:val="20"/>
                <w:color w:val="auto"/>
              </w:rPr>
            </w:pPr>
          </w:p>
        </w:tc>
        <w:tc>
          <w:tcPr>
            <w:tcW w:w="4180" w:type="dxa"/>
            <w:vAlign w:val="bottom"/>
            <w:gridSpan w:val="4"/>
            <w:shd w:val="clear" w:color="auto" w:fill="CFF2FA"/>
          </w:tcPr>
          <w:p>
            <w:pPr>
              <w:ind w:left="26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(1)</w:t>
            </w:r>
          </w:p>
        </w:tc>
        <w:tc>
          <w:tcPr>
            <w:tcW w:w="7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6.7</w:t>
            </w:r>
          </w:p>
        </w:tc>
        <w:tc>
          <w:tcPr>
            <w:tcW w:w="3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38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22.7</w:t>
            </w:r>
          </w:p>
        </w:tc>
        <w:tc>
          <w:tcPr>
            <w:tcW w:w="3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4180" w:type="dxa"/>
            <w:vAlign w:val="bottom"/>
            <w:gridSpan w:val="4"/>
          </w:tcPr>
          <w:p>
            <w:pPr>
              <w:ind w:left="140"/>
              <w:spacing w:after="0"/>
              <w:rPr>
                <w:sz w:val="20"/>
                <w:szCs w:val="20"/>
                <w:color w:val="auto"/>
              </w:rPr>
            </w:pPr>
            <w:r>
              <w:rPr>
                <w:rFonts w:ascii="Arial" w:cs="Arial" w:eastAsia="Arial" w:hAnsi="Arial"/>
                <w:sz w:val="18"/>
                <w:szCs w:val="18"/>
                <w:color w:val="auto"/>
              </w:rPr>
              <w:t>Advertising inventory revenue (included in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180" w:type="dxa"/>
            <w:vAlign w:val="bottom"/>
            <w:gridSpan w:val="4"/>
          </w:tcPr>
          <w:p>
            <w:pPr>
              <w:ind w:left="26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(2)</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 w:type="dxa"/>
            <w:vAlign w:val="bottom"/>
            <w:tcBorders>
              <w:bottom w:val="single" w:sz="8" w:color="CFF2FA"/>
            </w:tcBorders>
            <w:shd w:val="clear" w:color="auto" w:fill="CFF2FA"/>
          </w:tcPr>
          <w:p>
            <w:pPr>
              <w:spacing w:after="0"/>
              <w:rPr>
                <w:sz w:val="18"/>
                <w:szCs w:val="18"/>
                <w:color w:val="auto"/>
              </w:rPr>
            </w:pPr>
          </w:p>
        </w:tc>
        <w:tc>
          <w:tcPr>
            <w:tcW w:w="1480" w:type="dxa"/>
            <w:vAlign w:val="bottom"/>
            <w:tcBorders>
              <w:bottom w:val="single" w:sz="8" w:color="auto"/>
            </w:tcBorders>
            <w:gridSpan w:val="2"/>
            <w:shd w:val="clear" w:color="auto" w:fill="CFF2FA"/>
          </w:tcPr>
          <w:p>
            <w:pPr>
              <w:spacing w:after="0" w:line="189" w:lineRule="exact"/>
              <w:rPr>
                <w:sz w:val="20"/>
                <w:szCs w:val="20"/>
                <w:color w:val="auto"/>
              </w:rPr>
            </w:pPr>
            <w:r>
              <w:rPr>
                <w:rFonts w:ascii="Arial" w:cs="Arial" w:eastAsia="Arial" w:hAnsi="Arial"/>
                <w:sz w:val="18"/>
                <w:szCs w:val="18"/>
                <w:color w:val="auto"/>
                <w:w w:val="87"/>
              </w:rPr>
              <w:t>Operating expenses:</w:t>
            </w:r>
          </w:p>
        </w:tc>
        <w:tc>
          <w:tcPr>
            <w:tcW w:w="2700" w:type="dxa"/>
            <w:vAlign w:val="bottom"/>
            <w:tcBorders>
              <w:bottom w:val="single" w:sz="8" w:color="CFF2FA"/>
            </w:tcBorders>
            <w:gridSpan w:val="2"/>
            <w:shd w:val="clear" w:color="auto" w:fill="CFF2FA"/>
          </w:tcPr>
          <w:p>
            <w:pPr>
              <w:spacing w:after="0"/>
              <w:rPr>
                <w:sz w:val="18"/>
                <w:szCs w:val="18"/>
                <w:color w:val="auto"/>
              </w:rPr>
            </w:pPr>
          </w:p>
        </w:tc>
        <w:tc>
          <w:tcPr>
            <w:tcW w:w="620" w:type="dxa"/>
            <w:vAlign w:val="bottom"/>
            <w:tcBorders>
              <w:bottom w:val="single" w:sz="8" w:color="CFF2FA"/>
            </w:tcBorders>
            <w:shd w:val="clear" w:color="auto" w:fill="CFF2FA"/>
          </w:tcPr>
          <w:p>
            <w:pPr>
              <w:spacing w:after="0"/>
              <w:rPr>
                <w:sz w:val="18"/>
                <w:szCs w:val="18"/>
                <w:color w:val="auto"/>
              </w:rPr>
            </w:pPr>
          </w:p>
        </w:tc>
        <w:tc>
          <w:tcPr>
            <w:tcW w:w="80" w:type="dxa"/>
            <w:vAlign w:val="bottom"/>
            <w:tcBorders>
              <w:bottom w:val="single" w:sz="8" w:color="CFF2FA"/>
            </w:tcBorders>
            <w:shd w:val="clear" w:color="auto" w:fill="CFF2FA"/>
          </w:tcPr>
          <w:p>
            <w:pPr>
              <w:spacing w:after="0"/>
              <w:rPr>
                <w:sz w:val="18"/>
                <w:szCs w:val="18"/>
                <w:color w:val="auto"/>
              </w:rPr>
            </w:pPr>
          </w:p>
        </w:tc>
        <w:tc>
          <w:tcPr>
            <w:tcW w:w="1020" w:type="dxa"/>
            <w:vAlign w:val="bottom"/>
            <w:tcBorders>
              <w:bottom w:val="single" w:sz="8" w:color="CFF2FA"/>
            </w:tcBorders>
            <w:shd w:val="clear" w:color="auto" w:fill="CFF2FA"/>
          </w:tcPr>
          <w:p>
            <w:pPr>
              <w:spacing w:after="0"/>
              <w:rPr>
                <w:sz w:val="18"/>
                <w:szCs w:val="18"/>
                <w:color w:val="auto"/>
              </w:rPr>
            </w:pPr>
          </w:p>
        </w:tc>
        <w:tc>
          <w:tcPr>
            <w:tcW w:w="220" w:type="dxa"/>
            <w:vAlign w:val="bottom"/>
            <w:tcBorders>
              <w:bottom w:val="single" w:sz="8" w:color="CFF2FA"/>
            </w:tcBorders>
            <w:shd w:val="clear" w:color="auto" w:fill="CFF2FA"/>
          </w:tcPr>
          <w:p>
            <w:pPr>
              <w:spacing w:after="0"/>
              <w:rPr>
                <w:sz w:val="18"/>
                <w:szCs w:val="18"/>
                <w:color w:val="auto"/>
              </w:rPr>
            </w:pPr>
          </w:p>
        </w:tc>
        <w:tc>
          <w:tcPr>
            <w:tcW w:w="80" w:type="dxa"/>
            <w:vAlign w:val="bottom"/>
            <w:tcBorders>
              <w:bottom w:val="single" w:sz="8" w:color="CFF2FA"/>
            </w:tcBorders>
            <w:shd w:val="clear" w:color="auto" w:fill="CFF2FA"/>
          </w:tcPr>
          <w:p>
            <w:pPr>
              <w:spacing w:after="0"/>
              <w:rPr>
                <w:sz w:val="18"/>
                <w:szCs w:val="18"/>
                <w:color w:val="auto"/>
              </w:rPr>
            </w:pPr>
          </w:p>
        </w:tc>
        <w:tc>
          <w:tcPr>
            <w:tcW w:w="1020" w:type="dxa"/>
            <w:vAlign w:val="bottom"/>
            <w:tcBorders>
              <w:bottom w:val="single" w:sz="8" w:color="CFF2FA"/>
            </w:tcBorders>
            <w:shd w:val="clear" w:color="auto" w:fill="CFF2FA"/>
          </w:tcPr>
          <w:p>
            <w:pPr>
              <w:spacing w:after="0"/>
              <w:rPr>
                <w:sz w:val="18"/>
                <w:szCs w:val="18"/>
                <w:color w:val="auto"/>
              </w:rPr>
            </w:pPr>
          </w:p>
        </w:tc>
        <w:tc>
          <w:tcPr>
            <w:tcW w:w="280" w:type="dxa"/>
            <w:vAlign w:val="bottom"/>
            <w:tcBorders>
              <w:bottom w:val="single" w:sz="8" w:color="CFF2FA"/>
            </w:tcBorders>
            <w:shd w:val="clear" w:color="auto" w:fill="CFF2FA"/>
          </w:tcPr>
          <w:p>
            <w:pPr>
              <w:spacing w:after="0"/>
              <w:rPr>
                <w:sz w:val="18"/>
                <w:szCs w:val="18"/>
                <w:color w:val="auto"/>
              </w:rPr>
            </w:pPr>
          </w:p>
        </w:tc>
        <w:tc>
          <w:tcPr>
            <w:tcW w:w="100" w:type="dxa"/>
            <w:vAlign w:val="bottom"/>
            <w:tcBorders>
              <w:bottom w:val="single" w:sz="8" w:color="CFF2FA"/>
            </w:tcBorders>
            <w:shd w:val="clear" w:color="auto" w:fill="CFF2FA"/>
          </w:tcPr>
          <w:p>
            <w:pPr>
              <w:spacing w:after="0"/>
              <w:rPr>
                <w:sz w:val="18"/>
                <w:szCs w:val="18"/>
                <w:color w:val="auto"/>
              </w:rPr>
            </w:pPr>
          </w:p>
        </w:tc>
        <w:tc>
          <w:tcPr>
            <w:tcW w:w="1020" w:type="dxa"/>
            <w:vAlign w:val="bottom"/>
            <w:tcBorders>
              <w:bottom w:val="single" w:sz="8" w:color="CFF2FA"/>
            </w:tcBorders>
            <w:shd w:val="clear" w:color="auto" w:fill="CFF2FA"/>
          </w:tcPr>
          <w:p>
            <w:pPr>
              <w:spacing w:after="0"/>
              <w:rPr>
                <w:sz w:val="18"/>
                <w:szCs w:val="18"/>
                <w:color w:val="auto"/>
              </w:rPr>
            </w:pPr>
          </w:p>
        </w:tc>
        <w:tc>
          <w:tcPr>
            <w:tcW w:w="220" w:type="dxa"/>
            <w:vAlign w:val="bottom"/>
            <w:tcBorders>
              <w:bottom w:val="single" w:sz="8" w:color="CFF2FA"/>
            </w:tcBorders>
            <w:shd w:val="clear" w:color="auto" w:fill="CFF2FA"/>
          </w:tcPr>
          <w:p>
            <w:pPr>
              <w:spacing w:after="0"/>
              <w:rPr>
                <w:sz w:val="18"/>
                <w:szCs w:val="18"/>
                <w:color w:val="auto"/>
              </w:rPr>
            </w:pPr>
          </w:p>
        </w:tc>
        <w:tc>
          <w:tcPr>
            <w:tcW w:w="80" w:type="dxa"/>
            <w:vAlign w:val="bottom"/>
            <w:tcBorders>
              <w:bottom w:val="single" w:sz="8" w:color="CFF2FA"/>
            </w:tcBorders>
            <w:shd w:val="clear" w:color="auto" w:fill="CFF2FA"/>
          </w:tcPr>
          <w:p>
            <w:pPr>
              <w:spacing w:after="0"/>
              <w:rPr>
                <w:sz w:val="18"/>
                <w:szCs w:val="18"/>
                <w:color w:val="auto"/>
              </w:rPr>
            </w:pPr>
          </w:p>
        </w:tc>
        <w:tc>
          <w:tcPr>
            <w:tcW w:w="1020" w:type="dxa"/>
            <w:vAlign w:val="bottom"/>
            <w:tcBorders>
              <w:bottom w:val="single" w:sz="8" w:color="CFF2FA"/>
            </w:tcBorders>
            <w:shd w:val="clear" w:color="auto" w:fill="CFF2FA"/>
          </w:tcPr>
          <w:p>
            <w:pPr>
              <w:spacing w:after="0"/>
              <w:rPr>
                <w:sz w:val="18"/>
                <w:szCs w:val="18"/>
                <w:color w:val="auto"/>
              </w:rPr>
            </w:pPr>
          </w:p>
        </w:tc>
        <w:tc>
          <w:tcPr>
            <w:tcW w:w="100" w:type="dxa"/>
            <w:vAlign w:val="bottom"/>
            <w:tcBorders>
              <w:bottom w:val="single" w:sz="8" w:color="CFF2FA"/>
            </w:tcBorders>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180" w:type="dxa"/>
            <w:vAlign w:val="bottom"/>
            <w:gridSpan w:val="4"/>
          </w:tcPr>
          <w:p>
            <w:pPr>
              <w:ind w:left="140"/>
              <w:spacing w:after="0"/>
              <w:rPr>
                <w:sz w:val="20"/>
                <w:szCs w:val="20"/>
                <w:color w:val="auto"/>
              </w:rPr>
            </w:pPr>
            <w:r>
              <w:rPr>
                <w:rFonts w:ascii="Arial" w:cs="Arial" w:eastAsia="Arial" w:hAnsi="Arial"/>
                <w:sz w:val="18"/>
                <w:szCs w:val="18"/>
                <w:color w:val="auto"/>
              </w:rPr>
              <w:t xml:space="preserve">Theater access fee </w:t>
            </w:r>
            <w:r>
              <w:rPr>
                <w:rFonts w:ascii="Arial" w:cs="Arial" w:eastAsia="Arial" w:hAnsi="Arial"/>
                <w:sz w:val="18"/>
                <w:szCs w:val="18"/>
                <w:i w:val="1"/>
                <w:iCs w:val="1"/>
                <w:color w:val="auto"/>
              </w:rPr>
              <w:t>(3)</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2FA"/>
          </w:tcPr>
          <w:p>
            <w:pPr>
              <w:spacing w:after="0"/>
              <w:rPr>
                <w:sz w:val="18"/>
                <w:szCs w:val="18"/>
                <w:color w:val="auto"/>
              </w:rPr>
            </w:pPr>
          </w:p>
        </w:tc>
        <w:tc>
          <w:tcPr>
            <w:tcW w:w="4180" w:type="dxa"/>
            <w:vAlign w:val="bottom"/>
            <w:gridSpan w:val="4"/>
            <w:shd w:val="clear" w:color="auto" w:fill="CFF2FA"/>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6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FF2FA"/>
          </w:tcPr>
          <w:p>
            <w:pPr>
              <w:spacing w:after="0"/>
              <w:rPr>
                <w:sz w:val="18"/>
                <w:szCs w:val="18"/>
                <w:color w:val="auto"/>
              </w:rPr>
            </w:pPr>
          </w:p>
        </w:tc>
        <w:tc>
          <w:tcPr>
            <w:tcW w:w="4180" w:type="dxa"/>
            <w:vAlign w:val="bottom"/>
            <w:gridSpan w:val="4"/>
            <w:shd w:val="clear" w:color="auto" w:fill="CFF2FA"/>
          </w:tcPr>
          <w:p>
            <w:pPr>
              <w:ind w:left="260"/>
              <w:spacing w:after="0"/>
              <w:rPr>
                <w:sz w:val="20"/>
                <w:szCs w:val="20"/>
                <w:color w:val="auto"/>
              </w:rPr>
            </w:pPr>
            <w:r>
              <w:rPr>
                <w:rFonts w:ascii="Arial" w:cs="Arial" w:eastAsia="Arial" w:hAnsi="Arial"/>
                <w:sz w:val="18"/>
                <w:szCs w:val="18"/>
                <w:color w:val="auto"/>
              </w:rPr>
              <w:t>products and rental of theater space (included</w:t>
            </w:r>
          </w:p>
        </w:tc>
        <w:tc>
          <w:tcPr>
            <w:tcW w:w="6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2FA"/>
          </w:tcPr>
          <w:p>
            <w:pPr>
              <w:spacing w:after="0"/>
              <w:rPr>
                <w:sz w:val="20"/>
                <w:szCs w:val="20"/>
                <w:color w:val="auto"/>
              </w:rPr>
            </w:pPr>
          </w:p>
        </w:tc>
        <w:tc>
          <w:tcPr>
            <w:tcW w:w="4180" w:type="dxa"/>
            <w:vAlign w:val="bottom"/>
            <w:gridSpan w:val="4"/>
            <w:shd w:val="clear" w:color="auto" w:fill="CFF2FA"/>
          </w:tcPr>
          <w:p>
            <w:pPr>
              <w:ind w:left="260"/>
              <w:spacing w:after="0"/>
              <w:rPr>
                <w:sz w:val="20"/>
                <w:szCs w:val="20"/>
                <w:color w:val="auto"/>
              </w:rPr>
            </w:pPr>
            <w:r>
              <w:rPr>
                <w:rFonts w:ascii="Arial" w:cs="Arial" w:eastAsia="Arial" w:hAnsi="Arial"/>
                <w:sz w:val="18"/>
                <w:szCs w:val="18"/>
                <w:color w:val="auto"/>
              </w:rPr>
              <w:t xml:space="preserve">in selling and marketing costs) </w:t>
            </w:r>
            <w:r>
              <w:rPr>
                <w:rFonts w:ascii="Arial" w:cs="Arial" w:eastAsia="Arial" w:hAnsi="Arial"/>
                <w:sz w:val="18"/>
                <w:szCs w:val="18"/>
                <w:i w:val="1"/>
                <w:iCs w:val="1"/>
                <w:color w:val="auto"/>
              </w:rPr>
              <w:t>(4)</w:t>
            </w:r>
          </w:p>
        </w:tc>
        <w:tc>
          <w:tcPr>
            <w:tcW w:w="620" w:type="dxa"/>
            <w:vAlign w:val="bottom"/>
            <w:shd w:val="clear" w:color="auto" w:fill="CFF2FA"/>
          </w:tcPr>
          <w:p>
            <w:pPr>
              <w:spacing w:after="0"/>
              <w:rPr>
                <w:sz w:val="20"/>
                <w:szCs w:val="20"/>
                <w:color w:val="auto"/>
              </w:rPr>
            </w:pPr>
          </w:p>
        </w:tc>
        <w:tc>
          <w:tcPr>
            <w:tcW w:w="80" w:type="dxa"/>
            <w:vAlign w:val="bottom"/>
            <w:shd w:val="clear" w:color="auto" w:fill="CFF2FA"/>
          </w:tcPr>
          <w:p>
            <w:pPr>
              <w:spacing w:after="0"/>
              <w:rPr>
                <w:sz w:val="20"/>
                <w:szCs w:val="20"/>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2FA"/>
          </w:tcPr>
          <w:p>
            <w:pPr>
              <w:spacing w:after="0"/>
              <w:rPr>
                <w:sz w:val="20"/>
                <w:szCs w:val="20"/>
                <w:color w:val="auto"/>
              </w:rPr>
            </w:pPr>
          </w:p>
        </w:tc>
        <w:tc>
          <w:tcPr>
            <w:tcW w:w="80" w:type="dxa"/>
            <w:vAlign w:val="bottom"/>
            <w:shd w:val="clear" w:color="auto" w:fill="CFF2FA"/>
          </w:tcPr>
          <w:p>
            <w:pPr>
              <w:spacing w:after="0"/>
              <w:rPr>
                <w:sz w:val="20"/>
                <w:szCs w:val="20"/>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2FA"/>
          </w:tcPr>
          <w:p>
            <w:pPr>
              <w:spacing w:after="0"/>
              <w:rPr>
                <w:sz w:val="20"/>
                <w:szCs w:val="20"/>
                <w:color w:val="auto"/>
              </w:rPr>
            </w:pPr>
          </w:p>
        </w:tc>
        <w:tc>
          <w:tcPr>
            <w:tcW w:w="80" w:type="dxa"/>
            <w:vAlign w:val="bottom"/>
            <w:shd w:val="clear" w:color="auto" w:fill="CFF2FA"/>
          </w:tcPr>
          <w:p>
            <w:pPr>
              <w:spacing w:after="0"/>
              <w:rPr>
                <w:sz w:val="20"/>
                <w:szCs w:val="20"/>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4180" w:type="dxa"/>
            <w:vAlign w:val="bottom"/>
            <w:gridSpan w:val="4"/>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Arial" w:cs="Arial" w:eastAsia="Arial" w:hAnsi="Arial"/>
                <w:sz w:val="18"/>
                <w:szCs w:val="18"/>
                <w:color w:val="auto"/>
              </w:rPr>
              <w:t>products and rental of theater space (included</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180" w:type="dxa"/>
            <w:vAlign w:val="bottom"/>
            <w:gridSpan w:val="4"/>
          </w:tcPr>
          <w:p>
            <w:pPr>
              <w:ind w:left="260"/>
              <w:spacing w:after="0"/>
              <w:rPr>
                <w:sz w:val="20"/>
                <w:szCs w:val="20"/>
                <w:color w:val="auto"/>
              </w:rPr>
            </w:pPr>
            <w:r>
              <w:rPr>
                <w:rFonts w:ascii="Arial" w:cs="Arial" w:eastAsia="Arial" w:hAnsi="Arial"/>
                <w:sz w:val="18"/>
                <w:szCs w:val="18"/>
                <w:color w:val="auto"/>
              </w:rPr>
              <w:t xml:space="preserve">in advertising operating costs) </w:t>
            </w:r>
            <w:r>
              <w:rPr>
                <w:rFonts w:ascii="Arial" w:cs="Arial" w:eastAsia="Arial" w:hAnsi="Arial"/>
                <w:sz w:val="18"/>
                <w:szCs w:val="18"/>
                <w:i w:val="1"/>
                <w:iCs w:val="1"/>
                <w:color w:val="auto"/>
              </w:rPr>
              <w:t>(4)</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40" w:type="dxa"/>
            <w:vAlign w:val="bottom"/>
            <w:shd w:val="clear" w:color="auto" w:fill="CFF2FA"/>
          </w:tcPr>
          <w:p>
            <w:pPr>
              <w:spacing w:after="0"/>
              <w:rPr>
                <w:sz w:val="18"/>
                <w:szCs w:val="18"/>
                <w:color w:val="auto"/>
              </w:rPr>
            </w:pPr>
          </w:p>
        </w:tc>
        <w:tc>
          <w:tcPr>
            <w:tcW w:w="4180" w:type="dxa"/>
            <w:vAlign w:val="bottom"/>
            <w:gridSpan w:val="4"/>
            <w:shd w:val="clear" w:color="auto" w:fill="CFF2FA"/>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6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FF2FA"/>
          </w:tcPr>
          <w:p>
            <w:pPr>
              <w:spacing w:after="0"/>
              <w:rPr>
                <w:sz w:val="18"/>
                <w:szCs w:val="18"/>
                <w:color w:val="auto"/>
              </w:rPr>
            </w:pPr>
          </w:p>
        </w:tc>
        <w:tc>
          <w:tcPr>
            <w:tcW w:w="4180" w:type="dxa"/>
            <w:vAlign w:val="bottom"/>
            <w:gridSpan w:val="4"/>
            <w:shd w:val="clear" w:color="auto" w:fill="CFF2FA"/>
          </w:tcPr>
          <w:p>
            <w:pPr>
              <w:ind w:left="260"/>
              <w:spacing w:after="0"/>
              <w:rPr>
                <w:sz w:val="20"/>
                <w:szCs w:val="20"/>
                <w:color w:val="auto"/>
              </w:rPr>
            </w:pPr>
            <w:r>
              <w:rPr>
                <w:rFonts w:ascii="Arial" w:cs="Arial" w:eastAsia="Arial" w:hAnsi="Arial"/>
                <w:sz w:val="18"/>
                <w:szCs w:val="18"/>
                <w:color w:val="auto"/>
              </w:rPr>
              <w:t>products and rental of theater space (included</w:t>
            </w:r>
          </w:p>
        </w:tc>
        <w:tc>
          <w:tcPr>
            <w:tcW w:w="6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2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2FA"/>
          </w:tcPr>
          <w:p>
            <w:pPr>
              <w:spacing w:after="0"/>
              <w:rPr>
                <w:sz w:val="20"/>
                <w:szCs w:val="20"/>
                <w:color w:val="auto"/>
              </w:rPr>
            </w:pPr>
          </w:p>
        </w:tc>
        <w:tc>
          <w:tcPr>
            <w:tcW w:w="4180" w:type="dxa"/>
            <w:vAlign w:val="bottom"/>
            <w:gridSpan w:val="4"/>
            <w:shd w:val="clear" w:color="auto" w:fill="CFF2FA"/>
          </w:tcPr>
          <w:p>
            <w:pPr>
              <w:ind w:left="260"/>
              <w:spacing w:after="0"/>
              <w:rPr>
                <w:sz w:val="20"/>
                <w:szCs w:val="20"/>
                <w:color w:val="auto"/>
              </w:rPr>
            </w:pPr>
            <w:r>
              <w:rPr>
                <w:rFonts w:ascii="Arial" w:cs="Arial" w:eastAsia="Arial" w:hAnsi="Arial"/>
                <w:sz w:val="18"/>
                <w:szCs w:val="18"/>
                <w:color w:val="auto"/>
              </w:rPr>
              <w:t xml:space="preserve">in administrative and other costs) </w:t>
            </w:r>
            <w:r>
              <w:rPr>
                <w:rFonts w:ascii="Arial" w:cs="Arial" w:eastAsia="Arial" w:hAnsi="Arial"/>
                <w:sz w:val="18"/>
                <w:szCs w:val="18"/>
                <w:i w:val="1"/>
                <w:iCs w:val="1"/>
                <w:color w:val="auto"/>
              </w:rPr>
              <w:t>(4)</w:t>
            </w:r>
          </w:p>
        </w:tc>
        <w:tc>
          <w:tcPr>
            <w:tcW w:w="620" w:type="dxa"/>
            <w:vAlign w:val="bottom"/>
            <w:shd w:val="clear" w:color="auto" w:fill="CFF2FA"/>
          </w:tcPr>
          <w:p>
            <w:pPr>
              <w:spacing w:after="0"/>
              <w:rPr>
                <w:sz w:val="20"/>
                <w:szCs w:val="20"/>
                <w:color w:val="auto"/>
              </w:rPr>
            </w:pPr>
          </w:p>
        </w:tc>
        <w:tc>
          <w:tcPr>
            <w:tcW w:w="80" w:type="dxa"/>
            <w:vAlign w:val="bottom"/>
            <w:shd w:val="clear" w:color="auto" w:fill="CFF2FA"/>
          </w:tcPr>
          <w:p>
            <w:pPr>
              <w:spacing w:after="0"/>
              <w:rPr>
                <w:sz w:val="20"/>
                <w:szCs w:val="20"/>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2FA"/>
          </w:tcPr>
          <w:p>
            <w:pPr>
              <w:spacing w:after="0"/>
              <w:rPr>
                <w:sz w:val="20"/>
                <w:szCs w:val="20"/>
                <w:color w:val="auto"/>
              </w:rPr>
            </w:pPr>
          </w:p>
        </w:tc>
        <w:tc>
          <w:tcPr>
            <w:tcW w:w="80" w:type="dxa"/>
            <w:vAlign w:val="bottom"/>
            <w:shd w:val="clear" w:color="auto" w:fill="CFF2FA"/>
          </w:tcPr>
          <w:p>
            <w:pPr>
              <w:spacing w:after="0"/>
              <w:rPr>
                <w:sz w:val="20"/>
                <w:szCs w:val="20"/>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2FA"/>
          </w:tcPr>
          <w:p>
            <w:pPr>
              <w:spacing w:after="0"/>
              <w:rPr>
                <w:sz w:val="20"/>
                <w:szCs w:val="20"/>
                <w:color w:val="auto"/>
              </w:rPr>
            </w:pPr>
          </w:p>
        </w:tc>
        <w:tc>
          <w:tcPr>
            <w:tcW w:w="80" w:type="dxa"/>
            <w:vAlign w:val="bottom"/>
            <w:shd w:val="clear" w:color="auto" w:fill="CFF2FA"/>
          </w:tcPr>
          <w:p>
            <w:pPr>
              <w:spacing w:after="0"/>
              <w:rPr>
                <w:sz w:val="20"/>
                <w:szCs w:val="20"/>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180" w:type="dxa"/>
            <w:vAlign w:val="bottom"/>
            <w:gridSpan w:val="4"/>
          </w:tcPr>
          <w:p>
            <w:pPr>
              <w:ind w:left="14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(5)</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0" w:type="dxa"/>
            <w:vAlign w:val="bottom"/>
            <w:shd w:val="clear" w:color="auto" w:fill="CFF2FA"/>
          </w:tcPr>
          <w:p>
            <w:pPr>
              <w:spacing w:after="0"/>
              <w:rPr>
                <w:sz w:val="16"/>
                <w:szCs w:val="16"/>
                <w:color w:val="auto"/>
              </w:rPr>
            </w:pPr>
          </w:p>
        </w:tc>
        <w:tc>
          <w:tcPr>
            <w:tcW w:w="4180" w:type="dxa"/>
            <w:vAlign w:val="bottom"/>
            <w:gridSpan w:val="4"/>
            <w:shd w:val="clear" w:color="auto" w:fill="CFF2FA"/>
          </w:tcPr>
          <w:p>
            <w:pPr>
              <w:spacing w:after="0" w:line="189" w:lineRule="exact"/>
              <w:rPr>
                <w:sz w:val="20"/>
                <w:szCs w:val="20"/>
                <w:color w:val="auto"/>
              </w:rPr>
            </w:pPr>
            <w:r>
              <w:rPr>
                <w:rFonts w:ascii="Arial" w:cs="Arial" w:eastAsia="Arial" w:hAnsi="Arial"/>
                <w:sz w:val="18"/>
                <w:szCs w:val="18"/>
                <w:color w:val="auto"/>
              </w:rPr>
              <w:t>Non-operating expenses:</w:t>
            </w:r>
          </w:p>
        </w:tc>
        <w:tc>
          <w:tcPr>
            <w:tcW w:w="620" w:type="dxa"/>
            <w:vAlign w:val="bottom"/>
            <w:shd w:val="clear" w:color="auto" w:fill="CFF2FA"/>
          </w:tcPr>
          <w:p>
            <w:pPr>
              <w:spacing w:after="0"/>
              <w:rPr>
                <w:sz w:val="16"/>
                <w:szCs w:val="16"/>
                <w:color w:val="auto"/>
              </w:rPr>
            </w:pPr>
          </w:p>
        </w:tc>
        <w:tc>
          <w:tcPr>
            <w:tcW w:w="80" w:type="dxa"/>
            <w:vAlign w:val="bottom"/>
            <w:shd w:val="clear" w:color="auto" w:fill="CFF2FA"/>
          </w:tcPr>
          <w:p>
            <w:pPr>
              <w:spacing w:after="0"/>
              <w:rPr>
                <w:sz w:val="16"/>
                <w:szCs w:val="16"/>
                <w:color w:val="auto"/>
              </w:rPr>
            </w:pPr>
          </w:p>
        </w:tc>
        <w:tc>
          <w:tcPr>
            <w:tcW w:w="1020" w:type="dxa"/>
            <w:vAlign w:val="bottom"/>
            <w:shd w:val="clear" w:color="auto" w:fill="CFF2FA"/>
          </w:tcPr>
          <w:p>
            <w:pPr>
              <w:spacing w:after="0"/>
              <w:rPr>
                <w:sz w:val="16"/>
                <w:szCs w:val="16"/>
                <w:color w:val="auto"/>
              </w:rPr>
            </w:pPr>
          </w:p>
        </w:tc>
        <w:tc>
          <w:tcPr>
            <w:tcW w:w="220" w:type="dxa"/>
            <w:vAlign w:val="bottom"/>
            <w:shd w:val="clear" w:color="auto" w:fill="CFF2FA"/>
          </w:tcPr>
          <w:p>
            <w:pPr>
              <w:spacing w:after="0"/>
              <w:rPr>
                <w:sz w:val="16"/>
                <w:szCs w:val="16"/>
                <w:color w:val="auto"/>
              </w:rPr>
            </w:pPr>
          </w:p>
        </w:tc>
        <w:tc>
          <w:tcPr>
            <w:tcW w:w="80" w:type="dxa"/>
            <w:vAlign w:val="bottom"/>
            <w:shd w:val="clear" w:color="auto" w:fill="CFF2FA"/>
          </w:tcPr>
          <w:p>
            <w:pPr>
              <w:spacing w:after="0"/>
              <w:rPr>
                <w:sz w:val="16"/>
                <w:szCs w:val="16"/>
                <w:color w:val="auto"/>
              </w:rPr>
            </w:pPr>
          </w:p>
        </w:tc>
        <w:tc>
          <w:tcPr>
            <w:tcW w:w="1020" w:type="dxa"/>
            <w:vAlign w:val="bottom"/>
            <w:shd w:val="clear" w:color="auto" w:fill="CFF2FA"/>
          </w:tcPr>
          <w:p>
            <w:pPr>
              <w:spacing w:after="0"/>
              <w:rPr>
                <w:sz w:val="16"/>
                <w:szCs w:val="16"/>
                <w:color w:val="auto"/>
              </w:rPr>
            </w:pPr>
          </w:p>
        </w:tc>
        <w:tc>
          <w:tcPr>
            <w:tcW w:w="280" w:type="dxa"/>
            <w:vAlign w:val="bottom"/>
            <w:shd w:val="clear" w:color="auto" w:fill="CFF2FA"/>
          </w:tcPr>
          <w:p>
            <w:pPr>
              <w:spacing w:after="0"/>
              <w:rPr>
                <w:sz w:val="16"/>
                <w:szCs w:val="16"/>
                <w:color w:val="auto"/>
              </w:rPr>
            </w:pPr>
          </w:p>
        </w:tc>
        <w:tc>
          <w:tcPr>
            <w:tcW w:w="100" w:type="dxa"/>
            <w:vAlign w:val="bottom"/>
            <w:shd w:val="clear" w:color="auto" w:fill="CFF2FA"/>
          </w:tcPr>
          <w:p>
            <w:pPr>
              <w:spacing w:after="0"/>
              <w:rPr>
                <w:sz w:val="16"/>
                <w:szCs w:val="16"/>
                <w:color w:val="auto"/>
              </w:rPr>
            </w:pPr>
          </w:p>
        </w:tc>
        <w:tc>
          <w:tcPr>
            <w:tcW w:w="1020" w:type="dxa"/>
            <w:vAlign w:val="bottom"/>
            <w:shd w:val="clear" w:color="auto" w:fill="CFF2FA"/>
          </w:tcPr>
          <w:p>
            <w:pPr>
              <w:spacing w:after="0"/>
              <w:rPr>
                <w:sz w:val="16"/>
                <w:szCs w:val="16"/>
                <w:color w:val="auto"/>
              </w:rPr>
            </w:pPr>
          </w:p>
        </w:tc>
        <w:tc>
          <w:tcPr>
            <w:tcW w:w="220" w:type="dxa"/>
            <w:vAlign w:val="bottom"/>
            <w:shd w:val="clear" w:color="auto" w:fill="CFF2FA"/>
          </w:tcPr>
          <w:p>
            <w:pPr>
              <w:spacing w:after="0"/>
              <w:rPr>
                <w:sz w:val="16"/>
                <w:szCs w:val="16"/>
                <w:color w:val="auto"/>
              </w:rPr>
            </w:pPr>
          </w:p>
        </w:tc>
        <w:tc>
          <w:tcPr>
            <w:tcW w:w="80" w:type="dxa"/>
            <w:vAlign w:val="bottom"/>
            <w:shd w:val="clear" w:color="auto" w:fill="CFF2FA"/>
          </w:tcPr>
          <w:p>
            <w:pPr>
              <w:spacing w:after="0"/>
              <w:rPr>
                <w:sz w:val="16"/>
                <w:szCs w:val="16"/>
                <w:color w:val="auto"/>
              </w:rPr>
            </w:pPr>
          </w:p>
        </w:tc>
        <w:tc>
          <w:tcPr>
            <w:tcW w:w="1020" w:type="dxa"/>
            <w:vAlign w:val="bottom"/>
            <w:shd w:val="clear" w:color="auto" w:fill="CFF2FA"/>
          </w:tcPr>
          <w:p>
            <w:pPr>
              <w:spacing w:after="0"/>
              <w:rPr>
                <w:sz w:val="16"/>
                <w:szCs w:val="16"/>
                <w:color w:val="auto"/>
              </w:rPr>
            </w:pPr>
          </w:p>
        </w:tc>
        <w:tc>
          <w:tcPr>
            <w:tcW w:w="100" w:type="dxa"/>
            <w:vAlign w:val="bottom"/>
            <w:shd w:val="clear" w:color="auto" w:fill="CFF2FA"/>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2FA"/>
            </w:tcBorders>
            <w:shd w:val="clear" w:color="auto" w:fill="CFF2FA"/>
          </w:tcPr>
          <w:p>
            <w:pPr>
              <w:spacing w:after="0" w:line="20" w:lineRule="exact"/>
              <w:rPr>
                <w:sz w:val="1"/>
                <w:szCs w:val="1"/>
                <w:color w:val="auto"/>
              </w:rPr>
            </w:pPr>
          </w:p>
        </w:tc>
        <w:tc>
          <w:tcPr>
            <w:tcW w:w="680" w:type="dxa"/>
            <w:vAlign w:val="bottom"/>
            <w:tcBorders>
              <w:top w:val="single" w:sz="8" w:color="auto"/>
            </w:tcBorders>
            <w:shd w:val="clear" w:color="auto" w:fill="CFF2FA"/>
          </w:tcPr>
          <w:p>
            <w:pPr>
              <w:spacing w:after="0" w:line="20" w:lineRule="exact"/>
              <w:rPr>
                <w:sz w:val="1"/>
                <w:szCs w:val="1"/>
                <w:color w:val="auto"/>
              </w:rPr>
            </w:pPr>
          </w:p>
        </w:tc>
        <w:tc>
          <w:tcPr>
            <w:tcW w:w="800" w:type="dxa"/>
            <w:vAlign w:val="bottom"/>
            <w:tcBorders>
              <w:top w:val="single" w:sz="8" w:color="auto"/>
            </w:tcBorders>
            <w:shd w:val="clear" w:color="auto" w:fill="CFF2FA"/>
          </w:tcPr>
          <w:p>
            <w:pPr>
              <w:spacing w:after="0" w:line="20" w:lineRule="exact"/>
              <w:rPr>
                <w:sz w:val="1"/>
                <w:szCs w:val="1"/>
                <w:color w:val="auto"/>
              </w:rPr>
            </w:pPr>
          </w:p>
        </w:tc>
        <w:tc>
          <w:tcPr>
            <w:tcW w:w="320" w:type="dxa"/>
            <w:vAlign w:val="bottom"/>
            <w:tcBorders>
              <w:top w:val="single" w:sz="8" w:color="auto"/>
            </w:tcBorders>
            <w:shd w:val="clear" w:color="auto" w:fill="CFF2FA"/>
          </w:tcPr>
          <w:p>
            <w:pPr>
              <w:spacing w:after="0" w:line="20" w:lineRule="exact"/>
              <w:rPr>
                <w:sz w:val="1"/>
                <w:szCs w:val="1"/>
                <w:color w:val="auto"/>
              </w:rPr>
            </w:pPr>
          </w:p>
        </w:tc>
        <w:tc>
          <w:tcPr>
            <w:tcW w:w="2380" w:type="dxa"/>
            <w:vAlign w:val="bottom"/>
            <w:tcBorders>
              <w:top w:val="single" w:sz="8" w:color="CFF2FA"/>
            </w:tcBorders>
            <w:shd w:val="clear" w:color="auto" w:fill="CFF2FA"/>
          </w:tcPr>
          <w:p>
            <w:pPr>
              <w:spacing w:after="0" w:line="20" w:lineRule="exact"/>
              <w:rPr>
                <w:sz w:val="1"/>
                <w:szCs w:val="1"/>
                <w:color w:val="auto"/>
              </w:rPr>
            </w:pPr>
          </w:p>
        </w:tc>
        <w:tc>
          <w:tcPr>
            <w:tcW w:w="620" w:type="dxa"/>
            <w:vAlign w:val="bottom"/>
            <w:tcBorders>
              <w:top w:val="single" w:sz="8" w:color="CFF2FA"/>
            </w:tcBorders>
            <w:shd w:val="clear" w:color="auto" w:fill="CFF2FA"/>
          </w:tcPr>
          <w:p>
            <w:pPr>
              <w:spacing w:after="0" w:line="20" w:lineRule="exact"/>
              <w:rPr>
                <w:sz w:val="1"/>
                <w:szCs w:val="1"/>
                <w:color w:val="auto"/>
              </w:rPr>
            </w:pPr>
          </w:p>
        </w:tc>
        <w:tc>
          <w:tcPr>
            <w:tcW w:w="80" w:type="dxa"/>
            <w:vAlign w:val="bottom"/>
            <w:tcBorders>
              <w:top w:val="single" w:sz="8" w:color="CFF2FA"/>
            </w:tcBorders>
            <w:shd w:val="clear" w:color="auto" w:fill="CFF2FA"/>
          </w:tcPr>
          <w:p>
            <w:pPr>
              <w:spacing w:after="0" w:line="20" w:lineRule="exact"/>
              <w:rPr>
                <w:sz w:val="1"/>
                <w:szCs w:val="1"/>
                <w:color w:val="auto"/>
              </w:rPr>
            </w:pPr>
          </w:p>
        </w:tc>
        <w:tc>
          <w:tcPr>
            <w:tcW w:w="1020" w:type="dxa"/>
            <w:vAlign w:val="bottom"/>
            <w:tcBorders>
              <w:top w:val="single" w:sz="8" w:color="CFF2FA"/>
            </w:tcBorders>
            <w:shd w:val="clear" w:color="auto" w:fill="CFF2FA"/>
          </w:tcPr>
          <w:p>
            <w:pPr>
              <w:spacing w:after="0" w:line="20" w:lineRule="exact"/>
              <w:rPr>
                <w:sz w:val="1"/>
                <w:szCs w:val="1"/>
                <w:color w:val="auto"/>
              </w:rPr>
            </w:pPr>
          </w:p>
        </w:tc>
        <w:tc>
          <w:tcPr>
            <w:tcW w:w="220" w:type="dxa"/>
            <w:vAlign w:val="bottom"/>
            <w:tcBorders>
              <w:top w:val="single" w:sz="8" w:color="CFF2FA"/>
            </w:tcBorders>
            <w:shd w:val="clear" w:color="auto" w:fill="CFF2FA"/>
          </w:tcPr>
          <w:p>
            <w:pPr>
              <w:spacing w:after="0" w:line="20" w:lineRule="exact"/>
              <w:rPr>
                <w:sz w:val="1"/>
                <w:szCs w:val="1"/>
                <w:color w:val="auto"/>
              </w:rPr>
            </w:pPr>
          </w:p>
        </w:tc>
        <w:tc>
          <w:tcPr>
            <w:tcW w:w="80" w:type="dxa"/>
            <w:vAlign w:val="bottom"/>
            <w:tcBorders>
              <w:top w:val="single" w:sz="8" w:color="CFF2FA"/>
            </w:tcBorders>
            <w:shd w:val="clear" w:color="auto" w:fill="CFF2FA"/>
          </w:tcPr>
          <w:p>
            <w:pPr>
              <w:spacing w:after="0" w:line="20" w:lineRule="exact"/>
              <w:rPr>
                <w:sz w:val="1"/>
                <w:szCs w:val="1"/>
                <w:color w:val="auto"/>
              </w:rPr>
            </w:pPr>
          </w:p>
        </w:tc>
        <w:tc>
          <w:tcPr>
            <w:tcW w:w="1020" w:type="dxa"/>
            <w:vAlign w:val="bottom"/>
            <w:tcBorders>
              <w:top w:val="single" w:sz="8" w:color="CFF2FA"/>
            </w:tcBorders>
            <w:shd w:val="clear" w:color="auto" w:fill="CFF2FA"/>
          </w:tcPr>
          <w:p>
            <w:pPr>
              <w:spacing w:after="0" w:line="20" w:lineRule="exact"/>
              <w:rPr>
                <w:sz w:val="1"/>
                <w:szCs w:val="1"/>
                <w:color w:val="auto"/>
              </w:rPr>
            </w:pPr>
          </w:p>
        </w:tc>
        <w:tc>
          <w:tcPr>
            <w:tcW w:w="280" w:type="dxa"/>
            <w:vAlign w:val="bottom"/>
            <w:tcBorders>
              <w:top w:val="single" w:sz="8" w:color="CFF2FA"/>
            </w:tcBorders>
            <w:shd w:val="clear" w:color="auto" w:fill="CFF2FA"/>
          </w:tcPr>
          <w:p>
            <w:pPr>
              <w:spacing w:after="0" w:line="20" w:lineRule="exact"/>
              <w:rPr>
                <w:sz w:val="1"/>
                <w:szCs w:val="1"/>
                <w:color w:val="auto"/>
              </w:rPr>
            </w:pPr>
          </w:p>
        </w:tc>
        <w:tc>
          <w:tcPr>
            <w:tcW w:w="100" w:type="dxa"/>
            <w:vAlign w:val="bottom"/>
            <w:tcBorders>
              <w:top w:val="single" w:sz="8" w:color="CFF2FA"/>
            </w:tcBorders>
            <w:shd w:val="clear" w:color="auto" w:fill="CFF2FA"/>
          </w:tcPr>
          <w:p>
            <w:pPr>
              <w:spacing w:after="0" w:line="20" w:lineRule="exact"/>
              <w:rPr>
                <w:sz w:val="1"/>
                <w:szCs w:val="1"/>
                <w:color w:val="auto"/>
              </w:rPr>
            </w:pPr>
          </w:p>
        </w:tc>
        <w:tc>
          <w:tcPr>
            <w:tcW w:w="1020" w:type="dxa"/>
            <w:vAlign w:val="bottom"/>
            <w:tcBorders>
              <w:top w:val="single" w:sz="8" w:color="CFF2FA"/>
            </w:tcBorders>
            <w:shd w:val="clear" w:color="auto" w:fill="CFF2FA"/>
          </w:tcPr>
          <w:p>
            <w:pPr>
              <w:spacing w:after="0" w:line="20" w:lineRule="exact"/>
              <w:rPr>
                <w:sz w:val="1"/>
                <w:szCs w:val="1"/>
                <w:color w:val="auto"/>
              </w:rPr>
            </w:pPr>
          </w:p>
        </w:tc>
        <w:tc>
          <w:tcPr>
            <w:tcW w:w="220" w:type="dxa"/>
            <w:vAlign w:val="bottom"/>
            <w:tcBorders>
              <w:top w:val="single" w:sz="8" w:color="CFF2FA"/>
            </w:tcBorders>
            <w:shd w:val="clear" w:color="auto" w:fill="CFF2FA"/>
          </w:tcPr>
          <w:p>
            <w:pPr>
              <w:spacing w:after="0" w:line="20" w:lineRule="exact"/>
              <w:rPr>
                <w:sz w:val="1"/>
                <w:szCs w:val="1"/>
                <w:color w:val="auto"/>
              </w:rPr>
            </w:pPr>
          </w:p>
        </w:tc>
        <w:tc>
          <w:tcPr>
            <w:tcW w:w="80" w:type="dxa"/>
            <w:vAlign w:val="bottom"/>
            <w:tcBorders>
              <w:top w:val="single" w:sz="8" w:color="CFF2FA"/>
            </w:tcBorders>
            <w:shd w:val="clear" w:color="auto" w:fill="CFF2FA"/>
          </w:tcPr>
          <w:p>
            <w:pPr>
              <w:spacing w:after="0" w:line="20" w:lineRule="exact"/>
              <w:rPr>
                <w:sz w:val="1"/>
                <w:szCs w:val="1"/>
                <w:color w:val="auto"/>
              </w:rPr>
            </w:pPr>
          </w:p>
        </w:tc>
        <w:tc>
          <w:tcPr>
            <w:tcW w:w="1020" w:type="dxa"/>
            <w:vAlign w:val="bottom"/>
            <w:tcBorders>
              <w:top w:val="single" w:sz="8" w:color="CFF2FA"/>
            </w:tcBorders>
            <w:shd w:val="clear" w:color="auto" w:fill="CFF2FA"/>
          </w:tcPr>
          <w:p>
            <w:pPr>
              <w:spacing w:after="0" w:line="20" w:lineRule="exact"/>
              <w:rPr>
                <w:sz w:val="1"/>
                <w:szCs w:val="1"/>
                <w:color w:val="auto"/>
              </w:rPr>
            </w:pPr>
          </w:p>
        </w:tc>
        <w:tc>
          <w:tcPr>
            <w:tcW w:w="100" w:type="dxa"/>
            <w:vAlign w:val="bottom"/>
            <w:tcBorders>
              <w:top w:val="single" w:sz="8" w:color="CFF2FA"/>
            </w:tcBorders>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4180" w:type="dxa"/>
            <w:vAlign w:val="bottom"/>
            <w:gridSpan w:val="4"/>
          </w:tcPr>
          <w:p>
            <w:pPr>
              <w:ind w:left="140"/>
              <w:spacing w:after="0"/>
              <w:rPr>
                <w:sz w:val="20"/>
                <w:szCs w:val="20"/>
                <w:color w:val="auto"/>
              </w:rPr>
            </w:pPr>
            <w:r>
              <w:rPr>
                <w:rFonts w:ascii="Arial" w:cs="Arial" w:eastAsia="Arial" w:hAnsi="Arial"/>
                <w:sz w:val="18"/>
                <w:szCs w:val="18"/>
                <w:color w:val="auto"/>
              </w:rPr>
              <w:t>Interest income from notes receivable (included</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180" w:type="dxa"/>
            <w:vAlign w:val="bottom"/>
            <w:gridSpan w:val="4"/>
          </w:tcPr>
          <w:p>
            <w:pPr>
              <w:ind w:left="260"/>
              <w:spacing w:after="0"/>
              <w:rPr>
                <w:sz w:val="20"/>
                <w:szCs w:val="20"/>
                <w:color w:val="auto"/>
              </w:rPr>
            </w:pPr>
            <w:r>
              <w:rPr>
                <w:rFonts w:ascii="Arial" w:cs="Arial" w:eastAsia="Arial" w:hAnsi="Arial"/>
                <w:sz w:val="18"/>
                <w:szCs w:val="18"/>
                <w:color w:val="auto"/>
              </w:rPr>
              <w:t xml:space="preserve">in interest income) </w:t>
            </w:r>
            <w:r>
              <w:rPr>
                <w:rFonts w:ascii="Arial" w:cs="Arial" w:eastAsia="Arial" w:hAnsi="Arial"/>
                <w:sz w:val="18"/>
                <w:szCs w:val="18"/>
                <w:i w:val="1"/>
                <w:iCs w:val="1"/>
                <w:color w:val="auto"/>
              </w:rPr>
              <w:t>(6)</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right="300" w:hanging="558"/>
        <w:spacing w:after="0" w:line="254" w:lineRule="auto"/>
        <w:tabs>
          <w:tab w:leader="none" w:pos="5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For the nine months ended September 28, 2017 and September 29, 2016,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cost per thousand (“CPM”) rate specified by the ESA.</w:t>
      </w:r>
    </w:p>
    <w:p>
      <w:pPr>
        <w:spacing w:after="0" w:line="2" w:lineRule="exact"/>
        <w:rPr>
          <w:rFonts w:ascii="Arial" w:cs="Arial" w:eastAsia="Arial" w:hAnsi="Arial"/>
          <w:sz w:val="18"/>
          <w:szCs w:val="18"/>
          <w:i w:val="1"/>
          <w:iCs w:val="1"/>
          <w:color w:val="auto"/>
        </w:rPr>
      </w:pPr>
    </w:p>
    <w:p>
      <w:pPr>
        <w:ind w:left="560" w:hanging="558"/>
        <w:spacing w:after="0"/>
        <w:tabs>
          <w:tab w:leader="none" w:pos="5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560" w:right="360" w:hanging="558"/>
        <w:spacing w:after="0" w:line="250" w:lineRule="auto"/>
        <w:tabs>
          <w:tab w:leader="none" w:pos="5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theater attendee and payments per digital screen with respect to the founding member theaters included in the Company’s network, including payments for access to higher quality digital cinema equipment.</w:t>
      </w:r>
    </w:p>
    <w:p>
      <w:pPr>
        <w:ind w:left="560" w:hanging="558"/>
        <w:spacing w:after="0"/>
        <w:tabs>
          <w:tab w:leader="none" w:pos="5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560" w:hanging="558"/>
        <w:spacing w:after="0" w:line="295" w:lineRule="auto"/>
        <w:tabs>
          <w:tab w:leader="none" w:pos="560"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Pursuant to the Management Services Agreement between NCM, Inc. and NCM LLC, NCM, Inc. provides certain specific management services to NCM LLC, including the services of the Chief Executive Officer, President, Chief Financial Officer, Executive Vice President, General Counsel and Executive Vice President, People and Organization. In exchange for these services, NCM LLC reimburses NCM, Inc. for compensation paid to the officers (including share based compensation) and other expenses of the officers and for certain out-of-pocket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-1680210</wp:posOffset>
            </wp:positionV>
            <wp:extent cx="17151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8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800" w:top="121" w:right="25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120" w:right="60" w:hanging="558"/>
        <w:spacing w:after="0" w:line="257" w:lineRule="auto"/>
        <w:tabs>
          <w:tab w:leader="none" w:pos="11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On December 26, 2013, the Company sold its Fathom Events business to a newly formed limited liability company (AC JV, LLC) owned 32% by each of the founding members and 4% by NCM LLC. In consideration for the sale, the Company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 the Condensed Balance Sheets:</w:t>
            </w:r>
          </w:p>
        </w:tc>
        <w:tc>
          <w:tcPr>
            <w:tcW w:w="1800" w:type="dxa"/>
            <w:vAlign w:val="bottom"/>
            <w:gridSpan w:val="3"/>
          </w:tcPr>
          <w:p>
            <w:pPr>
              <w:ind w:left="240"/>
              <w:spacing w:after="0" w:line="133" w:lineRule="exact"/>
              <w:rPr>
                <w:sz w:val="20"/>
                <w:szCs w:val="20"/>
                <w:color w:val="auto"/>
              </w:rPr>
            </w:pPr>
            <w:r>
              <w:rPr>
                <w:rFonts w:ascii="Arial" w:cs="Arial" w:eastAsia="Arial" w:hAnsi="Arial"/>
                <w:sz w:val="14"/>
                <w:szCs w:val="14"/>
                <w:b w:val="1"/>
                <w:bCs w:val="1"/>
                <w:color w:val="auto"/>
              </w:rPr>
              <w:t>September 28,</w:t>
            </w:r>
          </w:p>
        </w:tc>
        <w:tc>
          <w:tcPr>
            <w:tcW w:w="1280" w:type="dxa"/>
            <w:vAlign w:val="bottom"/>
          </w:tcPr>
          <w:p>
            <w:pPr>
              <w:jc w:val="right"/>
              <w:ind w:right="215"/>
              <w:spacing w:after="0" w:line="133"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100" w:type="dxa"/>
            <w:vAlign w:val="bottom"/>
            <w:gridSpan w:val="2"/>
            <w:vMerge w:val="continue"/>
          </w:tcPr>
          <w:p>
            <w:pPr>
              <w:spacing w:after="0"/>
              <w:rPr>
                <w:sz w:val="14"/>
                <w:szCs w:val="14"/>
                <w:color w:val="auto"/>
              </w:rPr>
            </w:pPr>
          </w:p>
        </w:tc>
        <w:tc>
          <w:tcPr>
            <w:tcW w:w="1400" w:type="dxa"/>
            <w:vAlign w:val="bottom"/>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auto"/>
            </w:tcBorders>
            <w:shd w:val="clear" w:color="auto" w:fill="CFF2FA"/>
          </w:tcPr>
          <w:p>
            <w:pPr>
              <w:ind w:left="240"/>
              <w:spacing w:after="0"/>
              <w:rPr>
                <w:sz w:val="20"/>
                <w:szCs w:val="20"/>
                <w:color w:val="auto"/>
              </w:rPr>
            </w:pPr>
            <w:r>
              <w:rPr>
                <w:rFonts w:ascii="Arial" w:cs="Arial" w:eastAsia="Arial" w:hAnsi="Arial"/>
                <w:sz w:val="18"/>
                <w:szCs w:val="18"/>
                <w:color w:val="auto"/>
              </w:rPr>
              <w:t xml:space="preserve">Current portion of notes receivable - founding members </w:t>
            </w:r>
            <w:r>
              <w:rPr>
                <w:rFonts w:ascii="Arial" w:cs="Arial" w:eastAsia="Arial" w:hAnsi="Arial"/>
                <w:sz w:val="18"/>
                <w:szCs w:val="18"/>
                <w:i w:val="1"/>
                <w:iCs w:val="1"/>
                <w:color w:val="auto"/>
              </w:rPr>
              <w:t>(1)</w:t>
            </w:r>
          </w:p>
        </w:tc>
        <w:tc>
          <w:tcPr>
            <w:tcW w:w="160" w:type="dxa"/>
            <w:vAlign w:val="bottom"/>
            <w:tcBorders>
              <w:top w:val="single" w:sz="8" w:color="CFF2FA"/>
            </w:tcBorders>
            <w:shd w:val="clear" w:color="auto" w:fill="CFF2FA"/>
          </w:tcPr>
          <w:p>
            <w:pPr>
              <w:spacing w:after="0"/>
              <w:rPr>
                <w:sz w:val="19"/>
                <w:szCs w:val="19"/>
                <w:color w:val="auto"/>
              </w:rPr>
            </w:pPr>
          </w:p>
        </w:tc>
        <w:tc>
          <w:tcPr>
            <w:tcW w:w="14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tcBorders>
            <w:shd w:val="clear" w:color="auto" w:fill="CFF2FA"/>
          </w:tcPr>
          <w:p>
            <w:pPr>
              <w:spacing w:after="0"/>
              <w:rPr>
                <w:sz w:val="19"/>
                <w:szCs w:val="19"/>
                <w:color w:val="auto"/>
              </w:rPr>
            </w:pPr>
          </w:p>
        </w:tc>
        <w:tc>
          <w:tcPr>
            <w:tcW w:w="128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 xml:space="preserve">Long-term portion of notes receivable - founding members </w:t>
            </w:r>
            <w:r>
              <w:rPr>
                <w:rFonts w:ascii="Arial" w:cs="Arial" w:eastAsia="Arial" w:hAnsi="Arial"/>
                <w:sz w:val="18"/>
                <w:szCs w:val="18"/>
                <w:i w:val="1"/>
                <w:iCs w:val="1"/>
                <w:color w:val="auto"/>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gridSpan w:val="2"/>
            <w:shd w:val="clear" w:color="auto" w:fill="CFF2FA"/>
          </w:tcPr>
          <w:p>
            <w:pPr>
              <w:ind w:left="240"/>
              <w:spacing w:after="0"/>
              <w:rPr>
                <w:sz w:val="20"/>
                <w:szCs w:val="20"/>
                <w:color w:val="auto"/>
              </w:rPr>
            </w:pPr>
            <w:r>
              <w:rPr>
                <w:rFonts w:ascii="Arial" w:cs="Arial" w:eastAsia="Arial" w:hAnsi="Arial"/>
                <w:sz w:val="18"/>
                <w:szCs w:val="18"/>
                <w:color w:val="auto"/>
              </w:rPr>
              <w:t>Interest receivable on notes receivable (included in</w:t>
            </w:r>
          </w:p>
        </w:tc>
        <w:tc>
          <w:tcPr>
            <w:tcW w:w="140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2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2FA"/>
          </w:tcPr>
          <w:p>
            <w:pPr>
              <w:ind w:left="38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(1)</w:t>
            </w:r>
          </w:p>
        </w:tc>
        <w:tc>
          <w:tcPr>
            <w:tcW w:w="14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2FA"/>
          </w:tcPr>
          <w:p>
            <w:pPr>
              <w:spacing w:after="0"/>
              <w:rPr>
                <w:sz w:val="20"/>
                <w:szCs w:val="20"/>
                <w:color w:val="auto"/>
              </w:rPr>
            </w:pPr>
          </w:p>
        </w:tc>
        <w:tc>
          <w:tcPr>
            <w:tcW w:w="140" w:type="dxa"/>
            <w:vAlign w:val="bottom"/>
            <w:shd w:val="clear" w:color="auto" w:fill="CFF2FA"/>
          </w:tcPr>
          <w:p>
            <w:pPr>
              <w:spacing w:after="0"/>
              <w:rPr>
                <w:sz w:val="20"/>
                <w:szCs w:val="20"/>
                <w:color w:val="auto"/>
              </w:rPr>
            </w:pPr>
          </w:p>
        </w:tc>
        <w:tc>
          <w:tcPr>
            <w:tcW w:w="12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140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gridSpan w:val="2"/>
            <w:shd w:val="clear" w:color="auto" w:fill="CFF2FA"/>
          </w:tcPr>
          <w:p>
            <w:pPr>
              <w:ind w:left="240"/>
              <w:spacing w:after="0"/>
              <w:rPr>
                <w:sz w:val="20"/>
                <w:szCs w:val="20"/>
                <w:color w:val="auto"/>
              </w:rPr>
            </w:pPr>
            <w:r>
              <w:rPr>
                <w:rFonts w:ascii="Arial" w:cs="Arial" w:eastAsia="Arial" w:hAnsi="Arial"/>
                <w:sz w:val="18"/>
                <w:szCs w:val="18"/>
                <w:color w:val="auto"/>
              </w:rPr>
              <w:t>Common unit adjustments, net of amortization and integration</w:t>
            </w:r>
          </w:p>
        </w:tc>
        <w:tc>
          <w:tcPr>
            <w:tcW w:w="140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2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2FA"/>
          </w:tcPr>
          <w:p>
            <w:pPr>
              <w:ind w:left="380"/>
              <w:spacing w:after="0"/>
              <w:rPr>
                <w:sz w:val="20"/>
                <w:szCs w:val="20"/>
                <w:color w:val="auto"/>
              </w:rPr>
            </w:pPr>
            <w:r>
              <w:rPr>
                <w:rFonts w:ascii="Arial" w:cs="Arial" w:eastAsia="Arial" w:hAnsi="Arial"/>
                <w:sz w:val="18"/>
                <w:szCs w:val="18"/>
                <w:color w:val="auto"/>
              </w:rPr>
              <w:t xml:space="preserve">payments (included in intangible assets) </w:t>
            </w:r>
            <w:r>
              <w:rPr>
                <w:rFonts w:ascii="Arial" w:cs="Arial" w:eastAsia="Arial" w:hAnsi="Arial"/>
                <w:sz w:val="18"/>
                <w:szCs w:val="18"/>
                <w:i w:val="1"/>
                <w:iCs w:val="1"/>
                <w:color w:val="auto"/>
              </w:rPr>
              <w:t>(3)</w:t>
            </w:r>
          </w:p>
        </w:tc>
        <w:tc>
          <w:tcPr>
            <w:tcW w:w="14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702.2</w:t>
            </w:r>
          </w:p>
        </w:tc>
        <w:tc>
          <w:tcPr>
            <w:tcW w:w="260" w:type="dxa"/>
            <w:vAlign w:val="bottom"/>
            <w:shd w:val="clear" w:color="auto" w:fill="CFF2FA"/>
          </w:tcPr>
          <w:p>
            <w:pPr>
              <w:spacing w:after="0"/>
              <w:rPr>
                <w:sz w:val="20"/>
                <w:szCs w:val="20"/>
                <w:color w:val="auto"/>
              </w:rPr>
            </w:pPr>
          </w:p>
        </w:tc>
        <w:tc>
          <w:tcPr>
            <w:tcW w:w="140" w:type="dxa"/>
            <w:vAlign w:val="bottom"/>
            <w:shd w:val="clear" w:color="auto" w:fill="CFF2FA"/>
          </w:tcPr>
          <w:p>
            <w:pPr>
              <w:spacing w:after="0"/>
              <w:rPr>
                <w:sz w:val="20"/>
                <w:szCs w:val="20"/>
                <w:color w:val="auto"/>
              </w:rPr>
            </w:pPr>
          </w:p>
        </w:tc>
        <w:tc>
          <w:tcPr>
            <w:tcW w:w="12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529.9</w:t>
            </w:r>
          </w:p>
        </w:tc>
        <w:tc>
          <w:tcPr>
            <w:tcW w:w="10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23" w:lineRule="exact"/>
        <w:rPr>
          <w:rFonts w:ascii="Arial" w:cs="Arial" w:eastAsia="Arial" w:hAnsi="Arial"/>
          <w:sz w:val="18"/>
          <w:szCs w:val="18"/>
          <w:i w:val="1"/>
          <w:iCs w:val="1"/>
          <w:color w:val="auto"/>
        </w:rPr>
      </w:pPr>
    </w:p>
    <w:p>
      <w:pPr>
        <w:ind w:left="1120" w:right="200" w:hanging="558"/>
        <w:spacing w:after="0" w:line="250" w:lineRule="auto"/>
        <w:tabs>
          <w:tab w:leader="none" w:pos="11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1" w:lineRule="exact"/>
        <w:rPr>
          <w:rFonts w:ascii="Arial" w:cs="Arial" w:eastAsia="Arial" w:hAnsi="Arial"/>
          <w:sz w:val="18"/>
          <w:szCs w:val="18"/>
          <w:i w:val="1"/>
          <w:iCs w:val="1"/>
          <w:color w:val="auto"/>
        </w:rPr>
      </w:pPr>
    </w:p>
    <w:p>
      <w:pPr>
        <w:ind w:left="1120" w:hanging="558"/>
        <w:spacing w:after="0"/>
        <w:tabs>
          <w:tab w:leader="none" w:pos="11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-825500</wp:posOffset>
            </wp:positionV>
            <wp:extent cx="13633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83"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and nine months ended September 28, 2017 and September 29, 2016 were as follows (in millions):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6"/>
          </w:tcPr>
          <w:p>
            <w:pPr>
              <w:ind w:left="74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2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196"/>
              <w:spacing w:after="0" w:line="133" w:lineRule="exact"/>
              <w:rPr>
                <w:sz w:val="20"/>
                <w:szCs w:val="20"/>
                <w:color w:val="auto"/>
              </w:rPr>
            </w:pPr>
            <w:r>
              <w:rPr>
                <w:rFonts w:ascii="Arial" w:cs="Arial" w:eastAsia="Arial" w:hAnsi="Arial"/>
                <w:sz w:val="14"/>
                <w:szCs w:val="14"/>
                <w:b w:val="1"/>
                <w:bCs w:val="1"/>
                <w:color w:val="auto"/>
                <w:w w:val="98"/>
              </w:rPr>
              <w:t>September 28,</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194"/>
              <w:spacing w:after="0" w:line="133" w:lineRule="exact"/>
              <w:rPr>
                <w:sz w:val="20"/>
                <w:szCs w:val="20"/>
                <w:color w:val="auto"/>
              </w:rPr>
            </w:pPr>
            <w:r>
              <w:rPr>
                <w:rFonts w:ascii="Arial" w:cs="Arial" w:eastAsia="Arial" w:hAnsi="Arial"/>
                <w:sz w:val="14"/>
                <w:szCs w:val="14"/>
                <w:b w:val="1"/>
                <w:bCs w:val="1"/>
                <w:color w:val="auto"/>
                <w:w w:val="98"/>
              </w:rPr>
              <w:t>September 29,</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September 28,</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194"/>
              <w:spacing w:after="0" w:line="133" w:lineRule="exact"/>
              <w:rPr>
                <w:sz w:val="20"/>
                <w:szCs w:val="20"/>
                <w:color w:val="auto"/>
              </w:rPr>
            </w:pPr>
            <w:r>
              <w:rPr>
                <w:rFonts w:ascii="Arial" w:cs="Arial" w:eastAsia="Arial" w:hAnsi="Arial"/>
                <w:sz w:val="14"/>
                <w:szCs w:val="14"/>
                <w:b w:val="1"/>
                <w:bCs w:val="1"/>
                <w:color w:val="auto"/>
                <w:w w:val="98"/>
              </w:rPr>
              <w:t>September 29,</w:t>
            </w:r>
          </w:p>
        </w:tc>
        <w:tc>
          <w:tcPr>
            <w:tcW w:w="120" w:type="dxa"/>
            <w:vAlign w:val="bottom"/>
          </w:tcPr>
          <w:p>
            <w:pPr>
              <w:spacing w:after="0"/>
              <w:rPr>
                <w:sz w:val="11"/>
                <w:szCs w:val="11"/>
                <w:color w:val="auto"/>
              </w:rPr>
            </w:pPr>
          </w:p>
        </w:tc>
      </w:tr>
      <w:tr>
        <w:trPr>
          <w:trHeight w:val="171"/>
        </w:trPr>
        <w:tc>
          <w:tcPr>
            <w:tcW w:w="290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AMC</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Cinemark</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Regal</w:t>
            </w:r>
          </w:p>
        </w:tc>
        <w:tc>
          <w:tcPr>
            <w:tcW w:w="8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r>
      <w:tr>
        <w:trPr>
          <w:trHeight w:val="223"/>
        </w:trPr>
        <w:tc>
          <w:tcPr>
            <w:tcW w:w="2900" w:type="dxa"/>
            <w:vAlign w:val="bottom"/>
          </w:tcPr>
          <w:p>
            <w:pPr>
              <w:ind w:left="240"/>
              <w:spacing w:after="0"/>
              <w:rPr>
                <w:sz w:val="20"/>
                <w:szCs w:val="20"/>
                <w:color w:val="auto"/>
              </w:rPr>
            </w:pPr>
            <w:r>
              <w:rPr>
                <w:rFonts w:ascii="Arial" w:cs="Arial" w:eastAsia="Arial" w:hAnsi="Arial"/>
                <w:sz w:val="18"/>
                <w:szCs w:val="18"/>
                <w:color w:val="auto"/>
              </w:rPr>
              <w:t>Total founding members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8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FF0FC"/>
          </w:tcPr>
          <w:p>
            <w:pPr>
              <w:spacing w:after="0"/>
              <w:rPr>
                <w:sz w:val="19"/>
                <w:szCs w:val="19"/>
                <w:color w:val="auto"/>
              </w:rPr>
            </w:pPr>
          </w:p>
        </w:tc>
      </w:tr>
      <w:tr>
        <w:trPr>
          <w:trHeight w:val="223"/>
        </w:trPr>
        <w:tc>
          <w:tcPr>
            <w:tcW w:w="2900" w:type="dxa"/>
            <w:vAlign w:val="bottom"/>
          </w:tcPr>
          <w:p>
            <w:pPr>
              <w:ind w:left="50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The mandatory distributions of available cash by the Company to its founding members for the three months ended September 28, 2017 of $27.2 million is included in amounts due to founding members on the unaudited Condensed Balance Sheets as of September 28, 2017 and will be made in the fourth quarter of 2017. The mandatory distributions of available cash by the Company to its managing member for the three months ended September 28, 2017 of $25.9 million is included in amounts due to managing member on the unaudited Condensed Balance Sheets as of September 28, 2017 and will be made in the fourth quarter of 2017.</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September 28, 2017 were comprised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Regal</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Theater access fees, net of beverage revenues</w:t>
            </w:r>
          </w:p>
        </w:tc>
        <w:tc>
          <w:tcPr>
            <w:tcW w:w="10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encumbered theater payments</w:t>
            </w:r>
          </w:p>
        </w:tc>
        <w:tc>
          <w:tcPr>
            <w:tcW w:w="170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Distributions payable to founding members</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Integration payments due from founding members</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amounts due to founding members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December 29, 2016 were comprised of the following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Regal</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09"/>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Theater access fees, net of beverage revenues</w:t>
            </w:r>
          </w:p>
        </w:tc>
        <w:tc>
          <w:tcPr>
            <w:tcW w:w="8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encumbered theater payments</w:t>
            </w:r>
          </w:p>
        </w:tc>
        <w:tc>
          <w:tcPr>
            <w:tcW w:w="156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20"/>
                <w:szCs w:val="20"/>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Distributions payable to founding members</w:t>
            </w: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Integration payments due from founding members</w:t>
            </w:r>
          </w:p>
        </w:tc>
        <w:tc>
          <w:tcPr>
            <w:tcW w:w="8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23"/>
        </w:trPr>
        <w:tc>
          <w:tcPr>
            <w:tcW w:w="44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amounts due to founding members</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to/from managing member were comprised of the following (in millions):</w:t>
      </w:r>
    </w:p>
    <w:p>
      <w:pPr>
        <w:spacing w:after="0" w:line="298" w:lineRule="exact"/>
        <w:rPr>
          <w:sz w:val="20"/>
          <w:szCs w:val="20"/>
          <w:color w:val="auto"/>
        </w:rPr>
      </w:pPr>
    </w:p>
    <w:tbl>
      <w:tblPr>
        <w:tblLayout w:type="fixed"/>
        <w:tblInd w:w="164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120" w:type="dxa"/>
            <w:vAlign w:val="bottom"/>
          </w:tcPr>
          <w:p>
            <w:pPr>
              <w:spacing w:after="0"/>
              <w:rPr>
                <w:sz w:val="11"/>
                <w:szCs w:val="11"/>
                <w:color w:val="auto"/>
              </w:rPr>
            </w:pPr>
          </w:p>
        </w:tc>
        <w:tc>
          <w:tcPr>
            <w:tcW w:w="10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29,</w:t>
            </w:r>
          </w:p>
        </w:tc>
        <w:tc>
          <w:tcPr>
            <w:tcW w:w="80" w:type="dxa"/>
            <w:vAlign w:val="bottom"/>
          </w:tcPr>
          <w:p>
            <w:pPr>
              <w:spacing w:after="0"/>
              <w:rPr>
                <w:sz w:val="11"/>
                <w:szCs w:val="11"/>
                <w:color w:val="auto"/>
              </w:rPr>
            </w:pPr>
          </w:p>
        </w:tc>
      </w:tr>
      <w:tr>
        <w:trPr>
          <w:trHeight w:val="171"/>
        </w:trPr>
        <w:tc>
          <w:tcPr>
            <w:tcW w:w="80" w:type="dxa"/>
            <w:vAlign w:val="bottom"/>
          </w:tcPr>
          <w:p>
            <w:pPr>
              <w:spacing w:after="0"/>
              <w:rPr>
                <w:sz w:val="14"/>
                <w:szCs w:val="14"/>
                <w:color w:val="auto"/>
              </w:rPr>
            </w:pPr>
          </w:p>
        </w:tc>
        <w:tc>
          <w:tcPr>
            <w:tcW w:w="2360" w:type="dxa"/>
            <w:vAlign w:val="bottom"/>
            <w:tcBorders>
              <w:bottom w:val="single" w:sz="8" w:color="CFF0FC"/>
            </w:tcBorders>
          </w:tcPr>
          <w:p>
            <w:pPr>
              <w:spacing w:after="0"/>
              <w:rPr>
                <w:sz w:val="14"/>
                <w:szCs w:val="14"/>
                <w:color w:val="auto"/>
              </w:rPr>
            </w:pPr>
          </w:p>
        </w:tc>
        <w:tc>
          <w:tcPr>
            <w:tcW w:w="30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8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Distributions payable to managing member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FF0FC"/>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Cost and other reimbursement</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23"/>
        </w:trPr>
        <w:tc>
          <w:tcPr>
            <w:tcW w:w="80" w:type="dxa"/>
            <w:vAlign w:val="bottom"/>
          </w:tcPr>
          <w:p>
            <w:pPr>
              <w:spacing w:after="0"/>
              <w:rPr>
                <w:sz w:val="19"/>
                <w:szCs w:val="19"/>
                <w:color w:val="auto"/>
              </w:rPr>
            </w:pPr>
          </w:p>
        </w:tc>
        <w:tc>
          <w:tcPr>
            <w:tcW w:w="54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 xml:space="preserve">Total amounts due to managing member </w:t>
            </w:r>
            <w:r>
              <w:rPr>
                <w:rFonts w:ascii="Arial" w:cs="Arial" w:eastAsia="Arial" w:hAnsi="Arial"/>
                <w:sz w:val="18"/>
                <w:szCs w:val="18"/>
                <w:i w:val="1"/>
                <w:iCs w:val="1"/>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8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94" w:lineRule="exact"/>
        <w:rPr>
          <w:sz w:val="20"/>
          <w:szCs w:val="20"/>
          <w:color w:val="auto"/>
        </w:rPr>
      </w:pPr>
    </w:p>
    <w:p>
      <w:pPr>
        <w:ind w:left="2020" w:hanging="553"/>
        <w:spacing w:after="0" w:line="302" w:lineRule="auto"/>
        <w:tabs>
          <w:tab w:leader="none" w:pos="2020" w:val="left"/>
        </w:tabs>
        <w:numPr>
          <w:ilvl w:val="0"/>
          <w:numId w:val="6"/>
        </w:numPr>
        <w:rPr>
          <w:rFonts w:ascii="Arial" w:cs="Arial" w:eastAsia="Arial" w:hAnsi="Arial"/>
          <w:sz w:val="16"/>
          <w:szCs w:val="16"/>
          <w:i w:val="1"/>
          <w:iCs w:val="1"/>
          <w:color w:val="auto"/>
        </w:rPr>
      </w:pPr>
      <w:r>
        <w:rPr>
          <w:rFonts w:ascii="Arial" w:cs="Arial" w:eastAsia="Arial" w:hAnsi="Arial"/>
          <w:sz w:val="16"/>
          <w:szCs w:val="16"/>
          <w:color w:val="auto"/>
        </w:rPr>
        <w:t>Subsequent to the issuance of the December 29, 2016 financial statements, an error was identified related to the recording of related party balances between the Company and NCM, Inc. As of September 28, 2017, the Company recorded a reduction of approximately $6.4 million to cost and other reimbursement receivables, resulting in an increase to its “Amounts due to managing member” balance and an equivalent reduction to its members’ capital balance related to the correction of out of period errors.</w:t>
      </w:r>
    </w:p>
    <w:p>
      <w:pPr>
        <w:spacing w:after="0" w:line="46"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b w:val="1"/>
          <w:bCs w:val="1"/>
          <w:i w:val="1"/>
          <w:iCs w:val="1"/>
          <w:color w:val="auto"/>
        </w:rPr>
        <w:t>Common Unit Membership Redemption</w:t>
      </w:r>
      <w:r>
        <w:rPr>
          <w:rFonts w:ascii="Arial" w:cs="Arial" w:eastAsia="Arial" w:hAnsi="Arial"/>
          <w:sz w:val="16"/>
          <w:szCs w:val="16"/>
          <w:color w:val="auto"/>
        </w:rPr>
        <w:t>— The NCM LLC Operating Agreement provides a redemption right of the founding members to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membership units of NCM LLC for shares of NCM Inc.’s common stock on a one-for-one basis, or at NCM Inc.’s option, a cash payment equal to the market price of one share of NCM, Inc. common stock. During the third quarter of 2017, AMC exercised the redemption right of an aggregate 14.6 million common membership units for a like number of shares of NCM, Inc. common stock. AMC also exercised the redemption right of an aggregate 200,000 common membership units for a like number of shares of NCM, Inc. common stock in December 2015. During the three months ended September 28, 2017, 12.0 million of these shares were sold and as of September 28, 2017, 2.8 million of these shares remained outstanding. The 2.8 million shares were subsequently sold on September 29, 2017. During the three and nine months ended September 28, 2017 and September 29, 2016, AMC received cash dividends of approximately $0.0 million, $0.0 million, $0.1 million and $0.1 million, respectively, on these shares of NCM, Inc. common stock.</w:t>
      </w:r>
    </w:p>
    <w:p>
      <w:pPr>
        <w:spacing w:after="0" w:line="58" w:lineRule="exact"/>
        <w:rPr>
          <w:sz w:val="20"/>
          <w:szCs w:val="20"/>
          <w:color w:val="auto"/>
        </w:rPr>
      </w:pPr>
    </w:p>
    <w:p>
      <w:pPr>
        <w:ind w:right="60" w:firstLine="555"/>
        <w:spacing w:after="0" w:line="269" w:lineRule="auto"/>
        <w:rPr>
          <w:sz w:val="20"/>
          <w:szCs w:val="20"/>
          <w:color w:val="auto"/>
        </w:rPr>
      </w:pPr>
      <w:r>
        <w:rPr>
          <w:rFonts w:ascii="Arial" w:cs="Arial" w:eastAsia="Arial" w:hAnsi="Arial"/>
          <w:sz w:val="17"/>
          <w:szCs w:val="17"/>
          <w:b w:val="1"/>
          <w:bCs w:val="1"/>
          <w:i w:val="1"/>
          <w:iCs w:val="1"/>
          <w:color w:val="auto"/>
        </w:rPr>
        <w:t>Memorandum of Understanding with AMC</w:t>
      </w:r>
      <w:r>
        <w:rPr>
          <w:rFonts w:ascii="Arial" w:cs="Arial" w:eastAsia="Arial" w:hAnsi="Arial"/>
          <w:sz w:val="17"/>
          <w:szCs w:val="17"/>
          <w:color w:val="auto"/>
        </w:rPr>
        <w:t>— Pursuant to the Final Judgment, AMC is required to divest the majority of its equity interests in NCM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and NCM, Inc., so that by June 20, 2019 it owns no more than 4.99% of NCM LLC’s common membership units and NCM, Inc. common stock, taken together, on a fully converted basis (“NCM’s outstanding equity interests”). AMC must complete the divestiture per the following schedule: (i) on or before December 20, 2017, AMC must own no more than 15.0% of NCM’s outstanding equity interests, (ii) on or before December 20, 2018, AMC must own no more than 7.5% of NCM’s outstanding equity interests and (iii) on or before June 20, 2019, AMC must own no more than 4.99% of NCM’s outstanding equity interests. Pursuant to the MOU, AMC also has agreed, among other things, subject to limited exceptions to retain at least 4.5% of NCM’s outstanding equity interests during the term of the Final Judgment, subject to certain exceptions which allow for certain sell downs after the 30-month anniversary of the MOU. As of September 28, 2017, AMC owned 15.2% of NCM’s outstanding equity interests. AMC also agreed to reimburse the Company for its incurred and ongoing costs and expenses in connection with the Final Judgment including, but not limited to, its financial advisor and legal fees up to $1.0 million of such costs and expenses. During the nine months ended September 28, 2017, the Company incurred $1.3 million of these costs, of which $1.0 million was reimbursed through the “Amounts due to founding members” within the Condensed Balance Sheets and the remaining $0.3 million is included in administrative costs within the Condensed Income Statement.</w:t>
      </w:r>
    </w:p>
    <w:p>
      <w:pPr>
        <w:spacing w:after="0" w:line="72"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b w:val="1"/>
          <w:bCs w:val="1"/>
          <w:i w:val="1"/>
          <w:iCs w:val="1"/>
          <w:color w:val="auto"/>
        </w:rPr>
        <w:t>AC JV, LLC Transactions</w:t>
      </w:r>
      <w:r>
        <w:rPr>
          <w:rFonts w:ascii="Arial" w:cs="Arial" w:eastAsia="Arial" w:hAnsi="Arial"/>
          <w:sz w:val="18"/>
          <w:szCs w:val="18"/>
          <w:color w:val="auto"/>
        </w:rPr>
        <w:t>—In December 2013, the Company sold its Fathom Events business to a newly formed limited liability company, AC JV,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xml:space="preserve"> (“ASC 323-30”) because AC JV, LLC is a limited liability company with</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$1.1 million and $1.0 million as of September 28, 2017 and December 29, 2016, respectively. Equity in earnings from AC JV, LLC for the three and nine months ended September 28, 2017 and September 29, 2016, were $0.0 million, $0.0 million, $0.1 million and $0.0 million, respectively, and is included in non-operating expenses in the unaudited Condensed Statements of Income.</w:t>
      </w:r>
    </w:p>
    <w:p>
      <w:pPr>
        <w:spacing w:after="0" w:line="81"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—The Company has an agreement with LA Live, an affiliate of The Anschutz Corporation to provide in-theater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Anschutz Corporation is a wholly-owned subsidiary of the Anschutz Company, which is the controlling stockholder of Regal. During the three and nine months ended September 28, 2017 and September 29, 2016, there was $0.1 million, $0.1 million, $0.2 million and $0.2 million, respectively, included in advertising operating costs related to LA Live, and there was approximately $0.1 million and $0.1 million of accounts payable with this company as of September 28, 2017 and December 29, 2016, respectively.</w:t>
      </w:r>
    </w:p>
    <w:p>
      <w:pPr>
        <w:spacing w:after="0" w:line="80" w:lineRule="exact"/>
        <w:rPr>
          <w:sz w:val="20"/>
          <w:szCs w:val="20"/>
          <w:color w:val="auto"/>
        </w:rPr>
      </w:pPr>
    </w:p>
    <w:p>
      <w:pPr>
        <w:ind w:right="240" w:firstLine="555"/>
        <w:spacing w:after="0" w:line="279" w:lineRule="auto"/>
        <w:rPr>
          <w:sz w:val="20"/>
          <w:szCs w:val="20"/>
          <w:color w:val="auto"/>
        </w:rPr>
      </w:pPr>
      <w:r>
        <w:rPr>
          <w:rFonts w:ascii="Arial" w:cs="Arial" w:eastAsia="Arial" w:hAnsi="Arial"/>
          <w:sz w:val="17"/>
          <w:szCs w:val="17"/>
          <w:b w:val="1"/>
          <w:bCs w:val="1"/>
          <w:i w:val="1"/>
          <w:iCs w:val="1"/>
          <w:color w:val="auto"/>
        </w:rPr>
        <w:t>Other Transactions</w:t>
      </w:r>
      <w:r>
        <w:rPr>
          <w:rFonts w:ascii="Arial" w:cs="Arial" w:eastAsia="Arial" w:hAnsi="Arial"/>
          <w:sz w:val="17"/>
          <w:szCs w:val="17"/>
          <w:color w:val="auto"/>
        </w:rPr>
        <w:t>—NCM LLC has an agreement with AEG Live, an affiliate of The Anschutz Corporation, for AEG Live to showcase musical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artists in NCM LLC’s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During the three and nine months ended September 28, 2017 and September 29, 2016, NCM LLC recorded approximately $0.4 million, $0.5 million, $1.0 million and $1.3 million, respectively, in revenue from AEG Live. As of September 28, 2017 and December 29, 2016, the Company had approximately $0.1 million and $0.2 million, respectively, of accounts receivable from AEG Live.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September 28, 2017 and December 29, 2016 and the significant terms of its borrowing arrangements (in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Outstanding Balance as of</w:t>
            </w:r>
          </w:p>
        </w:tc>
        <w:tc>
          <w:tcPr>
            <w:tcW w:w="1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33"/>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Borrowings</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54"/>
              <w:spacing w:after="0" w:line="133" w:lineRule="exact"/>
              <w:rPr>
                <w:sz w:val="20"/>
                <w:szCs w:val="20"/>
                <w:color w:val="auto"/>
              </w:rPr>
            </w:pPr>
            <w:r>
              <w:rPr>
                <w:rFonts w:ascii="Arial" w:cs="Arial" w:eastAsia="Arial" w:hAnsi="Arial"/>
                <w:sz w:val="14"/>
                <w:szCs w:val="14"/>
                <w:b w:val="1"/>
                <w:bCs w:val="1"/>
                <w:color w:val="auto"/>
                <w:w w:val="98"/>
              </w:rPr>
              <w:t>December 29,</w:t>
            </w:r>
          </w:p>
        </w:tc>
        <w:tc>
          <w:tcPr>
            <w:tcW w:w="24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FF2FA"/>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top w:val="single" w:sz="8" w:color="CFF2FA"/>
            </w:tcBorders>
            <w:shd w:val="clear" w:color="auto" w:fill="CFF2FA"/>
          </w:tcPr>
          <w:p>
            <w:pPr>
              <w:spacing w:after="0"/>
              <w:rPr>
                <w:sz w:val="19"/>
                <w:szCs w:val="19"/>
                <w:color w:val="auto"/>
              </w:rPr>
            </w:pPr>
          </w:p>
        </w:tc>
        <w:tc>
          <w:tcPr>
            <w:tcW w:w="1760" w:type="dxa"/>
            <w:vAlign w:val="bottom"/>
            <w:tcBorders>
              <w:top w:val="single" w:sz="8" w:color="auto"/>
            </w:tcBorders>
            <w:shd w:val="clear" w:color="auto" w:fill="CFF2FA"/>
          </w:tcPr>
          <w:p>
            <w:pPr>
              <w:jc w:val="center"/>
              <w:spacing w:after="0"/>
              <w:rPr>
                <w:sz w:val="20"/>
                <w:szCs w:val="20"/>
                <w:color w:val="auto"/>
              </w:rPr>
            </w:pPr>
            <w:r>
              <w:rPr>
                <w:rFonts w:ascii="Arial" w:cs="Arial" w:eastAsia="Arial" w:hAnsi="Arial"/>
                <w:sz w:val="18"/>
                <w:szCs w:val="18"/>
                <w:color w:val="auto"/>
                <w:w w:val="89"/>
              </w:rPr>
              <w:t>November 26, 2019</w:t>
            </w:r>
          </w:p>
        </w:tc>
        <w:tc>
          <w:tcPr>
            <w:tcW w:w="140" w:type="dxa"/>
            <w:vAlign w:val="bottom"/>
            <w:tcBorders>
              <w:top w:val="single" w:sz="8" w:color="CFF2FA"/>
            </w:tcBorders>
            <w:shd w:val="clear" w:color="auto" w:fill="CFF2FA"/>
          </w:tcPr>
          <w:p>
            <w:pPr>
              <w:spacing w:after="0"/>
              <w:rPr>
                <w:sz w:val="19"/>
                <w:szCs w:val="19"/>
                <w:color w:val="auto"/>
              </w:rPr>
            </w:pPr>
          </w:p>
        </w:tc>
        <w:tc>
          <w:tcPr>
            <w:tcW w:w="860" w:type="dxa"/>
            <w:vAlign w:val="bottom"/>
            <w:tcBorders>
              <w:top w:val="single" w:sz="8" w:color="auto"/>
            </w:tcBorders>
            <w:shd w:val="clear" w:color="auto" w:fill="CFF2FA"/>
          </w:tcPr>
          <w:p>
            <w:pPr>
              <w:jc w:val="center"/>
              <w:spacing w:after="0"/>
              <w:rPr>
                <w:sz w:val="20"/>
                <w:szCs w:val="20"/>
                <w:color w:val="auto"/>
              </w:rPr>
            </w:pPr>
            <w:r>
              <w:rPr>
                <w:rFonts w:ascii="Arial" w:cs="Arial" w:eastAsia="Arial" w:hAnsi="Arial"/>
                <w:sz w:val="18"/>
                <w:szCs w:val="18"/>
                <w:i w:val="1"/>
                <w:iCs w:val="1"/>
                <w:color w:val="auto"/>
                <w:w w:val="90"/>
              </w:rPr>
              <w:t>(1)</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Term loans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9"/>
                <w:szCs w:val="19"/>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November 26, 2019</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90"/>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2FA"/>
          </w:tcPr>
          <w:p>
            <w:pPr>
              <w:spacing w:after="0"/>
              <w:rPr>
                <w:sz w:val="20"/>
                <w:szCs w:val="20"/>
                <w:color w:val="auto"/>
              </w:rPr>
            </w:pPr>
            <w:r>
              <w:rPr>
                <w:rFonts w:ascii="Arial" w:cs="Arial" w:eastAsia="Arial" w:hAnsi="Arial"/>
                <w:sz w:val="18"/>
                <w:szCs w:val="18"/>
                <w:color w:val="auto"/>
              </w:rPr>
              <w:t>Senior secured notes due 2022</w:t>
            </w:r>
          </w:p>
        </w:tc>
        <w:tc>
          <w:tcPr>
            <w:tcW w:w="1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FF2FA"/>
          </w:tcPr>
          <w:p>
            <w:pPr>
              <w:spacing w:after="0"/>
              <w:rPr>
                <w:sz w:val="19"/>
                <w:szCs w:val="19"/>
                <w:color w:val="auto"/>
              </w:rPr>
            </w:pPr>
          </w:p>
        </w:tc>
        <w:tc>
          <w:tcPr>
            <w:tcW w:w="1900" w:type="dxa"/>
            <w:vAlign w:val="bottom"/>
            <w:gridSpan w:val="2"/>
            <w:shd w:val="clear" w:color="auto" w:fill="CFF2FA"/>
          </w:tcPr>
          <w:p>
            <w:pPr>
              <w:jc w:val="center"/>
              <w:ind w:right="160"/>
              <w:spacing w:after="0"/>
              <w:rPr>
                <w:sz w:val="20"/>
                <w:szCs w:val="20"/>
                <w:color w:val="auto"/>
              </w:rPr>
            </w:pPr>
            <w:r>
              <w:rPr>
                <w:rFonts w:ascii="Arial" w:cs="Arial" w:eastAsia="Arial" w:hAnsi="Arial"/>
                <w:sz w:val="18"/>
                <w:szCs w:val="18"/>
                <w:color w:val="auto"/>
                <w:w w:val="95"/>
              </w:rPr>
              <w:t>April 15, 2022</w:t>
            </w:r>
          </w:p>
        </w:tc>
        <w:tc>
          <w:tcPr>
            <w:tcW w:w="860" w:type="dxa"/>
            <w:vAlign w:val="bottom"/>
            <w:shd w:val="clear" w:color="auto" w:fill="CFF2FA"/>
          </w:tcPr>
          <w:p>
            <w:pPr>
              <w:jc w:val="right"/>
              <w:ind w:right="36"/>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Senior unsecured notes due 2026</w:t>
            </w:r>
          </w:p>
        </w:tc>
        <w:tc>
          <w:tcPr>
            <w:tcW w:w="14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CFF2FA"/>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Borders>
              <w:bottom w:val="single" w:sz="8" w:color="CFF2FA"/>
            </w:tcBorders>
          </w:tcPr>
          <w:p>
            <w:pPr>
              <w:spacing w:after="0"/>
              <w:rPr>
                <w:sz w:val="19"/>
                <w:szCs w:val="19"/>
                <w:color w:val="auto"/>
              </w:rPr>
            </w:pPr>
          </w:p>
        </w:tc>
        <w:tc>
          <w:tcPr>
            <w:tcW w:w="1900" w:type="dxa"/>
            <w:vAlign w:val="bottom"/>
            <w:tcBorders>
              <w:bottom w:val="single" w:sz="8" w:color="CFF2FA"/>
            </w:tcBorders>
            <w:gridSpan w:val="2"/>
          </w:tcPr>
          <w:p>
            <w:pPr>
              <w:jc w:val="center"/>
              <w:ind w:right="180"/>
              <w:spacing w:after="0"/>
              <w:rPr>
                <w:sz w:val="20"/>
                <w:szCs w:val="20"/>
                <w:color w:val="auto"/>
              </w:rPr>
            </w:pPr>
            <w:r>
              <w:rPr>
                <w:rFonts w:ascii="Arial" w:cs="Arial" w:eastAsia="Arial" w:hAnsi="Arial"/>
                <w:sz w:val="18"/>
                <w:szCs w:val="18"/>
                <w:color w:val="auto"/>
                <w:w w:val="91"/>
              </w:rPr>
              <w:t>August 15, 2026</w:t>
            </w:r>
          </w:p>
        </w:tc>
        <w:tc>
          <w:tcPr>
            <w:tcW w:w="860" w:type="dxa"/>
            <w:vAlign w:val="bottom"/>
            <w:tcBorders>
              <w:bottom w:val="single" w:sz="8" w:color="CFF2FA"/>
            </w:tcBorders>
          </w:tcPr>
          <w:p>
            <w:pPr>
              <w:jc w:val="right"/>
              <w:ind w:right="36"/>
              <w:spacing w:after="0"/>
              <w:rPr>
                <w:sz w:val="20"/>
                <w:szCs w:val="20"/>
                <w:color w:val="auto"/>
              </w:rPr>
            </w:pPr>
            <w:r>
              <w:rPr>
                <w:rFonts w:ascii="Arial" w:cs="Arial" w:eastAsia="Arial" w:hAnsi="Arial"/>
                <w:sz w:val="18"/>
                <w:szCs w:val="18"/>
                <w:color w:val="auto"/>
              </w:rPr>
              <w:t>5.750%</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2FA"/>
          </w:tcPr>
          <w:p>
            <w:pPr>
              <w:ind w:left="240"/>
              <w:spacing w:after="0"/>
              <w:rPr>
                <w:sz w:val="20"/>
                <w:szCs w:val="20"/>
                <w:color w:val="auto"/>
              </w:rPr>
            </w:pPr>
            <w:r>
              <w:rPr>
                <w:rFonts w:ascii="Arial" w:cs="Arial" w:eastAsia="Arial" w:hAnsi="Arial"/>
                <w:sz w:val="18"/>
                <w:szCs w:val="18"/>
                <w:color w:val="auto"/>
              </w:rPr>
              <w:t>Total borrowings</w:t>
            </w:r>
          </w:p>
        </w:tc>
        <w:tc>
          <w:tcPr>
            <w:tcW w:w="14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920.0</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935.0</w:t>
            </w:r>
          </w:p>
        </w:tc>
        <w:tc>
          <w:tcPr>
            <w:tcW w:w="240" w:type="dxa"/>
            <w:vAlign w:val="bottom"/>
            <w:shd w:val="clear" w:color="auto" w:fill="CFF2FA"/>
          </w:tcPr>
          <w:p>
            <w:pPr>
              <w:spacing w:after="0"/>
              <w:rPr>
                <w:sz w:val="19"/>
                <w:szCs w:val="19"/>
                <w:color w:val="auto"/>
              </w:rPr>
            </w:pPr>
          </w:p>
        </w:tc>
        <w:tc>
          <w:tcPr>
            <w:tcW w:w="17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8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120"/>
              <w:spacing w:after="0"/>
              <w:rPr>
                <w:sz w:val="20"/>
                <w:szCs w:val="20"/>
                <w:color w:val="auto"/>
              </w:rPr>
            </w:pPr>
            <w:r>
              <w:rPr>
                <w:rFonts w:ascii="Arial" w:cs="Arial" w:eastAsia="Arial" w:hAnsi="Arial"/>
                <w:sz w:val="18"/>
                <w:szCs w:val="18"/>
                <w:color w:val="auto"/>
              </w:rPr>
              <w:t>Less: debt issuance costs related to term</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loans and senior notes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2FA"/>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Carrying value of long-term debt</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910.8</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10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924.3</w:t>
            </w:r>
          </w:p>
        </w:tc>
        <w:tc>
          <w:tcPr>
            <w:tcW w:w="240" w:type="dxa"/>
            <w:vAlign w:val="bottom"/>
            <w:tcBorders>
              <w:top w:val="single" w:sz="8" w:color="CFF2FA"/>
              <w:bottom w:val="single" w:sz="8" w:color="CFF2FA"/>
            </w:tcBorders>
            <w:shd w:val="clear" w:color="auto" w:fill="CFF2FA"/>
          </w:tcPr>
          <w:p>
            <w:pPr>
              <w:spacing w:after="0"/>
              <w:rPr>
                <w:sz w:val="19"/>
                <w:szCs w:val="19"/>
                <w:color w:val="auto"/>
              </w:rPr>
            </w:pPr>
          </w:p>
        </w:tc>
        <w:tc>
          <w:tcPr>
            <w:tcW w:w="176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86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-130175</wp:posOffset>
            </wp:positionV>
            <wp:extent cx="17151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97" w:lineRule="exact"/>
        <w:rPr>
          <w:sz w:val="20"/>
          <w:szCs w:val="20"/>
          <w:color w:val="auto"/>
        </w:rPr>
      </w:pPr>
    </w:p>
    <w:p>
      <w:pPr>
        <w:jc w:val="both"/>
        <w:ind w:right="380" w:firstLine="555"/>
        <w:spacing w:after="0" w:line="264"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—As of September 28, 2017, the Company’s senior secured credit facility consisted of a $175.0 million revolving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facility and a $270.0 million term loan. On May 26, 2016, the Company entered into an incremental amendment of its senior secured credit facility whereby the revolving credit facility was increased by $40.0 million from $135.0 million to $175.0 million.</w:t>
      </w:r>
    </w:p>
    <w:p>
      <w:pPr>
        <w:spacing w:after="0" w:line="73"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73"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As of September 28, 2017, the Company’s total availability under the $175.0 million revolving credit facility was $170.2 million, net of $4.8 million in letters of credit. The unused line fee is 0.50% per annum. 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senior secured credit facility).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the Company’s option of either the LIBOR index plus 2.75% or the base rate</w:t>
      </w:r>
      <w:r>
        <w:rPr>
          <w:rFonts w:ascii="Arial" w:cs="Arial" w:eastAsia="Arial" w:hAnsi="Arial"/>
          <w:sz w:val="18"/>
          <w:szCs w:val="18"/>
          <w:i w:val="1"/>
          <w:iCs w:val="1"/>
          <w:color w:val="auto"/>
        </w:rPr>
        <w:t xml:space="preserve"> </w:t>
      </w:r>
      <w:r>
        <w:rPr>
          <w:rFonts w:ascii="Arial" w:cs="Arial" w:eastAsia="Arial" w:hAnsi="Arial"/>
          <w:sz w:val="18"/>
          <w:szCs w:val="18"/>
          <w:color w:val="auto"/>
        </w:rPr>
        <w:t>(Prime Rate or the Federal Funds Effective Rate, as defined in the senior secured credit facility) plus 1.75%. The weighted-average interest rate on the term loans as of September 28, 2017 was 4.0%. Interest on the term loans is currently paid monthly.</w:t>
      </w:r>
    </w:p>
    <w:p>
      <w:pPr>
        <w:spacing w:after="0" w:line="73"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September 28, 2017,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September 28, 2017, the Company’s consolidated net senior secured leverage ratio was 3.2 times (versus the covenant of 6.5 times).</w:t>
      </w:r>
    </w:p>
    <w:p>
      <w:pPr>
        <w:spacing w:after="0" w:line="80"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b w:val="1"/>
          <w:bCs w:val="1"/>
          <w:i w:val="1"/>
          <w:iCs w:val="1"/>
          <w:color w:val="auto"/>
        </w:rPr>
        <w:t>Senior Secured Notes due 2022</w:t>
      </w:r>
      <w:r>
        <w:rPr>
          <w:rFonts w:ascii="Arial" w:cs="Arial" w:eastAsia="Arial" w:hAnsi="Arial"/>
          <w:sz w:val="17"/>
          <w:szCs w:val="17"/>
          <w:color w:val="auto"/>
        </w:rPr>
        <w:t>—On April 27, 2012, the Company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6.000% Senior Secured Notes (the “Notes due 2022”) for which the registered exchange offering was completed on November 26, 2012. The Notes due 2022 pay interest semi-annually in arrears on April 15 and October 15 of each year, which commenced on October 15, 2012. The Notes due 2022 are senior secured obligations of the Company, rank the same as the Company’s senior secured credit facility, subject to certain exceptions, and share in the same collateral that secures the Company’s obligations under the senior secured credit facility. The Notes due 2022 contain certain non-maintenance covenants with which the Company was in compliance as of September 28, 2017.</w:t>
      </w:r>
    </w:p>
    <w:p>
      <w:pPr>
        <w:spacing w:after="0" w:line="70"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the Company completed a private placement of $250.0 million in aggregate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5.750% Senior Unsecured Notes (the “Notes due 2026”). The Notes due 2026 pay interest semi-annually in arrears on February 15 and August 15 of each year, which commenced on February 15, 2017. The Notes due 2026 were issued at 100% of the face amount thereof and are the senior unsecured obligations of the Company and will be effectively subordinated to all existing and future secured debt, including the Notes due 2022, its senior secured credit facility and any future asset backed loan facility. The Notes due 2026 will rank equally in right of payment with all of the Company’s existing and future senior indebtedness, including the Notes due 2022, the Company’s existing senior secured credit facility, any future asset backed loan facility, in each case, without giving effect to collateral arrangements. The Notes due 2026 will be effectively subordinated to all liabilities of any subsidiaries that the Company may form or acquire in the future, unless those subsidiaries become guarantors of the Notes due 2026. The Company does not currently have any subsidiaries, and the Notes due 2026 will not be guaranteed by any subsidiaries that the Company may form or acquire in the future except in very limited circumstances. The Notes due 2026 contain certain non-maintenance covenants with which the Company was in compliance as of September 28, 2017.</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the aggregate on its financial position, results of operations or cash flows.</w:t>
      </w:r>
    </w:p>
    <w:p>
      <w:pPr>
        <w:spacing w:after="0" w:line="62"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September 28, 2017, the maximum potential amount of future payments the Company could be required to make pursuant to the minimum revenue guarantees is $84.3 million over the remaining terms of the network affiliate agreements. These minimum guarantees relate to various affiliate agreements ranging in term from one to twenty years, prior to any renewal periods of which some are at the option of the Company. During the nine months ended September 28, 2017 and September 29, 2016, the Company paid $0.1 million and $0.0 million, respectively, related to these minimum guarantees. For these periods, there are no other affiliate agreements with guaranteed minimums in excess of the revenue share arrangement.</w:t>
      </w:r>
    </w:p>
    <w:p>
      <w:pPr>
        <w:spacing w:after="0" w:line="74"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b w:val="1"/>
          <w:bCs w:val="1"/>
          <w:i w:val="1"/>
          <w:iCs w:val="1"/>
          <w:color w:val="auto"/>
        </w:rPr>
        <w:t>Theater Access Fee Guarantees</w:t>
      </w:r>
      <w:r>
        <w:rPr>
          <w:rFonts w:ascii="Arial" w:cs="Arial" w:eastAsia="Arial" w:hAnsi="Arial"/>
          <w:sz w:val="17"/>
          <w:szCs w:val="17"/>
          <w:color w:val="auto"/>
        </w:rPr>
        <w:t>—In consideration for NCM LLC’s access to the founding members’ theater attendees for on-screen advertising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increase occurring for fiscal year 2017, and the payment per digital screen and for digital cinema equipment increases annually by 5%. The theater access fee paid in the aggregate to all founding members cannot be less than 12% of NCM LLC’s aggregate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advertising revenue (as defined in the ESA), or it will be adjusted upward to reach this minimum payment. As of September 28, 2017 and December 29, 2016, the Company had no liabilities recorded for the minimum payment, as the theater access fee was in excess of the minimum.</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jc w:val="both"/>
        <w:ind w:right="140" w:firstLine="555"/>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560" w:right="2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62"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73" w:lineRule="exact"/>
        <w:rPr>
          <w:sz w:val="20"/>
          <w:szCs w:val="20"/>
          <w:color w:val="auto"/>
        </w:rPr>
      </w:pPr>
    </w:p>
    <w:p>
      <w:pPr>
        <w:ind w:right="80" w:firstLine="555"/>
        <w:spacing w:after="0" w:line="302" w:lineRule="auto"/>
        <w:rPr>
          <w:sz w:val="20"/>
          <w:szCs w:val="20"/>
          <w:color w:val="auto"/>
        </w:rPr>
      </w:pPr>
      <w:r>
        <w:rPr>
          <w:rFonts w:ascii="Arial" w:cs="Arial" w:eastAsia="Arial" w:hAnsi="Arial"/>
          <w:sz w:val="16"/>
          <w:szCs w:val="16"/>
          <w:i w:val="1"/>
          <w:iCs w:val="1"/>
          <w:color w:val="auto"/>
        </w:rPr>
        <w:t>Long-Lived Assets, Intangible Assets, Other Investments and Notes Receivable</w:t>
      </w:r>
      <w:r>
        <w:rPr>
          <w:rFonts w:ascii="Arial" w:cs="Arial" w:eastAsia="Arial" w:hAnsi="Arial"/>
          <w:sz w:val="16"/>
          <w:szCs w:val="16"/>
          <w:color w:val="auto"/>
        </w:rPr>
        <w:t>—The Company regularly reviews long-lived assets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plant and equipment), intangible assets, investments 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59"/>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29,</w:t>
            </w:r>
          </w:p>
        </w:tc>
        <w:tc>
          <w:tcPr>
            <w:tcW w:w="60" w:type="dxa"/>
            <w:vAlign w:val="bottom"/>
          </w:tcPr>
          <w:p>
            <w:pPr>
              <w:spacing w:after="0"/>
              <w:rPr>
                <w:sz w:val="11"/>
                <w:szCs w:val="11"/>
                <w:color w:val="auto"/>
              </w:rPr>
            </w:pPr>
          </w:p>
        </w:tc>
      </w:tr>
      <w:tr>
        <w:trPr>
          <w:trHeight w:val="171"/>
        </w:trPr>
        <w:tc>
          <w:tcPr>
            <w:tcW w:w="54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2180" w:hanging="551"/>
        <w:spacing w:after="0"/>
        <w:tabs>
          <w:tab w:leader="none" w:pos="218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2180" w:hanging="551"/>
        <w:spacing w:after="0"/>
        <w:tabs>
          <w:tab w:leader="none" w:pos="218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privately held companies as consideration for a portion of advertising</w:t>
      </w:r>
    </w:p>
    <w:p>
      <w:pPr>
        <w:spacing w:after="0" w:line="9" w:lineRule="exact"/>
        <w:rPr>
          <w:rFonts w:ascii="Arial" w:cs="Arial" w:eastAsia="Arial" w:hAnsi="Arial"/>
          <w:sz w:val="18"/>
          <w:szCs w:val="18"/>
          <w:i w:val="1"/>
          <w:iCs w:val="1"/>
          <w:color w:val="auto"/>
        </w:rPr>
      </w:pPr>
    </w:p>
    <w:p>
      <w:pPr>
        <w:ind w:left="2180" w:right="260"/>
        <w:spacing w:after="0" w:line="290" w:lineRule="auto"/>
        <w:rPr>
          <w:rFonts w:ascii="Arial" w:cs="Arial" w:eastAsia="Arial" w:hAnsi="Arial"/>
          <w:sz w:val="18"/>
          <w:szCs w:val="18"/>
          <w:i w:val="1"/>
          <w:iCs w:val="1"/>
          <w:color w:val="auto"/>
        </w:rPr>
      </w:pPr>
      <w:r>
        <w:rPr>
          <w:rFonts w:ascii="Arial" w:cs="Arial" w:eastAsia="Arial" w:hAnsi="Arial"/>
          <w:sz w:val="17"/>
          <w:szCs w:val="17"/>
          <w:color w:val="auto"/>
        </w:rPr>
        <w:t>contracts. The equity securities were accounted for under the cost method and represent an ownership of less than 20%. The Company does not exert significant influence on these companies’ operating or financial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-582295</wp:posOffset>
            </wp:positionV>
            <wp:extent cx="9779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3"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During the three and nine months ended September 28, 2017 and September 29, 2016, the Company recorded other-than-temporary impairment charges of $0.0 million, $0.7 million, $3.1 million and $0.7 million, respectively, on certain of its investments due to a significant deterioration in the business prospects of the investee or new information regarding the fair value of the investee in the nine months ended September 28, 2017. These impairment charges brought the investments to a remaining fair value of $0.1 million. The fair value of the other investments has not been estimated as of September 28, 2017 and December 29, 2016 as there were no identified events or changes in the circumstances that had a significant adverse effect on the fair value of those investments and it is not practicable to do so because the equity securities are not in publicly traded companies.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74"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As of September 28, 2017 and December 29, 2016, the Company had notes receivable totaling $12.5 million and $13.9 million, respectively, from its founding members related to the sale of Fathom Events, as described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There were no identified events or changes in circumstances that had a significant adverse effect on the fair value of the notes receivable. The notes are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classified as Level 3 in the fair value hierarchy as the inputs to the determination of fair value are based upon non-identical assets and use significant unobservable inputs.</w:t>
      </w:r>
    </w:p>
    <w:p>
      <w:pPr>
        <w:spacing w:after="0" w:line="62"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As of September 28,</w:t>
            </w:r>
          </w:p>
        </w:tc>
        <w:tc>
          <w:tcPr>
            <w:tcW w:w="10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As of December 29,</w:t>
            </w:r>
          </w:p>
        </w:tc>
      </w:tr>
      <w:tr>
        <w:trPr>
          <w:trHeight w:val="17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0"/>
              <w:spacing w:after="0" w:line="133"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60"/>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r>
      <w:tr>
        <w:trPr>
          <w:trHeight w:val="17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4"/>
                <w:szCs w:val="14"/>
                <w:b w:val="1"/>
                <w:bCs w:val="1"/>
                <w:i w:val="1"/>
                <w:iCs w:val="1"/>
                <w:color w:val="auto"/>
                <w:w w:val="92"/>
              </w:rPr>
              <w:t>(1)</w:t>
            </w:r>
          </w:p>
        </w:tc>
        <w:tc>
          <w:tcPr>
            <w:tcW w:w="100" w:type="dxa"/>
            <w:vAlign w:val="bottom"/>
          </w:tcPr>
          <w:p>
            <w:pPr>
              <w:spacing w:after="0"/>
              <w:rPr>
                <w:sz w:val="14"/>
                <w:szCs w:val="14"/>
                <w:color w:val="auto"/>
              </w:rPr>
            </w:pPr>
          </w:p>
        </w:tc>
        <w:tc>
          <w:tcPr>
            <w:tcW w:w="740" w:type="dxa"/>
            <w:vAlign w:val="bottom"/>
          </w:tcPr>
          <w:p>
            <w:pPr>
              <w:jc w:val="right"/>
              <w:ind w:right="1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b w:val="1"/>
                <w:bCs w:val="1"/>
                <w:i w:val="1"/>
                <w:iCs w:val="1"/>
                <w:color w:val="auto"/>
                <w:w w:val="95"/>
              </w:rPr>
              <w:t>(1)</w:t>
            </w:r>
          </w:p>
        </w:tc>
      </w:tr>
      <w:tr>
        <w:trPr>
          <w:trHeight w:val="223"/>
        </w:trPr>
        <w:tc>
          <w:tcPr>
            <w:tcW w:w="4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Term loans</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Notes due 2022</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414.5</w:t>
            </w:r>
          </w:p>
        </w:tc>
        <w:tc>
          <w:tcPr>
            <w:tcW w:w="80" w:type="dxa"/>
            <w:vAlign w:val="bottom"/>
          </w:tcPr>
          <w:p>
            <w:pPr>
              <w:spacing w:after="0"/>
              <w:rPr>
                <w:sz w:val="19"/>
                <w:szCs w:val="19"/>
                <w:color w:val="auto"/>
              </w:rPr>
            </w:pPr>
          </w:p>
        </w:tc>
      </w:tr>
      <w:tr>
        <w:trPr>
          <w:trHeight w:val="230"/>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due 2026</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80" w:type="dxa"/>
            <w:vAlign w:val="bottom"/>
            <w:shd w:val="clear" w:color="auto" w:fill="CFF0FC"/>
          </w:tcPr>
          <w:p>
            <w:pPr>
              <w:spacing w:after="0"/>
              <w:rPr>
                <w:sz w:val="19"/>
                <w:szCs w:val="19"/>
                <w:color w:val="auto"/>
              </w:rPr>
            </w:pPr>
          </w:p>
        </w:tc>
      </w:tr>
    </w:tbl>
    <w:p>
      <w:pPr>
        <w:spacing w:after="0" w:line="134" w:lineRule="exact"/>
        <w:rPr>
          <w:sz w:val="20"/>
          <w:szCs w:val="20"/>
          <w:color w:val="auto"/>
        </w:rPr>
      </w:pPr>
    </w:p>
    <w:p>
      <w:pPr>
        <w:ind w:left="2260" w:right="60" w:hanging="550"/>
        <w:spacing w:after="0" w:line="264" w:lineRule="auto"/>
        <w:tabs>
          <w:tab w:leader="none" w:pos="2260" w:val="left"/>
        </w:tabs>
        <w:numPr>
          <w:ilvl w:val="1"/>
          <w:numId w:val="9"/>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163" w:lineRule="exact"/>
        <w:rPr>
          <w:rFonts w:ascii="Arial" w:cs="Arial" w:eastAsia="Arial" w:hAnsi="Arial"/>
          <w:sz w:val="18"/>
          <w:szCs w:val="18"/>
          <w:i w:val="1"/>
          <w:iCs w:val="1"/>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-668020</wp:posOffset>
            </wp:positionV>
            <wp:extent cx="6261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01"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On October 20, 2017, AMC exercised its redemption right of an aggregate 1.0 million common membership units for a like number of shares of NCM, Inc.’s common stock which increased NCM, Inc.’s ownership in the Company to 49.5%.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heading “Risk Factors” contained below and in our annual report on Form 10-K for the Company’s fiscal year ended December 29, 2016. The following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discussion and analysis should be read in conjunction with the unaudited Condensed Financial Statements and notes thereto included herein and the audited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statements and other disclosure included in our annual report on Form 10-K for the Company’s fiscal year ended December 29, 2016.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 xml:space="preserve">We are America's Movie Network. As the #1 weekend network for Millennials (age 18-34) in the U.S., we are the connector between brands and movie audiences. We currently derive revenue principally from the sale of advertising to national, regional and local businesses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our cinema advertising and entertainment pre-show seen on movie screens across the U.S. We also sell advertising on our LEN, a series of strategically-placed screens located in movie theater lobbies, as well as other forms of advertising and promotions in theater lobbies. In addition, we sell online and mobile advertising through our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digital product to reach entertainment audiences beyond the theater. We have long-term ESAs (approximately 19 years remaining as of September 28, 2017) with the founding members and multi-year agreements with our network affiliates, which expire at various dates between March 5, 2018 and July 22, 2031. The weighted average remaining term (based on attendance) of the ESAs and the network affiliate agreements is 17.1 years as of September 28, 2017. The ESAs and network affiliate agreements grant us exclusive rights in their theaters to sell advertising, subject to limited exceptions.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programming are distributed predominantly via satellite through our proprietary DCN. Approximately 98% of the aggregate founding member and network affiliate theater attendance is generated by theaters connected to our DCN (the remaining screens receive advertisements on USB drives) and 100%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projected on digital projectors (91% digital cinema projectors and 9% LCD projectors) as of September 28, 2017.</w:t>
      </w:r>
    </w:p>
    <w:p>
      <w:pPr>
        <w:spacing w:after="0" w:line="72" w:lineRule="exact"/>
        <w:rPr>
          <w:sz w:val="20"/>
          <w:szCs w:val="20"/>
          <w:color w:val="auto"/>
        </w:rPr>
      </w:pPr>
    </w:p>
    <w:p>
      <w:pPr>
        <w:ind w:right="40" w:firstLine="555"/>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officers to discuss and analyze operating results and address significant variances to budget and prior year in an effort to identify trends and changes in our business. We focus on operating metrics including changes in revenue, OIBDA, Adjusted OIBDA and Adjusted OIBDA margin, as defined and discussed below, as some of our primary measurement metrics. In addition, we monitor our monthly advertising performance measurements, including advertising inventory utilization, national and local and regional advertising pricing (CPM), local and regional advertising rate per screen per week, national and local and regional and total advertising revenue per attendee. We also monitor free cash flow, the dividend coverage ratio, financial leverage ratio (net debt divided by Adjusted OIBDA including integration payments and other encumbered theater payments), cash balances and revolving credit facility availability to ensure debt covenant compliance and that there is adequate cash availability to fund our working capital needs and debt obligations and current and future distributions to members.</w:t>
      </w:r>
    </w:p>
    <w:p>
      <w:pPr>
        <w:spacing w:after="0" w:line="61" w:lineRule="exact"/>
        <w:rPr>
          <w:sz w:val="20"/>
          <w:szCs w:val="20"/>
          <w:color w:val="auto"/>
        </w:rPr>
      </w:pPr>
    </w:p>
    <w:p>
      <w:pPr>
        <w:ind w:right="620" w:firstLine="555"/>
        <w:spacing w:after="0" w:line="308" w:lineRule="auto"/>
        <w:rPr>
          <w:sz w:val="20"/>
          <w:szCs w:val="20"/>
          <w:color w:val="auto"/>
        </w:rPr>
      </w:pPr>
      <w:r>
        <w:rPr>
          <w:rFonts w:ascii="Arial" w:cs="Arial" w:eastAsia="Arial" w:hAnsi="Arial"/>
          <w:sz w:val="17"/>
          <w:szCs w:val="17"/>
          <w:color w:val="auto"/>
        </w:rPr>
        <w:t>Our operating results may be affected by a variety of internal and external factors and trends described more fully in the section entitled “Risk Factors” below and in our Form 10-K filed with the SEC on February 28, 2017 for our fiscal year ended December 29, 2016.</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operating data, OIBDA and Adjusted OIBDA (dollars in millions, except margin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 Change</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Q3 2017</w:t>
            </w:r>
          </w:p>
        </w:tc>
        <w:tc>
          <w:tcPr>
            <w:tcW w:w="2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Q3 2016</w:t>
            </w:r>
          </w:p>
        </w:tc>
        <w:tc>
          <w:tcPr>
            <w:tcW w:w="2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YTD 2017</w:t>
            </w:r>
          </w:p>
        </w:tc>
        <w:tc>
          <w:tcPr>
            <w:tcW w:w="2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8"/>
              </w:rPr>
              <w:t>YTD 2016</w:t>
            </w:r>
          </w:p>
        </w:tc>
        <w:tc>
          <w:tcPr>
            <w:tcW w:w="280" w:type="dxa"/>
            <w:vAlign w:val="bottom"/>
            <w:vMerge w:val="restart"/>
          </w:tcPr>
          <w:p>
            <w:pPr>
              <w:spacing w:after="0"/>
              <w:rPr>
                <w:sz w:val="11"/>
                <w:szCs w:val="11"/>
                <w:color w:val="auto"/>
              </w:rPr>
            </w:pPr>
          </w:p>
        </w:tc>
        <w:tc>
          <w:tcPr>
            <w:tcW w:w="8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Q3 2017 to</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Borders>
              <w:bottom w:val="single" w:sz="8" w:color="CFF2FA"/>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2FA"/>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2FA"/>
            </w:tcBorders>
            <w:vMerge w:val="continue"/>
          </w:tcPr>
          <w:p>
            <w:pPr>
              <w:spacing w:after="0"/>
              <w:rPr>
                <w:sz w:val="14"/>
                <w:szCs w:val="14"/>
                <w:color w:val="auto"/>
              </w:rPr>
            </w:pPr>
          </w:p>
        </w:tc>
        <w:tc>
          <w:tcPr>
            <w:tcW w:w="60" w:type="dxa"/>
            <w:vAlign w:val="bottom"/>
            <w:tcBorders>
              <w:bottom w:val="single" w:sz="8" w:color="CFF2FA"/>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2FA"/>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2FA"/>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2016</w:t>
            </w:r>
          </w:p>
        </w:tc>
        <w:tc>
          <w:tcPr>
            <w:tcW w:w="340" w:type="dxa"/>
            <w:vAlign w:val="bottom"/>
            <w:tcBorders>
              <w:bottom w:val="single" w:sz="8" w:color="CFF2FA"/>
            </w:tcBorders>
            <w:gridSpan w:val="2"/>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2016</w:t>
            </w:r>
          </w:p>
        </w:tc>
        <w:tc>
          <w:tcPr>
            <w:tcW w:w="22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FF2FA"/>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116.4</w:t>
            </w:r>
          </w:p>
        </w:tc>
        <w:tc>
          <w:tcPr>
            <w:tcW w:w="28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4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285.4</w:t>
            </w:r>
          </w:p>
        </w:tc>
        <w:tc>
          <w:tcPr>
            <w:tcW w:w="28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305.1</w:t>
            </w: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FF2FA"/>
          </w:tcPr>
          <w:p>
            <w:pPr>
              <w:spacing w:after="0"/>
              <w:rPr>
                <w:sz w:val="19"/>
                <w:szCs w:val="19"/>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7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130.8</w:t>
            </w:r>
          </w:p>
        </w:tc>
        <w:tc>
          <w:tcPr>
            <w:tcW w:w="2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129.2</w:t>
            </w: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bottom w:val="single" w:sz="8" w:color="CFF2FA"/>
            </w:tcBorders>
          </w:tcPr>
          <w:p>
            <w:pPr>
              <w:ind w:left="240"/>
              <w:spacing w:after="0"/>
              <w:rPr>
                <w:sz w:val="20"/>
                <w:szCs w:val="20"/>
                <w:color w:val="auto"/>
              </w:rPr>
            </w:pPr>
            <w:r>
              <w:rPr>
                <w:rFonts w:ascii="Arial" w:cs="Arial" w:eastAsia="Arial" w:hAnsi="Arial"/>
                <w:sz w:val="18"/>
                <w:szCs w:val="18"/>
                <w:color w:val="auto"/>
              </w:rPr>
              <w:t>Network, administrative and unallocated costs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CFF2FA"/>
            </w:tcBorders>
          </w:tcPr>
          <w:p>
            <w:pPr>
              <w:spacing w:after="0"/>
              <w:rPr>
                <w:sz w:val="19"/>
                <w:szCs w:val="19"/>
                <w:color w:val="auto"/>
              </w:rPr>
            </w:pPr>
          </w:p>
        </w:tc>
        <w:tc>
          <w:tcPr>
            <w:tcW w:w="60" w:type="dxa"/>
            <w:vAlign w:val="bottom"/>
            <w:tcBorders>
              <w:bottom w:val="single" w:sz="8" w:color="CFF2FA"/>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280" w:type="dxa"/>
            <w:vAlign w:val="bottom"/>
            <w:tcBorders>
              <w:bottom w:val="single" w:sz="8" w:color="CFF2F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80" w:type="dxa"/>
            <w:vAlign w:val="bottom"/>
            <w:tcBorders>
              <w:bottom w:val="single" w:sz="8" w:color="CFF2FA"/>
            </w:tcBorders>
          </w:tcPr>
          <w:p>
            <w:pPr>
              <w:spacing w:after="0"/>
              <w:rPr>
                <w:sz w:val="19"/>
                <w:szCs w:val="19"/>
                <w:color w:val="auto"/>
              </w:rPr>
            </w:pPr>
          </w:p>
        </w:tc>
        <w:tc>
          <w:tcPr>
            <w:tcW w:w="1080" w:type="dxa"/>
            <w:vAlign w:val="bottom"/>
            <w:tcBorders>
              <w:bottom w:val="single" w:sz="8" w:color="CFF2FA"/>
            </w:tcBorders>
            <w:gridSpan w:val="2"/>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2FA"/>
            </w:tcBorders>
          </w:tcPr>
          <w:p>
            <w:pPr>
              <w:spacing w:after="0"/>
              <w:rPr>
                <w:sz w:val="19"/>
                <w:szCs w:val="19"/>
                <w:color w:val="auto"/>
              </w:rPr>
            </w:pPr>
          </w:p>
        </w:tc>
        <w:tc>
          <w:tcPr>
            <w:tcW w:w="1140" w:type="dxa"/>
            <w:vAlign w:val="bottom"/>
            <w:tcBorders>
              <w:bottom w:val="single" w:sz="8" w:color="CFF2FA"/>
            </w:tcBorders>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FF2FA"/>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2FA"/>
          </w:tcPr>
          <w:p>
            <w:pPr>
              <w:spacing w:after="0"/>
              <w:rPr>
                <w:sz w:val="19"/>
                <w:szCs w:val="19"/>
                <w:color w:val="auto"/>
              </w:rPr>
            </w:pPr>
          </w:p>
        </w:tc>
        <w:tc>
          <w:tcPr>
            <w:tcW w:w="8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66.1</w:t>
            </w:r>
          </w:p>
        </w:tc>
        <w:tc>
          <w:tcPr>
            <w:tcW w:w="28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7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40" w:type="dxa"/>
            <w:vAlign w:val="bottom"/>
            <w:tcBorders>
              <w:bottom w:val="single" w:sz="8" w:color="auto"/>
            </w:tcBorders>
            <w:shd w:val="clear" w:color="auto" w:fill="CFF2FA"/>
          </w:tcPr>
          <w:p>
            <w:pPr>
              <w:spacing w:after="0"/>
              <w:rPr>
                <w:sz w:val="19"/>
                <w:szCs w:val="19"/>
                <w:color w:val="auto"/>
              </w:rPr>
            </w:pPr>
          </w:p>
        </w:tc>
        <w:tc>
          <w:tcPr>
            <w:tcW w:w="8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7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204.4</w:t>
            </w: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100.7</w:t>
            </w: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2FA"/>
          </w:tcPr>
          <w:p>
            <w:pPr>
              <w:spacing w:after="0"/>
              <w:rPr>
                <w:sz w:val="20"/>
                <w:szCs w:val="20"/>
                <w:color w:val="auto"/>
              </w:rPr>
            </w:pPr>
            <w:r>
              <w:rPr>
                <w:rFonts w:ascii="Arial" w:cs="Arial" w:eastAsia="Arial" w:hAnsi="Arial"/>
                <w:sz w:val="18"/>
                <w:szCs w:val="18"/>
                <w:color w:val="auto"/>
              </w:rPr>
              <w:t>Non-operating expenses</w:t>
            </w:r>
          </w:p>
        </w:tc>
        <w:tc>
          <w:tcPr>
            <w:tcW w:w="160" w:type="dxa"/>
            <w:vAlign w:val="bottom"/>
            <w:shd w:val="clear" w:color="auto" w:fill="CFF2FA"/>
          </w:tcPr>
          <w:p>
            <w:pPr>
              <w:spacing w:after="0"/>
              <w:rPr>
                <w:sz w:val="19"/>
                <w:szCs w:val="19"/>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7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FF2FA"/>
          </w:tcPr>
          <w:p>
            <w:pPr>
              <w:spacing w:after="0"/>
              <w:rPr>
                <w:sz w:val="19"/>
                <w:szCs w:val="19"/>
                <w:color w:val="auto"/>
              </w:rPr>
            </w:pPr>
          </w:p>
        </w:tc>
        <w:tc>
          <w:tcPr>
            <w:tcW w:w="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200" w:type="dxa"/>
            <w:vAlign w:val="bottom"/>
            <w:gridSpan w:val="3"/>
          </w:tcPr>
          <w:p>
            <w:pPr>
              <w:ind w:left="560"/>
              <w:spacing w:after="0"/>
              <w:rPr>
                <w:sz w:val="20"/>
                <w:szCs w:val="20"/>
                <w:color w:val="auto"/>
              </w:rPr>
            </w:pPr>
            <w:r>
              <w:rPr>
                <w:rFonts w:ascii="Arial" w:cs="Arial" w:eastAsia="Arial" w:hAnsi="Arial"/>
                <w:sz w:val="18"/>
                <w:szCs w:val="18"/>
                <w:color w:val="auto"/>
              </w:rPr>
              <w:t>NM</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2FA"/>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37.3</w:t>
            </w:r>
          </w:p>
        </w:tc>
        <w:tc>
          <w:tcPr>
            <w:tcW w:w="28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Borders>
              <w:top w:val="single" w:sz="8" w:color="CFF2FA"/>
              <w:bottom w:val="single" w:sz="8" w:color="CFF2FA"/>
            </w:tcBorders>
            <w:shd w:val="clear" w:color="auto" w:fill="CFF2FA"/>
          </w:tcPr>
          <w:p>
            <w:pPr>
              <w:spacing w:after="0"/>
              <w:rPr>
                <w:sz w:val="19"/>
                <w:szCs w:val="19"/>
                <w:color w:val="auto"/>
              </w:rPr>
            </w:pPr>
          </w:p>
        </w:tc>
        <w:tc>
          <w:tcPr>
            <w:tcW w:w="6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44.8</w:t>
            </w:r>
          </w:p>
        </w:tc>
        <w:tc>
          <w:tcPr>
            <w:tcW w:w="28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49.6</w:t>
            </w:r>
          </w:p>
        </w:tc>
        <w:tc>
          <w:tcPr>
            <w:tcW w:w="280" w:type="dxa"/>
            <w:vAlign w:val="bottom"/>
            <w:tcBorders>
              <w:top w:val="single" w:sz="8" w:color="CFF2FA"/>
              <w:bottom w:val="single" w:sz="8" w:color="CFF2FA"/>
            </w:tcBorders>
            <w:shd w:val="clear" w:color="auto" w:fill="CFF2FA"/>
          </w:tcPr>
          <w:p>
            <w:pPr>
              <w:spacing w:after="0"/>
              <w:rPr>
                <w:sz w:val="19"/>
                <w:szCs w:val="19"/>
                <w:color w:val="auto"/>
              </w:rPr>
            </w:pPr>
          </w:p>
        </w:tc>
        <w:tc>
          <w:tcPr>
            <w:tcW w:w="1080" w:type="dxa"/>
            <w:vAlign w:val="bottom"/>
            <w:tcBorders>
              <w:top w:val="single" w:sz="8" w:color="CFF2FA"/>
              <w:bottom w:val="single" w:sz="8" w:color="CFF2FA"/>
            </w:tcBorders>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56.1%</w:t>
            </w: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c>
          <w:tcPr>
            <w:tcW w:w="1140" w:type="dxa"/>
            <w:vAlign w:val="bottom"/>
            <w:tcBorders>
              <w:top w:val="single" w:sz="8" w:color="CFF2FA"/>
              <w:bottom w:val="single" w:sz="8" w:color="CFF2FA"/>
            </w:tcBorders>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2FA"/>
          </w:tcPr>
          <w:p>
            <w:pPr>
              <w:spacing w:after="0"/>
              <w:rPr>
                <w:sz w:val="20"/>
                <w:szCs w:val="20"/>
                <w:color w:val="auto"/>
              </w:rPr>
            </w:pPr>
            <w:r>
              <w:rPr>
                <w:rFonts w:ascii="Arial" w:cs="Arial" w:eastAsia="Arial" w:hAnsi="Arial"/>
                <w:sz w:val="18"/>
                <w:szCs w:val="18"/>
                <w:color w:val="auto"/>
              </w:rPr>
              <w:t>OIBDA</w:t>
            </w: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59.7</w:t>
            </w:r>
          </w:p>
        </w:tc>
        <w:tc>
          <w:tcPr>
            <w:tcW w:w="28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FF2FA"/>
          </w:tcPr>
          <w:p>
            <w:pPr>
              <w:spacing w:after="0"/>
              <w:rPr>
                <w:sz w:val="19"/>
                <w:szCs w:val="19"/>
                <w:color w:val="auto"/>
              </w:rPr>
            </w:pPr>
          </w:p>
        </w:tc>
        <w:tc>
          <w:tcPr>
            <w:tcW w:w="2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111.9</w:t>
            </w:r>
          </w:p>
        </w:tc>
        <w:tc>
          <w:tcPr>
            <w:tcW w:w="280" w:type="dxa"/>
            <w:vAlign w:val="bottom"/>
            <w:shd w:val="clear" w:color="auto" w:fill="CFF2FA"/>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127.2</w:t>
            </w: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Adjusted OIBDA</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62.6</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122.5</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144.3</w:t>
            </w: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2FA"/>
          </w:tcPr>
          <w:p>
            <w:pPr>
              <w:spacing w:after="0"/>
              <w:rPr>
                <w:sz w:val="20"/>
                <w:szCs w:val="20"/>
                <w:color w:val="auto"/>
              </w:rPr>
            </w:pPr>
            <w:r>
              <w:rPr>
                <w:rFonts w:ascii="Arial" w:cs="Arial" w:eastAsia="Arial" w:hAnsi="Arial"/>
                <w:sz w:val="18"/>
                <w:szCs w:val="18"/>
                <w:color w:val="auto"/>
              </w:rPr>
              <w:t>Adjusted OIBDA margin</w:t>
            </w:r>
          </w:p>
        </w:tc>
        <w:tc>
          <w:tcPr>
            <w:tcW w:w="160" w:type="dxa"/>
            <w:vAlign w:val="bottom"/>
            <w:shd w:val="clear" w:color="auto" w:fill="CFF2FA"/>
          </w:tcPr>
          <w:p>
            <w:pPr>
              <w:spacing w:after="0"/>
              <w:rPr>
                <w:sz w:val="19"/>
                <w:szCs w:val="19"/>
                <w:color w:val="auto"/>
              </w:rPr>
            </w:pPr>
          </w:p>
        </w:tc>
        <w:tc>
          <w:tcPr>
            <w:tcW w:w="112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FF2FA"/>
          </w:tcPr>
          <w:p>
            <w:pPr>
              <w:spacing w:after="0"/>
              <w:rPr>
                <w:sz w:val="19"/>
                <w:szCs w:val="19"/>
                <w:color w:val="auto"/>
              </w:rPr>
            </w:pPr>
          </w:p>
        </w:tc>
        <w:tc>
          <w:tcPr>
            <w:tcW w:w="920" w:type="dxa"/>
            <w:vAlign w:val="bottom"/>
            <w:gridSpan w:val="2"/>
            <w:shd w:val="clear" w:color="auto" w:fill="CFF2FA"/>
          </w:tcPr>
          <w:p>
            <w:pPr>
              <w:jc w:val="right"/>
              <w:ind w:right="60"/>
              <w:spacing w:after="0"/>
              <w:rPr>
                <w:sz w:val="20"/>
                <w:szCs w:val="20"/>
                <w:color w:val="auto"/>
              </w:rPr>
            </w:pPr>
            <w:r>
              <w:rPr>
                <w:rFonts w:ascii="Arial" w:cs="Arial" w:eastAsia="Arial" w:hAnsi="Arial"/>
                <w:sz w:val="18"/>
                <w:szCs w:val="18"/>
                <w:color w:val="auto"/>
              </w:rPr>
              <w:t>53.7%</w:t>
            </w:r>
          </w:p>
        </w:tc>
        <w:tc>
          <w:tcPr>
            <w:tcW w:w="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47.3%</w:t>
            </w:r>
          </w:p>
        </w:tc>
        <w:tc>
          <w:tcPr>
            <w:tcW w:w="108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524.1</w:t>
            </w: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-130175</wp:posOffset>
            </wp:positionV>
            <wp:extent cx="17151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 w:lineRule="exact"/>
        <w:rPr>
          <w:sz w:val="20"/>
          <w:szCs w:val="20"/>
          <w:color w:val="auto"/>
        </w:rPr>
      </w:pPr>
    </w:p>
    <w:p>
      <w:pPr>
        <w:ind w:left="560" w:right="140" w:hanging="552"/>
        <w:spacing w:after="0" w:line="290" w:lineRule="auto"/>
        <w:tabs>
          <w:tab w:leader="none" w:pos="560" w:val="left"/>
        </w:tabs>
        <w:numPr>
          <w:ilvl w:val="0"/>
          <w:numId w:val="11"/>
        </w:numPr>
        <w:rPr>
          <w:rFonts w:ascii="Arial" w:cs="Arial" w:eastAsia="Arial" w:hAnsi="Arial"/>
          <w:sz w:val="17"/>
          <w:szCs w:val="17"/>
          <w:i w:val="1"/>
          <w:iCs w:val="1"/>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right="380" w:firstLine="555"/>
        <w:spacing w:after="0" w:line="288"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United States. OIBDA represents operating income before depreciation and amortization expense. Adjusted OIBDA excludes from OIBDA non-cash share based compensation costs, Chief Executive Officer transition costs and early lease termination</w:t>
      </w:r>
    </w:p>
    <w:p>
      <w:pPr>
        <w:spacing w:after="0" w:line="267" w:lineRule="auto"/>
        <w:rPr>
          <w:sz w:val="20"/>
          <w:szCs w:val="20"/>
          <w:color w:val="auto"/>
        </w:rPr>
      </w:pPr>
      <w:r>
        <w:rPr>
          <w:rFonts w:ascii="Arial" w:cs="Arial" w:eastAsia="Arial" w:hAnsi="Arial"/>
          <w:sz w:val="17"/>
          <w:szCs w:val="17"/>
          <w:color w:val="auto"/>
        </w:rPr>
        <w:t>expense.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CEO turnover, early lease termination expense,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costs associated with the resignation of the Company’s former Chief Executive Officer or early lease termination costs.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ind w:left="5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Q3 2017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Q3 2016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YTD 2017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YTD 2016</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Borders>
              <w:top w:val="single" w:sz="8" w:color="CFF2FA"/>
            </w:tcBorders>
            <w:shd w:val="clear" w:color="auto" w:fill="CFF2FA"/>
          </w:tcPr>
          <w:p>
            <w:pPr>
              <w:spacing w:after="0"/>
              <w:rPr>
                <w:sz w:val="19"/>
                <w:szCs w:val="19"/>
                <w:color w:val="auto"/>
              </w:rPr>
            </w:pPr>
          </w:p>
        </w:tc>
        <w:tc>
          <w:tcPr>
            <w:tcW w:w="200" w:type="dxa"/>
            <w:vAlign w:val="bottom"/>
            <w:tcBorders>
              <w:top w:val="single" w:sz="8" w:color="auto"/>
            </w:tcBorders>
            <w:shd w:val="clear" w:color="auto" w:fill="CFF2FA"/>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50.3</w:t>
            </w:r>
          </w:p>
        </w:tc>
        <w:tc>
          <w:tcPr>
            <w:tcW w:w="2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60" w:type="dxa"/>
            <w:vAlign w:val="bottom"/>
            <w:tcBorders>
              <w:top w:val="single" w:sz="8" w:color="auto"/>
            </w:tcBorders>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60" w:type="dxa"/>
            <w:vAlign w:val="bottom"/>
            <w:tcBorders>
              <w:top w:val="single" w:sz="8" w:color="auto"/>
            </w:tcBorders>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100.7</w:t>
            </w:r>
          </w:p>
        </w:tc>
        <w:tc>
          <w:tcPr>
            <w:tcW w:w="18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Depreciation and amortization</w:t>
            </w:r>
          </w:p>
        </w:tc>
        <w:tc>
          <w:tcPr>
            <w:tcW w:w="112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OIBDA</w:t>
            </w:r>
          </w:p>
        </w:tc>
        <w:tc>
          <w:tcPr>
            <w:tcW w:w="1120" w:type="dxa"/>
            <w:vAlign w:val="bottom"/>
            <w:shd w:val="clear" w:color="auto" w:fill="CFF2FA"/>
          </w:tcPr>
          <w:p>
            <w:pPr>
              <w:spacing w:after="0"/>
              <w:rPr>
                <w:sz w:val="19"/>
                <w:szCs w:val="19"/>
                <w:color w:val="auto"/>
              </w:rPr>
            </w:pPr>
          </w:p>
        </w:tc>
        <w:tc>
          <w:tcPr>
            <w:tcW w:w="200" w:type="dxa"/>
            <w:vAlign w:val="bottom"/>
            <w:shd w:val="clear" w:color="auto" w:fill="CFF2FA"/>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111.9</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4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127.2</w:t>
            </w:r>
          </w:p>
        </w:tc>
        <w:tc>
          <w:tcPr>
            <w:tcW w:w="1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2FA"/>
          </w:tcPr>
          <w:p>
            <w:pPr>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(2)</w:t>
            </w:r>
          </w:p>
        </w:tc>
        <w:tc>
          <w:tcPr>
            <w:tcW w:w="11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9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0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Early lease termination expense </w:t>
            </w:r>
            <w:r>
              <w:rPr>
                <w:rFonts w:ascii="Arial" w:cs="Arial" w:eastAsia="Arial" w:hAnsi="Arial"/>
                <w:sz w:val="18"/>
                <w:szCs w:val="18"/>
                <w:i w:val="1"/>
                <w:iCs w:val="1"/>
                <w:color w:val="auto"/>
              </w:rPr>
              <w:t>(3)</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2FA"/>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Adjusted OIBDA</w:t>
            </w:r>
          </w:p>
        </w:tc>
        <w:tc>
          <w:tcPr>
            <w:tcW w:w="1120" w:type="dxa"/>
            <w:vAlign w:val="bottom"/>
            <w:tcBorders>
              <w:top w:val="single" w:sz="8" w:color="CFF2FA"/>
              <w:bottom w:val="single" w:sz="8" w:color="CFF2FA"/>
            </w:tcBorders>
            <w:shd w:val="clear" w:color="auto" w:fill="CFF2FA"/>
          </w:tcPr>
          <w:p>
            <w:pPr>
              <w:spacing w:after="0"/>
              <w:rPr>
                <w:sz w:val="19"/>
                <w:szCs w:val="19"/>
                <w:color w:val="auto"/>
              </w:rPr>
            </w:pPr>
          </w:p>
        </w:tc>
        <w:tc>
          <w:tcPr>
            <w:tcW w:w="200" w:type="dxa"/>
            <w:vAlign w:val="bottom"/>
            <w:tcBorders>
              <w:top w:val="single" w:sz="8" w:color="auto"/>
              <w:bottom w:val="single" w:sz="8" w:color="auto"/>
            </w:tcBorders>
            <w:shd w:val="clear" w:color="auto" w:fill="CFF2FA"/>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top w:val="single" w:sz="8" w:color="CFF2FA"/>
              <w:bottom w:val="single" w:sz="8" w:color="CFF2FA"/>
            </w:tcBorders>
            <w:shd w:val="clear" w:color="auto" w:fill="CFF2FA"/>
          </w:tcPr>
          <w:p>
            <w:pPr>
              <w:spacing w:after="0"/>
              <w:rPr>
                <w:sz w:val="19"/>
                <w:szCs w:val="19"/>
                <w:color w:val="auto"/>
              </w:rPr>
            </w:pP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160" w:type="dxa"/>
            <w:vAlign w:val="bottom"/>
            <w:tcBorders>
              <w:top w:val="single" w:sz="8" w:color="auto"/>
              <w:bottom w:val="single" w:sz="8" w:color="auto"/>
            </w:tcBorders>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Borders>
              <w:top w:val="single" w:sz="8" w:color="CFF2FA"/>
              <w:bottom w:val="single" w:sz="8" w:color="CFF2FA"/>
            </w:tcBorders>
            <w:shd w:val="clear" w:color="auto" w:fill="CFF2FA"/>
          </w:tcPr>
          <w:p>
            <w:pPr>
              <w:spacing w:after="0"/>
              <w:rPr>
                <w:sz w:val="19"/>
                <w:szCs w:val="19"/>
                <w:color w:val="auto"/>
              </w:rPr>
            </w:pP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160" w:type="dxa"/>
            <w:vAlign w:val="bottom"/>
            <w:tcBorders>
              <w:top w:val="single" w:sz="8" w:color="auto"/>
              <w:bottom w:val="single" w:sz="8" w:color="auto"/>
            </w:tcBorders>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Borders>
              <w:top w:val="single" w:sz="8" w:color="CFF2FA"/>
              <w:bottom w:val="single" w:sz="8" w:color="CFF2FA"/>
            </w:tcBorders>
            <w:shd w:val="clear" w:color="auto" w:fill="CFF2FA"/>
          </w:tcPr>
          <w:p>
            <w:pPr>
              <w:spacing w:after="0"/>
              <w:rPr>
                <w:sz w:val="19"/>
                <w:szCs w:val="19"/>
                <w:color w:val="auto"/>
              </w:rPr>
            </w:pPr>
          </w:p>
        </w:tc>
        <w:tc>
          <w:tcPr>
            <w:tcW w:w="8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144.3</w:t>
            </w:r>
          </w:p>
        </w:tc>
        <w:tc>
          <w:tcPr>
            <w:tcW w:w="180" w:type="dxa"/>
            <w:vAlign w:val="bottom"/>
            <w:tcBorders>
              <w:top w:val="single" w:sz="8" w:color="CFF2FA"/>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Adjusted OIBDA margin</w:t>
            </w:r>
          </w:p>
        </w:tc>
        <w:tc>
          <w:tcPr>
            <w:tcW w:w="11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04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10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120" w:right="280" w:hanging="558"/>
        <w:spacing w:after="0" w:line="253" w:lineRule="auto"/>
        <w:tabs>
          <w:tab w:leader="none" w:pos="112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administrative expense and administrative fee – managing member (includes $2.3 million of expense associated with modifying the former CEO’s equity awards in the first nine months of 2016) in the accompanying unaudited Condensed Financial Statements. These costs represent both non-cash charges and cash charges paid through the administrative fee with the managing member. The amount of share-based compensation costs that were non-cash were $1.6 million, $2.4 million, $5.4 million and $7.8 million for the three and nine months ended September 28, 2017 and September 29, 2016, respectively.</w:t>
      </w:r>
    </w:p>
    <w:p>
      <w:pPr>
        <w:spacing w:after="0" w:line="1" w:lineRule="exact"/>
        <w:rPr>
          <w:rFonts w:ascii="Arial" w:cs="Arial" w:eastAsia="Arial" w:hAnsi="Arial"/>
          <w:sz w:val="18"/>
          <w:szCs w:val="18"/>
          <w:i w:val="1"/>
          <w:iCs w:val="1"/>
          <w:color w:val="auto"/>
        </w:rPr>
      </w:pPr>
    </w:p>
    <w:p>
      <w:pPr>
        <w:ind w:left="1120" w:right="440" w:hanging="558"/>
        <w:spacing w:after="0" w:line="250" w:lineRule="auto"/>
        <w:tabs>
          <w:tab w:leader="none" w:pos="112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Chief Executive Officer transition costs represent severance, consulting and other costs and are primarily included in administrative fee – managing member in the accompanying unaudited Condensed Financial Statements.</w:t>
      </w:r>
    </w:p>
    <w:p>
      <w:pPr>
        <w:ind w:left="1120" w:right="140" w:hanging="558"/>
        <w:spacing w:after="0" w:line="290" w:lineRule="auto"/>
        <w:tabs>
          <w:tab w:leader="none" w:pos="1120" w:val="left"/>
        </w:tabs>
        <w:numPr>
          <w:ilvl w:val="0"/>
          <w:numId w:val="12"/>
        </w:numPr>
        <w:rPr>
          <w:rFonts w:ascii="Arial" w:cs="Arial" w:eastAsia="Arial" w:hAnsi="Arial"/>
          <w:sz w:val="17"/>
          <w:szCs w:val="17"/>
          <w:i w:val="1"/>
          <w:iCs w:val="1"/>
          <w:color w:val="auto"/>
        </w:rPr>
      </w:pPr>
      <w:r>
        <w:rPr>
          <w:rFonts w:ascii="Arial" w:cs="Arial" w:eastAsia="Arial" w:hAnsi="Arial"/>
          <w:sz w:val="17"/>
          <w:szCs w:val="17"/>
          <w:color w:val="auto"/>
        </w:rPr>
        <w:t>Early lease termination expense represents an expense recorded upon the early termination of the lease of our corporate headquarters because the early termination payment made by the Company was reimbursed by the landlord of the new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-1405890</wp:posOffset>
            </wp:positionV>
            <wp:extent cx="13633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right="180" w:firstLine="555"/>
        <w:spacing w:after="0" w:line="264" w:lineRule="auto"/>
        <w:rPr>
          <w:sz w:val="20"/>
          <w:szCs w:val="20"/>
          <w:color w:val="auto"/>
        </w:rPr>
      </w:pPr>
      <w:r>
        <w:rPr>
          <w:rFonts w:ascii="Arial" w:cs="Arial" w:eastAsia="Arial" w:hAnsi="Arial"/>
          <w:sz w:val="18"/>
          <w:szCs w:val="18"/>
          <w:color w:val="auto"/>
        </w:rPr>
        <w:t>The results of operations data for the three and nine months ended September 28, 2017 (third quarter of 2017) and September 29, 2016 (third quarter of 2016) was derived from the unaudited Condensed Financial Statements and accounting records of NCM LLC and should be read in conjunction with the notes thereto.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2017 and Third Quarter of 2016</w:t>
      </w:r>
    </w:p>
    <w:p>
      <w:pPr>
        <w:spacing w:after="0" w:line="117" w:lineRule="exact"/>
        <w:rPr>
          <w:sz w:val="20"/>
          <w:szCs w:val="20"/>
          <w:color w:val="auto"/>
        </w:rPr>
      </w:pPr>
    </w:p>
    <w:p>
      <w:pPr>
        <w:ind w:right="740" w:firstLine="555"/>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2.6%, from $113.5 million for the third quarter of 2016 to $116.4 million for the third quarter of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Q3 2017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Q3 2016</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8"/>
              <w:spacing w:after="0" w:line="133" w:lineRule="exact"/>
              <w:rPr>
                <w:sz w:val="20"/>
                <w:szCs w:val="20"/>
                <w:color w:val="auto"/>
              </w:rPr>
            </w:pPr>
            <w:r>
              <w:rPr>
                <w:rFonts w:ascii="Arial" w:cs="Arial" w:eastAsia="Arial" w:hAnsi="Arial"/>
                <w:sz w:val="14"/>
                <w:szCs w:val="14"/>
                <w:b w:val="1"/>
                <w:bCs w:val="1"/>
                <w:color w:val="auto"/>
                <w:w w:val="93"/>
              </w:rPr>
              <w:t>Q3 2017 to</w:t>
            </w: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Q3 2017 to</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Q3 2016</w:t>
            </w:r>
          </w:p>
        </w:tc>
        <w:tc>
          <w:tcPr>
            <w:tcW w:w="2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2016</w:t>
            </w:r>
          </w:p>
        </w:tc>
        <w:tc>
          <w:tcPr>
            <w:tcW w:w="24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beverage concessionaire agreements</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(0.8)</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653"/>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0" w:name="page21"/>
    <w:bookmarkEnd w:id="20"/>
    <w:p>
      <w:pPr>
        <w:ind w:left="560"/>
        <w:spacing w:after="0"/>
        <w:rPr>
          <w:sz w:val="20"/>
          <w:szCs w:val="20"/>
          <w:color w:val="auto"/>
        </w:rPr>
      </w:pPr>
      <w:r>
        <w:rPr>
          <w:rFonts w:ascii="Arial" w:cs="Arial" w:eastAsia="Arial" w:hAnsi="Arial"/>
          <w:sz w:val="17"/>
          <w:szCs w:val="17"/>
          <w:color w:val="auto"/>
        </w:rPr>
        <w:t>The following table shows data on theater attendance and revenue per attendee for the third quarter of 2017 and the third quarter of 2016:</w:t>
      </w:r>
    </w:p>
    <w:p>
      <w:pPr>
        <w:spacing w:after="0" w:line="9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Q3 2017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Q3 2016</w:t>
            </w:r>
          </w:p>
        </w:tc>
        <w:tc>
          <w:tcPr>
            <w:tcW w:w="200" w:type="dxa"/>
            <w:vAlign w:val="bottom"/>
            <w:vMerge w:val="restart"/>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Q3 2017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Q3 2016</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0.458</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0.167</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0.132</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member beverage revenue) per attendee</w:t>
            </w:r>
          </w:p>
        </w:tc>
        <w:tc>
          <w:tcPr>
            <w:tcW w:w="8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0.728</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0.590</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0.773</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0.632</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700" w:right="560" w:hanging="558"/>
        <w:spacing w:after="0" w:line="264" w:lineRule="auto"/>
        <w:tabs>
          <w:tab w:leader="none" w:pos="170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-432435</wp:posOffset>
            </wp:positionV>
            <wp:extent cx="986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53" w:lineRule="exact"/>
        <w:rPr>
          <w:sz w:val="20"/>
          <w:szCs w:val="20"/>
          <w:color w:val="auto"/>
        </w:rPr>
      </w:pPr>
    </w:p>
    <w:p>
      <w:pPr>
        <w:ind w:left="560" w:right="60"/>
        <w:spacing w:after="0" w:line="270" w:lineRule="auto"/>
        <w:rPr>
          <w:sz w:val="20"/>
          <w:szCs w:val="20"/>
          <w:color w:val="auto"/>
        </w:rPr>
      </w:pPr>
      <w:r>
        <w:rPr>
          <w:rFonts w:ascii="Arial" w:cs="Arial" w:eastAsia="Arial" w:hAnsi="Arial"/>
          <w:sz w:val="17"/>
          <w:szCs w:val="17"/>
          <w:u w:val="single" w:color="auto"/>
          <w:color w:val="auto"/>
        </w:rPr>
        <w:t>National advertising revenue.</w:t>
      </w:r>
      <w:r>
        <w:rPr>
          <w:rFonts w:ascii="Arial" w:cs="Arial" w:eastAsia="Arial" w:hAnsi="Arial"/>
          <w:sz w:val="17"/>
          <w:szCs w:val="17"/>
          <w:color w:val="auto"/>
        </w:rPr>
        <w:t xml:space="preserve"> The $2.2 million, or 2.7%, increase in national advertising revenue (excluding beverage revenue from the founding members) was due primarily to an increase of $2.7 million, or 29.9%, in online, mobile and other revenue not included in the inventory measured by impressions sold or CPMs and a 2.0% increase in impressions sold, partially offset by a 2.7% decrease in national advertising CPMs (excluding beverage). The increase in impressions sold was due to higher demand in the scatter market in the third quarter of 2017, compared to the third quarter of 2016, partially offset by lower upfront and content partner spending quarter over quarter, which resulted in an increase in national inventory utilization from 132.5% in the third quarter of 2016 to 161.3% in the third quarter of 2017, on a 16.1% decrease in network attendance. Inventory utilization is calculated as utilized impressions divided by total advertising impressions, which is based on eleven 30-second salable national advertising units 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which can be expanded, should market demand dictate. The decrease in national advertising CPMs (excluding beverage) in the third quarter of 2017, compared to the third quarter of 2016, was due to lower CPMs on scatter revenue, and to a lesser extent on revenue from upfront advertisers, year over year.</w:t>
      </w:r>
    </w:p>
    <w:p>
      <w:pPr>
        <w:spacing w:after="0" w:line="70" w:lineRule="exact"/>
        <w:rPr>
          <w:sz w:val="20"/>
          <w:szCs w:val="20"/>
          <w:color w:val="auto"/>
        </w:rPr>
      </w:pPr>
    </w:p>
    <w:p>
      <w:pPr>
        <w:jc w:val="both"/>
        <w:ind w:left="560" w:right="40"/>
        <w:spacing w:after="0" w:line="302" w:lineRule="auto"/>
        <w:rPr>
          <w:sz w:val="20"/>
          <w:szCs w:val="20"/>
          <w:color w:val="auto"/>
        </w:rPr>
      </w:pPr>
      <w:r>
        <w:rPr>
          <w:rFonts w:ascii="Arial" w:cs="Arial" w:eastAsia="Arial" w:hAnsi="Arial"/>
          <w:sz w:val="16"/>
          <w:szCs w:val="16"/>
          <w:u w:val="single" w:color="auto"/>
          <w:color w:val="auto"/>
        </w:rPr>
        <w:t>Local and regional advertising revenue.</w:t>
      </w:r>
      <w:r>
        <w:rPr>
          <w:rFonts w:ascii="Arial" w:cs="Arial" w:eastAsia="Arial" w:hAnsi="Arial"/>
          <w:sz w:val="16"/>
          <w:szCs w:val="16"/>
          <w:color w:val="auto"/>
        </w:rPr>
        <w:t xml:space="preserve"> The $1.5 million, or 6.3%, increase in local and regional advertising revenue was primarily due to an increase in revenue from contracts over $100,000, driven primarily by higher advertising within the automotive category and a $0.6 million increase in online and mobile revenue during the third quarter of 2017, compared to the third quarter of 2016. These increases in local and regional advertising revenue were partially offset by lower revenue on contracts less than $100,000 in the third quarter of 2017, compared to the third quarter of 2016.</w:t>
      </w:r>
    </w:p>
    <w:p>
      <w:pPr>
        <w:spacing w:after="0" w:line="46" w:lineRule="exact"/>
        <w:rPr>
          <w:sz w:val="20"/>
          <w:szCs w:val="20"/>
          <w:color w:val="auto"/>
        </w:rPr>
      </w:pPr>
    </w:p>
    <w:p>
      <w:pPr>
        <w:ind w:left="560" w:right="140"/>
        <w:spacing w:after="0" w:line="279" w:lineRule="auto"/>
        <w:rPr>
          <w:sz w:val="20"/>
          <w:szCs w:val="20"/>
          <w:color w:val="auto"/>
        </w:rPr>
      </w:pPr>
      <w:r>
        <w:rPr>
          <w:rFonts w:ascii="Arial" w:cs="Arial" w:eastAsia="Arial" w:hAnsi="Arial"/>
          <w:sz w:val="17"/>
          <w:szCs w:val="17"/>
          <w:u w:val="single" w:color="auto"/>
          <w:color w:val="auto"/>
        </w:rPr>
        <w:t>Founding member beverage revenue.</w:t>
      </w:r>
      <w:r>
        <w:rPr>
          <w:rFonts w:ascii="Arial" w:cs="Arial" w:eastAsia="Arial" w:hAnsi="Arial"/>
          <w:sz w:val="17"/>
          <w:szCs w:val="17"/>
          <w:color w:val="auto"/>
        </w:rPr>
        <w:t xml:space="preserve"> The $0.8 million, or 10.7%, decrease in national advertising revenue from the founding members’ beverage concessionaire agreements was primarily due to an 18.1% decrease in founding member attendance, partially offset by a 10.2% increase in beverage revenue CPMs, in the third quarter of 2017, compared to the third quarter of 2016. The 2017 beverage revenue CPM is based on the change in CPM during segment one of our pre-show from 2015 to 2016, which increased 10.2%.</w:t>
      </w:r>
    </w:p>
    <w:p>
      <w:pPr>
        <w:spacing w:after="0" w:line="171" w:lineRule="exact"/>
        <w:rPr>
          <w:sz w:val="20"/>
          <w:szCs w:val="20"/>
          <w:color w:val="auto"/>
        </w:rPr>
      </w:pPr>
    </w:p>
    <w:p>
      <w:pPr>
        <w:ind w:firstLine="555"/>
        <w:spacing w:after="0" w:line="329"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increased $1.0 million, or 1.5%, from $65.1 million for the third quarter of 2016 to $66.1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2017. The following table shows the changes in operating expense for the third quarter of 2017 and the third quarter of 2016 (in millions):</w:t>
      </w:r>
    </w:p>
    <w:tbl>
      <w:tblPr>
        <w:tblLayout w:type="fixed"/>
        <w:tblInd w:w="5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Q3 2017</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Q3 2016</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55"/>
              <w:spacing w:after="0" w:line="133" w:lineRule="exact"/>
              <w:rPr>
                <w:sz w:val="20"/>
                <w:szCs w:val="20"/>
                <w:color w:val="auto"/>
              </w:rPr>
            </w:pPr>
            <w:r>
              <w:rPr>
                <w:rFonts w:ascii="Arial" w:cs="Arial" w:eastAsia="Arial" w:hAnsi="Arial"/>
                <w:sz w:val="14"/>
                <w:szCs w:val="14"/>
                <w:b w:val="1"/>
                <w:bCs w:val="1"/>
                <w:color w:val="auto"/>
                <w:w w:val="93"/>
              </w:rPr>
              <w:t>Q3 2017 to</w:t>
            </w:r>
          </w:p>
        </w:tc>
        <w:tc>
          <w:tcPr>
            <w:tcW w:w="200" w:type="dxa"/>
            <w:vAlign w:val="bottom"/>
          </w:tcPr>
          <w:p>
            <w:pPr>
              <w:spacing w:after="0"/>
              <w:rPr>
                <w:sz w:val="11"/>
                <w:szCs w:val="11"/>
                <w:color w:val="auto"/>
              </w:rPr>
            </w:pPr>
          </w:p>
        </w:tc>
        <w:tc>
          <w:tcPr>
            <w:tcW w:w="13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Q3 2017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FF2FA"/>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FF2FA"/>
            </w:tcBorders>
          </w:tcPr>
          <w:p>
            <w:pPr>
              <w:spacing w:after="0"/>
              <w:rPr>
                <w:sz w:val="14"/>
                <w:szCs w:val="14"/>
                <w:color w:val="auto"/>
              </w:rPr>
            </w:pPr>
          </w:p>
        </w:tc>
        <w:tc>
          <w:tcPr>
            <w:tcW w:w="20" w:type="dxa"/>
            <w:vAlign w:val="bottom"/>
            <w:tcBorders>
              <w:bottom w:val="single" w:sz="8" w:color="CFF2FA"/>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3"/>
              </w:rPr>
              <w:t>Q3 2016</w:t>
            </w:r>
          </w:p>
        </w:tc>
        <w:tc>
          <w:tcPr>
            <w:tcW w:w="200" w:type="dxa"/>
            <w:vAlign w:val="bottom"/>
            <w:tcBorders>
              <w:bottom w:val="single" w:sz="8" w:color="CFF2FA"/>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2016</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Advertising operating costs</w:t>
            </w:r>
          </w:p>
        </w:tc>
        <w:tc>
          <w:tcPr>
            <w:tcW w:w="980" w:type="dxa"/>
            <w:vAlign w:val="bottom"/>
            <w:shd w:val="clear" w:color="auto" w:fill="CFF2FA"/>
          </w:tcPr>
          <w:p>
            <w:pPr>
              <w:jc w:val="right"/>
              <w:ind w:right="82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90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Network costs</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Theater access fees—founding members</w:t>
            </w:r>
          </w:p>
        </w:tc>
        <w:tc>
          <w:tcPr>
            <w:tcW w:w="980" w:type="dxa"/>
            <w:vAlign w:val="bottom"/>
            <w:shd w:val="clear" w:color="auto" w:fill="CFF2FA"/>
          </w:tcPr>
          <w:p>
            <w:pPr>
              <w:spacing w:after="0"/>
              <w:rPr>
                <w:sz w:val="19"/>
                <w:szCs w:val="19"/>
                <w:color w:val="auto"/>
              </w:rPr>
            </w:pP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w w:val="96"/>
              </w:rPr>
              <w:t>18.1</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6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38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(1.1)</w:t>
            </w:r>
          </w:p>
        </w:tc>
        <w:tc>
          <w:tcPr>
            <w:tcW w:w="162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Administrative and other costs</w:t>
            </w:r>
          </w:p>
        </w:tc>
        <w:tc>
          <w:tcPr>
            <w:tcW w:w="980" w:type="dxa"/>
            <w:vAlign w:val="bottom"/>
            <w:shd w:val="clear" w:color="auto" w:fill="CFF2FA"/>
          </w:tcPr>
          <w:p>
            <w:pPr>
              <w:spacing w:after="0"/>
              <w:rPr>
                <w:sz w:val="19"/>
                <w:szCs w:val="19"/>
                <w:color w:val="auto"/>
              </w:rPr>
            </w:pP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6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38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(0.2)</w:t>
            </w:r>
          </w:p>
        </w:tc>
        <w:tc>
          <w:tcPr>
            <w:tcW w:w="162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auto"/>
            </w:tcBorders>
            <w:shd w:val="clear" w:color="auto" w:fill="CFF2FA"/>
          </w:tcPr>
          <w:p>
            <w:pPr>
              <w:spacing w:after="0"/>
              <w:rPr>
                <w:sz w:val="19"/>
                <w:szCs w:val="19"/>
                <w:color w:val="auto"/>
              </w:rPr>
            </w:pPr>
          </w:p>
        </w:tc>
        <w:tc>
          <w:tcPr>
            <w:tcW w:w="3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60" w:type="dxa"/>
            <w:vAlign w:val="bottom"/>
            <w:tcBorders>
              <w:bottom w:val="single" w:sz="8" w:color="auto"/>
            </w:tcBorders>
            <w:shd w:val="clear" w:color="auto" w:fill="CFF2FA"/>
          </w:tcPr>
          <w:p>
            <w:pPr>
              <w:spacing w:after="0"/>
              <w:rPr>
                <w:sz w:val="19"/>
                <w:szCs w:val="19"/>
                <w:color w:val="auto"/>
              </w:rPr>
            </w:pPr>
          </w:p>
        </w:tc>
        <w:tc>
          <w:tcPr>
            <w:tcW w:w="4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200" w:type="dxa"/>
            <w:vAlign w:val="bottom"/>
            <w:tcBorders>
              <w:bottom w:val="single" w:sz="8" w:color="auto"/>
            </w:tcBorders>
            <w:shd w:val="clear" w:color="auto" w:fill="CFF2FA"/>
          </w:tcPr>
          <w:p>
            <w:pPr>
              <w:spacing w:after="0"/>
              <w:rPr>
                <w:sz w:val="19"/>
                <w:szCs w:val="19"/>
                <w:color w:val="auto"/>
              </w:rPr>
            </w:pP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38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increased $1.4 million, or 18.7%, from $7.5 million for the third quarter of 2016 to $8.9 million for the third quarter of 2017. This increase was primarily due to a $1.2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ind w:left="560" w:right="480"/>
        <w:spacing w:after="0" w:line="342" w:lineRule="auto"/>
        <w:rPr>
          <w:sz w:val="20"/>
          <w:szCs w:val="20"/>
          <w:color w:val="auto"/>
        </w:rPr>
      </w:pPr>
      <w:r>
        <w:rPr>
          <w:rFonts w:ascii="Arial" w:cs="Arial" w:eastAsia="Arial" w:hAnsi="Arial"/>
          <w:sz w:val="16"/>
          <w:szCs w:val="16"/>
          <w:color w:val="auto"/>
        </w:rPr>
        <w:t>increase in affiliate advertising payments related to higher revenue during the third quarter of 2017, compared to the third quarter of 2016 and a 14.6%, or 500 screen, increase in the number of average affiliate screens for the third quarter of 2017, compared to the third quarter of 2016.</w:t>
      </w:r>
    </w:p>
    <w:p>
      <w:pPr>
        <w:spacing w:after="0" w:line="16" w:lineRule="exact"/>
        <w:rPr>
          <w:sz w:val="20"/>
          <w:szCs w:val="20"/>
          <w:color w:val="auto"/>
        </w:rPr>
      </w:pPr>
    </w:p>
    <w:p>
      <w:pPr>
        <w:ind w:left="560" w:right="120"/>
        <w:spacing w:after="0" w:line="286"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$0.4 million, or 9.8%, from $4.1 million for the third quarter of 2016 to $3.7 million for the third quarter of 2017. This decrease was primarily due to a $0.2 million decrease in personnel related expenses due primarily to a lower bonus expense (related to lower performance against internal targets) in the third quarter of 2017 compared to the third quarter of 2016.</w:t>
      </w:r>
    </w:p>
    <w:p>
      <w:pPr>
        <w:spacing w:after="0" w:line="57" w:lineRule="exact"/>
        <w:rPr>
          <w:sz w:val="20"/>
          <w:szCs w:val="20"/>
          <w:color w:val="auto"/>
        </w:rPr>
      </w:pPr>
    </w:p>
    <w:p>
      <w:pPr>
        <w:ind w:left="560" w:right="100"/>
        <w:spacing w:after="0" w:line="291" w:lineRule="auto"/>
        <w:rPr>
          <w:sz w:val="20"/>
          <w:szCs w:val="20"/>
          <w:color w:val="auto"/>
        </w:rPr>
      </w:pPr>
      <w:r>
        <w:rPr>
          <w:rFonts w:ascii="Arial" w:cs="Arial" w:eastAsia="Arial" w:hAnsi="Arial"/>
          <w:sz w:val="16"/>
          <w:szCs w:val="16"/>
          <w:u w:val="single" w:color="auto"/>
          <w:color w:val="auto"/>
        </w:rPr>
        <w:t>Theater access fees—founding members.</w:t>
      </w:r>
      <w:r>
        <w:rPr>
          <w:rFonts w:ascii="Arial" w:cs="Arial" w:eastAsia="Arial" w:hAnsi="Arial"/>
          <w:sz w:val="16"/>
          <w:szCs w:val="16"/>
          <w:color w:val="auto"/>
        </w:rPr>
        <w:t xml:space="preserve"> Theater access fees decreased $1.1 million, or 5.7%, from $19.2 million for the third quarter of 2016 to $18.1 million for the third quarter of 2017. The decrease was due to a $1.3 million decrease in the expense associated with founding member attendance, partially offset by a $0.2 million increase in the expense associated with the founding member digital screens that are connected to the DCN, including higher quality digital cinema projectors and related equipment. The $1.3 million decrease in the theater access fee expense based upon attendance decreased $2.2 million due to a 18.1% decrease in founding member attendance, partially offset by $0.9 million increase due to a contractual 8% rate increase this year (the payment per patron rate increase occurs every five years with this increase taking place in 2017). The $0.2 million increase in digital screen fee expense increased primarily due to an annual 5% increase specified in the ESAs.</w:t>
      </w:r>
    </w:p>
    <w:p>
      <w:pPr>
        <w:spacing w:after="0" w:line="59"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$0.4 million, or 2.4%, from $16.8 million for the third quarter of 2016 to $17.2 million for the third quarter of 2017. These expenses increased $0.7 million in online publisher expense related to higher online and mobile revenue, partially offset by $0.3 million in personnel related expenses driven by a decrease in noncash share-based compensation expense (related to lower performance against internal targets).</w:t>
      </w:r>
    </w:p>
    <w:p>
      <w:pPr>
        <w:spacing w:after="0" w:line="79" w:lineRule="exact"/>
        <w:rPr>
          <w:sz w:val="20"/>
          <w:szCs w:val="20"/>
          <w:color w:val="auto"/>
        </w:rPr>
      </w:pPr>
    </w:p>
    <w:p>
      <w:pPr>
        <w:ind w:left="56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decreased $0.2 million, or 3.6%, from $5.6 million for the third quarter of 2016 to $5.4 million for the third quarter of 2017 primarily related to a $0.3 million decrease in personnel related expenses due to lower bonus expense (related to lower performance against internal targets).</w:t>
      </w:r>
    </w:p>
    <w:p>
      <w:pPr>
        <w:spacing w:after="0" w:line="73" w:lineRule="exact"/>
        <w:rPr>
          <w:sz w:val="20"/>
          <w:szCs w:val="20"/>
          <w:color w:val="auto"/>
        </w:rPr>
      </w:pPr>
    </w:p>
    <w:p>
      <w:pPr>
        <w:ind w:left="560" w:right="160"/>
        <w:spacing w:after="0" w:line="279" w:lineRule="auto"/>
        <w:rPr>
          <w:sz w:val="20"/>
          <w:szCs w:val="20"/>
          <w:color w:val="auto"/>
        </w:rPr>
      </w:pPr>
      <w:r>
        <w:rPr>
          <w:rFonts w:ascii="Arial" w:cs="Arial" w:eastAsia="Arial" w:hAnsi="Arial"/>
          <w:sz w:val="17"/>
          <w:szCs w:val="17"/>
          <w:u w:val="single" w:color="auto"/>
          <w:color w:val="auto"/>
        </w:rPr>
        <w:t>Administrative fee – managing member.</w:t>
      </w:r>
      <w:r>
        <w:rPr>
          <w:rFonts w:ascii="Arial" w:cs="Arial" w:eastAsia="Arial" w:hAnsi="Arial"/>
          <w:sz w:val="17"/>
          <w:szCs w:val="17"/>
          <w:color w:val="auto"/>
        </w:rPr>
        <w:t xml:space="preserve"> Administrative fee-managing member increased $0.4 million, or 13.3% from $3.0 million for the third quarter of 2016 to $3.4 million for the third quarter of 2017 due primarily to an increase in personnel related expenses related to higher non-cash shared based compensation expense. Amounts recorded are based on the terms of the management services agreement which states NCM LLC pays NCM, Inc. service fees which are equal to the cost of NCM, Inc. employees and any reimbursable costs incurred by NCM, Inc.</w:t>
      </w:r>
    </w:p>
    <w:p>
      <w:pPr>
        <w:spacing w:after="0" w:line="63" w:lineRule="exact"/>
        <w:rPr>
          <w:sz w:val="20"/>
          <w:szCs w:val="20"/>
          <w:color w:val="auto"/>
        </w:rPr>
      </w:pPr>
    </w:p>
    <w:p>
      <w:pPr>
        <w:ind w:left="560"/>
        <w:spacing w:after="0" w:line="264"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$0.5 million, or 5.6%, from $8.9 million for the third quarter of 2016 to $9.4 million for the third quarter of 2017 primarily due to an increase in depreciation expense driven by more software being placed into service during the period.</w:t>
      </w:r>
    </w:p>
    <w:p>
      <w:pPr>
        <w:spacing w:after="0" w:line="73"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$11.5 million, or 46.9%, from $24.5 million for the third quarter of 2016 to $13.0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third quarter of 2017. The following table shows the changes in non-operating expense for the third quarter of 2017 and the third quarter of 2016 (in millions):</w:t>
      </w:r>
    </w:p>
    <w:p>
      <w:pPr>
        <w:spacing w:after="0" w:line="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Q3 2017</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Q3 2016</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58"/>
              <w:spacing w:after="0" w:line="133" w:lineRule="exact"/>
              <w:rPr>
                <w:sz w:val="20"/>
                <w:szCs w:val="20"/>
                <w:color w:val="auto"/>
              </w:rPr>
            </w:pPr>
            <w:r>
              <w:rPr>
                <w:rFonts w:ascii="Arial" w:cs="Arial" w:eastAsia="Arial" w:hAnsi="Arial"/>
                <w:sz w:val="14"/>
                <w:szCs w:val="14"/>
                <w:b w:val="1"/>
                <w:bCs w:val="1"/>
                <w:color w:val="auto"/>
                <w:w w:val="93"/>
              </w:rPr>
              <w:t>Q3 2017 to</w:t>
            </w:r>
          </w:p>
        </w:tc>
        <w:tc>
          <w:tcPr>
            <w:tcW w:w="200" w:type="dxa"/>
            <w:vAlign w:val="bottom"/>
          </w:tcPr>
          <w:p>
            <w:pPr>
              <w:spacing w:after="0"/>
              <w:rPr>
                <w:sz w:val="11"/>
                <w:szCs w:val="11"/>
                <w:color w:val="auto"/>
              </w:rPr>
            </w:pPr>
          </w:p>
        </w:tc>
        <w:tc>
          <w:tcPr>
            <w:tcW w:w="13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Q3 2017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FF2FA"/>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FF2FA"/>
            </w:tcBorders>
          </w:tcPr>
          <w:p>
            <w:pPr>
              <w:spacing w:after="0"/>
              <w:rPr>
                <w:sz w:val="14"/>
                <w:szCs w:val="14"/>
                <w:color w:val="auto"/>
              </w:rPr>
            </w:pPr>
          </w:p>
        </w:tc>
        <w:tc>
          <w:tcPr>
            <w:tcW w:w="20" w:type="dxa"/>
            <w:vAlign w:val="bottom"/>
            <w:tcBorders>
              <w:bottom w:val="single" w:sz="8" w:color="CFF2FA"/>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Q3 2016</w:t>
            </w:r>
          </w:p>
        </w:tc>
        <w:tc>
          <w:tcPr>
            <w:tcW w:w="200" w:type="dxa"/>
            <w:vAlign w:val="bottom"/>
            <w:tcBorders>
              <w:bottom w:val="single" w:sz="8" w:color="CFF2FA"/>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 2016</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Interest on borrowings</w:t>
            </w:r>
          </w:p>
        </w:tc>
        <w:tc>
          <w:tcPr>
            <w:tcW w:w="1040" w:type="dxa"/>
            <w:vAlign w:val="bottom"/>
            <w:shd w:val="clear" w:color="auto" w:fill="CFF2FA"/>
          </w:tcPr>
          <w:p>
            <w:pPr>
              <w:jc w:val="right"/>
              <w:ind w:right="88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13.1</w:t>
            </w:r>
          </w:p>
        </w:tc>
        <w:tc>
          <w:tcPr>
            <w:tcW w:w="1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90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(1.2)</w:t>
            </w:r>
          </w:p>
        </w:tc>
        <w:tc>
          <w:tcPr>
            <w:tcW w:w="162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Loss on early retirement of debt</w:t>
            </w:r>
          </w:p>
        </w:tc>
        <w:tc>
          <w:tcPr>
            <w:tcW w:w="1040" w:type="dxa"/>
            <w:vAlign w:val="bottom"/>
            <w:shd w:val="clear" w:color="auto" w:fill="CFF2FA"/>
          </w:tcPr>
          <w:p>
            <w:pPr>
              <w:spacing w:after="0"/>
              <w:rPr>
                <w:sz w:val="19"/>
                <w:szCs w:val="19"/>
                <w:color w:val="auto"/>
              </w:rPr>
            </w:pPr>
          </w:p>
        </w:tc>
        <w:tc>
          <w:tcPr>
            <w:tcW w:w="3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106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38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(10.4)</w:t>
            </w:r>
          </w:p>
        </w:tc>
        <w:tc>
          <w:tcPr>
            <w:tcW w:w="162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240"/>
              <w:spacing w:after="0"/>
              <w:rPr>
                <w:sz w:val="20"/>
                <w:szCs w:val="20"/>
                <w:color w:val="auto"/>
              </w:rPr>
            </w:pPr>
            <w:r>
              <w:rPr>
                <w:rFonts w:ascii="Arial" w:cs="Arial" w:eastAsia="Arial" w:hAnsi="Arial"/>
                <w:sz w:val="18"/>
                <w:szCs w:val="18"/>
                <w:color w:val="auto"/>
              </w:rPr>
              <w:t>Total non-operating expenses</w:t>
            </w: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13.0</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The decrease in non-operating expense was due primarily to the absence of a $10.4 million loss on early retirement of debt recorded in the third quarter of 2016 as a result of the redemption of senior unsecured notes and a $1.2 million decrease in interest on borrowings primarily related to a one-month period between the issuance of and redemption of notes during the third quarter of 2016, whereby interest was paid on both notes for one month in the third quarter of 2016.</w:t>
      </w:r>
    </w:p>
    <w:p>
      <w:pPr>
        <w:spacing w:after="0" w:line="79" w:lineRule="exact"/>
        <w:rPr>
          <w:sz w:val="20"/>
          <w:szCs w:val="20"/>
          <w:color w:val="auto"/>
        </w:rPr>
      </w:pPr>
    </w:p>
    <w:p>
      <w:pPr>
        <w:ind w:firstLine="555"/>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increased $13.4 million from $23.9 million for the third quarter of 2016 to $37.3 million for the third quarter of 2017.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net income was due to a decrease in non-operating expenses of $11.5 million, as discussed above, and a $1.9 million increase in operating income.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Nine Months Ended September 28, 2017 and September 29, 2016</w:t>
      </w:r>
    </w:p>
    <w:p>
      <w:pPr>
        <w:spacing w:after="0" w:line="117"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decreased 6.5%, from $305.1 million for the nine months ended September 29, 2016 to $285.4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28, 2017. The following is a summary of revenue by category (in millions):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 Change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4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8"/>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8"/>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40" w:type="dxa"/>
            <w:vAlign w:val="bottom"/>
          </w:tcPr>
          <w:p>
            <w:pPr>
              <w:spacing w:after="0"/>
              <w:rPr>
                <w:sz w:val="11"/>
                <w:szCs w:val="11"/>
                <w:color w:val="auto"/>
              </w:rPr>
            </w:pPr>
          </w:p>
        </w:tc>
      </w:tr>
      <w:tr>
        <w:trPr>
          <w:trHeight w:val="171"/>
        </w:trPr>
        <w:tc>
          <w:tcPr>
            <w:tcW w:w="48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YTD 2016</w:t>
            </w:r>
          </w:p>
        </w:tc>
        <w:tc>
          <w:tcPr>
            <w:tcW w:w="2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2016</w:t>
            </w:r>
          </w:p>
        </w:tc>
        <w:tc>
          <w:tcPr>
            <w:tcW w:w="240" w:type="dxa"/>
            <w:vAlign w:val="bottom"/>
            <w:tcBorders>
              <w:bottom w:val="single" w:sz="8" w:color="CFF0FC"/>
            </w:tcBorders>
          </w:tcPr>
          <w:p>
            <w:pPr>
              <w:spacing w:after="0"/>
              <w:rPr>
                <w:sz w:val="14"/>
                <w:szCs w:val="14"/>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beverage concessionaire agreements</w:t>
            </w:r>
          </w:p>
        </w:tc>
        <w:tc>
          <w:tcPr>
            <w:tcW w:w="1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w:t>
            </w: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285.4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data on theater attendance and revenue per attendee for the nine months ended September 28, 2017 and September 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ind w:left="56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33"/>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7"/>
              <w:spacing w:after="0" w:line="133" w:lineRule="exact"/>
              <w:rPr>
                <w:sz w:val="20"/>
                <w:szCs w:val="20"/>
                <w:color w:val="auto"/>
              </w:rPr>
            </w:pPr>
            <w:r>
              <w:rPr>
                <w:rFonts w:ascii="Arial" w:cs="Arial" w:eastAsia="Arial" w:hAnsi="Arial"/>
                <w:sz w:val="14"/>
                <w:szCs w:val="14"/>
                <w:b w:val="1"/>
                <w:bCs w:val="1"/>
                <w:color w:val="auto"/>
                <w:w w:val="93"/>
              </w:rPr>
              <w:t>September 28,</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95"/>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2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2016</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0.411</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0.129</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r>
      <w:tr>
        <w:trPr>
          <w:trHeight w:val="215"/>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member beverage revenue) per attendee</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0.541</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0.582</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r>
    </w:tbl>
    <w:p>
      <w:pPr>
        <w:spacing w:after="0" w:line="229" w:lineRule="exact"/>
        <w:rPr>
          <w:sz w:val="20"/>
          <w:szCs w:val="20"/>
          <w:color w:val="auto"/>
        </w:rPr>
      </w:pPr>
    </w:p>
    <w:p>
      <w:pPr>
        <w:jc w:val="both"/>
        <w:ind w:left="1700" w:right="560" w:hanging="558"/>
        <w:spacing w:after="0" w:line="264" w:lineRule="auto"/>
        <w:tabs>
          <w:tab w:leader="none" w:pos="170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-432435</wp:posOffset>
            </wp:positionV>
            <wp:extent cx="13379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53"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u w:val="single" w:color="auto"/>
          <w:color w:val="auto"/>
        </w:rPr>
        <w:t>National advertising revenue.</w:t>
      </w:r>
      <w:r>
        <w:rPr>
          <w:rFonts w:ascii="Arial" w:cs="Arial" w:eastAsia="Arial" w:hAnsi="Arial"/>
          <w:sz w:val="17"/>
          <w:szCs w:val="17"/>
          <w:color w:val="auto"/>
        </w:rPr>
        <w:t xml:space="preserve"> The $20.6 million, or 9.6%, decrease in national advertising revenue (excluding beverage revenue from NCM LLC’s founding members) was due primarily to an 8.5% decrease in national advertising CPMs (excluding beverage) and a 5.3% decrease in impressions sold in the first nine months of 2017, compared to the first nine months of 2016, partially offset by a $4.0 million, or 12.9%, increase in online, mobile and other revenue not included in the inventory measured by impressions sold or CPMs. The decrease in national advertising CPMs was due primarily to lower CPMs on revenue from upfront advertisers, including content partners, year over year. The decrease in national advertising impressions sold was primarily due to lower content partner spending and demand in the scatter market for the first nine months of 2017, compared to the first nine months of 2016. However, national inventory utilization remained almost consistent, with a slight increase from 112.9% in the first nine months of 2016 to 113.9% in the first nine months of 2017, on a 6.1% decrease in network attendance. Inventory utilization is calculated as utilized impressions divided by total advertising impressions, which is based on eleven 30-second salable national advertising units 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which can be expanded, should market demand dictate.</w:t>
      </w:r>
    </w:p>
    <w:p>
      <w:pPr>
        <w:spacing w:after="0" w:line="70"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Local and regional advertising revenue remained constant at $67.8 million for the first nine months of 2017 and 2016, primarily due to an increase in revenue from contracts over $100,000, driven primarily by higher sales within the automotive industry and a $1.5 million increase in online and mobile revenue during the first nine months of 2017, compared to the first nine months of 2016. These increases in local and regional advertising revenue were offset by an equivalent decrease in the amount of contracts less than $100,000 in the first nine months of 2017, compared to the first nine months of 2016.</w:t>
      </w:r>
    </w:p>
    <w:p>
      <w:pPr>
        <w:spacing w:after="0" w:line="80" w:lineRule="exact"/>
        <w:rPr>
          <w:sz w:val="20"/>
          <w:szCs w:val="20"/>
          <w:color w:val="auto"/>
        </w:rPr>
      </w:pPr>
    </w:p>
    <w:p>
      <w:pPr>
        <w:ind w:left="560" w:right="380"/>
        <w:spacing w:after="0" w:line="279" w:lineRule="auto"/>
        <w:rPr>
          <w:sz w:val="20"/>
          <w:szCs w:val="20"/>
          <w:color w:val="auto"/>
        </w:rPr>
      </w:pPr>
      <w:r>
        <w:rPr>
          <w:rFonts w:ascii="Arial" w:cs="Arial" w:eastAsia="Arial" w:hAnsi="Arial"/>
          <w:sz w:val="17"/>
          <w:szCs w:val="17"/>
          <w:u w:val="single" w:color="auto"/>
          <w:color w:val="auto"/>
        </w:rPr>
        <w:t>Founding member beverage revenue.</w:t>
      </w:r>
      <w:r>
        <w:rPr>
          <w:rFonts w:ascii="Arial" w:cs="Arial" w:eastAsia="Arial" w:hAnsi="Arial"/>
          <w:sz w:val="17"/>
          <w:szCs w:val="17"/>
          <w:color w:val="auto"/>
        </w:rPr>
        <w:t xml:space="preserve"> The $0.9 million, or 4.1%, increase in national advertising revenue from the founding members’ beverage concessionaire agreements was due primarily to a 10.2% increase in beverage revenue CPMs, partially offset by an 8.0% decrease in founding member attendance in the first nine months of 2017, compared to the first nine months of 2016. The 2017 beverage revenue CPM is based on the change in CPM during segment one of our pre-show from 2015 to 2016, which increased 10.2%.</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3" w:name="page24"/>
    <w:bookmarkEnd w:id="23"/>
    <w:p>
      <w:pPr>
        <w:ind w:right="220" w:firstLine="407"/>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$2.7 million, or 1.3%, from $204.4 million for the nine months ended September 29, 2016 to</w:t>
      </w:r>
      <w:r>
        <w:rPr>
          <w:rFonts w:ascii="Arial" w:cs="Arial" w:eastAsia="Arial" w:hAnsi="Arial"/>
          <w:sz w:val="18"/>
          <w:szCs w:val="18"/>
          <w:i w:val="1"/>
          <w:iCs w:val="1"/>
          <w:color w:val="auto"/>
        </w:rPr>
        <w:t xml:space="preserve"> </w:t>
      </w:r>
      <w:r>
        <w:rPr>
          <w:rFonts w:ascii="Arial" w:cs="Arial" w:eastAsia="Arial" w:hAnsi="Arial"/>
          <w:sz w:val="18"/>
          <w:szCs w:val="18"/>
          <w:color w:val="auto"/>
        </w:rPr>
        <w:t>$201.7 million for the nine months ended September 28, 2017. The following table shows the changes in operating expense for the nine months ended September 28, 2017 and September 29, 2016 (in millions):</w:t>
      </w:r>
    </w:p>
    <w:p>
      <w:pPr>
        <w:spacing w:after="0" w:line="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 Change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49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8"/>
              </w:rPr>
              <w:t>September 28,</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3"/>
              </w:rPr>
              <w:t>September 29,</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75"/>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40" w:type="dxa"/>
            <w:vAlign w:val="bottom"/>
          </w:tcPr>
          <w:p>
            <w:pPr>
              <w:spacing w:after="0"/>
              <w:rPr>
                <w:sz w:val="11"/>
                <w:szCs w:val="11"/>
                <w:color w:val="auto"/>
              </w:rPr>
            </w:pPr>
          </w:p>
        </w:tc>
      </w:tr>
      <w:tr>
        <w:trPr>
          <w:trHeight w:val="171"/>
        </w:trPr>
        <w:tc>
          <w:tcPr>
            <w:tcW w:w="4980" w:type="dxa"/>
            <w:vAlign w:val="bottom"/>
            <w:tcBorders>
              <w:bottom w:val="single" w:sz="8" w:color="CFF2FA"/>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2FA"/>
            </w:tcBorders>
          </w:tcPr>
          <w:p>
            <w:pPr>
              <w:spacing w:after="0"/>
              <w:rPr>
                <w:sz w:val="14"/>
                <w:szCs w:val="14"/>
                <w:color w:val="auto"/>
              </w:rPr>
            </w:pPr>
          </w:p>
        </w:tc>
        <w:tc>
          <w:tcPr>
            <w:tcW w:w="2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YTD 2016</w:t>
            </w:r>
          </w:p>
        </w:tc>
        <w:tc>
          <w:tcPr>
            <w:tcW w:w="200" w:type="dxa"/>
            <w:vAlign w:val="bottom"/>
            <w:tcBorders>
              <w:bottom w:val="single" w:sz="8" w:color="CFF2FA"/>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2016</w:t>
            </w:r>
          </w:p>
        </w:tc>
        <w:tc>
          <w:tcPr>
            <w:tcW w:w="240" w:type="dxa"/>
            <w:vAlign w:val="bottom"/>
            <w:tcBorders>
              <w:bottom w:val="single" w:sz="8" w:color="CFF2FA"/>
            </w:tcBorders>
          </w:tcPr>
          <w:p>
            <w:pPr>
              <w:spacing w:after="0"/>
              <w:rPr>
                <w:sz w:val="14"/>
                <w:szCs w:val="14"/>
                <w:color w:val="auto"/>
              </w:rPr>
            </w:pPr>
          </w:p>
        </w:tc>
      </w:tr>
      <w:tr>
        <w:trPr>
          <w:trHeight w:val="223"/>
        </w:trPr>
        <w:tc>
          <w:tcPr>
            <w:tcW w:w="4980" w:type="dxa"/>
            <w:vAlign w:val="bottom"/>
            <w:shd w:val="clear" w:color="auto" w:fill="CFF2FA"/>
          </w:tcPr>
          <w:p>
            <w:pPr>
              <w:spacing w:after="0"/>
              <w:rPr>
                <w:sz w:val="20"/>
                <w:szCs w:val="20"/>
                <w:color w:val="auto"/>
              </w:rPr>
            </w:pPr>
            <w:r>
              <w:rPr>
                <w:rFonts w:ascii="Arial" w:cs="Arial" w:eastAsia="Arial" w:hAnsi="Arial"/>
                <w:sz w:val="18"/>
                <w:szCs w:val="18"/>
                <w:color w:val="auto"/>
              </w:rPr>
              <w:t>Advertising operating costs</w:t>
            </w:r>
          </w:p>
        </w:tc>
        <w:tc>
          <w:tcPr>
            <w:tcW w:w="160" w:type="dxa"/>
            <w:vAlign w:val="bottom"/>
            <w:shd w:val="clear" w:color="auto" w:fill="CFF2FA"/>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21.4</w:t>
            </w:r>
          </w:p>
        </w:tc>
        <w:tc>
          <w:tcPr>
            <w:tcW w:w="440" w:type="dxa"/>
            <w:vAlign w:val="bottom"/>
            <w:gridSpan w:val="2"/>
            <w:shd w:val="clear" w:color="auto" w:fill="CFF2FA"/>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20" w:type="dxa"/>
            <w:vAlign w:val="bottom"/>
            <w:shd w:val="clear" w:color="auto" w:fill="CFF2FA"/>
          </w:tcPr>
          <w:p>
            <w:pPr>
              <w:jc w:val="right"/>
              <w:ind w:right="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FF2FA"/>
          </w:tcPr>
          <w:p>
            <w:pPr>
              <w:spacing w:after="0"/>
              <w:rPr>
                <w:sz w:val="19"/>
                <w:szCs w:val="19"/>
                <w:color w:val="auto"/>
              </w:rPr>
            </w:pPr>
          </w:p>
        </w:tc>
        <w:tc>
          <w:tcPr>
            <w:tcW w:w="130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2.9%</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Network costs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30"/>
        </w:trPr>
        <w:tc>
          <w:tcPr>
            <w:tcW w:w="4980" w:type="dxa"/>
            <w:vAlign w:val="bottom"/>
            <w:shd w:val="clear" w:color="auto" w:fill="CFF2FA"/>
          </w:tcPr>
          <w:p>
            <w:pPr>
              <w:spacing w:after="0"/>
              <w:rPr>
                <w:sz w:val="20"/>
                <w:szCs w:val="20"/>
                <w:color w:val="auto"/>
              </w:rPr>
            </w:pPr>
            <w:r>
              <w:rPr>
                <w:rFonts w:ascii="Arial" w:cs="Arial" w:eastAsia="Arial" w:hAnsi="Arial"/>
                <w:sz w:val="18"/>
                <w:szCs w:val="18"/>
                <w:color w:val="auto"/>
              </w:rPr>
              <w:t>Theater access fees—founding members</w:t>
            </w:r>
          </w:p>
        </w:tc>
        <w:tc>
          <w:tcPr>
            <w:tcW w:w="16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7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FF2FA"/>
          </w:tcPr>
          <w:p>
            <w:pPr>
              <w:spacing w:after="0"/>
              <w:rPr>
                <w:sz w:val="19"/>
                <w:szCs w:val="19"/>
                <w:color w:val="auto"/>
              </w:rPr>
            </w:pPr>
          </w:p>
        </w:tc>
        <w:tc>
          <w:tcPr>
            <w:tcW w:w="130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1.1%</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30"/>
        </w:trPr>
        <w:tc>
          <w:tcPr>
            <w:tcW w:w="4980" w:type="dxa"/>
            <w:vAlign w:val="bottom"/>
            <w:shd w:val="clear" w:color="auto" w:fill="CFF2FA"/>
          </w:tcPr>
          <w:p>
            <w:pPr>
              <w:spacing w:after="0"/>
              <w:rPr>
                <w:sz w:val="20"/>
                <w:szCs w:val="20"/>
                <w:color w:val="auto"/>
              </w:rPr>
            </w:pPr>
            <w:r>
              <w:rPr>
                <w:rFonts w:ascii="Arial" w:cs="Arial" w:eastAsia="Arial" w:hAnsi="Arial"/>
                <w:sz w:val="18"/>
                <w:szCs w:val="18"/>
                <w:color w:val="auto"/>
              </w:rPr>
              <w:t>Administrative and other costs</w:t>
            </w:r>
          </w:p>
        </w:tc>
        <w:tc>
          <w:tcPr>
            <w:tcW w:w="160" w:type="dxa"/>
            <w:vAlign w:val="bottom"/>
            <w:shd w:val="clear" w:color="auto" w:fill="CFF2FA"/>
          </w:tcPr>
          <w:p>
            <w:pPr>
              <w:spacing w:after="0"/>
              <w:rPr>
                <w:sz w:val="19"/>
                <w:szCs w:val="19"/>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7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2FA"/>
          </w:tcPr>
          <w:p>
            <w:pPr>
              <w:spacing w:after="0"/>
              <w:rPr>
                <w:sz w:val="19"/>
                <w:szCs w:val="19"/>
                <w:color w:val="auto"/>
              </w:rPr>
            </w:pPr>
          </w:p>
        </w:tc>
        <w:tc>
          <w:tcPr>
            <w:tcW w:w="130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8.2%</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30"/>
        </w:trPr>
        <w:tc>
          <w:tcPr>
            <w:tcW w:w="4980" w:type="dxa"/>
            <w:vAlign w:val="bottom"/>
            <w:shd w:val="clear" w:color="auto" w:fill="CFF2FA"/>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FF2FA"/>
          </w:tcPr>
          <w:p>
            <w:pPr>
              <w:spacing w:after="0"/>
              <w:rPr>
                <w:sz w:val="19"/>
                <w:szCs w:val="19"/>
                <w:color w:val="auto"/>
              </w:rPr>
            </w:pP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FF2FA"/>
          </w:tcPr>
          <w:p>
            <w:pPr>
              <w:spacing w:after="0"/>
              <w:rPr>
                <w:sz w:val="19"/>
                <w:szCs w:val="19"/>
                <w:color w:val="auto"/>
              </w:rPr>
            </w:pPr>
          </w:p>
        </w:tc>
        <w:tc>
          <w:tcPr>
            <w:tcW w:w="220" w:type="dxa"/>
            <w:vAlign w:val="bottom"/>
            <w:tcBorders>
              <w:bottom w:val="single" w:sz="8" w:color="auto"/>
            </w:tcBorders>
            <w:shd w:val="clear" w:color="auto" w:fill="CFF2FA"/>
          </w:tcPr>
          <w:p>
            <w:pPr>
              <w:spacing w:after="0"/>
              <w:rPr>
                <w:sz w:val="19"/>
                <w:szCs w:val="19"/>
                <w:color w:val="auto"/>
              </w:rPr>
            </w:pPr>
          </w:p>
        </w:tc>
        <w:tc>
          <w:tcPr>
            <w:tcW w:w="7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spacing w:after="0"/>
              <w:rPr>
                <w:sz w:val="19"/>
                <w:szCs w:val="19"/>
                <w:color w:val="auto"/>
              </w:rPr>
            </w:pPr>
          </w:p>
        </w:tc>
        <w:tc>
          <w:tcPr>
            <w:tcW w:w="10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2FA"/>
          </w:tcPr>
          <w:p>
            <w:pPr>
              <w:spacing w:after="0"/>
              <w:rPr>
                <w:sz w:val="19"/>
                <w:szCs w:val="19"/>
                <w:color w:val="auto"/>
              </w:rPr>
            </w:pPr>
          </w:p>
        </w:tc>
        <w:tc>
          <w:tcPr>
            <w:tcW w:w="130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6.4%</w:t>
            </w:r>
          </w:p>
        </w:tc>
      </w:tr>
      <w:tr>
        <w:trPr>
          <w:trHeight w:val="223"/>
        </w:trPr>
        <w:tc>
          <w:tcPr>
            <w:tcW w:w="49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right="20"/>
        <w:spacing w:after="0" w:line="272"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increased $0.6 million, or 2.9%, from $20.8 million for the first nine months of 2016 to $21.4 million for the first nine months of 2017. This increase was primarily the result of a $1.0 million increase in affiliate advertising payments and a $0.6 million increase in personnel related expenses. The increase in affiliate advertising payments was primarily driven by a 10.7%, or 367 screen, increase in the number of average affiliate screens for the first nine months of 2017, compared to the first nine months of 2016. The increase in personnel related expenses were primarily related to higher salary expense in the first nine months of 2017, compared to the first nine months of 2016. These increases in advertising operating costs were partially offset by a $1.0 million decrease in production costs related to lower revenue in the first nine months of 2017, compared to the first nine months of 2016.</w:t>
      </w:r>
    </w:p>
    <w:p>
      <w:pPr>
        <w:spacing w:after="0" w:line="70"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$1.0 million, or 7.8%, from $12.9 million for the first nine months of 2016 to $11.9 million compared to the first nine months of 2017. This decrease was primarily related to a $0.5 million decrease in personnel related expenses due to lower salaries and bonus expense (related to lower performance against internal targets) and a $0.2 million decrease in network maintenance costs related to our DCN in the first nine months of 2017, compared to the first nine months of 2016.</w:t>
      </w:r>
    </w:p>
    <w:p>
      <w:pPr>
        <w:spacing w:after="0" w:line="79"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u w:val="single" w:color="auto"/>
          <w:color w:val="auto"/>
        </w:rPr>
        <w:t>Theater access fees—founding members.</w:t>
      </w:r>
      <w:r>
        <w:rPr>
          <w:rFonts w:ascii="Arial" w:cs="Arial" w:eastAsia="Arial" w:hAnsi="Arial"/>
          <w:sz w:val="17"/>
          <w:szCs w:val="17"/>
          <w:color w:val="auto"/>
        </w:rPr>
        <w:t xml:space="preserve"> Theater access fees increased $0.6 million, or 1.1%, from $56.8 million for the first nine months of 2016 to $57.4 million for the first nine months of 2017. The increase was due to a $0.8 million increase in the expense associated with the founding member digital screens that are connected to the DCN, including higher quality digital cinema projectors and related equipment, partially offset by a $0.2 million decrease in the expense associated with founding member attendance in the first nine months of 2017, compared to the first nine months of 2016. The $0.8 million increase in digital screen fee expense increased primarily due to an annual 5% increase specified in the ESAs. The $0.2 million decrease in the theater access fee expense based upon attendance decreased $2.9 million due to an 8.0% decrease in founding member attendance, partially offset by an increase of $2.7 million due to a contractual 8% rate increase (the payment per patron rate increase occurs every five years with this increase taking place in 2017).</w:t>
      </w:r>
    </w:p>
    <w:p>
      <w:pPr>
        <w:spacing w:after="0" w:line="71" w:lineRule="exact"/>
        <w:rPr>
          <w:sz w:val="20"/>
          <w:szCs w:val="20"/>
          <w:color w:val="auto"/>
        </w:rPr>
      </w:pPr>
    </w:p>
    <w:p>
      <w:pPr>
        <w:ind w:left="560" w:right="120"/>
        <w:spacing w:after="0" w:line="272"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$0.3 million, or 0.6%, from $54.5 million for the first nine months ended 2016 to $54.2 million for the first nine months ended 2017. This decrease was primarily due to a $1.8 million decrease in personnel related expenses due primarily to lower commission based expense and lower non-cash share-based compensation expense (related to lower revenue and lower performance against internal targets) and a $1.0 million decrease in non-cash barter expense related to the nature and timing of these expenses in the first nine months of 2017, compared to the first nine months of 2016. These decreases in selling and marketing costs were partially offset by a $2.4 million increase in non-cash impairment expense recorded during the first nine months of 2017, compared to the first nine months of 2016, related to investments obtained in prior years in exchange for advertising services.</w:t>
      </w:r>
    </w:p>
    <w:p>
      <w:pPr>
        <w:spacing w:after="0" w:line="70" w:lineRule="exact"/>
        <w:rPr>
          <w:sz w:val="20"/>
          <w:szCs w:val="20"/>
          <w:color w:val="auto"/>
        </w:rPr>
      </w:pPr>
    </w:p>
    <w:p>
      <w:pPr>
        <w:ind w:left="560" w:right="16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$1.4 million, or 8.2%, from $17.1 million for the first nine months of 2016, to $18.5 million for the first nine months of 2017 due primarily to a $1.8 million early lease termination charge for our corporate headquarters (the payment of which was reimbursed by the new landlord).</w:t>
      </w:r>
    </w:p>
    <w:p>
      <w:pPr>
        <w:spacing w:after="0" w:line="73"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u w:val="single" w:color="auto"/>
          <w:color w:val="auto"/>
        </w:rPr>
        <w:t>Administrative fee—managing member.</w:t>
      </w:r>
      <w:r>
        <w:rPr>
          <w:rFonts w:ascii="Arial" w:cs="Arial" w:eastAsia="Arial" w:hAnsi="Arial"/>
          <w:sz w:val="18"/>
          <w:szCs w:val="18"/>
          <w:color w:val="auto"/>
        </w:rPr>
        <w:t xml:space="preserve"> Administrative fee-managing member decreased $5.7 million, or 36.1% from $15.8 million for the first nine months of 2016 to $10.1 million for the first nine months of 2017 due primarily to 1) $3.0 million of CEO transition costs, which consisted primarily of severance and consulting costs to our former CEO and 2) $2.3 million non-cash share-based compensation expense associated with modifying equity awards pursuant to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jc w:val="both"/>
        <w:ind w:left="560" w:right="240"/>
        <w:spacing w:after="0" w:line="264" w:lineRule="auto"/>
        <w:rPr>
          <w:sz w:val="20"/>
          <w:szCs w:val="20"/>
          <w:color w:val="auto"/>
        </w:rPr>
      </w:pPr>
      <w:r>
        <w:rPr>
          <w:rFonts w:ascii="Arial" w:cs="Arial" w:eastAsia="Arial" w:hAnsi="Arial"/>
          <w:sz w:val="18"/>
          <w:szCs w:val="18"/>
          <w:color w:val="auto"/>
        </w:rPr>
        <w:t>agreements with our former CEO that occurred during the first nine months of 2016. Amounts recorded are based on the terms of the management services agreement which states NCM LLC pays NCM, Inc. service fees which are equal to the cost of NCM, Inc. employees and any reimbursable costs incurred by NCM, Inc.</w:t>
      </w:r>
    </w:p>
    <w:p>
      <w:pPr>
        <w:spacing w:after="0" w:line="73" w:lineRule="exact"/>
        <w:rPr>
          <w:sz w:val="20"/>
          <w:szCs w:val="20"/>
          <w:color w:val="auto"/>
        </w:rPr>
      </w:pPr>
    </w:p>
    <w:p>
      <w:pPr>
        <w:ind w:left="560" w:right="20"/>
        <w:spacing w:after="0" w:line="264"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$1.7 million, or 6.4%, from $26.5 million for the first nine months of 2016 to $28.2 million for the first nine months of 2017. The increase was due to an increase in depreciation expense primarily from more software being placed into service.</w:t>
      </w:r>
    </w:p>
    <w:p>
      <w:pPr>
        <w:spacing w:after="0" w:line="181"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decreased $12.2 million, or 23.9%, from $51.0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29, 2016 to $38.8 million for the nine months ended September 28, 2017. The following table shows the changes in non-operating expense for the nine months ended September 28, 2017 and September 29, 2016 (in millions):</w:t>
      </w:r>
    </w:p>
    <w:p>
      <w:pPr>
        <w:spacing w:after="0" w:line="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3"/>
          </w:tcPr>
          <w:p>
            <w:pPr>
              <w:jc w:val="right"/>
              <w:ind w:right="167"/>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 Change</w:t>
            </w: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50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w w:val="98"/>
              </w:rPr>
              <w:t>September 28,</w:t>
            </w:r>
          </w:p>
        </w:tc>
        <w:tc>
          <w:tcPr>
            <w:tcW w:w="10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3"/>
              </w:rPr>
              <w:t>September 29,</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w w:val="97"/>
              </w:rPr>
              <w:t>YTD 2017 to</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2017 to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YTD 2016</w:t>
            </w:r>
          </w:p>
        </w:tc>
        <w:tc>
          <w:tcPr>
            <w:tcW w:w="1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2016</w:t>
            </w:r>
          </w:p>
        </w:tc>
        <w:tc>
          <w:tcPr>
            <w:tcW w:w="2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Interest on borrowings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Borders>
              <w:right w:val="single" w:sz="8" w:color="CFF0FC"/>
            </w:tcBorders>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41.2</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64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Loss on early retirement of debt</w:t>
            </w:r>
          </w:p>
        </w:tc>
        <w:tc>
          <w:tcPr>
            <w:tcW w:w="18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10.4</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(10.4)</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non-operating expenses</w:t>
            </w: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3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Borders>
              <w:right w:val="single" w:sz="8" w:color="CFF0FC"/>
            </w:tcBorders>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51.0</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(12.2)</w:t>
            </w:r>
          </w:p>
        </w:tc>
        <w:tc>
          <w:tcPr>
            <w:tcW w:w="13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The decrease in non-operating expense was due primarily to the absence of a $10.4 million loss on early retirement of debt recorded in the first nine months of 2016 as a result of the redemption of senior unsecured notes and a $1.8 million decrease in interest on borrowings primarily related to a one-month period between the issuance of and redemption of notes during the third quarter of 2016, whereby interest was paid on both notes for one month in the third quarter of 2016.</w:t>
      </w:r>
    </w:p>
    <w:p>
      <w:pPr>
        <w:spacing w:after="0" w:line="18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decreased $4.8 million from $49.6 million for the first nine months of 2016 to $44.8 million for the first nine months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net income was due to a $17.0 million decrease in operating income related to lower revenue as outlined above, partially offset by a $12.2 million decrease in non-operating expenses, as described further above.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121" w:lineRule="exact"/>
        <w:rPr>
          <w:sz w:val="20"/>
          <w:szCs w:val="20"/>
          <w:color w:val="auto"/>
        </w:rPr>
      </w:pPr>
    </w:p>
    <w:p>
      <w:pPr>
        <w:ind w:firstLine="555"/>
        <w:spacing w:after="0" w:line="267" w:lineRule="auto"/>
        <w:rPr>
          <w:sz w:val="20"/>
          <w:szCs w:val="20"/>
          <w:color w:val="auto"/>
        </w:rPr>
      </w:pPr>
      <w:r>
        <w:rPr>
          <w:rFonts w:ascii="Arial" w:cs="Arial" w:eastAsia="Arial" w:hAnsi="Arial"/>
          <w:sz w:val="17"/>
          <w:szCs w:val="17"/>
          <w:b w:val="1"/>
          <w:bCs w:val="1"/>
          <w:i w:val="1"/>
          <w:iCs w:val="1"/>
          <w:color w:val="auto"/>
        </w:rPr>
        <w:t>Our Marketplace</w:t>
      </w:r>
      <w:r>
        <w:rPr>
          <w:rFonts w:ascii="Arial" w:cs="Arial" w:eastAsia="Arial" w:hAnsi="Arial"/>
          <w:sz w:val="17"/>
          <w:szCs w:val="17"/>
          <w:color w:val="auto"/>
        </w:rPr>
        <w:t>— Changes in the current macro-economic environment and changes in the national, regional and local advertising markets present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uncertainties that could impact our results of operations, including the timing and amount of spending from our advertising clients as expenditures from advertisers tend to be cyclical, reflecting overall economic conditions, as well as our clients’ budgeting and buying patterns. In the current environment, it is difficult to know if these changes are short-term or temporary in nature or are long-term trends and changes. These changes include increased competition related to the expansion of online and mobile advertising platforms as well as fluctuations from quarter to quarter of the demand from national and local advertisers. Further, we could negatively be impacted by factors that could reduce the viewership of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such as the expansion of reserved seating (utilized in approximately 41.2% of our network as of October 3, 2017), online ticketing, an increase in the number and length of trailers for upcoming films, increased dwell time of patrons in exhibitor lobbies before showtime and lower network attendance, which could result from shortening of release windows, more alternative methods of delivering movies to consumers, lower consumer confidence and disposable income and a decline in the motion picture box office. These factors may affect the attractiveness of our offerings to advertisers. If pre-show viewership declines significantly, we will be required to provide additional advertising time (makegoods) to national advertisers to reach agreed-on audience delivery thresholds. National advertising sales and rates also are dependent on the methodology used to measure audience impressions. If a change is made to this methodology that reflects fewer audience impressions available during the pre-show, this would adversely affect our revenues and results of operations. The impact to our business associated with these issues could be mitigated over time due to factors including the increase in salable advertising impressions, better geographic coverage related to the expansion of our network, diversification and growth of our advertising client base, improvements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engagement and upgrades to our inventory management and data management systems. We could also benefit if the effectiveness of cinema advertising improves relative to other advertising mediums.</w:t>
      </w:r>
    </w:p>
    <w:p>
      <w:pPr>
        <w:spacing w:after="0" w:line="85" w:lineRule="exact"/>
        <w:rPr>
          <w:sz w:val="20"/>
          <w:szCs w:val="20"/>
          <w:color w:val="auto"/>
        </w:rPr>
      </w:pPr>
    </w:p>
    <w:p>
      <w:pPr>
        <w:ind w:right="200" w:firstLine="555"/>
        <w:spacing w:after="0" w:line="291" w:lineRule="auto"/>
        <w:rPr>
          <w:sz w:val="20"/>
          <w:szCs w:val="20"/>
          <w:color w:val="auto"/>
        </w:rPr>
      </w:pPr>
      <w:r>
        <w:rPr>
          <w:rFonts w:ascii="Arial" w:cs="Arial" w:eastAsia="Arial" w:hAnsi="Arial"/>
          <w:sz w:val="16"/>
          <w:szCs w:val="16"/>
          <w:color w:val="auto"/>
        </w:rPr>
        <w:t>We continue to participate in the television upfront advertising selling process and believe that over time, a shift toward more upfront commitments would allow us to bundle several client flights throughout the year in an effort to stabilize month-to-month and quarter-to-quarter volatility. Consistent with the television industry upfront booking practices, a portion of our upfront commitments have cancellation options or options to reduce the amount that advertisers may purchase and we would need to rely on the scatter market to replace those commitments. In addition, advertising sold through our upfront commitments may be placed throughout the period very irregularly which may affect our overall sales; for example, if a substantial portion of advertising from our upfront commitments is scheduled for peak periods of advertising demand, we will have fewer peak period advertising slots available for sale into the higher priced scatter market. Volatility in scatter market demand could cause our financial results to vary period to period.</w:t>
      </w:r>
    </w:p>
    <w:p>
      <w:pPr>
        <w:spacing w:after="0" w:line="59"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first nine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was as follows.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9"/>
              </w:rPr>
              <w:t>Number of screens</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38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Founding</w:t>
            </w: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Network Affiliates</w:t>
            </w: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Members</w:t>
            </w:r>
          </w:p>
        </w:tc>
        <w:tc>
          <w:tcPr>
            <w:tcW w:w="140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29, 2016</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17,022</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w:t>
            </w: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 xml:space="preserve">New affiliates </w:t>
            </w:r>
            <w:r>
              <w:rPr>
                <w:rFonts w:ascii="Arial" w:cs="Arial" w:eastAsia="Arial" w:hAnsi="Arial"/>
                <w:sz w:val="18"/>
                <w:szCs w:val="18"/>
                <w:i w:val="1"/>
                <w:iCs w:val="1"/>
                <w:color w:val="auto"/>
              </w:rPr>
              <w:t>(1)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60"/>
              <w:spacing w:after="0"/>
              <w:rPr>
                <w:sz w:val="20"/>
                <w:szCs w:val="20"/>
                <w:color w:val="auto"/>
              </w:rPr>
            </w:pPr>
            <w:r>
              <w:rPr>
                <w:rFonts w:ascii="Arial" w:cs="Arial" w:eastAsia="Arial" w:hAnsi="Arial"/>
                <w:sz w:val="18"/>
                <w:szCs w:val="18"/>
                <w:color w:val="auto"/>
              </w:rPr>
              <w:t xml:space="preserve">AMC screen transfers </w:t>
            </w:r>
            <w:r>
              <w:rPr>
                <w:rFonts w:ascii="Arial" w:cs="Arial" w:eastAsia="Arial" w:hAnsi="Arial"/>
                <w:sz w:val="18"/>
                <w:szCs w:val="18"/>
                <w:i w:val="1"/>
                <w:iCs w:val="1"/>
                <w:color w:val="auto"/>
              </w:rPr>
              <w:t>(2)</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(318)</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Openings, net of closures</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28, 2017</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146050</wp:posOffset>
            </wp:positionV>
            <wp:extent cx="13379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17" w:lineRule="exact"/>
        <w:rPr>
          <w:sz w:val="20"/>
          <w:szCs w:val="20"/>
          <w:color w:val="auto"/>
        </w:rPr>
      </w:pPr>
    </w:p>
    <w:p>
      <w:pPr>
        <w:ind w:left="1540" w:hanging="398"/>
        <w:spacing w:after="0"/>
        <w:tabs>
          <w:tab w:leader="none" w:pos="154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Represents five new affiliates added to our network during the first nine months of 2017.</w:t>
      </w:r>
    </w:p>
    <w:p>
      <w:pPr>
        <w:spacing w:after="0" w:line="23" w:lineRule="exact"/>
        <w:rPr>
          <w:rFonts w:ascii="Arial" w:cs="Arial" w:eastAsia="Arial" w:hAnsi="Arial"/>
          <w:sz w:val="18"/>
          <w:szCs w:val="18"/>
          <w:i w:val="1"/>
          <w:iCs w:val="1"/>
          <w:color w:val="auto"/>
        </w:rPr>
      </w:pPr>
    </w:p>
    <w:p>
      <w:pPr>
        <w:ind w:left="1540" w:hanging="398"/>
        <w:spacing w:after="0"/>
        <w:tabs>
          <w:tab w:leader="none" w:pos="154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Memorandum of Understanding with AMC</w:t>
      </w:r>
      <w:r>
        <w:rPr>
          <w:rFonts w:ascii="Arial" w:cs="Arial" w:eastAsia="Arial" w:hAnsi="Arial"/>
          <w:sz w:val="18"/>
          <w:szCs w:val="18"/>
          <w:color w:val="auto"/>
        </w:rPr>
        <w:t xml:space="preserve"> below for further information.</w:t>
      </w:r>
    </w:p>
    <w:p>
      <w:pPr>
        <w:spacing w:after="0" w:line="103" w:lineRule="exact"/>
        <w:rPr>
          <w:sz w:val="20"/>
          <w:szCs w:val="20"/>
          <w:color w:val="auto"/>
        </w:rPr>
      </w:pPr>
    </w:p>
    <w:p>
      <w:pPr>
        <w:ind w:right="240" w:firstLine="555"/>
        <w:spacing w:after="0" w:line="293" w:lineRule="auto"/>
        <w:rPr>
          <w:sz w:val="20"/>
          <w:szCs w:val="20"/>
          <w:color w:val="auto"/>
        </w:rPr>
      </w:pPr>
      <w:r>
        <w:rPr>
          <w:rFonts w:ascii="Arial" w:cs="Arial" w:eastAsia="Arial" w:hAnsi="Arial"/>
          <w:sz w:val="16"/>
          <w:szCs w:val="16"/>
          <w:color w:val="auto"/>
        </w:rPr>
        <w:t>Thus far in 2017, we have also contracted with two more new network affiliates for 77 screens that will be added to our network later in 2017 and early 2018. We believe that adding screens and attendees to our network will provide our advertising clients with a better marketing product with increased reach and improved geographic coverage. We have begun to offer our advertising clients better audience targeting capabilities and more robust campaign data analytics that we believe will provide a better product offering and should expand our overall national client base. We also believe that the continued growth of our market coverage could strengthen our selling proposition and competitive positioning against other national, regional and local video advertising platforms, including television, online and mobile video platforms and other out of home video advertising platforms.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6" w:name="page27"/>
    <w:bookmarkEnd w:id="26"/>
    <w:p>
      <w:pPr>
        <w:ind w:right="20" w:firstLine="555"/>
        <w:spacing w:after="0" w:line="286" w:lineRule="auto"/>
        <w:rPr>
          <w:sz w:val="20"/>
          <w:szCs w:val="20"/>
          <w:color w:val="auto"/>
        </w:rPr>
      </w:pPr>
      <w:r>
        <w:rPr>
          <w:rFonts w:ascii="Arial" w:cs="Arial" w:eastAsia="Arial" w:hAnsi="Arial"/>
          <w:sz w:val="16"/>
          <w:szCs w:val="16"/>
          <w:b w:val="1"/>
          <w:bCs w:val="1"/>
          <w:i w:val="1"/>
          <w:iCs w:val="1"/>
          <w:color w:val="auto"/>
        </w:rPr>
        <w:t>Memorandum of Understanding with AMC</w:t>
      </w:r>
      <w:r>
        <w:rPr>
          <w:rFonts w:ascii="Arial" w:cs="Arial" w:eastAsia="Arial" w:hAnsi="Arial"/>
          <w:sz w:val="16"/>
          <w:szCs w:val="16"/>
          <w:color w:val="auto"/>
        </w:rPr>
        <w:t>—During the first quarter of 2017, NCM, Inc. and NCM LLC entered into a binding MOU with AMC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effectuate aspects of the Final Judgment entered into by the DOJ in connection with AMC’s acquisition of Carmike. Pursuant to the MOU, AMC received common membership units in respect of the annual attendance at such Carmike theaters in accordance with the Common Unit Adjustment Agreement during the first quarter of 2017. Since these theaters are subject to an existing on-screen advertising agreement with an alternative provider, AMC will make integration payments to us reflecting the estimated advertising cash flow that we would have generated if we had exclusive access to sell advertising in those theaters. The integration payments will continue until the earlier of (i) the date the theaters are transferred to our network or (ii) the expiration of the ESA. Integration payments are calculated based upon the advertising cash flow that NCM LLC would have generated if it had exclusive access to sell advertising in the theaters with pre-existing advertising agreements and fluctuate based on earnings and Adjusted OIBDA. The ESA additionally entitles NCM LLC to payments related to the founding members’ on-screen advertising commitments under their beverage concessionaire agreements for encumbered theaters. These payments are also accounted for as a reduction to the intangible asset. During the three and nine months ended September 28, 2017 and September 29, 2016, the Company recorded a reduction to net intangible assets of $6.9 million, $0.7 million, $11.6 million and $1.5 million, respectively, related to integration and other encumbered theater payments. During the three and nine months ended September 28, 2017 and September 29, 2016, AMC and Cinemark paid a total of $4.6 million, $0.7 million, $6.1 million and $1.7 million, respectively.</w:t>
      </w:r>
    </w:p>
    <w:p>
      <w:pPr>
        <w:spacing w:after="0" w:line="67"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 xml:space="preserve">Further, during the first quarter of 2017, AMC transferred 17 theaters (318 screens) to another advertising provider in accordance with the Final Judgment, for which AMC surrendered common membership units during the first quarter of 2017. At the end of the 10-year term of the Final Judgment, these theaters will revert back to us. Also, in April 2017, AMC completed a sale of five theaters on our network pursuant to the Final Judgment. AMC will surrender common unit membership units to us for these divestures pursuant to the Common Unit Adjustment Agreement at the next Adjustment Date. These 22 transferred and sold theaters represent approximately 1.3% of our total theater network as of September 28, 2017. The Common Unit Adjustments are discussed further within </w:t>
      </w:r>
      <w:r>
        <w:rPr>
          <w:rFonts w:ascii="Arial" w:cs="Arial" w:eastAsia="Arial" w:hAnsi="Arial"/>
          <w:sz w:val="18"/>
          <w:szCs w:val="18"/>
          <w:i w:val="1"/>
          <w:iCs w:val="1"/>
          <w:color w:val="auto"/>
        </w:rPr>
        <w:t>Trends Related to Ownership</w:t>
      </w:r>
      <w:r>
        <w:rPr>
          <w:rFonts w:ascii="Arial" w:cs="Arial" w:eastAsia="Arial" w:hAnsi="Arial"/>
          <w:sz w:val="18"/>
          <w:szCs w:val="18"/>
          <w:color w:val="auto"/>
        </w:rPr>
        <w:t xml:space="preserve"> below.</w:t>
      </w:r>
    </w:p>
    <w:p>
      <w:pPr>
        <w:spacing w:after="0" w:line="85" w:lineRule="exact"/>
        <w:rPr>
          <w:sz w:val="20"/>
          <w:szCs w:val="20"/>
          <w:color w:val="auto"/>
        </w:rPr>
      </w:pPr>
    </w:p>
    <w:p>
      <w:pPr>
        <w:ind w:right="180" w:firstLine="555"/>
        <w:spacing w:after="0" w:line="279" w:lineRule="auto"/>
        <w:rPr>
          <w:sz w:val="20"/>
          <w:szCs w:val="20"/>
          <w:color w:val="auto"/>
        </w:rPr>
      </w:pPr>
      <w:r>
        <w:rPr>
          <w:rFonts w:ascii="Arial" w:cs="Arial" w:eastAsia="Arial" w:hAnsi="Arial"/>
          <w:sz w:val="17"/>
          <w:szCs w:val="17"/>
          <w:color w:val="auto"/>
        </w:rPr>
        <w:t>Lastly, AMC also agreed to reimburse us for our incurred and ongoing costs and expenses in connection with the Final Judgment including, but not limited to, our financial advisor and legal fees up to $1.0 million of such costs and expenses. During the first nine months of 2017, we incurred $1.3 million of these costs, of which $1.0 million was recorded as a reduction to “Amounts due to founding members” within the Condensed Balance Sheets and the remaining $0.3 million is included within administrative costs within the Condensed Income Statement.</w:t>
      </w:r>
    </w:p>
    <w:p>
      <w:pPr>
        <w:spacing w:after="0" w:line="63" w:lineRule="exact"/>
        <w:rPr>
          <w:sz w:val="20"/>
          <w:szCs w:val="20"/>
          <w:color w:val="auto"/>
        </w:rPr>
      </w:pPr>
    </w:p>
    <w:p>
      <w:pPr>
        <w:ind w:right="20" w:firstLine="555"/>
        <w:spacing w:after="0" w:line="284" w:lineRule="auto"/>
        <w:rPr>
          <w:sz w:val="20"/>
          <w:szCs w:val="20"/>
          <w:color w:val="auto"/>
        </w:rPr>
      </w:pPr>
      <w:r>
        <w:rPr>
          <w:rFonts w:ascii="Arial" w:cs="Arial" w:eastAsia="Arial" w:hAnsi="Arial"/>
          <w:sz w:val="16"/>
          <w:szCs w:val="16"/>
          <w:b w:val="1"/>
          <w:bCs w:val="1"/>
          <w:i w:val="1"/>
          <w:iCs w:val="1"/>
          <w:color w:val="auto"/>
        </w:rPr>
        <w:t>Utilization and Pricing</w:t>
      </w:r>
      <w:r>
        <w:rPr>
          <w:rFonts w:ascii="Arial" w:cs="Arial" w:eastAsia="Arial" w:hAnsi="Arial"/>
          <w:sz w:val="16"/>
          <w:szCs w:val="16"/>
          <w:color w:val="auto"/>
        </w:rPr>
        <w:t>— We have experienced volatility in our pricing (CPMs) over the years, with annual national CPM increases (decreases)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ranging from (16.4%) to 9.6% over the last four years. In the first nine months of 2017, we experienced a decline of 8.5%</w:t>
      </w:r>
      <w:r>
        <w:rPr>
          <w:rFonts w:ascii="Arial" w:cs="Arial" w:eastAsia="Arial" w:hAnsi="Arial"/>
          <w:sz w:val="16"/>
          <w:szCs w:val="16"/>
          <w:color w:val="FF0000"/>
        </w:rPr>
        <w:t>,</w:t>
      </w:r>
      <w:r>
        <w:rPr>
          <w:rFonts w:ascii="Arial" w:cs="Arial" w:eastAsia="Arial" w:hAnsi="Arial"/>
          <w:sz w:val="16"/>
          <w:szCs w:val="16"/>
          <w:color w:val="auto"/>
        </w:rPr>
        <w:t xml:space="preserve"> in national advertising CPMs (excluding beverage revenue) compared to the first nine months of 2016. This volatility in pricing can be driven by increased competition from other national video networks, including online and mobile advertising platforms, television networks and other out-of-home video networks and seasonal marketplace supply and demand characteristics. Volatility in pricing is also caused by changes in our customer mix period to period due to the variation in CPMs charged to each customer. We have also experienced volatility in our utilization over the years, with annual national inventory utilization ranging from 109.3% to</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128.3% over the last four years. We experience even more substantial volatility quarter-to-quarter. This volatility in utilization can be driven by the loss or addition of one or more significant national contracts, whereby the timing and amount of these national contracts can be based upon the advertising budgets of our customers, product launches, the financial performance of our customers or other industry or macro-economic factors. We expect our CPMs and utilization to continue to be impacted period to period based upon the factors described above.</w:t>
      </w:r>
    </w:p>
    <w:p>
      <w:pPr>
        <w:spacing w:after="0" w:line="82"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pre-show program can be sold to the founding members to satisfy their on-screen advertising commitments under their beverage concessionaire agreements. For the first nine months of 2017 and 2016,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us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limited to the highest advertising CPM being then-charged by us. Due to a 10.2% increase in segment one CPMs in 2017, the CPM on our beverage concessionaire revenue increased during the first quarter of 2017 by 10.2% and the remainder of 2017 will increase by an equivalent percentage.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ind w:right="20" w:firstLine="555"/>
        <w:spacing w:after="0" w:line="287" w:lineRule="auto"/>
        <w:rPr>
          <w:sz w:val="20"/>
          <w:szCs w:val="20"/>
          <w:color w:val="auto"/>
        </w:rPr>
      </w:pPr>
      <w:r>
        <w:rPr>
          <w:rFonts w:ascii="Arial" w:cs="Arial" w:eastAsia="Arial" w:hAnsi="Arial"/>
          <w:sz w:val="16"/>
          <w:szCs w:val="16"/>
          <w:b w:val="1"/>
          <w:bCs w:val="1"/>
          <w:i w:val="1"/>
          <w:iCs w:val="1"/>
          <w:color w:val="auto"/>
        </w:rPr>
        <w:t>Theater Access Fees</w:t>
      </w:r>
      <w:r>
        <w:rPr>
          <w:rFonts w:ascii="Arial" w:cs="Arial" w:eastAsia="Arial" w:hAnsi="Arial"/>
          <w:sz w:val="16"/>
          <w:szCs w:val="16"/>
          <w:color w:val="auto"/>
        </w:rPr>
        <w:t>—In consideration for our access to the founding members’ theater attendees for on-screen advertising and use of lobbies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this increase occurring for fiscal year 2017 and the payment per digital screen increases annually by 5%. Pursuant to the ESAs, the theater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September 28, 2017, 97% of our founding member network screens were showing advertising on digital cinema projectors, and thus the future impact on the theater access fee related to additional digital cinema installations within existing founding member theaters is expected to be minimal. The theater access fee paid in the aggregate to all founding members cannot be less than 12% of NCM LLC’s aggregate advertising revenue (as defined in the ESA), or it will be adjusted upward to reach this minimum payment. As of September 28, 2017 and December 29, 2016, we had no liabilities recorded for the minimum payment, as the theater access fee was in excess of the minimum.</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121"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b w:val="1"/>
          <w:bCs w:val="1"/>
          <w:i w:val="1"/>
          <w:iCs w:val="1"/>
          <w:color w:val="auto"/>
        </w:rPr>
        <w:t>Debt</w:t>
      </w:r>
      <w:r>
        <w:rPr>
          <w:rFonts w:ascii="Arial" w:cs="Arial" w:eastAsia="Arial" w:hAnsi="Arial"/>
          <w:sz w:val="18"/>
          <w:szCs w:val="18"/>
          <w:color w:val="auto"/>
        </w:rPr>
        <w:t>—During the past several years, we amended our senior secured credit facility to extend the maturity, expand the revolver availability and reduce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interest rate spreads. In August 2016, we completed a private placement of $250.0 million in aggregate principal amount of 5.750% Senior Unsecured Notes due in 2026. A portion of the proceeds were used to redeem our $200.0 million 7.875% Senior Unsecured Notes due in 2021. The remaining proceeds, after the payment of fees and the redemption premium were used to pay down the balance on our revolving credit facility. As a result of these financing transactions on our revolving credit facility and senior notes, we extended the average maturities of our debt and as of September 28, 2017 the weighted average remaining maturity was 5.0 years. As of September 28, 2017, approximately 71% of our total borrowings bear interest at fixed rates. The remaining 29% of our borrowings bear interest at variable rates and as such, our net income could fluctuate with market interest rate fluctuations that could increase the interest paid on our borrowings.</w:t>
      </w:r>
    </w:p>
    <w:p>
      <w:pPr>
        <w:spacing w:after="0" w:line="84"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The senior secured credit facility contains a number of covenants and financial ratio requirements, with which we were in compliance at September 28, 2017, including a consolidated net senior secured leverage ratio as of September 28, 2017 of 3.2 versus a covenant of 6.5 times for each quarterly period. For purposes of calculating the net consolidated senior secured leverage ratio (senior secured debt divided by Adjusted OIBDA), Adjusted OIBDA includes integration payments by the founding members. We are permitted to make quarterly dividend payments and other payments based on leverage ratios for us and any subsidiaries so long as no default or event of default has occurred and continues to occur. The quarterly dividend payments and other distributions are made if the consolidated net senior secured leverage ratio is less than or equal to 6.5 times. Refer to Note 4—</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to the unaudited Condensed Financial Statements in Item 1 of this Form 10-Q for more information regarding our borrowings.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w:t>
      </w:r>
    </w:p>
    <w:p>
      <w:pPr>
        <w:spacing w:after="0" w:line="12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the Common Unit Adjustment Agreement with the founding members, on an annual basis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the amount of common membership units to be issued to or returned by the founding members based on theater additions or dispositions during the previous year. In addition, the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first quarter of 2017, the following Common Unit Adjustments occurred:</w:t>
      </w:r>
    </w:p>
    <w:p>
      <w:pPr>
        <w:spacing w:after="0" w:line="117" w:lineRule="exact"/>
        <w:rPr>
          <w:sz w:val="20"/>
          <w:szCs w:val="20"/>
          <w:color w:val="auto"/>
        </w:rPr>
      </w:pPr>
    </w:p>
    <w:p>
      <w:pPr>
        <w:ind w:left="1220" w:right="180" w:hanging="402"/>
        <w:spacing w:after="0" w:line="256"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Annual Common Unit Adjustment for 2016 Fiscal Year</w:t>
      </w:r>
      <w:r>
        <w:rPr>
          <w:rFonts w:ascii="Arial" w:cs="Arial" w:eastAsia="Arial" w:hAnsi="Arial"/>
          <w:sz w:val="18"/>
          <w:szCs w:val="18"/>
          <w:color w:val="auto"/>
        </w:rPr>
        <w:t>—During the first quarter of 2017, we issued approximately 2.4 million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units to the founding members for the rights to exclusive access to the theater screens and attendees added, net of dispositions by the founding members to our network during the 2016 fiscal year.</w:t>
      </w:r>
    </w:p>
    <w:p>
      <w:pPr>
        <w:ind w:left="1220" w:right="200" w:hanging="402"/>
        <w:spacing w:after="0" w:line="254"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Extraordinary Common Unit Adjustment for AMC’s Acquisition of Carmike</w:t>
      </w:r>
      <w:r>
        <w:rPr>
          <w:rFonts w:ascii="Arial" w:cs="Arial" w:eastAsia="Arial" w:hAnsi="Arial"/>
          <w:sz w:val="18"/>
          <w:szCs w:val="18"/>
          <w:color w:val="auto"/>
        </w:rPr>
        <w:t>—Pursuant to the MOU, we issued approximately 18.4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membership units to AMC in respect of the annual attendance at Carmike theaters in accordance with the Common Unit Adjustment Agreement. AMC’s acquisition of Carmike meets the criteria for a Common Unit Adjustment for this acquisition because it resulted in an extraordinary attendance increase of approximately 9.5%.</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8" w:name="page29"/>
    <w:bookmarkEnd w:id="28"/>
    <w:p>
      <w:pPr>
        <w:ind w:left="1220" w:right="20" w:hanging="402"/>
        <w:spacing w:after="0" w:line="297" w:lineRule="auto"/>
        <w:tabs>
          <w:tab w:leader="none" w:pos="12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Surrendered Units for AMC Screen Transfers</w:t>
      </w:r>
      <w:r>
        <w:rPr>
          <w:rFonts w:ascii="Arial" w:cs="Arial" w:eastAsia="Arial" w:hAnsi="Arial"/>
          <w:sz w:val="16"/>
          <w:szCs w:val="16"/>
          <w:color w:val="auto"/>
        </w:rPr>
        <w:t>—The Final Judgment required AMC to transfer advertising rights to 17 theaters from us to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provider. Pursuant to the MOU, AMC surrendered to us approximately 4.7 million common membership units in respect of such theaters. The 4.7 million common membership units were comprised of (i) approximately 2.9 million common membership units pursuant to the adjustment for divested theaters in the Common Unit Adjustment Agreement and (ii) approximately 1.8 million common membership units valued at $25.0 million to compensate for lost operating income for these theaters during the 10-year term of the Final Judgment.</w:t>
      </w:r>
    </w:p>
    <w:p>
      <w:pPr>
        <w:spacing w:after="0" w:line="50" w:lineRule="exact"/>
        <w:rPr>
          <w:sz w:val="20"/>
          <w:szCs w:val="20"/>
          <w:color w:val="auto"/>
        </w:rPr>
      </w:pPr>
    </w:p>
    <w:p>
      <w:pPr>
        <w:ind w:right="380" w:firstLine="555"/>
        <w:spacing w:after="0" w:line="308" w:lineRule="auto"/>
        <w:rPr>
          <w:sz w:val="20"/>
          <w:szCs w:val="20"/>
          <w:color w:val="auto"/>
        </w:rPr>
      </w:pPr>
      <w:r>
        <w:rPr>
          <w:rFonts w:ascii="Arial" w:cs="Arial" w:eastAsia="Arial" w:hAnsi="Arial"/>
          <w:sz w:val="17"/>
          <w:szCs w:val="17"/>
          <w:color w:val="auto"/>
        </w:rPr>
        <w:t>During the third quarter of 2017, AMC exercised the redemption right of an aggregate 14.6 million common membership units for the like number of shares of NCM, Inc. common stock. Refer to Note 3 to the unaudited financial statements included elsewhere in this document.</w:t>
      </w:r>
    </w:p>
    <w:p>
      <w:pPr>
        <w:spacing w:after="0" w:line="38"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On October 20, 2017, AMC exercised its redemption right of an aggregate 1.0 million common membership units for a like number of shares of NCM, Inc.’s common stock which increased NCM, Inc.’s ownership in the Company to 49.5%.</w:t>
      </w:r>
    </w:p>
    <w:p>
      <w:pPr>
        <w:spacing w:after="0" w:line="62"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b w:val="1"/>
          <w:bCs w:val="1"/>
          <w:i w:val="1"/>
          <w:iCs w:val="1"/>
          <w:color w:val="auto"/>
        </w:rPr>
        <w:t>AMC Mandatory Ownership Divestitures</w:t>
      </w:r>
      <w:r>
        <w:rPr>
          <w:rFonts w:ascii="Arial" w:cs="Arial" w:eastAsia="Arial" w:hAnsi="Arial"/>
          <w:sz w:val="17"/>
          <w:szCs w:val="17"/>
          <w:color w:val="auto"/>
        </w:rPr>
        <w:t>—Pursuant to the Final Judgment, AMC is required to divest the majority of its equity interests in NCM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and NCM, Inc., so that by June 20, 2019 it owns no more than 4.99% of NCM LLC’s common membership units and NCM, Inc. common stock, taken together, on a fully converted basis (“NCM’s outstanding equity interests”). AMC must complete the divestiture per the following schedule: (i) on or before December 20, 2017, AMC must own no more than 15.0% of NCM’s outstanding equity interests, (ii) on or before December 20, 2018, AMC must own no more than 7.5% of NCM’s outstanding equity interests and (iii) on or before June 20, 2019, AMC must own no more than 4.99% of NCM’s outstanding equity interests. Pursuant to the MOU, AMC also has agreed, among other things, subject to limited exceptions to retain at least 4.5% of NCM’s outstanding equity interests during the term of the Final Judgment, subject to certain exceptions which allow for certain sell downs after the 30-month anniversary of the MOU. As of September 28, 2017, AMC owned 17.0% of NCM’s outstanding equity interests. On September 29, 2017 AMC sold 2.8 million shares of NCM, Inc. common stock and as of September 29, 2017 AMC owned 15.2% of NCM’s outstanding equity interests. When AMC redeems its common membership units for NCM, Inc. common stock, NCM, Inc.’s ownership would increase proportionally and the number of shares outstanding of NCM, Inc. common stock would increase.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40" w:firstLine="555"/>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 Change</w:t>
            </w:r>
          </w:p>
        </w:tc>
      </w:tr>
      <w:tr>
        <w:trPr>
          <w:trHeight w:val="133"/>
        </w:trPr>
        <w:tc>
          <w:tcPr>
            <w:tcW w:w="50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September 28,</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1080" w:type="dxa"/>
            <w:vAlign w:val="bottom"/>
            <w:tcBorders>
              <w:top w:val="single" w:sz="8" w:color="auto"/>
            </w:tcBorders>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rPr>
              <w:t>September 29,</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9"/>
              <w:spacing w:after="0" w:line="133" w:lineRule="exact"/>
              <w:rPr>
                <w:sz w:val="20"/>
                <w:szCs w:val="20"/>
                <w:color w:val="auto"/>
              </w:rPr>
            </w:pPr>
            <w:r>
              <w:rPr>
                <w:rFonts w:ascii="Arial" w:cs="Arial" w:eastAsia="Arial" w:hAnsi="Arial"/>
                <w:sz w:val="14"/>
                <w:szCs w:val="14"/>
                <w:b w:val="1"/>
                <w:bCs w:val="1"/>
                <w:color w:val="auto"/>
                <w:w w:val="93"/>
              </w:rPr>
              <w:t>Q3 2017 to</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3"/>
              </w:rPr>
              <w:t>Q3 2017 to</w:t>
            </w:r>
          </w:p>
        </w:tc>
        <w:tc>
          <w:tcPr>
            <w:tcW w:w="120" w:type="dxa"/>
            <w:vAlign w:val="bottom"/>
          </w:tcPr>
          <w:p>
            <w:pPr>
              <w:spacing w:after="0"/>
              <w:rPr>
                <w:sz w:val="11"/>
                <w:szCs w:val="11"/>
                <w:color w:val="auto"/>
              </w:rPr>
            </w:pPr>
          </w:p>
        </w:tc>
      </w:tr>
      <w:tr>
        <w:trPr>
          <w:trHeight w:val="17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 2016</w:t>
            </w: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Q3 2016</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r>
      <w:tr>
        <w:trPr>
          <w:trHeight w:val="223"/>
        </w:trPr>
        <w:tc>
          <w:tcPr>
            <w:tcW w:w="50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liquidity</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ind w:left="560" w:right="100" w:hanging="552"/>
        <w:spacing w:after="0" w:line="276" w:lineRule="auto"/>
        <w:tabs>
          <w:tab w:leader="none" w:pos="560" w:val="left"/>
        </w:tabs>
        <w:numPr>
          <w:ilvl w:val="0"/>
          <w:numId w:val="18"/>
        </w:numPr>
        <w:rPr>
          <w:rFonts w:ascii="Arial" w:cs="Arial" w:eastAsia="Arial" w:hAnsi="Arial"/>
          <w:sz w:val="17"/>
          <w:szCs w:val="17"/>
          <w:i w:val="1"/>
          <w:iCs w:val="1"/>
          <w:color w:val="auto"/>
        </w:rPr>
      </w:pPr>
      <w:r>
        <w:rPr>
          <w:rFonts w:ascii="Arial" w:cs="Arial" w:eastAsia="Arial" w:hAnsi="Arial"/>
          <w:sz w:val="17"/>
          <w:szCs w:val="17"/>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was $175.0 million as of September 28, 2017, December 29, 2016 and September 29, 2016. As of September 28, 2017, December 29, 2016 and September 29, 2016, the amount available under our revolving credit facility in the table above, was net letters of credit of $4.8 million, $1.2 million and $1.2 million, respectively.</w:t>
      </w:r>
    </w:p>
    <w:p>
      <w:pPr>
        <w:spacing w:after="0" w:line="64" w:lineRule="exact"/>
        <w:rPr>
          <w:rFonts w:ascii="Arial" w:cs="Arial" w:eastAsia="Arial" w:hAnsi="Arial"/>
          <w:sz w:val="17"/>
          <w:szCs w:val="17"/>
          <w:i w:val="1"/>
          <w:iCs w:val="1"/>
          <w:color w:val="auto"/>
        </w:rPr>
      </w:pPr>
    </w:p>
    <w:p>
      <w:pPr>
        <w:ind w:left="560"/>
        <w:spacing w:after="0"/>
        <w:rPr>
          <w:rFonts w:ascii="Arial" w:cs="Arial" w:eastAsia="Arial" w:hAnsi="Arial"/>
          <w:sz w:val="17"/>
          <w:szCs w:val="17"/>
          <w:i w:val="1"/>
          <w:iCs w:val="1"/>
          <w:color w:val="auto"/>
        </w:rPr>
      </w:pPr>
      <w:r>
        <w:rPr>
          <w:rFonts w:ascii="Arial" w:cs="Arial" w:eastAsia="Arial" w:hAnsi="Arial"/>
          <w:sz w:val="18"/>
          <w:szCs w:val="18"/>
          <w:color w:val="auto"/>
        </w:rPr>
        <w:t>We have generated and used cash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-885190</wp:posOffset>
            </wp:positionV>
            <wp:extent cx="17151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1740" w:type="dxa"/>
            <w:vAlign w:val="bottom"/>
          </w:tcPr>
          <w:p>
            <w:pPr>
              <w:spacing w:after="0"/>
              <w:rPr>
                <w:sz w:val="14"/>
                <w:szCs w:val="14"/>
                <w:color w:val="auto"/>
              </w:rPr>
            </w:pPr>
          </w:p>
        </w:tc>
      </w:tr>
      <w:tr>
        <w:trPr>
          <w:trHeight w:val="133"/>
        </w:trPr>
        <w:tc>
          <w:tcPr>
            <w:tcW w:w="17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19"/>
              <w:spacing w:after="0" w:line="133" w:lineRule="exact"/>
              <w:rPr>
                <w:sz w:val="20"/>
                <w:szCs w:val="20"/>
                <w:color w:val="auto"/>
              </w:rPr>
            </w:pPr>
            <w:r>
              <w:rPr>
                <w:rFonts w:ascii="Arial" w:cs="Arial" w:eastAsia="Arial" w:hAnsi="Arial"/>
                <w:sz w:val="14"/>
                <w:szCs w:val="14"/>
                <w:b w:val="1"/>
                <w:bCs w:val="1"/>
                <w:color w:val="auto"/>
                <w:w w:val="98"/>
              </w:rPr>
              <w:t>September 28,</w:t>
            </w: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w w:val="93"/>
              </w:rPr>
              <w:t>September 29,</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71"/>
        </w:trPr>
        <w:tc>
          <w:tcPr>
            <w:tcW w:w="1720" w:type="dxa"/>
            <w:vAlign w:val="bottom"/>
          </w:tcPr>
          <w:p>
            <w:pPr>
              <w:spacing w:after="0"/>
              <w:rPr>
                <w:sz w:val="14"/>
                <w:szCs w:val="14"/>
                <w:color w:val="auto"/>
              </w:rPr>
            </w:pPr>
          </w:p>
        </w:tc>
        <w:tc>
          <w:tcPr>
            <w:tcW w:w="2680" w:type="dxa"/>
            <w:vAlign w:val="bottom"/>
            <w:tcBorders>
              <w:bottom w:val="single" w:sz="8" w:color="CFF0FC"/>
            </w:tcBorders>
          </w:tcPr>
          <w:p>
            <w:pPr>
              <w:spacing w:after="0"/>
              <w:rPr>
                <w:sz w:val="14"/>
                <w:szCs w:val="14"/>
                <w:color w:val="auto"/>
              </w:rPr>
            </w:pPr>
          </w:p>
        </w:tc>
        <w:tc>
          <w:tcPr>
            <w:tcW w:w="26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w:t>
            </w:r>
          </w:p>
        </w:tc>
        <w:tc>
          <w:tcPr>
            <w:tcW w:w="26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115.8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Investing cash flow</w:t>
            </w:r>
          </w:p>
        </w:tc>
        <w:tc>
          <w:tcPr>
            <w:tcW w:w="28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w:t>
            </w:r>
          </w:p>
        </w:tc>
        <w:tc>
          <w:tcPr>
            <w:tcW w:w="28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(98.0)</w:t>
            </w:r>
          </w:p>
        </w:tc>
        <w:tc>
          <w:tcPr>
            <w:tcW w:w="1740" w:type="dxa"/>
            <w:vAlign w:val="bottom"/>
          </w:tcPr>
          <w:p>
            <w:pPr>
              <w:spacing w:after="0"/>
              <w:rPr>
                <w:sz w:val="19"/>
                <w:szCs w:val="19"/>
                <w:color w:val="auto"/>
              </w:rPr>
            </w:pPr>
          </w:p>
        </w:tc>
      </w:tr>
      <w:tr>
        <w:trPr>
          <w:trHeight w:val="891"/>
        </w:trPr>
        <w:tc>
          <w:tcPr>
            <w:tcW w:w="1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20" w:type="dxa"/>
            <w:vAlign w:val="bottom"/>
          </w:tcPr>
          <w:p>
            <w:pPr>
              <w:jc w:val="right"/>
              <w:ind w:right="113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9" w:name="page30"/>
    <w:bookmarkEnd w:id="29"/>
    <w:p>
      <w:pPr>
        <w:ind w:left="1660" w:hanging="545"/>
        <w:spacing w:after="0" w:line="281" w:lineRule="auto"/>
        <w:tabs>
          <w:tab w:leader="none" w:pos="166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The $8.8 million increase in cash provided by operating activities for the nine months ended September 28,</w:t>
      </w:r>
      <w:r>
        <w:rPr>
          <w:rFonts w:ascii="Arial" w:cs="Arial" w:eastAsia="Arial" w:hAnsi="Arial"/>
          <w:sz w:val="17"/>
          <w:szCs w:val="17"/>
          <w:b w:val="1"/>
          <w:bCs w:val="1"/>
          <w:color w:val="auto"/>
        </w:rPr>
        <w:t xml:space="preserve"> </w:t>
      </w:r>
      <w:r>
        <w:rPr>
          <w:rFonts w:ascii="Arial" w:cs="Arial" w:eastAsia="Arial" w:hAnsi="Arial"/>
          <w:sz w:val="17"/>
          <w:szCs w:val="17"/>
          <w:color w:val="auto"/>
        </w:rPr>
        <w:t>2017, compared to the nine months ended September 29, 2016 was due primarily to an increase in the change in accounts receivable of $26.1 million related to higher collections during the nine months ended September 28, 2017, compared to the nine months ended September 29, 2016, partially offset by a $17.0 million decrease in operating income, as discussed above.</w:t>
      </w:r>
    </w:p>
    <w:p>
      <w:pPr>
        <w:spacing w:after="0" w:line="56" w:lineRule="exact"/>
        <w:rPr>
          <w:rFonts w:ascii="Arial" w:cs="Arial" w:eastAsia="Arial" w:hAnsi="Arial"/>
          <w:sz w:val="17"/>
          <w:szCs w:val="17"/>
          <w:color w:val="auto"/>
        </w:rPr>
      </w:pPr>
    </w:p>
    <w:p>
      <w:pPr>
        <w:jc w:val="both"/>
        <w:ind w:left="1660" w:right="300" w:hanging="545"/>
        <w:spacing w:after="0" w:line="314" w:lineRule="auto"/>
        <w:tabs>
          <w:tab w:leader="none" w:pos="166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Investing Activities. </w:t>
      </w:r>
      <w:r>
        <w:rPr>
          <w:rFonts w:ascii="Arial" w:cs="Arial" w:eastAsia="Arial" w:hAnsi="Arial"/>
          <w:sz w:val="16"/>
          <w:szCs w:val="16"/>
          <w:color w:val="auto"/>
        </w:rPr>
        <w:t>The $2.4 million decrease in cash used in investing activities for the nine months ended September 28, 2017,</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nine months ended September 29, 2016 was due primarily to $1.4 million higher proceeds from founding member notes receivable due to timing of payments and a $1.3 million decrease in purchases of property plant and equipment.</w:t>
      </w:r>
    </w:p>
    <w:p>
      <w:pPr>
        <w:spacing w:after="0" w:line="34" w:lineRule="exact"/>
        <w:rPr>
          <w:rFonts w:ascii="Arial" w:cs="Arial" w:eastAsia="Arial" w:hAnsi="Arial"/>
          <w:sz w:val="16"/>
          <w:szCs w:val="16"/>
          <w:color w:val="auto"/>
        </w:rPr>
      </w:pPr>
    </w:p>
    <w:p>
      <w:pPr>
        <w:ind w:left="1660" w:right="180" w:hanging="545"/>
        <w:spacing w:after="0" w:line="258" w:lineRule="auto"/>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$18.0 million increase in cash used in financing activities for the nine months ended September 28, 2017,</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September 29, 2016 was due primarily to $37.4 million of proceeds from the issuance of the Senior Notes due 2026, net of the redemption of the Senior Notes due 2021 in the first nine months of 2016 and a $29.6 million increase in distributions to founding members and managing member, partially offset by $48.0 million of higher repayments, net of proceeds, under our revolving credit facility.</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Our primary source of liquidity and capital resources includes cash from operations, availability under the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stock option exercises, interest on borrowings under our revolving credit agreement and to a lesser extent theater attendance. We are required pursuant to the terms of our operating agreement to distribute our available cash, as defined in the operating agreement, quarterly to our members (the founding members and NCM, Inc.). The available cash distribution to the members of NCM LLC for the nine months ended September 28, 2017 was approximately $86.4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29, 2016 and incorporated by reference herein. As of September 28, 2017, there were no significant changes in those critical accounting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40" w:firstLine="555"/>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Item 1 of this Form 10-Q.</w:t>
      </w:r>
    </w:p>
    <w:p>
      <w:pPr>
        <w:spacing w:after="0" w:line="62"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29, 2016 and incorporated by reference herein. We do not believe these arrangements are material to our current or future financial condition, results of operations, liquidity, capital resources or capital expenditures.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material changes to our contractual obligations during the three months ended September 28, 2017.</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40" w:firstLine="555"/>
        <w:spacing w:after="0" w:line="272"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theater industry attendance levels. Accordingly, there can be no assurances that seasonal variations will not materially affect our results of operations in the future.</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2014, 2015 and 2016.</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First</w:t>
            </w: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Second</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Third</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Fourth</w:t>
            </w:r>
          </w:p>
        </w:tc>
      </w:tr>
      <w:tr>
        <w:trPr>
          <w:trHeight w:val="171"/>
        </w:trPr>
        <w:tc>
          <w:tcPr>
            <w:tcW w:w="38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Quarter</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2014</w:t>
            </w:r>
          </w:p>
        </w:tc>
        <w:tc>
          <w:tcPr>
            <w:tcW w:w="880" w:type="dxa"/>
            <w:vAlign w:val="bottom"/>
            <w:tcBorders>
              <w:top w:val="single" w:sz="8" w:color="auto"/>
            </w:tcBorders>
            <w:shd w:val="clear" w:color="auto" w:fill="CFF0FC"/>
          </w:tcPr>
          <w:p>
            <w:pPr>
              <w:jc w:val="right"/>
              <w:ind w:right="97"/>
              <w:spacing w:after="0"/>
              <w:rPr>
                <w:sz w:val="20"/>
                <w:szCs w:val="20"/>
                <w:color w:val="auto"/>
              </w:rPr>
            </w:pPr>
            <w:r>
              <w:rPr>
                <w:rFonts w:ascii="Arial" w:cs="Arial" w:eastAsia="Arial" w:hAnsi="Arial"/>
                <w:sz w:val="18"/>
                <w:szCs w:val="18"/>
                <w:color w:val="auto"/>
              </w:rPr>
              <w:t>17.8%</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25.4%</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25.6%</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31.2%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FY 2015</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FY 2016</w:t>
            </w:r>
          </w:p>
        </w:tc>
        <w:tc>
          <w:tcPr>
            <w:tcW w:w="88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FF0FC"/>
          </w:tcPr>
          <w:p>
            <w:pPr>
              <w:spacing w:after="0"/>
              <w:rPr>
                <w:sz w:val="19"/>
                <w:szCs w:val="19"/>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jc w:val="both"/>
        <w:ind w:right="20" w:firstLine="555"/>
        <w:spacing w:after="0" w:line="273" w:lineRule="auto"/>
        <w:rPr>
          <w:sz w:val="20"/>
          <w:szCs w:val="20"/>
          <w:color w:val="auto"/>
        </w:rPr>
      </w:pPr>
      <w:r>
        <w:rPr>
          <w:rFonts w:ascii="Arial" w:cs="Arial" w:eastAsia="Arial" w:hAnsi="Arial"/>
          <w:sz w:val="17"/>
          <w:szCs w:val="17"/>
          <w:color w:val="auto"/>
        </w:rPr>
        <w:t>The primary market risk to which we are exposed is interest rate risk. The Notes due 2022 and the Notes due 2026 are at fixed rates, and therefore are not subject to market risk. As of September 28, 2017, the only interest rate risk that we are exposed to is related to our $175.0 million revolving credit facility and our $270.0 million term loan. A 100-basis point fluctuation in market interest rates underlying our term loan and revolving credit facility would have the effect of increasing or decreasing our cash interest expense by approximately $2.7 million for an annual period on the $270.0 million term loan outstanding as of September 28, 2017. For a discussion of market risks, see Item 7A. “Quantitative and Qualitative Disclosures About Market Risk” contained in our annual report on Form 10-K for the fiscal year ended December 29, 2016 and incorporated by reference herein.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of NCM, Inc., our manager, as appropriate to allow timely decisions regarding required disclosure. As of September 28, 2017,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September 28, 2017 were effective.</w:t>
      </w:r>
    </w:p>
    <w:p>
      <w:pPr>
        <w:spacing w:after="0" w:line="84" w:lineRule="exact"/>
        <w:rPr>
          <w:sz w:val="20"/>
          <w:szCs w:val="20"/>
          <w:color w:val="auto"/>
        </w:rPr>
      </w:pPr>
    </w:p>
    <w:p>
      <w:pPr>
        <w:ind w:right="260" w:firstLine="555"/>
        <w:spacing w:after="0" w:line="308" w:lineRule="auto"/>
        <w:rPr>
          <w:sz w:val="20"/>
          <w:szCs w:val="20"/>
          <w:color w:val="auto"/>
        </w:rPr>
      </w:pPr>
      <w:r>
        <w:rPr>
          <w:rFonts w:ascii="Arial" w:cs="Arial" w:eastAsia="Arial" w:hAnsi="Arial"/>
          <w:sz w:val="17"/>
          <w:szCs w:val="17"/>
          <w:color w:val="auto"/>
        </w:rPr>
        <w:t>There have been no changes in the Company’s internal controls over financial reporting that occurred during the quarter ended September 28, 2017 that have materially affected, or are reasonably likely to materially affect, the Company’s internal controls over financial reporting.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21" w:lineRule="exact"/>
        <w:rPr>
          <w:sz w:val="20"/>
          <w:szCs w:val="20"/>
          <w:color w:val="auto"/>
        </w:rPr>
      </w:pPr>
    </w:p>
    <w:p>
      <w:pPr>
        <w:jc w:val="both"/>
        <w:ind w:right="100" w:firstLine="555"/>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Excluding the risk factor outlined further below, there have been no material changes from risk factors as previously disclosed in our annual report on Form 10-K filed with the SEC on February 28, 2017 for the fiscal year ended December 29,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for advertising are competitive and we may be unable to compete successfully</w:t>
      </w:r>
    </w:p>
    <w:p>
      <w:pPr>
        <w:spacing w:after="0" w:line="117"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and other video media platforms including those distributed on the internet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1" w:name="page32"/>
    <w:bookmarkEnd w:id="31"/>
    <w:p>
      <w:pPr>
        <w:spacing w:after="0" w:line="269" w:lineRule="auto"/>
        <w:rPr>
          <w:sz w:val="20"/>
          <w:szCs w:val="20"/>
          <w:color w:val="auto"/>
        </w:rPr>
      </w:pPr>
      <w:r>
        <w:rPr>
          <w:rFonts w:ascii="Arial" w:cs="Arial" w:eastAsia="Arial" w:hAnsi="Arial"/>
          <w:sz w:val="17"/>
          <w:szCs w:val="17"/>
          <w:color w:val="auto"/>
        </w:rPr>
        <w:t>mobile networks. In addition to these video advertising platforms, we compete for advertising directly with several additional media platforms, including radio, various local print media and billboards. We also compete with several other local and national cinema advertising companies. We expect all of these competitors to devote significant effort to maintaining and growing their business at our expense. We also expect existing competitors and new entrants to the advertising business, most notably the online and mobile advertising companies, to constantly revise and improve their business models to meet expectations of advertising clients or competing media platforms, including us. In addition, the pricing and volume of advertising may be affected by shifts in spending toward online and mobile offerings from more traditional media, or toward new ways of purchasing advertising, such as through automated purchasing, dynamic advertising insertion, third parties selling local advertising posts and advertising exchanges, some or all of which may not be as advantageous to the Company as current advertising methods. Expenditures by advertisers tend to be cyclical, reflecting overall economic conditions, as well as budgeting and buying patterns. A decline in the economic prospects of advertisers or the economy in general could alter current or prospective advertisers’ spending priorities. If we cannot respond effectively to changes in the media marketplace in response to new entrants or advances by our existing competitors, our business may be adversely affected.</w:t>
      </w:r>
    </w:p>
    <w:p>
      <w:pPr>
        <w:spacing w:after="0" w:line="75"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 xml:space="preserve">In addition, advertisers’ willingness to purchase advertising from the Company may be adversely affected by lower theater attendance and viewership of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If pre-show viewership declines significantly, the Company will be required to provide additional advertising time (makegoods) to national advertisers to reach agreed-on audience delivery thresholds. National advertising sales and rates also are dependent on the methodology used to measure audience impressions. If a change is made to this methodology that reflects fewer audience impressions available during the pre-show, this would adversely affect the Company’s revenue and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50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Reference</w:t>
            </w:r>
          </w:p>
        </w:tc>
        <w:tc>
          <w:tcPr>
            <w:tcW w:w="812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4"/>
                <w:szCs w:val="24"/>
                <w:color w:val="auto"/>
              </w:rPr>
            </w:pPr>
          </w:p>
        </w:tc>
        <w:tc>
          <w:tcPr>
            <w:tcW w:w="8120" w:type="dxa"/>
            <w:vAlign w:val="bottom"/>
            <w:tcBorders>
              <w:bottom w:val="single" w:sz="8" w:color="0000EE"/>
            </w:tcBorders>
            <w:gridSpan w:val="7"/>
          </w:tcPr>
          <w:p>
            <w:pPr>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Separation, General Release and Consulting Agreement dated as of November 6, 2017, by and between National</w:t>
              </w:r>
            </w:hyperlink>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CineMedia, Inc., National CineMedia, LLC and Ralph E. Hardy. +</w:t>
              </w:r>
            </w:hyperlink>
          </w:p>
        </w:tc>
        <w:tc>
          <w:tcPr>
            <w:tcW w:w="3300" w:type="dxa"/>
            <w:vAlign w:val="bottom"/>
            <w:gridSpan w:val="3"/>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120" w:type="dxa"/>
            <w:vAlign w:val="bottom"/>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Rule 13a-14(a) Certification of Chief Executive Officer.</w:t>
              </w:r>
            </w:hyperlink>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Rule 13a-14(a) Certification of Chief Financial Officer.</w:t>
              </w:r>
            </w:hyperlink>
          </w:p>
        </w:tc>
        <w:tc>
          <w:tcPr>
            <w:tcW w:w="40" w:type="dxa"/>
            <w:vAlign w:val="bottom"/>
            <w:tcBorders>
              <w:top w:val="single" w:sz="8" w:color="0000EE"/>
            </w:tcBorders>
          </w:tcPr>
          <w:p>
            <w:pPr>
              <w:spacing w:after="0"/>
              <w:rPr>
                <w:sz w:val="17"/>
                <w:szCs w:val="17"/>
                <w:color w:val="auto"/>
              </w:rPr>
            </w:pPr>
          </w:p>
        </w:tc>
        <w:tc>
          <w:tcPr>
            <w:tcW w:w="4080" w:type="dxa"/>
            <w:vAlign w:val="bottom"/>
            <w:gridSpan w:val="4"/>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55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Executive Officer Pursuant to 18 U.S.C. Section 1350.</w:t>
              </w:r>
            </w:hyperlink>
          </w:p>
        </w:tc>
        <w:tc>
          <w:tcPr>
            <w:tcW w:w="2580" w:type="dxa"/>
            <w:vAlign w:val="bottom"/>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120" w:type="dxa"/>
            <w:vAlign w:val="bottom"/>
            <w:gridSpan w:val="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Certification of Chief Financial Officer Pursuant to 18 U.S.C. Section 1350.</w:t>
              </w:r>
            </w:hyperlink>
          </w:p>
        </w:tc>
      </w:tr>
      <w:tr>
        <w:trPr>
          <w:trHeight w:val="465"/>
        </w:trPr>
        <w:tc>
          <w:tcPr>
            <w:tcW w:w="12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48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2640" w:type="dxa"/>
            <w:vAlign w:val="bottom"/>
            <w:gridSpan w:val="2"/>
          </w:tcPr>
          <w:p>
            <w:pPr>
              <w:spacing w:after="0"/>
              <w:rPr>
                <w:sz w:val="24"/>
                <w:szCs w:val="24"/>
                <w:color w:val="auto"/>
              </w:rPr>
            </w:pP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1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1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1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1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1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94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620" w:hanging="612"/>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w:t>
      </w:r>
    </w:p>
    <w:p>
      <w:pPr>
        <w:spacing w:after="0" w:line="211"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Exhibit 10.1 to NCM Inc.’s Form 8-K (File No. 001-33296) filed on November 7, 2017.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20"/>
          </w:cols>
          <w:pgMar w:left="240" w:top="432" w:right="10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NATIONAL CINEMEDIA, LLC</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59"/>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By: National CineMedia, Inc., its manager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November 8, 2017</w:t>
            </w:r>
          </w:p>
        </w:tc>
        <w:tc>
          <w:tcPr>
            <w:tcW w:w="6100" w:type="dxa"/>
            <w:vAlign w:val="bottom"/>
          </w:tcPr>
          <w:p>
            <w:pPr>
              <w:spacing w:after="0"/>
              <w:rPr>
                <w:sz w:val="20"/>
                <w:szCs w:val="20"/>
                <w:color w:val="auto"/>
              </w:rPr>
            </w:pPr>
            <w:r>
              <w:rPr>
                <w:rFonts w:ascii="Arial" w:cs="Arial" w:eastAsia="Arial" w:hAnsi="Arial"/>
                <w:sz w:val="18"/>
                <w:szCs w:val="18"/>
                <w:color w:val="auto"/>
              </w:rPr>
              <w:t>/s/ Andrew J. England</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J. England</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November 8, 2017</w:t>
            </w:r>
          </w:p>
        </w:tc>
        <w:tc>
          <w:tcPr>
            <w:tcW w:w="6100" w:type="dxa"/>
            <w:vAlign w:val="bottom"/>
          </w:tcPr>
          <w:p>
            <w:pPr>
              <w:spacing w:after="0"/>
              <w:rPr>
                <w:sz w:val="20"/>
                <w:szCs w:val="20"/>
                <w:color w:val="auto"/>
              </w:rPr>
            </w:pPr>
            <w:r>
              <w:rPr>
                <w:rFonts w:ascii="Arial" w:cs="Arial" w:eastAsia="Arial" w:hAnsi="Arial"/>
                <w:sz w:val="18"/>
                <w:szCs w:val="18"/>
                <w:color w:val="auto"/>
              </w:rPr>
              <w:t>/s/ Katherine L. Scherping</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Katherine L. Scherping</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J. England, certify that:</w:t>
      </w:r>
    </w:p>
    <w:p>
      <w:pPr>
        <w:spacing w:after="0" w:line="225" w:lineRule="exact"/>
        <w:rPr>
          <w:sz w:val="20"/>
          <w:szCs w:val="20"/>
          <w:color w:val="auto"/>
        </w:rPr>
      </w:pPr>
    </w:p>
    <w:p>
      <w:pPr>
        <w:ind w:left="700" w:hanging="17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Katherine L. Scherping, certify that:</w:t>
      </w:r>
    </w:p>
    <w:p>
      <w:pPr>
        <w:spacing w:after="0" w:line="225" w:lineRule="exact"/>
        <w:rPr>
          <w:sz w:val="20"/>
          <w:szCs w:val="20"/>
          <w:color w:val="auto"/>
        </w:rPr>
      </w:pPr>
    </w:p>
    <w:p>
      <w:pPr>
        <w:ind w:left="700" w:hanging="174"/>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Katherine L. Scherping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September 28, 2017 (the “Report”) of National CineMedia, LLC (the “Registrant”) as filed with the Securities and Exchange Commission on the date hereof, I, Andrew J. England, the Chief Executive Officer and Director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8, 2017</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September 28, 2017 (the “Report”) of National CineMedia, LLC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8, 2017</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Katherine L. Scherping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6"/>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lvl w:ilvl="1">
      <w:lvlJc w:val="left"/>
      <w:lvlText w:val="(%2)"/>
      <w:numFmt w:val="decimal"/>
      <w:start w:val="1"/>
    </w:lvl>
  </w:abstractNum>
  <w:abstractNum w:abstractNumId="9">
    <w:nsid w:val="628C895D"/>
    <w:multiLevelType w:val="hybridMultilevel"/>
    <w:lvl w:ilvl="0">
      <w:lvlJc w:val="left"/>
      <w:lvlText w:val="%1."/>
      <w:numFmt w:val="decimal"/>
      <w:start w:val="7"/>
    </w:lvl>
    <w:lvl w:ilvl="1">
      <w:lvlJc w:val="left"/>
      <w:lvlText w:val="%2"/>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3"/>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63" Type="http://schemas.openxmlformats.org/officeDocument/2006/relationships/hyperlink" Target="http://www.sec.gov/Archives/edgar/data/1377630/000156459017022087/ncmi-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2019-12-29T03:04:13Z</dcterms:created>
  <dcterms:modified xsi:type="dcterms:W3CDTF">2019-12-29T03:04:13Z</dcterms:modified>
</cp:coreProperties>
</file>