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January 11, 2007</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333-137976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78370"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92710</wp:posOffset>
            </wp:positionV>
            <wp:extent cx="9575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92710</wp:posOffset>
            </wp:positionV>
            <wp:extent cx="9575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National CineMedia,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85725</wp:posOffset>
            </wp:positionV>
            <wp:extent cx="9575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56" w:lineRule="exact"/>
        <w:rPr>
          <w:sz w:val="24"/>
          <w:szCs w:val="24"/>
          <w:color w:val="auto"/>
        </w:rPr>
      </w:pPr>
    </w:p>
    <w:tbl>
      <w:tblPr>
        <w:tblLayout w:type="fixed"/>
        <w:tblInd w:w="1280" w:type="dxa"/>
        <w:tblCellMar>
          <w:top w:w="0" w:type="dxa"/>
          <w:left w:w="0" w:type="dxa"/>
          <w:bottom w:w="0" w:type="dxa"/>
          <w:right w:w="0" w:type="dxa"/>
        </w:tblCellMar>
      </w:tblPr>
      <w:tr>
        <w:trPr>
          <w:trHeight w:val="179"/>
        </w:trPr>
        <w:tc>
          <w:tcPr>
            <w:tcW w:w="164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Delaware</w:t>
            </w:r>
          </w:p>
        </w:tc>
        <w:tc>
          <w:tcPr>
            <w:tcW w:w="3560" w:type="dxa"/>
            <w:vAlign w:val="bottom"/>
            <w:gridSpan w:val="2"/>
          </w:tcPr>
          <w:p>
            <w:pPr>
              <w:jc w:val="center"/>
              <w:ind w:left="2252"/>
              <w:spacing w:after="0"/>
              <w:rPr>
                <w:sz w:val="20"/>
                <w:szCs w:val="20"/>
                <w:color w:val="auto"/>
              </w:rPr>
            </w:pPr>
            <w:r>
              <w:rPr>
                <w:rFonts w:ascii="Arial" w:cs="Arial" w:eastAsia="Arial" w:hAnsi="Arial"/>
                <w:sz w:val="14"/>
                <w:szCs w:val="14"/>
                <w:b w:val="1"/>
                <w:bCs w:val="1"/>
                <w:color w:val="auto"/>
                <w:w w:val="89"/>
              </w:rPr>
              <w:t>7319</w:t>
            </w: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jc w:val="center"/>
              <w:ind w:left="360"/>
              <w:spacing w:after="0"/>
              <w:rPr>
                <w:sz w:val="20"/>
                <w:szCs w:val="20"/>
                <w:color w:val="auto"/>
              </w:rPr>
            </w:pPr>
            <w:r>
              <w:rPr>
                <w:rFonts w:ascii="Arial" w:cs="Arial" w:eastAsia="Arial" w:hAnsi="Arial"/>
                <w:sz w:val="14"/>
                <w:szCs w:val="14"/>
                <w:b w:val="1"/>
                <w:bCs w:val="1"/>
                <w:color w:val="auto"/>
                <w:w w:val="93"/>
              </w:rPr>
              <w:t>20-5665602</w:t>
            </w:r>
          </w:p>
        </w:tc>
      </w:tr>
      <w:tr>
        <w:trPr>
          <w:trHeight w:val="120"/>
        </w:trPr>
        <w:tc>
          <w:tcPr>
            <w:tcW w:w="1640" w:type="dxa"/>
            <w:vAlign w:val="bottom"/>
          </w:tcPr>
          <w:p>
            <w:pPr>
              <w:jc w:val="center"/>
              <w:ind w:right="220"/>
              <w:spacing w:after="0" w:line="121" w:lineRule="exact"/>
              <w:rPr>
                <w:sz w:val="20"/>
                <w:szCs w:val="20"/>
                <w:color w:val="auto"/>
              </w:rPr>
            </w:pPr>
            <w:r>
              <w:rPr>
                <w:rFonts w:ascii="Arial" w:cs="Arial" w:eastAsia="Arial" w:hAnsi="Arial"/>
                <w:sz w:val="11"/>
                <w:szCs w:val="11"/>
                <w:i w:val="1"/>
                <w:iCs w:val="1"/>
                <w:color w:val="auto"/>
                <w:w w:val="93"/>
              </w:rPr>
              <w:t>(State or other jurisdiction of</w:t>
            </w:r>
          </w:p>
        </w:tc>
        <w:tc>
          <w:tcPr>
            <w:tcW w:w="2060" w:type="dxa"/>
            <w:vAlign w:val="bottom"/>
          </w:tcPr>
          <w:p>
            <w:pPr>
              <w:spacing w:after="0"/>
              <w:rPr>
                <w:sz w:val="10"/>
                <w:szCs w:val="10"/>
                <w:color w:val="auto"/>
              </w:rPr>
            </w:pPr>
          </w:p>
        </w:tc>
        <w:tc>
          <w:tcPr>
            <w:tcW w:w="3720" w:type="dxa"/>
            <w:vAlign w:val="bottom"/>
            <w:gridSpan w:val="3"/>
          </w:tcPr>
          <w:p>
            <w:pPr>
              <w:jc w:val="center"/>
              <w:ind w:right="1960"/>
              <w:spacing w:after="0" w:line="121" w:lineRule="exact"/>
              <w:rPr>
                <w:sz w:val="20"/>
                <w:szCs w:val="20"/>
                <w:color w:val="auto"/>
              </w:rPr>
            </w:pPr>
            <w:r>
              <w:rPr>
                <w:rFonts w:ascii="Arial" w:cs="Arial" w:eastAsia="Arial" w:hAnsi="Arial"/>
                <w:sz w:val="11"/>
                <w:szCs w:val="11"/>
                <w:i w:val="1"/>
                <w:iCs w:val="1"/>
                <w:color w:val="auto"/>
                <w:w w:val="93"/>
              </w:rPr>
              <w:t>(Primary Standard Industrial</w:t>
            </w:r>
          </w:p>
        </w:tc>
        <w:tc>
          <w:tcPr>
            <w:tcW w:w="1440" w:type="dxa"/>
            <w:vAlign w:val="bottom"/>
          </w:tcPr>
          <w:p>
            <w:pPr>
              <w:jc w:val="center"/>
              <w:ind w:left="360"/>
              <w:spacing w:after="0" w:line="121" w:lineRule="exact"/>
              <w:rPr>
                <w:sz w:val="20"/>
                <w:szCs w:val="20"/>
                <w:color w:val="auto"/>
              </w:rPr>
            </w:pPr>
            <w:r>
              <w:rPr>
                <w:rFonts w:ascii="Arial" w:cs="Arial" w:eastAsia="Arial" w:hAnsi="Arial"/>
                <w:sz w:val="11"/>
                <w:szCs w:val="11"/>
                <w:i w:val="1"/>
                <w:iCs w:val="1"/>
                <w:color w:val="auto"/>
                <w:w w:val="91"/>
              </w:rPr>
              <w:t>(I.R.S. Employer</w:t>
            </w:r>
          </w:p>
        </w:tc>
      </w:tr>
      <w:tr>
        <w:trPr>
          <w:trHeight w:val="137"/>
        </w:trPr>
        <w:tc>
          <w:tcPr>
            <w:tcW w:w="1640" w:type="dxa"/>
            <w:vAlign w:val="bottom"/>
          </w:tcPr>
          <w:p>
            <w:pPr>
              <w:jc w:val="center"/>
              <w:ind w:right="220"/>
              <w:spacing w:after="0"/>
              <w:rPr>
                <w:sz w:val="20"/>
                <w:szCs w:val="20"/>
                <w:color w:val="auto"/>
              </w:rPr>
            </w:pPr>
            <w:r>
              <w:rPr>
                <w:rFonts w:ascii="Arial" w:cs="Arial" w:eastAsia="Arial" w:hAnsi="Arial"/>
                <w:sz w:val="11"/>
                <w:szCs w:val="11"/>
                <w:i w:val="1"/>
                <w:iCs w:val="1"/>
                <w:color w:val="auto"/>
                <w:w w:val="95"/>
              </w:rPr>
              <w:t>incorporation or organization)</w:t>
            </w:r>
          </w:p>
        </w:tc>
        <w:tc>
          <w:tcPr>
            <w:tcW w:w="2060" w:type="dxa"/>
            <w:vAlign w:val="bottom"/>
          </w:tcPr>
          <w:p>
            <w:pPr>
              <w:spacing w:after="0"/>
              <w:rPr>
                <w:sz w:val="11"/>
                <w:szCs w:val="11"/>
                <w:color w:val="auto"/>
              </w:rPr>
            </w:pPr>
          </w:p>
        </w:tc>
        <w:tc>
          <w:tcPr>
            <w:tcW w:w="3720" w:type="dxa"/>
            <w:vAlign w:val="bottom"/>
            <w:gridSpan w:val="3"/>
          </w:tcPr>
          <w:p>
            <w:pPr>
              <w:jc w:val="center"/>
              <w:ind w:right="1960"/>
              <w:spacing w:after="0"/>
              <w:rPr>
                <w:sz w:val="20"/>
                <w:szCs w:val="20"/>
                <w:color w:val="auto"/>
              </w:rPr>
            </w:pPr>
            <w:r>
              <w:rPr>
                <w:rFonts w:ascii="Arial" w:cs="Arial" w:eastAsia="Arial" w:hAnsi="Arial"/>
                <w:sz w:val="11"/>
                <w:szCs w:val="11"/>
                <w:i w:val="1"/>
                <w:iCs w:val="1"/>
                <w:color w:val="auto"/>
                <w:w w:val="91"/>
              </w:rPr>
              <w:t>Classification Code Number)</w:t>
            </w:r>
          </w:p>
        </w:tc>
        <w:tc>
          <w:tcPr>
            <w:tcW w:w="1440" w:type="dxa"/>
            <w:vAlign w:val="bottom"/>
          </w:tcPr>
          <w:p>
            <w:pPr>
              <w:jc w:val="center"/>
              <w:ind w:left="360"/>
              <w:spacing w:after="0"/>
              <w:rPr>
                <w:sz w:val="20"/>
                <w:szCs w:val="20"/>
                <w:color w:val="auto"/>
              </w:rPr>
            </w:pPr>
            <w:r>
              <w:rPr>
                <w:rFonts w:ascii="Arial" w:cs="Arial" w:eastAsia="Arial" w:hAnsi="Arial"/>
                <w:sz w:val="11"/>
                <w:szCs w:val="11"/>
                <w:i w:val="1"/>
                <w:iCs w:val="1"/>
                <w:color w:val="auto"/>
                <w:w w:val="94"/>
              </w:rPr>
              <w:t>Identification Number)</w:t>
            </w:r>
          </w:p>
        </w:tc>
      </w:tr>
      <w:tr>
        <w:trPr>
          <w:trHeight w:val="143"/>
        </w:trPr>
        <w:tc>
          <w:tcPr>
            <w:tcW w:w="1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42"/>
        </w:trPr>
        <w:tc>
          <w:tcPr>
            <w:tcW w:w="1640" w:type="dxa"/>
            <w:vAlign w:val="bottom"/>
          </w:tcPr>
          <w:p>
            <w:pPr>
              <w:spacing w:after="0"/>
              <w:rPr>
                <w:sz w:val="21"/>
                <w:szCs w:val="21"/>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9110 E. Nichols Ave., Suite 200</w:t>
            </w:r>
          </w:p>
        </w:tc>
        <w:tc>
          <w:tcPr>
            <w:tcW w:w="1440" w:type="dxa"/>
            <w:vAlign w:val="bottom"/>
          </w:tcPr>
          <w:p>
            <w:pPr>
              <w:spacing w:after="0"/>
              <w:rPr>
                <w:sz w:val="21"/>
                <w:szCs w:val="21"/>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Centennial, Colorado 80112-3405</w:t>
            </w:r>
          </w:p>
        </w:tc>
        <w:tc>
          <w:tcPr>
            <w:tcW w:w="1440" w:type="dxa"/>
            <w:vAlign w:val="bottom"/>
          </w:tcPr>
          <w:p>
            <w:pPr>
              <w:spacing w:after="0"/>
              <w:rPr>
                <w:sz w:val="15"/>
                <w:szCs w:val="15"/>
                <w:color w:val="auto"/>
              </w:rPr>
            </w:pPr>
          </w:p>
        </w:tc>
      </w:tr>
      <w:tr>
        <w:trPr>
          <w:trHeight w:val="179"/>
        </w:trPr>
        <w:tc>
          <w:tcPr>
            <w:tcW w:w="1640" w:type="dxa"/>
            <w:vAlign w:val="bottom"/>
          </w:tcPr>
          <w:p>
            <w:pPr>
              <w:spacing w:after="0"/>
              <w:rPr>
                <w:sz w:val="15"/>
                <w:szCs w:val="15"/>
                <w:color w:val="auto"/>
              </w:rPr>
            </w:pPr>
          </w:p>
        </w:tc>
        <w:tc>
          <w:tcPr>
            <w:tcW w:w="3560" w:type="dxa"/>
            <w:vAlign w:val="bottom"/>
            <w:gridSpan w:val="2"/>
          </w:tcPr>
          <w:p>
            <w:pPr>
              <w:jc w:val="center"/>
              <w:ind w:left="2012"/>
              <w:spacing w:after="0"/>
              <w:rPr>
                <w:sz w:val="20"/>
                <w:szCs w:val="20"/>
                <w:color w:val="auto"/>
              </w:rPr>
            </w:pPr>
            <w:r>
              <w:rPr>
                <w:rFonts w:ascii="Arial" w:cs="Arial" w:eastAsia="Arial" w:hAnsi="Arial"/>
                <w:sz w:val="14"/>
                <w:szCs w:val="14"/>
                <w:b w:val="1"/>
                <w:bCs w:val="1"/>
                <w:color w:val="auto"/>
                <w:w w:val="91"/>
              </w:rPr>
              <w:t>(303) 792-3600</w:t>
            </w: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37"/>
        </w:trPr>
        <w:tc>
          <w:tcPr>
            <w:tcW w:w="1640" w:type="dxa"/>
            <w:vAlign w:val="bottom"/>
          </w:tcPr>
          <w:p>
            <w:pPr>
              <w:spacing w:after="0"/>
              <w:rPr>
                <w:sz w:val="11"/>
                <w:szCs w:val="11"/>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1"/>
                <w:szCs w:val="11"/>
                <w:i w:val="1"/>
                <w:iCs w:val="1"/>
                <w:color w:val="auto"/>
                <w:w w:val="90"/>
              </w:rPr>
              <w:t>(Address, including zip code, and telephone number, including area code, of registrant’s principal executive offices)</w:t>
            </w:r>
          </w:p>
        </w:tc>
        <w:tc>
          <w:tcPr>
            <w:tcW w:w="1440" w:type="dxa"/>
            <w:vAlign w:val="bottom"/>
          </w:tcPr>
          <w:p>
            <w:pPr>
              <w:spacing w:after="0"/>
              <w:rPr>
                <w:sz w:val="11"/>
                <w:szCs w:val="11"/>
                <w:color w:val="auto"/>
              </w:rPr>
            </w:pPr>
          </w:p>
        </w:tc>
      </w:tr>
      <w:tr>
        <w:trPr>
          <w:trHeight w:val="132"/>
        </w:trPr>
        <w:tc>
          <w:tcPr>
            <w:tcW w:w="16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20" w:type="dxa"/>
            <w:vAlign w:val="bottom"/>
            <w:gridSpan w:val="2"/>
          </w:tcPr>
          <w:p>
            <w:pPr>
              <w:spacing w:after="0"/>
              <w:rPr>
                <w:sz w:val="11"/>
                <w:szCs w:val="11"/>
                <w:color w:val="auto"/>
              </w:rPr>
            </w:pPr>
          </w:p>
        </w:tc>
        <w:tc>
          <w:tcPr>
            <w:tcW w:w="1440" w:type="dxa"/>
            <w:vAlign w:val="bottom"/>
          </w:tcPr>
          <w:p>
            <w:pPr>
              <w:spacing w:after="0"/>
              <w:rPr>
                <w:sz w:val="11"/>
                <w:szCs w:val="11"/>
                <w:color w:val="auto"/>
              </w:rPr>
            </w:pPr>
          </w:p>
        </w:tc>
      </w:tr>
      <w:tr>
        <w:trPr>
          <w:trHeight w:val="242"/>
        </w:trPr>
        <w:tc>
          <w:tcPr>
            <w:tcW w:w="1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72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94"/>
              </w:rPr>
              <w:t>Ralph E. Hardy, Esq.</w:t>
            </w:r>
          </w:p>
        </w:tc>
        <w:tc>
          <w:tcPr>
            <w:tcW w:w="1440" w:type="dxa"/>
            <w:vAlign w:val="bottom"/>
          </w:tcPr>
          <w:p>
            <w:pPr>
              <w:spacing w:after="0"/>
              <w:rPr>
                <w:sz w:val="21"/>
                <w:szCs w:val="21"/>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Executive Vice President and General Counsel</w:t>
            </w:r>
          </w:p>
        </w:tc>
        <w:tc>
          <w:tcPr>
            <w:tcW w:w="1440" w:type="dxa"/>
            <w:vAlign w:val="bottom"/>
          </w:tcPr>
          <w:p>
            <w:pPr>
              <w:spacing w:after="0"/>
              <w:rPr>
                <w:sz w:val="15"/>
                <w:szCs w:val="15"/>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National CineMedia, Inc.</w:t>
            </w:r>
          </w:p>
        </w:tc>
        <w:tc>
          <w:tcPr>
            <w:tcW w:w="1440" w:type="dxa"/>
            <w:vAlign w:val="bottom"/>
          </w:tcPr>
          <w:p>
            <w:pPr>
              <w:spacing w:after="0"/>
              <w:rPr>
                <w:sz w:val="15"/>
                <w:szCs w:val="15"/>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9110 E. Nichols Ave., Suite 200</w:t>
            </w:r>
          </w:p>
        </w:tc>
        <w:tc>
          <w:tcPr>
            <w:tcW w:w="1440" w:type="dxa"/>
            <w:vAlign w:val="bottom"/>
          </w:tcPr>
          <w:p>
            <w:pPr>
              <w:spacing w:after="0"/>
              <w:rPr>
                <w:sz w:val="15"/>
                <w:szCs w:val="15"/>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Centennial, Colorado 80112-3405</w:t>
            </w:r>
          </w:p>
        </w:tc>
        <w:tc>
          <w:tcPr>
            <w:tcW w:w="1440" w:type="dxa"/>
            <w:vAlign w:val="bottom"/>
          </w:tcPr>
          <w:p>
            <w:pPr>
              <w:spacing w:after="0"/>
              <w:rPr>
                <w:sz w:val="15"/>
                <w:szCs w:val="15"/>
                <w:color w:val="auto"/>
              </w:rPr>
            </w:pPr>
          </w:p>
        </w:tc>
      </w:tr>
      <w:tr>
        <w:trPr>
          <w:trHeight w:val="179"/>
        </w:trPr>
        <w:tc>
          <w:tcPr>
            <w:tcW w:w="1640" w:type="dxa"/>
            <w:vAlign w:val="bottom"/>
          </w:tcPr>
          <w:p>
            <w:pPr>
              <w:spacing w:after="0"/>
              <w:rPr>
                <w:sz w:val="15"/>
                <w:szCs w:val="15"/>
                <w:color w:val="auto"/>
              </w:rPr>
            </w:pPr>
          </w:p>
        </w:tc>
        <w:tc>
          <w:tcPr>
            <w:tcW w:w="3560" w:type="dxa"/>
            <w:vAlign w:val="bottom"/>
            <w:gridSpan w:val="2"/>
          </w:tcPr>
          <w:p>
            <w:pPr>
              <w:jc w:val="center"/>
              <w:ind w:left="2012"/>
              <w:spacing w:after="0"/>
              <w:rPr>
                <w:sz w:val="20"/>
                <w:szCs w:val="20"/>
                <w:color w:val="auto"/>
              </w:rPr>
            </w:pPr>
            <w:r>
              <w:rPr>
                <w:rFonts w:ascii="Arial" w:cs="Arial" w:eastAsia="Arial" w:hAnsi="Arial"/>
                <w:sz w:val="14"/>
                <w:szCs w:val="14"/>
                <w:b w:val="1"/>
                <w:bCs w:val="1"/>
                <w:color w:val="auto"/>
                <w:w w:val="91"/>
              </w:rPr>
              <w:t>(303) 792-3600</w:t>
            </w: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37"/>
        </w:trPr>
        <w:tc>
          <w:tcPr>
            <w:tcW w:w="1640" w:type="dxa"/>
            <w:vAlign w:val="bottom"/>
          </w:tcPr>
          <w:p>
            <w:pPr>
              <w:spacing w:after="0"/>
              <w:rPr>
                <w:sz w:val="11"/>
                <w:szCs w:val="11"/>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1"/>
                <w:szCs w:val="11"/>
                <w:i w:val="1"/>
                <w:iCs w:val="1"/>
                <w:color w:val="auto"/>
                <w:w w:val="89"/>
              </w:rPr>
              <w:t>(Name, address, including zip code, and telephone number, including area code, of agent for service)</w:t>
            </w:r>
          </w:p>
        </w:tc>
        <w:tc>
          <w:tcPr>
            <w:tcW w:w="1440" w:type="dxa"/>
            <w:vAlign w:val="bottom"/>
          </w:tcPr>
          <w:p>
            <w:pPr>
              <w:spacing w:after="0"/>
              <w:rPr>
                <w:sz w:val="11"/>
                <w:szCs w:val="11"/>
                <w:color w:val="auto"/>
              </w:rPr>
            </w:pPr>
          </w:p>
        </w:tc>
      </w:tr>
      <w:tr>
        <w:trPr>
          <w:trHeight w:val="132"/>
        </w:trPr>
        <w:tc>
          <w:tcPr>
            <w:tcW w:w="16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20" w:type="dxa"/>
            <w:vAlign w:val="bottom"/>
            <w:gridSpan w:val="2"/>
          </w:tcPr>
          <w:p>
            <w:pPr>
              <w:spacing w:after="0"/>
              <w:rPr>
                <w:sz w:val="11"/>
                <w:szCs w:val="11"/>
                <w:color w:val="auto"/>
              </w:rPr>
            </w:pPr>
          </w:p>
        </w:tc>
        <w:tc>
          <w:tcPr>
            <w:tcW w:w="1440" w:type="dxa"/>
            <w:vAlign w:val="bottom"/>
          </w:tcPr>
          <w:p>
            <w:pPr>
              <w:spacing w:after="0"/>
              <w:rPr>
                <w:sz w:val="11"/>
                <w:szCs w:val="11"/>
                <w:color w:val="auto"/>
              </w:rPr>
            </w:pPr>
          </w:p>
        </w:tc>
      </w:tr>
      <w:tr>
        <w:trPr>
          <w:trHeight w:val="252"/>
        </w:trPr>
        <w:tc>
          <w:tcPr>
            <w:tcW w:w="1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720" w:type="dxa"/>
            <w:vAlign w:val="bottom"/>
            <w:gridSpan w:val="3"/>
          </w:tcPr>
          <w:p>
            <w:pPr>
              <w:jc w:val="center"/>
              <w:ind w:right="2220"/>
              <w:spacing w:after="0"/>
              <w:rPr>
                <w:sz w:val="20"/>
                <w:szCs w:val="20"/>
                <w:color w:val="auto"/>
              </w:rPr>
            </w:pPr>
            <w:r>
              <w:rPr>
                <w:rFonts w:ascii="Arial" w:cs="Arial" w:eastAsia="Arial" w:hAnsi="Arial"/>
                <w:sz w:val="14"/>
                <w:szCs w:val="14"/>
                <w:b w:val="1"/>
                <w:bCs w:val="1"/>
                <w:i w:val="1"/>
                <w:iCs w:val="1"/>
                <w:color w:val="auto"/>
                <w:w w:val="84"/>
              </w:rPr>
              <w:t>Copies to:</w:t>
            </w:r>
          </w:p>
        </w:tc>
        <w:tc>
          <w:tcPr>
            <w:tcW w:w="1440" w:type="dxa"/>
            <w:vAlign w:val="bottom"/>
          </w:tcPr>
          <w:p>
            <w:pPr>
              <w:spacing w:after="0"/>
              <w:rPr>
                <w:sz w:val="21"/>
                <w:szCs w:val="21"/>
                <w:color w:val="auto"/>
              </w:rPr>
            </w:pPr>
          </w:p>
        </w:tc>
      </w:tr>
    </w:tbl>
    <w:p>
      <w:pPr>
        <w:spacing w:after="0" w:line="45" w:lineRule="exact"/>
        <w:rPr>
          <w:sz w:val="24"/>
          <w:szCs w:val="24"/>
          <w:color w:val="auto"/>
        </w:rPr>
      </w:pPr>
    </w:p>
    <w:tbl>
      <w:tblPr>
        <w:tblLayout w:type="fixed"/>
        <w:tblInd w:w="1940" w:type="dxa"/>
        <w:tblCellMar>
          <w:top w:w="0" w:type="dxa"/>
          <w:left w:w="0" w:type="dxa"/>
          <w:bottom w:w="0" w:type="dxa"/>
          <w:right w:w="0" w:type="dxa"/>
        </w:tblCellMar>
      </w:tblPr>
      <w:tr>
        <w:trPr>
          <w:trHeight w:val="175"/>
        </w:trPr>
        <w:tc>
          <w:tcPr>
            <w:tcW w:w="3640" w:type="dxa"/>
            <w:vAlign w:val="bottom"/>
          </w:tcPr>
          <w:p>
            <w:pPr>
              <w:jc w:val="center"/>
              <w:ind w:right="1689"/>
              <w:spacing w:after="0"/>
              <w:rPr>
                <w:sz w:val="20"/>
                <w:szCs w:val="20"/>
                <w:color w:val="auto"/>
              </w:rPr>
            </w:pPr>
            <w:r>
              <w:rPr>
                <w:rFonts w:ascii="Arial" w:cs="Arial" w:eastAsia="Arial" w:hAnsi="Arial"/>
                <w:sz w:val="14"/>
                <w:szCs w:val="14"/>
                <w:b w:val="1"/>
                <w:bCs w:val="1"/>
                <w:color w:val="auto"/>
                <w:w w:val="91"/>
              </w:rPr>
              <w:t>W. Dean Salter, Esq.</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0"/>
              </w:rPr>
              <w:t>Casey T. Fleck, Esq.</w:t>
            </w:r>
          </w:p>
        </w:tc>
      </w:tr>
      <w:tr>
        <w:trPr>
          <w:trHeight w:val="185"/>
        </w:trPr>
        <w:tc>
          <w:tcPr>
            <w:tcW w:w="3640" w:type="dxa"/>
            <w:vAlign w:val="bottom"/>
          </w:tcPr>
          <w:p>
            <w:pPr>
              <w:jc w:val="center"/>
              <w:ind w:right="1689"/>
              <w:spacing w:after="0"/>
              <w:rPr>
                <w:sz w:val="20"/>
                <w:szCs w:val="20"/>
                <w:color w:val="auto"/>
              </w:rPr>
            </w:pPr>
            <w:r>
              <w:rPr>
                <w:rFonts w:ascii="Arial" w:cs="Arial" w:eastAsia="Arial" w:hAnsi="Arial"/>
                <w:sz w:val="14"/>
                <w:szCs w:val="14"/>
                <w:b w:val="1"/>
                <w:bCs w:val="1"/>
                <w:color w:val="auto"/>
                <w:w w:val="92"/>
              </w:rPr>
              <w:t>Mashenka Lundberg, Esq.</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86"/>
              </w:rPr>
              <w:t>Nicholas P. Saggese, Esq.</w:t>
            </w:r>
          </w:p>
        </w:tc>
      </w:tr>
      <w:tr>
        <w:trPr>
          <w:trHeight w:val="176"/>
        </w:trPr>
        <w:tc>
          <w:tcPr>
            <w:tcW w:w="3640" w:type="dxa"/>
            <w:vAlign w:val="bottom"/>
          </w:tcPr>
          <w:p>
            <w:pPr>
              <w:jc w:val="center"/>
              <w:ind w:right="1709"/>
              <w:spacing w:after="0"/>
              <w:rPr>
                <w:sz w:val="20"/>
                <w:szCs w:val="20"/>
                <w:color w:val="auto"/>
              </w:rPr>
            </w:pPr>
            <w:r>
              <w:rPr>
                <w:rFonts w:ascii="Arial" w:cs="Arial" w:eastAsia="Arial" w:hAnsi="Arial"/>
                <w:sz w:val="14"/>
                <w:szCs w:val="14"/>
                <w:b w:val="1"/>
                <w:bCs w:val="1"/>
                <w:color w:val="auto"/>
                <w:w w:val="95"/>
              </w:rPr>
              <w:t>Holme Roberts &amp; Owen LLP</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4"/>
              </w:rPr>
              <w:t>Skadden, Arps, Slate, Meagher &amp; Flom LLP</w:t>
            </w:r>
          </w:p>
        </w:tc>
      </w:tr>
      <w:tr>
        <w:trPr>
          <w:trHeight w:val="175"/>
        </w:trPr>
        <w:tc>
          <w:tcPr>
            <w:tcW w:w="3640" w:type="dxa"/>
            <w:vAlign w:val="bottom"/>
          </w:tcPr>
          <w:p>
            <w:pPr>
              <w:jc w:val="center"/>
              <w:ind w:right="1689"/>
              <w:spacing w:after="0"/>
              <w:rPr>
                <w:sz w:val="20"/>
                <w:szCs w:val="20"/>
                <w:color w:val="auto"/>
              </w:rPr>
            </w:pPr>
            <w:r>
              <w:rPr>
                <w:rFonts w:ascii="Arial" w:cs="Arial" w:eastAsia="Arial" w:hAnsi="Arial"/>
                <w:sz w:val="14"/>
                <w:szCs w:val="14"/>
                <w:b w:val="1"/>
                <w:bCs w:val="1"/>
                <w:color w:val="auto"/>
                <w:w w:val="91"/>
              </w:rPr>
              <w:t>1700 Lincoln Street, Suite 4100</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2"/>
              </w:rPr>
              <w:t>300 South Grand Avenue</w:t>
            </w:r>
          </w:p>
        </w:tc>
      </w:tr>
      <w:tr>
        <w:trPr>
          <w:trHeight w:val="175"/>
        </w:trPr>
        <w:tc>
          <w:tcPr>
            <w:tcW w:w="3640" w:type="dxa"/>
            <w:vAlign w:val="bottom"/>
          </w:tcPr>
          <w:p>
            <w:pPr>
              <w:jc w:val="center"/>
              <w:ind w:right="1709"/>
              <w:spacing w:after="0"/>
              <w:rPr>
                <w:sz w:val="20"/>
                <w:szCs w:val="20"/>
                <w:color w:val="auto"/>
              </w:rPr>
            </w:pPr>
            <w:r>
              <w:rPr>
                <w:rFonts w:ascii="Arial" w:cs="Arial" w:eastAsia="Arial" w:hAnsi="Arial"/>
                <w:sz w:val="14"/>
                <w:szCs w:val="14"/>
                <w:b w:val="1"/>
                <w:bCs w:val="1"/>
                <w:color w:val="auto"/>
                <w:w w:val="91"/>
              </w:rPr>
              <w:t>Denver, Colorado 80203</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1"/>
              </w:rPr>
              <w:t>Los Angeles, California 90071</w:t>
            </w:r>
          </w:p>
        </w:tc>
      </w:tr>
      <w:tr>
        <w:trPr>
          <w:trHeight w:val="185"/>
        </w:trPr>
        <w:tc>
          <w:tcPr>
            <w:tcW w:w="3640" w:type="dxa"/>
            <w:vAlign w:val="bottom"/>
          </w:tcPr>
          <w:p>
            <w:pPr>
              <w:jc w:val="center"/>
              <w:ind w:right="1689"/>
              <w:spacing w:after="0"/>
              <w:rPr>
                <w:sz w:val="20"/>
                <w:szCs w:val="20"/>
                <w:color w:val="auto"/>
              </w:rPr>
            </w:pPr>
            <w:r>
              <w:rPr>
                <w:rFonts w:ascii="Arial" w:cs="Arial" w:eastAsia="Arial" w:hAnsi="Arial"/>
                <w:sz w:val="14"/>
                <w:szCs w:val="14"/>
                <w:b w:val="1"/>
                <w:bCs w:val="1"/>
                <w:color w:val="auto"/>
                <w:w w:val="91"/>
              </w:rPr>
              <w:t>(303) 861-7000</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3"/>
              </w:rPr>
              <w:t>(213)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91440</wp:posOffset>
            </wp:positionV>
            <wp:extent cx="9575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11" w:lineRule="exact"/>
        <w:rPr>
          <w:sz w:val="24"/>
          <w:szCs w:val="24"/>
          <w:color w:val="auto"/>
        </w:rPr>
      </w:pPr>
    </w:p>
    <w:p>
      <w:pPr>
        <w:ind w:left="360"/>
        <w:spacing w:after="0"/>
        <w:tabs>
          <w:tab w:leader="none" w:pos="4320" w:val="left"/>
        </w:tabs>
        <w:rPr>
          <w:sz w:val="20"/>
          <w:szCs w:val="20"/>
          <w:color w:val="auto"/>
        </w:rPr>
      </w:pPr>
      <w:r>
        <w:rPr>
          <w:rFonts w:ascii="Arial" w:cs="Arial" w:eastAsia="Arial" w:hAnsi="Arial"/>
          <w:sz w:val="14"/>
          <w:szCs w:val="14"/>
          <w:b w:val="1"/>
          <w:bCs w:val="1"/>
          <w:color w:val="auto"/>
        </w:rPr>
        <w:t>Approximate date of commencement of proposed sale to public:</w:t>
      </w:r>
      <w:r>
        <w:rPr>
          <w:sz w:val="20"/>
          <w:szCs w:val="20"/>
          <w:color w:val="auto"/>
        </w:rPr>
        <w:tab/>
      </w:r>
      <w:r>
        <w:rPr>
          <w:rFonts w:ascii="Arial" w:cs="Arial" w:eastAsia="Arial" w:hAnsi="Arial"/>
          <w:sz w:val="12"/>
          <w:szCs w:val="12"/>
          <w:color w:val="auto"/>
        </w:rPr>
        <w:t>As soon as practicable after the effective date of this Registration Statement.</w:t>
      </w:r>
    </w:p>
    <w:p>
      <w:pPr>
        <w:spacing w:after="0" w:line="36"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any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ind w:right="360" w:firstLine="344"/>
        <w:spacing w:after="0" w:line="18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-28575</wp:posOffset>
            </wp:positionV>
            <wp:extent cx="4508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3" w:lineRule="exact"/>
        <w:rPr>
          <w:sz w:val="24"/>
          <w:szCs w:val="24"/>
          <w:color w:val="auto"/>
        </w:rPr>
      </w:pPr>
    </w:p>
    <w:p>
      <w:pPr>
        <w:ind w:right="160" w:firstLine="344"/>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2073910</wp:posOffset>
            </wp:positionH>
            <wp:positionV relativeFrom="paragraph">
              <wp:posOffset>-28575</wp:posOffset>
            </wp:positionV>
            <wp:extent cx="4508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3" w:lineRule="exact"/>
        <w:rPr>
          <w:sz w:val="24"/>
          <w:szCs w:val="24"/>
          <w:color w:val="auto"/>
        </w:rPr>
      </w:pPr>
    </w:p>
    <w:p>
      <w:pPr>
        <w:ind w:right="180" w:firstLine="344"/>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2073910</wp:posOffset>
            </wp:positionH>
            <wp:positionV relativeFrom="paragraph">
              <wp:posOffset>-28575</wp:posOffset>
            </wp:positionV>
            <wp:extent cx="4508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ind w:left="360"/>
        <w:spacing w:after="0" w:line="142" w:lineRule="exact"/>
        <w:rPr>
          <w:sz w:val="20"/>
          <w:szCs w:val="20"/>
          <w:color w:val="auto"/>
        </w:rPr>
      </w:pPr>
      <w:r>
        <w:rPr>
          <w:rFonts w:ascii="Arial" w:cs="Arial" w:eastAsia="Arial" w:hAnsi="Arial"/>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117475</wp:posOffset>
            </wp:positionV>
            <wp:extent cx="9575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72726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20"/>
        </w:trPr>
        <w:tc>
          <w:tcPr>
            <w:tcW w:w="4620" w:type="dxa"/>
            <w:vAlign w:val="bottom"/>
            <w:tcBorders>
              <w:top w:val="single" w:sz="8" w:color="auto"/>
              <w:right w:val="single" w:sz="8" w:color="auto"/>
            </w:tcBorders>
          </w:tcPr>
          <w:p>
            <w:pPr>
              <w:spacing w:after="0"/>
              <w:rPr>
                <w:sz w:val="10"/>
                <w:szCs w:val="10"/>
                <w:color w:val="auto"/>
              </w:rPr>
            </w:pPr>
          </w:p>
        </w:tc>
        <w:tc>
          <w:tcPr>
            <w:tcW w:w="1720" w:type="dxa"/>
            <w:vAlign w:val="bottom"/>
            <w:tcBorders>
              <w:top w:val="single" w:sz="8" w:color="auto"/>
              <w:right w:val="single" w:sz="8" w:color="auto"/>
            </w:tcBorders>
          </w:tcPr>
          <w:p>
            <w:pPr>
              <w:spacing w:after="0"/>
              <w:rPr>
                <w:sz w:val="10"/>
                <w:szCs w:val="10"/>
                <w:color w:val="auto"/>
              </w:rPr>
            </w:pPr>
          </w:p>
        </w:tc>
        <w:tc>
          <w:tcPr>
            <w:tcW w:w="1720" w:type="dxa"/>
            <w:vAlign w:val="bottom"/>
            <w:tcBorders>
              <w:top w:val="single" w:sz="8" w:color="auto"/>
              <w:right w:val="single" w:sz="8" w:color="auto"/>
            </w:tcBorders>
          </w:tcPr>
          <w:p>
            <w:pPr>
              <w:jc w:val="center"/>
              <w:ind w:left="21"/>
              <w:spacing w:after="0" w:line="120" w:lineRule="exact"/>
              <w:rPr>
                <w:sz w:val="20"/>
                <w:szCs w:val="20"/>
                <w:color w:val="auto"/>
              </w:rPr>
            </w:pPr>
            <w:r>
              <w:rPr>
                <w:rFonts w:ascii="Arial" w:cs="Arial" w:eastAsia="Arial" w:hAnsi="Arial"/>
                <w:sz w:val="11"/>
                <w:szCs w:val="11"/>
                <w:b w:val="1"/>
                <w:bCs w:val="1"/>
                <w:color w:val="auto"/>
                <w:w w:val="86"/>
              </w:rPr>
              <w:t>Proposed</w:t>
            </w:r>
          </w:p>
        </w:tc>
        <w:tc>
          <w:tcPr>
            <w:tcW w:w="1700" w:type="dxa"/>
            <w:vAlign w:val="bottom"/>
            <w:tcBorders>
              <w:top w:val="single" w:sz="8" w:color="auto"/>
              <w:right w:val="single" w:sz="8" w:color="auto"/>
            </w:tcBorders>
          </w:tcPr>
          <w:p>
            <w:pPr>
              <w:jc w:val="center"/>
              <w:ind w:left="41"/>
              <w:spacing w:after="0" w:line="120" w:lineRule="exact"/>
              <w:rPr>
                <w:sz w:val="20"/>
                <w:szCs w:val="20"/>
                <w:color w:val="auto"/>
              </w:rPr>
            </w:pPr>
            <w:r>
              <w:rPr>
                <w:rFonts w:ascii="Arial" w:cs="Arial" w:eastAsia="Arial" w:hAnsi="Arial"/>
                <w:sz w:val="11"/>
                <w:szCs w:val="11"/>
                <w:b w:val="1"/>
                <w:bCs w:val="1"/>
                <w:color w:val="auto"/>
                <w:w w:val="86"/>
              </w:rPr>
              <w:t>Proposed</w:t>
            </w:r>
          </w:p>
        </w:tc>
        <w:tc>
          <w:tcPr>
            <w:tcW w:w="1700" w:type="dxa"/>
            <w:vAlign w:val="bottom"/>
            <w:tcBorders>
              <w:top w:val="single" w:sz="8" w:color="auto"/>
            </w:tcBorders>
          </w:tcPr>
          <w:p>
            <w:pPr>
              <w:spacing w:after="0"/>
              <w:rPr>
                <w:sz w:val="10"/>
                <w:szCs w:val="10"/>
                <w:color w:val="auto"/>
              </w:rPr>
            </w:pPr>
          </w:p>
        </w:tc>
      </w:tr>
      <w:tr>
        <w:trPr>
          <w:trHeight w:val="120"/>
        </w:trPr>
        <w:tc>
          <w:tcPr>
            <w:tcW w:w="46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b w:val="1"/>
                <w:bCs w:val="1"/>
                <w:color w:val="auto"/>
                <w:w w:val="89"/>
              </w:rPr>
              <w:t>Title of Each Class of</w:t>
            </w:r>
          </w:p>
        </w:tc>
        <w:tc>
          <w:tcPr>
            <w:tcW w:w="1720" w:type="dxa"/>
            <w:vAlign w:val="bottom"/>
            <w:tcBorders>
              <w:right w:val="single" w:sz="8" w:color="auto"/>
            </w:tcBorders>
          </w:tcPr>
          <w:p>
            <w:pPr>
              <w:ind w:left="580"/>
              <w:spacing w:after="0" w:line="121" w:lineRule="exact"/>
              <w:rPr>
                <w:sz w:val="20"/>
                <w:szCs w:val="20"/>
                <w:color w:val="auto"/>
              </w:rPr>
            </w:pPr>
            <w:r>
              <w:rPr>
                <w:rFonts w:ascii="Arial" w:cs="Arial" w:eastAsia="Arial" w:hAnsi="Arial"/>
                <w:sz w:val="11"/>
                <w:szCs w:val="11"/>
                <w:b w:val="1"/>
                <w:bCs w:val="1"/>
                <w:color w:val="auto"/>
              </w:rPr>
              <w:t>Amount to be</w:t>
            </w:r>
          </w:p>
        </w:tc>
        <w:tc>
          <w:tcPr>
            <w:tcW w:w="1720" w:type="dxa"/>
            <w:vAlign w:val="bottom"/>
            <w:tcBorders>
              <w:right w:val="single" w:sz="8" w:color="auto"/>
            </w:tcBorders>
          </w:tcPr>
          <w:p>
            <w:pPr>
              <w:jc w:val="center"/>
              <w:ind w:left="21"/>
              <w:spacing w:after="0" w:line="121" w:lineRule="exact"/>
              <w:rPr>
                <w:sz w:val="20"/>
                <w:szCs w:val="20"/>
                <w:color w:val="auto"/>
              </w:rPr>
            </w:pPr>
            <w:r>
              <w:rPr>
                <w:rFonts w:ascii="Arial" w:cs="Arial" w:eastAsia="Arial" w:hAnsi="Arial"/>
                <w:sz w:val="11"/>
                <w:szCs w:val="11"/>
                <w:b w:val="1"/>
                <w:bCs w:val="1"/>
                <w:color w:val="auto"/>
                <w:w w:val="95"/>
              </w:rPr>
              <w:t>Maximum Offering</w:t>
            </w:r>
          </w:p>
        </w:tc>
        <w:tc>
          <w:tcPr>
            <w:tcW w:w="1700" w:type="dxa"/>
            <w:vAlign w:val="bottom"/>
            <w:tcBorders>
              <w:right w:val="single" w:sz="8" w:color="auto"/>
            </w:tcBorders>
          </w:tcPr>
          <w:p>
            <w:pPr>
              <w:jc w:val="center"/>
              <w:ind w:left="21"/>
              <w:spacing w:after="0" w:line="121" w:lineRule="exact"/>
              <w:rPr>
                <w:sz w:val="20"/>
                <w:szCs w:val="20"/>
                <w:color w:val="auto"/>
              </w:rPr>
            </w:pPr>
            <w:r>
              <w:rPr>
                <w:rFonts w:ascii="Arial" w:cs="Arial" w:eastAsia="Arial" w:hAnsi="Arial"/>
                <w:sz w:val="11"/>
                <w:szCs w:val="11"/>
                <w:b w:val="1"/>
                <w:bCs w:val="1"/>
                <w:color w:val="auto"/>
                <w:w w:val="90"/>
              </w:rPr>
              <w:t>Maximum Aggregate</w:t>
            </w:r>
          </w:p>
        </w:tc>
        <w:tc>
          <w:tcPr>
            <w:tcW w:w="1700" w:type="dxa"/>
            <w:vAlign w:val="bottom"/>
          </w:tcPr>
          <w:p>
            <w:pPr>
              <w:jc w:val="center"/>
              <w:ind w:left="60"/>
              <w:spacing w:after="0" w:line="121" w:lineRule="exact"/>
              <w:rPr>
                <w:sz w:val="20"/>
                <w:szCs w:val="20"/>
                <w:color w:val="auto"/>
              </w:rPr>
            </w:pPr>
            <w:r>
              <w:rPr>
                <w:rFonts w:ascii="Arial" w:cs="Arial" w:eastAsia="Arial" w:hAnsi="Arial"/>
                <w:sz w:val="11"/>
                <w:szCs w:val="11"/>
                <w:b w:val="1"/>
                <w:bCs w:val="1"/>
                <w:color w:val="auto"/>
                <w:w w:val="90"/>
              </w:rPr>
              <w:t>Amount of</w:t>
            </w:r>
          </w:p>
        </w:tc>
      </w:tr>
      <w:tr>
        <w:trPr>
          <w:trHeight w:val="142"/>
        </w:trPr>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Securities to be Registered</w:t>
            </w:r>
          </w:p>
        </w:tc>
        <w:tc>
          <w:tcPr>
            <w:tcW w:w="172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1"/>
                <w:szCs w:val="11"/>
                <w:b w:val="1"/>
                <w:bCs w:val="1"/>
                <w:color w:val="auto"/>
                <w:w w:val="90"/>
              </w:rPr>
              <w:t>Registered(1)(2)</w:t>
            </w:r>
          </w:p>
        </w:tc>
        <w:tc>
          <w:tcPr>
            <w:tcW w:w="1720" w:type="dxa"/>
            <w:vAlign w:val="bottom"/>
            <w:tcBorders>
              <w:bottom w:val="single" w:sz="8" w:color="auto"/>
              <w:right w:val="single" w:sz="8" w:color="auto"/>
            </w:tcBorders>
          </w:tcPr>
          <w:p>
            <w:pPr>
              <w:jc w:val="center"/>
              <w:ind w:left="41"/>
              <w:spacing w:after="0"/>
              <w:rPr>
                <w:sz w:val="20"/>
                <w:szCs w:val="20"/>
                <w:color w:val="auto"/>
              </w:rPr>
            </w:pPr>
            <w:r>
              <w:rPr>
                <w:rFonts w:ascii="Arial" w:cs="Arial" w:eastAsia="Arial" w:hAnsi="Arial"/>
                <w:sz w:val="11"/>
                <w:szCs w:val="11"/>
                <w:b w:val="1"/>
                <w:bCs w:val="1"/>
                <w:color w:val="auto"/>
                <w:w w:val="90"/>
              </w:rPr>
              <w:t>Price Per Share(3)</w:t>
            </w:r>
          </w:p>
        </w:tc>
        <w:tc>
          <w:tcPr>
            <w:tcW w:w="170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1"/>
                <w:szCs w:val="11"/>
                <w:b w:val="1"/>
                <w:bCs w:val="1"/>
                <w:color w:val="auto"/>
                <w:w w:val="90"/>
              </w:rPr>
              <w:t>Offering Price</w:t>
            </w:r>
          </w:p>
        </w:tc>
        <w:tc>
          <w:tcPr>
            <w:tcW w:w="1700" w:type="dxa"/>
            <w:vAlign w:val="bottom"/>
            <w:tcBorders>
              <w:bottom w:val="single" w:sz="8" w:color="auto"/>
            </w:tcBorders>
          </w:tcPr>
          <w:p>
            <w:pPr>
              <w:jc w:val="center"/>
              <w:ind w:left="40"/>
              <w:spacing w:after="0"/>
              <w:rPr>
                <w:sz w:val="20"/>
                <w:szCs w:val="20"/>
                <w:color w:val="auto"/>
              </w:rPr>
            </w:pPr>
            <w:r>
              <w:rPr>
                <w:rFonts w:ascii="Arial" w:cs="Arial" w:eastAsia="Arial" w:hAnsi="Arial"/>
                <w:sz w:val="11"/>
                <w:szCs w:val="11"/>
                <w:b w:val="1"/>
                <w:bCs w:val="1"/>
                <w:color w:val="auto"/>
                <w:w w:val="88"/>
              </w:rPr>
              <w:t>Registration Fee</w:t>
            </w:r>
          </w:p>
        </w:tc>
      </w:tr>
      <w:tr>
        <w:trPr>
          <w:trHeight w:val="172"/>
        </w:trPr>
        <w:tc>
          <w:tcPr>
            <w:tcW w:w="46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Common stock, par value $0.01 per share</w:t>
            </w:r>
          </w:p>
        </w:tc>
        <w:tc>
          <w:tcPr>
            <w:tcW w:w="1720" w:type="dxa"/>
            <w:vAlign w:val="bottom"/>
            <w:tcBorders>
              <w:right w:val="single" w:sz="8" w:color="auto"/>
            </w:tcBorders>
          </w:tcPr>
          <w:p>
            <w:pPr>
              <w:jc w:val="right"/>
              <w:ind w:right="440"/>
              <w:spacing w:after="0"/>
              <w:rPr>
                <w:sz w:val="20"/>
                <w:szCs w:val="20"/>
                <w:color w:val="auto"/>
              </w:rPr>
            </w:pPr>
            <w:r>
              <w:rPr>
                <w:rFonts w:ascii="Arial" w:cs="Arial" w:eastAsia="Arial" w:hAnsi="Arial"/>
                <w:sz w:val="14"/>
                <w:szCs w:val="14"/>
                <w:color w:val="auto"/>
              </w:rPr>
              <w:t>42,000,000</w:t>
            </w:r>
          </w:p>
        </w:tc>
        <w:tc>
          <w:tcPr>
            <w:tcW w:w="1720" w:type="dxa"/>
            <w:vAlign w:val="bottom"/>
            <w:tcBorders>
              <w:right w:val="single" w:sz="8" w:color="auto"/>
            </w:tcBorders>
          </w:tcPr>
          <w:p>
            <w:pPr>
              <w:jc w:val="center"/>
              <w:ind w:left="21"/>
              <w:spacing w:after="0"/>
              <w:rPr>
                <w:sz w:val="20"/>
                <w:szCs w:val="20"/>
                <w:color w:val="auto"/>
              </w:rPr>
            </w:pPr>
            <w:r>
              <w:rPr>
                <w:rFonts w:ascii="Arial" w:cs="Arial" w:eastAsia="Arial" w:hAnsi="Arial"/>
                <w:sz w:val="14"/>
                <w:szCs w:val="14"/>
                <w:color w:val="auto"/>
                <w:w w:val="93"/>
              </w:rPr>
              <w:t>$20.00</w:t>
            </w:r>
          </w:p>
        </w:tc>
        <w:tc>
          <w:tcPr>
            <w:tcW w:w="1700" w:type="dxa"/>
            <w:vAlign w:val="bottom"/>
            <w:tcBorders>
              <w:right w:val="single" w:sz="8" w:color="auto"/>
            </w:tcBorders>
          </w:tcPr>
          <w:p>
            <w:pPr>
              <w:jc w:val="center"/>
              <w:ind w:left="21"/>
              <w:spacing w:after="0"/>
              <w:rPr>
                <w:sz w:val="20"/>
                <w:szCs w:val="20"/>
                <w:color w:val="auto"/>
              </w:rPr>
            </w:pPr>
            <w:r>
              <w:rPr>
                <w:rFonts w:ascii="Arial" w:cs="Arial" w:eastAsia="Arial" w:hAnsi="Arial"/>
                <w:sz w:val="14"/>
                <w:szCs w:val="14"/>
                <w:color w:val="auto"/>
                <w:w w:val="91"/>
              </w:rPr>
              <w:t>$840,000,000</w:t>
            </w:r>
          </w:p>
        </w:tc>
        <w:tc>
          <w:tcPr>
            <w:tcW w:w="1700" w:type="dxa"/>
            <w:vAlign w:val="bottom"/>
          </w:tcPr>
          <w:p>
            <w:pPr>
              <w:jc w:val="center"/>
              <w:ind w:left="40"/>
              <w:spacing w:after="0"/>
              <w:rPr>
                <w:sz w:val="20"/>
                <w:szCs w:val="20"/>
                <w:color w:val="auto"/>
              </w:rPr>
            </w:pPr>
            <w:r>
              <w:rPr>
                <w:rFonts w:ascii="Arial" w:cs="Arial" w:eastAsia="Arial" w:hAnsi="Arial"/>
                <w:sz w:val="14"/>
                <w:szCs w:val="14"/>
                <w:color w:val="auto"/>
                <w:w w:val="94"/>
              </w:rPr>
              <w:t>$89,880(4)</w:t>
            </w:r>
          </w:p>
        </w:tc>
      </w:tr>
      <w:tr>
        <w:trPr>
          <w:trHeight w:val="49"/>
        </w:trPr>
        <w:tc>
          <w:tcPr>
            <w:tcW w:w="46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78"/>
        </w:trPr>
        <w:tc>
          <w:tcPr>
            <w:tcW w:w="46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r>
    </w:tbl>
    <w:p>
      <w:pPr>
        <w:spacing w:after="0" w:line="80" w:lineRule="exact"/>
        <w:rPr>
          <w:sz w:val="24"/>
          <w:szCs w:val="24"/>
          <w:color w:val="auto"/>
        </w:rPr>
      </w:pPr>
    </w:p>
    <w:p>
      <w:pPr>
        <w:ind w:left="300" w:hanging="283"/>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457(a).</w:t>
      </w:r>
    </w:p>
    <w:p>
      <w:pPr>
        <w:spacing w:after="0" w:line="19" w:lineRule="exact"/>
        <w:rPr>
          <w:rFonts w:ascii="Arial" w:cs="Arial" w:eastAsia="Arial" w:hAnsi="Arial"/>
          <w:sz w:val="14"/>
          <w:szCs w:val="14"/>
          <w:color w:val="auto"/>
        </w:rPr>
      </w:pPr>
    </w:p>
    <w:p>
      <w:pPr>
        <w:ind w:left="300" w:hanging="283"/>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Including shares of common stock which may be purchased by the underwriters to cover over-allotments, if any.</w:t>
      </w:r>
    </w:p>
    <w:p>
      <w:pPr>
        <w:spacing w:after="0" w:line="13" w:lineRule="exact"/>
        <w:rPr>
          <w:rFonts w:ascii="Arial" w:cs="Arial" w:eastAsia="Arial" w:hAnsi="Arial"/>
          <w:sz w:val="14"/>
          <w:szCs w:val="14"/>
          <w:color w:val="auto"/>
        </w:rPr>
      </w:pPr>
    </w:p>
    <w:p>
      <w:pPr>
        <w:ind w:left="300" w:hanging="283"/>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Anticipated to be between $18.00 and $20.00 per share.</w:t>
      </w:r>
    </w:p>
    <w:p>
      <w:pPr>
        <w:spacing w:after="0" w:line="13" w:lineRule="exact"/>
        <w:rPr>
          <w:rFonts w:ascii="Arial" w:cs="Arial" w:eastAsia="Arial" w:hAnsi="Arial"/>
          <w:sz w:val="14"/>
          <w:szCs w:val="14"/>
          <w:color w:val="auto"/>
        </w:rPr>
      </w:pPr>
    </w:p>
    <w:p>
      <w:pPr>
        <w:ind w:left="300" w:hanging="283"/>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$74,900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100330</wp:posOffset>
            </wp:positionV>
            <wp:extent cx="9575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25" w:lineRule="exact"/>
        <w:rPr>
          <w:sz w:val="24"/>
          <w:szCs w:val="24"/>
          <w:color w:val="auto"/>
        </w:rPr>
      </w:pPr>
    </w:p>
    <w:p>
      <w:pPr>
        <w:ind w:right="60" w:firstLine="344"/>
        <w:spacing w:after="0" w:line="27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8370" cy="2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460"/>
        <w:spacing w:after="0" w:line="251" w:lineRule="auto"/>
        <w:rPr>
          <w:sz w:val="20"/>
          <w:szCs w:val="20"/>
          <w:color w:val="auto"/>
        </w:rPr>
      </w:pPr>
      <w:r>
        <w:rPr>
          <w:rFonts w:ascii="Arial" w:cs="Arial" w:eastAsia="Arial" w:hAnsi="Arial"/>
          <w:sz w:val="14"/>
          <w:szCs w:val="14"/>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DE1A1E"/>
        </w:rPr>
        <w:t>SUBJECT TO COMPLETION, DATED JANUARY 11, 2007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38,000,000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113665</wp:posOffset>
            </wp:positionV>
            <wp:extent cx="1818005" cy="575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57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182880</wp:posOffset>
            </wp:positionV>
            <wp:extent cx="11106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firstLine="458"/>
        <w:spacing w:after="0" w:line="251" w:lineRule="auto"/>
        <w:rPr>
          <w:sz w:val="20"/>
          <w:szCs w:val="20"/>
          <w:color w:val="auto"/>
        </w:rPr>
      </w:pPr>
      <w:r>
        <w:rPr>
          <w:rFonts w:ascii="Arial" w:cs="Arial" w:eastAsia="Arial" w:hAnsi="Arial"/>
          <w:sz w:val="14"/>
          <w:szCs w:val="14"/>
          <w:color w:val="auto"/>
        </w:rPr>
        <w:t>This is the initial public offering of our common stock. We are selling 38,000,000 shares of our common stock. Prior to this offering, there has been no public market for our common stock. The initial public offering price of our common stock is expected to be between $18.00 and $20.00 per share. We have applied to list the common stock on the Nasdaq Global Select Market under the symbol “NCMI.”</w:t>
      </w:r>
    </w:p>
    <w:p>
      <w:pPr>
        <w:spacing w:after="0" w:line="118" w:lineRule="exact"/>
        <w:rPr>
          <w:sz w:val="20"/>
          <w:szCs w:val="20"/>
          <w:color w:val="auto"/>
        </w:rPr>
      </w:pPr>
    </w:p>
    <w:p>
      <w:pPr>
        <w:ind w:right="60" w:firstLine="458"/>
        <w:spacing w:after="0" w:line="246" w:lineRule="auto"/>
        <w:rPr>
          <w:sz w:val="20"/>
          <w:szCs w:val="20"/>
          <w:color w:val="auto"/>
        </w:rPr>
      </w:pPr>
      <w:r>
        <w:rPr>
          <w:rFonts w:ascii="Arial" w:cs="Arial" w:eastAsia="Arial" w:hAnsi="Arial"/>
          <w:sz w:val="14"/>
          <w:szCs w:val="14"/>
          <w:color w:val="auto"/>
        </w:rPr>
        <w:t>We will be a holding company and our sole asset will be approximately 40.5% of the common membership units in National CineMedia, LLC, NCM LLC. Our founding members—AMC Entertainment Inc., Cinemark, Inc. and Regal Entertainment Group—will own the remaining 59.5% of the common membership units in NCM LLC, each of which will be redeemable for, at our option, shares of our common stock on a one-for-one basis or a cash payment equal to the market price of one share of our common stock. Our only business will be acting as the sole manager of NCM LLC and, as such, we will operate and control all of the business and affairs of NCM LLC. We will use the net proceeds of this offering to purchase newly issued common membership units from NCM LLC. NCM LLC will pay all of the proceeds it receives from us to our founding members for their agreeing to modify our payment obligations under our agreements with our founding members. Several of the underwriters have affiliates who own common stock of one or more of our founding members. See “Use of Proceeds” and “Underwriting.”</w:t>
      </w:r>
    </w:p>
    <w:p>
      <w:pPr>
        <w:spacing w:after="0" w:line="124" w:lineRule="exact"/>
        <w:rPr>
          <w:sz w:val="20"/>
          <w:szCs w:val="20"/>
          <w:color w:val="auto"/>
        </w:rPr>
      </w:pPr>
    </w:p>
    <w:p>
      <w:pPr>
        <w:ind w:right="60" w:firstLine="458"/>
        <w:spacing w:after="0" w:line="258" w:lineRule="auto"/>
        <w:rPr>
          <w:sz w:val="20"/>
          <w:szCs w:val="20"/>
          <w:color w:val="auto"/>
        </w:rPr>
      </w:pPr>
      <w:r>
        <w:rPr>
          <w:rFonts w:ascii="Arial" w:cs="Arial" w:eastAsia="Arial" w:hAnsi="Arial"/>
          <w:sz w:val="14"/>
          <w:szCs w:val="14"/>
          <w:color w:val="auto"/>
        </w:rPr>
        <w:t>The underwriters have an option to purchase a maximum of 4,000,000 additional shares of common stock to cover over-allotments of shares. If the underwriters exercise their option, we will use the net proceeds from the over-allotments to purchase common membership units of NCM LLC held by our founding members.</w:t>
      </w:r>
    </w:p>
    <w:p>
      <w:pPr>
        <w:spacing w:after="0" w:line="95" w:lineRule="exact"/>
        <w:rPr>
          <w:sz w:val="20"/>
          <w:szCs w:val="20"/>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our common stock involves risks. See “ </w:t>
      </w:r>
      <w:hyperlink w:anchor="page19">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on page 15.</w:t>
      </w:r>
    </w:p>
    <w:p>
      <w:pPr>
        <w:spacing w:after="0" w:line="163" w:lineRule="exact"/>
        <w:rPr>
          <w:sz w:val="20"/>
          <w:szCs w:val="20"/>
          <w:color w:val="auto"/>
        </w:rPr>
      </w:pPr>
    </w:p>
    <w:tbl>
      <w:tblPr>
        <w:tblLayout w:type="fixed"/>
        <w:tblInd w:w="578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2140" w:type="dxa"/>
            <w:vAlign w:val="bottom"/>
          </w:tcPr>
          <w:p>
            <w:pPr>
              <w:jc w:val="center"/>
              <w:ind w:left="45"/>
              <w:spacing w:after="0"/>
              <w:rPr>
                <w:sz w:val="20"/>
                <w:szCs w:val="20"/>
                <w:color w:val="auto"/>
              </w:rPr>
            </w:pPr>
            <w:r>
              <w:rPr>
                <w:rFonts w:ascii="Arial" w:cs="Arial" w:eastAsia="Arial" w:hAnsi="Arial"/>
                <w:sz w:val="11"/>
                <w:szCs w:val="11"/>
                <w:b w:val="1"/>
                <w:bCs w:val="1"/>
                <w:color w:val="auto"/>
              </w:rPr>
              <w:t>Underwriting</w:t>
            </w:r>
          </w:p>
        </w:tc>
        <w:tc>
          <w:tcPr>
            <w:tcW w:w="1880" w:type="dxa"/>
            <w:vAlign w:val="bottom"/>
          </w:tcPr>
          <w:p>
            <w:pPr>
              <w:jc w:val="center"/>
              <w:ind w:left="585"/>
              <w:spacing w:after="0"/>
              <w:rPr>
                <w:sz w:val="20"/>
                <w:szCs w:val="20"/>
                <w:color w:val="auto"/>
              </w:rPr>
            </w:pPr>
            <w:r>
              <w:rPr>
                <w:rFonts w:ascii="Arial" w:cs="Arial" w:eastAsia="Arial" w:hAnsi="Arial"/>
                <w:sz w:val="11"/>
                <w:szCs w:val="11"/>
                <w:b w:val="1"/>
                <w:bCs w:val="1"/>
                <w:color w:val="auto"/>
              </w:rPr>
              <w:t>Proceeds to</w:t>
            </w:r>
          </w:p>
        </w:tc>
      </w:tr>
      <w:tr>
        <w:trPr>
          <w:trHeight w:val="120"/>
        </w:trPr>
        <w:tc>
          <w:tcPr>
            <w:tcW w:w="1140" w:type="dxa"/>
            <w:vAlign w:val="bottom"/>
          </w:tcPr>
          <w:p>
            <w:pPr>
              <w:jc w:val="center"/>
              <w:ind w:right="685"/>
              <w:spacing w:after="0" w:line="121" w:lineRule="exact"/>
              <w:rPr>
                <w:sz w:val="20"/>
                <w:szCs w:val="20"/>
                <w:color w:val="auto"/>
              </w:rPr>
            </w:pPr>
            <w:r>
              <w:rPr>
                <w:rFonts w:ascii="Arial" w:cs="Arial" w:eastAsia="Arial" w:hAnsi="Arial"/>
                <w:sz w:val="11"/>
                <w:szCs w:val="11"/>
                <w:b w:val="1"/>
                <w:bCs w:val="1"/>
                <w:color w:val="auto"/>
                <w:w w:val="99"/>
              </w:rPr>
              <w:t>Price to</w:t>
            </w:r>
          </w:p>
        </w:tc>
        <w:tc>
          <w:tcPr>
            <w:tcW w:w="2140" w:type="dxa"/>
            <w:vAlign w:val="bottom"/>
          </w:tcPr>
          <w:p>
            <w:pPr>
              <w:jc w:val="center"/>
              <w:ind w:left="45"/>
              <w:spacing w:after="0" w:line="121" w:lineRule="exact"/>
              <w:rPr>
                <w:sz w:val="20"/>
                <w:szCs w:val="20"/>
                <w:color w:val="auto"/>
              </w:rPr>
            </w:pPr>
            <w:r>
              <w:rPr>
                <w:rFonts w:ascii="Arial" w:cs="Arial" w:eastAsia="Arial" w:hAnsi="Arial"/>
                <w:sz w:val="11"/>
                <w:szCs w:val="11"/>
                <w:b w:val="1"/>
                <w:bCs w:val="1"/>
                <w:color w:val="auto"/>
              </w:rPr>
              <w:t>Discounts and</w:t>
            </w:r>
          </w:p>
        </w:tc>
        <w:tc>
          <w:tcPr>
            <w:tcW w:w="1880" w:type="dxa"/>
            <w:vAlign w:val="bottom"/>
          </w:tcPr>
          <w:p>
            <w:pPr>
              <w:jc w:val="center"/>
              <w:ind w:left="585"/>
              <w:spacing w:after="0" w:line="121" w:lineRule="exact"/>
              <w:rPr>
                <w:sz w:val="20"/>
                <w:szCs w:val="20"/>
                <w:color w:val="auto"/>
              </w:rPr>
            </w:pPr>
            <w:r>
              <w:rPr>
                <w:rFonts w:ascii="Arial" w:cs="Arial" w:eastAsia="Arial" w:hAnsi="Arial"/>
                <w:sz w:val="11"/>
                <w:szCs w:val="11"/>
                <w:b w:val="1"/>
                <w:bCs w:val="1"/>
                <w:color w:val="auto"/>
                <w:w w:val="97"/>
              </w:rPr>
              <w:t>National CineMedia, Inc.</w:t>
            </w:r>
          </w:p>
        </w:tc>
      </w:tr>
      <w:tr>
        <w:trPr>
          <w:trHeight w:val="143"/>
        </w:trPr>
        <w:tc>
          <w:tcPr>
            <w:tcW w:w="1140" w:type="dxa"/>
            <w:vAlign w:val="bottom"/>
          </w:tcPr>
          <w:p>
            <w:pPr>
              <w:jc w:val="center"/>
              <w:ind w:right="685"/>
              <w:spacing w:after="0"/>
              <w:rPr>
                <w:sz w:val="20"/>
                <w:szCs w:val="20"/>
                <w:color w:val="auto"/>
              </w:rPr>
            </w:pPr>
            <w:r>
              <w:rPr>
                <w:rFonts w:ascii="Arial" w:cs="Arial" w:eastAsia="Arial" w:hAnsi="Arial"/>
                <w:sz w:val="11"/>
                <w:szCs w:val="11"/>
                <w:b w:val="1"/>
                <w:bCs w:val="1"/>
                <w:color w:val="auto"/>
                <w:w w:val="96"/>
              </w:rPr>
              <w:t>Public</w:t>
            </w:r>
          </w:p>
        </w:tc>
        <w:tc>
          <w:tcPr>
            <w:tcW w:w="2140" w:type="dxa"/>
            <w:vAlign w:val="bottom"/>
          </w:tcPr>
          <w:p>
            <w:pPr>
              <w:jc w:val="center"/>
              <w:ind w:left="45"/>
              <w:spacing w:after="0"/>
              <w:rPr>
                <w:sz w:val="20"/>
                <w:szCs w:val="20"/>
                <w:color w:val="auto"/>
              </w:rPr>
            </w:pPr>
            <w:r>
              <w:rPr>
                <w:rFonts w:ascii="Arial" w:cs="Arial" w:eastAsia="Arial" w:hAnsi="Arial"/>
                <w:sz w:val="11"/>
                <w:szCs w:val="11"/>
                <w:b w:val="1"/>
                <w:bCs w:val="1"/>
                <w:color w:val="auto"/>
                <w:w w:val="99"/>
              </w:rPr>
              <w:t>Commissions</w:t>
            </w:r>
          </w:p>
        </w:tc>
        <w:tc>
          <w:tcPr>
            <w:tcW w:w="1880" w:type="dxa"/>
            <w:vAlign w:val="bottom"/>
          </w:tcPr>
          <w:p>
            <w:pPr>
              <w:jc w:val="center"/>
              <w:ind w:left="585"/>
              <w:spacing w:after="0"/>
              <w:rPr>
                <w:sz w:val="20"/>
                <w:szCs w:val="20"/>
                <w:color w:val="auto"/>
              </w:rPr>
            </w:pPr>
            <w:r>
              <w:rPr>
                <w:rFonts w:ascii="Arial" w:cs="Arial" w:eastAsia="Arial" w:hAnsi="Arial"/>
                <w:sz w:val="11"/>
                <w:szCs w:val="11"/>
                <w:b w:val="1"/>
                <w:bCs w:val="1"/>
                <w:color w:val="auto"/>
                <w:w w:val="99"/>
              </w:rPr>
              <w:t>(Before 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635</wp:posOffset>
            </wp:positionV>
            <wp:extent cx="40665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6540"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Per Share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00" w:type="dxa"/>
            <w:vAlign w:val="bottom"/>
          </w:tcPr>
          <w:p>
            <w:pPr>
              <w:spacing w:after="0"/>
              <w:rPr>
                <w:sz w:val="20"/>
                <w:szCs w:val="20"/>
                <w:color w:val="auto"/>
              </w:rPr>
            </w:pPr>
            <w:r>
              <w:rPr>
                <w:rFonts w:ascii="Arial" w:cs="Arial" w:eastAsia="Arial" w:hAnsi="Arial"/>
                <w:sz w:val="14"/>
                <w:szCs w:val="14"/>
                <w:color w:val="auto"/>
              </w:rPr>
              <w:t>Delivery of the shares of common stock will be made on or about</w:t>
            </w:r>
          </w:p>
        </w:tc>
        <w:tc>
          <w:tcPr>
            <w:tcW w:w="840" w:type="dxa"/>
            <w:vAlign w:val="bottom"/>
          </w:tcPr>
          <w:p>
            <w:pPr>
              <w:jc w:val="right"/>
              <w:spacing w:after="0"/>
              <w:rPr>
                <w:sz w:val="20"/>
                <w:szCs w:val="20"/>
                <w:color w:val="auto"/>
              </w:rPr>
            </w:pPr>
            <w:r>
              <w:rPr>
                <w:rFonts w:ascii="Arial" w:cs="Arial" w:eastAsia="Arial" w:hAnsi="Arial"/>
                <w:sz w:val="14"/>
                <w:szCs w:val="14"/>
                <w:color w:val="auto"/>
              </w:rPr>
              <w:t>, 2007.</w:t>
            </w:r>
          </w:p>
        </w:tc>
      </w:tr>
    </w:tbl>
    <w:p>
      <w:pPr>
        <w:spacing w:after="0" w:line="106" w:lineRule="exact"/>
        <w:rPr>
          <w:sz w:val="20"/>
          <w:szCs w:val="20"/>
          <w:color w:val="auto"/>
        </w:rPr>
      </w:pPr>
    </w:p>
    <w:p>
      <w:pPr>
        <w:ind w:right="420" w:firstLine="458"/>
        <w:spacing w:after="0" w:line="28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6" w:lineRule="exact"/>
        <w:rPr>
          <w:sz w:val="20"/>
          <w:szCs w:val="20"/>
          <w:color w:val="auto"/>
        </w:rPr>
      </w:pPr>
    </w:p>
    <w:p>
      <w:pPr>
        <w:spacing w:after="0"/>
        <w:tabs>
          <w:tab w:leader="none" w:pos="2800" w:val="left"/>
          <w:tab w:leader="none" w:pos="5060" w:val="left"/>
          <w:tab w:leader="none" w:pos="8600" w:val="left"/>
        </w:tabs>
        <w:rPr>
          <w:sz w:val="20"/>
          <w:szCs w:val="20"/>
          <w:color w:val="auto"/>
        </w:rPr>
      </w:pPr>
      <w:r>
        <w:rPr>
          <w:rFonts w:ascii="Arial" w:cs="Arial" w:eastAsia="Arial" w:hAnsi="Arial"/>
          <w:sz w:val="26"/>
          <w:szCs w:val="26"/>
          <w:b w:val="1"/>
          <w:bCs w:val="1"/>
          <w:color w:val="auto"/>
        </w:rPr>
        <w:t>Credit Suisse</w:t>
      </w:r>
      <w:r>
        <w:rPr>
          <w:sz w:val="20"/>
          <w:szCs w:val="20"/>
          <w:color w:val="auto"/>
        </w:rPr>
        <w:tab/>
      </w:r>
      <w:r>
        <w:rPr>
          <w:rFonts w:ascii="Arial" w:cs="Arial" w:eastAsia="Arial" w:hAnsi="Arial"/>
          <w:sz w:val="26"/>
          <w:szCs w:val="26"/>
          <w:b w:val="1"/>
          <w:bCs w:val="1"/>
          <w:color w:val="auto"/>
        </w:rPr>
        <w:t>JPMorgan</w:t>
      </w:r>
      <w:r>
        <w:rPr>
          <w:sz w:val="20"/>
          <w:szCs w:val="20"/>
          <w:color w:val="auto"/>
        </w:rPr>
        <w:tab/>
      </w:r>
      <w:r>
        <w:rPr>
          <w:rFonts w:ascii="Arial" w:cs="Arial" w:eastAsia="Arial" w:hAnsi="Arial"/>
          <w:sz w:val="26"/>
          <w:szCs w:val="26"/>
          <w:b w:val="1"/>
          <w:bCs w:val="1"/>
          <w:color w:val="auto"/>
        </w:rPr>
        <w:t>Lehman Brothers</w:t>
      </w:r>
      <w:r>
        <w:rPr>
          <w:sz w:val="20"/>
          <w:szCs w:val="20"/>
          <w:color w:val="auto"/>
        </w:rPr>
        <w:tab/>
      </w:r>
      <w:r>
        <w:rPr>
          <w:rFonts w:ascii="Arial" w:cs="Arial" w:eastAsia="Arial" w:hAnsi="Arial"/>
          <w:sz w:val="26"/>
          <w:szCs w:val="26"/>
          <w:b w:val="1"/>
          <w:bCs w:val="1"/>
          <w:color w:val="auto"/>
        </w:rPr>
        <w:t>Morgan Stanley</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AGM Securities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Allen &amp; Company LLC</w:t>
      </w:r>
    </w:p>
    <w:p>
      <w:pPr>
        <w:spacing w:after="0" w:line="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Banc of America Securities LLC</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Bear, Stearns &amp; Co. Inc.</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Citigroup</w:t>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Deutsche Bank Securities</w:t>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Goldman, Sachs &amp; Co.</w:t>
      </w:r>
    </w:p>
    <w:p>
      <w:pPr>
        <w:spacing w:after="0" w:line="3"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Merrill Lynch &amp; Co.</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UBS Investment Bank</w:t>
      </w:r>
    </w:p>
    <w:p>
      <w:pPr>
        <w:spacing w:after="0" w:line="69" w:lineRule="exact"/>
        <w:rPr>
          <w:sz w:val="20"/>
          <w:szCs w:val="20"/>
          <w:color w:val="auto"/>
        </w:rPr>
      </w:pPr>
    </w:p>
    <w:tbl>
      <w:tblPr>
        <w:tblLayout w:type="fixed"/>
        <w:tblInd w:w="4120" w:type="dxa"/>
        <w:tblCellMar>
          <w:top w:w="0" w:type="dxa"/>
          <w:left w:w="0" w:type="dxa"/>
          <w:bottom w:w="0" w:type="dxa"/>
          <w:right w:w="0" w:type="dxa"/>
        </w:tblCellMar>
      </w:tblPr>
      <w:tr>
        <w:trPr>
          <w:trHeight w:val="171"/>
        </w:trPr>
        <w:tc>
          <w:tcPr>
            <w:tcW w:w="232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4"/>
                <w:szCs w:val="14"/>
                <w:color w:val="auto"/>
              </w:rPr>
              <w:t>, 2007.</w:t>
            </w:r>
          </w:p>
        </w:tc>
      </w:tr>
    </w:tbl>
    <w:p>
      <w:pPr>
        <w:sectPr>
          <w:pgSz w:w="11900" w:h="16838" w:orient="portrait"/>
          <w:cols w:equalWidth="0" w:num="1">
            <w:col w:w="11460"/>
          </w:cols>
          <w:pgMar w:left="220" w:top="399" w:right="21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177800</wp:posOffset>
            </wp:positionV>
            <wp:extent cx="5662930" cy="7328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2930" cy="7328535"/>
                    </a:xfrm>
                    <a:prstGeom prst="rect">
                      <a:avLst/>
                    </a:prstGeom>
                    <a:noFill/>
                  </pic:spPr>
                </pic:pic>
              </a:graphicData>
            </a:graphic>
          </wp:anchor>
        </w:drawing>
      </w:r>
    </w:p>
    <w:p>
      <w:pPr>
        <w:sectPr>
          <w:pgSz w:w="11900" w:h="16838" w:orient="portrait"/>
          <w:cols w:equalWidth="0" w:num="1">
            <w:col w:w="10239"/>
          </w:cols>
          <w:pgMar w:left="220" w:top="399"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163195</wp:posOffset>
            </wp:positionV>
            <wp:extent cx="111061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80" w:type="dxa"/>
            <w:vAlign w:val="bottom"/>
            <w:gridSpan w:val="3"/>
          </w:tcPr>
          <w:p>
            <w:pPr>
              <w:ind w:left="1260"/>
              <w:spacing w:after="0"/>
              <w:rPr>
                <w:sz w:val="20"/>
                <w:szCs w:val="20"/>
                <w:color w:val="auto"/>
              </w:rPr>
            </w:pPr>
            <w:r>
              <w:rPr>
                <w:rFonts w:ascii="Arial" w:cs="Arial" w:eastAsia="Arial" w:hAnsi="Arial"/>
                <w:sz w:val="14"/>
                <w:szCs w:val="14"/>
                <w:b w:val="1"/>
                <w:bCs w:val="1"/>
                <w:color w:val="auto"/>
              </w:rPr>
              <w:t>TABLE OF CONTENTS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20" w:type="dxa"/>
            <w:vAlign w:val="bottom"/>
            <w:gridSpan w:val="9"/>
            <w:vMerge w:val="restart"/>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P</w:t>
              </w:r>
              <w:r>
                <w:rPr>
                  <w:rFonts w:ascii="Arial" w:cs="Arial" w:eastAsia="Arial" w:hAnsi="Arial"/>
                  <w:sz w:val="11"/>
                  <w:szCs w:val="11"/>
                  <w:color w:val="0000EE"/>
                </w:rPr>
                <w:t>ROSPECTUS</w:t>
              </w:r>
              <w:r>
                <w:rPr>
                  <w:rFonts w:ascii="Arial" w:cs="Arial" w:eastAsia="Arial" w:hAnsi="Arial"/>
                  <w:sz w:val="14"/>
                  <w:szCs w:val="14"/>
                  <w:color w:val="0000EE"/>
                </w:rPr>
                <w:t xml:space="preserve"> S</w:t>
              </w:r>
              <w:r>
                <w:rPr>
                  <w:rFonts w:ascii="Arial" w:cs="Arial" w:eastAsia="Arial" w:hAnsi="Arial"/>
                  <w:sz w:val="11"/>
                  <w:szCs w:val="11"/>
                  <w:color w:val="0000EE"/>
                </w:rPr>
                <w:t>UMMARY</w:t>
              </w:r>
            </w:hyperlink>
          </w:p>
        </w:tc>
        <w:tc>
          <w:tcPr>
            <w:tcW w:w="9580" w:type="dxa"/>
            <w:vAlign w:val="bottom"/>
            <w:gridSpan w:val="17"/>
            <w:vMerge w:val="restart"/>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38"/>
        </w:trPr>
        <w:tc>
          <w:tcPr>
            <w:tcW w:w="1420" w:type="dxa"/>
            <w:vAlign w:val="bottom"/>
            <w:tcBorders>
              <w:bottom w:val="single" w:sz="8" w:color="0000EE"/>
            </w:tcBorders>
            <w:gridSpan w:val="9"/>
            <w:vMerge w:val="continue"/>
          </w:tcPr>
          <w:p>
            <w:pPr>
              <w:spacing w:after="0"/>
              <w:rPr>
                <w:sz w:val="11"/>
                <w:szCs w:val="11"/>
                <w:color w:val="auto"/>
              </w:rPr>
            </w:pPr>
          </w:p>
        </w:tc>
        <w:tc>
          <w:tcPr>
            <w:tcW w:w="9580" w:type="dxa"/>
            <w:vAlign w:val="bottom"/>
            <w:gridSpan w:val="17"/>
            <w:vMerge w:val="continue"/>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0000EE"/>
            </w:tcBorders>
            <w:gridSpan w:val="3"/>
          </w:tcPr>
          <w:p>
            <w:pPr>
              <w:spacing w:after="0" w:line="155" w:lineRule="exact"/>
              <w:rPr>
                <w:rFonts w:ascii="Arial" w:cs="Arial" w:eastAsia="Arial" w:hAnsi="Arial"/>
                <w:sz w:val="14"/>
                <w:szCs w:val="14"/>
                <w:color w:val="0000EE"/>
                <w:w w:val="99"/>
              </w:rPr>
            </w:pPr>
            <w:hyperlink w:anchor="page19">
              <w:r>
                <w:rPr>
                  <w:rFonts w:ascii="Arial" w:cs="Arial" w:eastAsia="Arial" w:hAnsi="Arial"/>
                  <w:sz w:val="14"/>
                  <w:szCs w:val="14"/>
                  <w:color w:val="0000EE"/>
                  <w:w w:val="99"/>
                </w:rPr>
                <w:t>R</w:t>
              </w:r>
              <w:r>
                <w:rPr>
                  <w:rFonts w:ascii="Arial" w:cs="Arial" w:eastAsia="Arial" w:hAnsi="Arial"/>
                  <w:sz w:val="11"/>
                  <w:szCs w:val="11"/>
                  <w:color w:val="0000EE"/>
                  <w:w w:val="99"/>
                </w:rPr>
                <w:t>ISK</w:t>
              </w:r>
              <w:r>
                <w:rPr>
                  <w:rFonts w:ascii="Arial" w:cs="Arial" w:eastAsia="Arial" w:hAnsi="Arial"/>
                  <w:sz w:val="14"/>
                  <w:szCs w:val="14"/>
                  <w:color w:val="0000EE"/>
                  <w:w w:val="99"/>
                </w:rPr>
                <w:t xml:space="preserve"> F</w:t>
              </w:r>
              <w:r>
                <w:rPr>
                  <w:rFonts w:ascii="Arial" w:cs="Arial" w:eastAsia="Arial" w:hAnsi="Arial"/>
                  <w:sz w:val="11"/>
                  <w:szCs w:val="11"/>
                  <w:color w:val="0000EE"/>
                  <w:w w:val="99"/>
                </w:rPr>
                <w:t>ACTORS</w:t>
              </w:r>
            </w:hyperlink>
          </w:p>
        </w:tc>
        <w:tc>
          <w:tcPr>
            <w:tcW w:w="10120" w:type="dxa"/>
            <w:vAlign w:val="bottom"/>
            <w:gridSpan w:val="23"/>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5"/>
        </w:trPr>
        <w:tc>
          <w:tcPr>
            <w:tcW w:w="3640" w:type="dxa"/>
            <w:vAlign w:val="bottom"/>
            <w:tcBorders>
              <w:bottom w:val="single" w:sz="8" w:color="0000EE"/>
            </w:tcBorders>
            <w:gridSpan w:val="22"/>
          </w:tcPr>
          <w:p>
            <w:pPr>
              <w:spacing w:after="0" w:line="155" w:lineRule="exact"/>
              <w:rPr>
                <w:rFonts w:ascii="Arial" w:cs="Arial" w:eastAsia="Arial" w:hAnsi="Arial"/>
                <w:sz w:val="14"/>
                <w:szCs w:val="14"/>
                <w:color w:val="0000EE"/>
              </w:rPr>
            </w:pPr>
            <w:hyperlink w:anchor="page33">
              <w:r>
                <w:rPr>
                  <w:rFonts w:ascii="Arial" w:cs="Arial" w:eastAsia="Arial" w:hAnsi="Arial"/>
                  <w:sz w:val="14"/>
                  <w:szCs w:val="14"/>
                  <w:color w:val="0000EE"/>
                </w:rPr>
                <w:t>S</w:t>
              </w:r>
              <w:r>
                <w:rPr>
                  <w:rFonts w:ascii="Arial" w:cs="Arial" w:eastAsia="Arial" w:hAnsi="Arial"/>
                  <w:sz w:val="11"/>
                  <w:szCs w:val="11"/>
                  <w:color w:val="0000EE"/>
                </w:rPr>
                <w:t>PECIAL</w:t>
              </w:r>
              <w:r>
                <w:rPr>
                  <w:rFonts w:ascii="Arial" w:cs="Arial" w:eastAsia="Arial" w:hAnsi="Arial"/>
                  <w:sz w:val="14"/>
                  <w:szCs w:val="14"/>
                  <w:color w:val="0000EE"/>
                </w:rPr>
                <w:t xml:space="preserve"> N</w:t>
              </w:r>
              <w:r>
                <w:rPr>
                  <w:rFonts w:ascii="Arial" w:cs="Arial" w:eastAsia="Arial" w:hAnsi="Arial"/>
                  <w:sz w:val="11"/>
                  <w:szCs w:val="11"/>
                  <w:color w:val="0000EE"/>
                </w:rPr>
                <w:t>OTE</w:t>
              </w:r>
              <w:r>
                <w:rPr>
                  <w:rFonts w:ascii="Arial" w:cs="Arial" w:eastAsia="Arial" w:hAnsi="Arial"/>
                  <w:sz w:val="14"/>
                  <w:szCs w:val="14"/>
                  <w:color w:val="0000EE"/>
                </w:rPr>
                <w:t xml:space="preserve"> R</w:t>
              </w:r>
              <w:r>
                <w:rPr>
                  <w:rFonts w:ascii="Arial" w:cs="Arial" w:eastAsia="Arial" w:hAnsi="Arial"/>
                  <w:sz w:val="11"/>
                  <w:szCs w:val="11"/>
                  <w:color w:val="0000EE"/>
                </w:rPr>
                <w:t>EGARDING</w:t>
              </w:r>
              <w:r>
                <w:rPr>
                  <w:rFonts w:ascii="Arial" w:cs="Arial" w:eastAsia="Arial" w:hAnsi="Arial"/>
                  <w:sz w:val="14"/>
                  <w:szCs w:val="14"/>
                  <w:color w:val="0000EE"/>
                </w:rPr>
                <w:t xml:space="preserve"> F</w:t>
              </w:r>
              <w:r>
                <w:rPr>
                  <w:rFonts w:ascii="Arial" w:cs="Arial" w:eastAsia="Arial" w:hAnsi="Arial"/>
                  <w:sz w:val="11"/>
                  <w:szCs w:val="11"/>
                  <w:color w:val="0000EE"/>
                </w:rPr>
                <w:t>ORWARD</w:t>
              </w:r>
              <w:r>
                <w:rPr>
                  <w:rFonts w:ascii="Arial" w:cs="Arial" w:eastAsia="Arial" w:hAnsi="Arial"/>
                  <w:sz w:val="14"/>
                  <w:szCs w:val="14"/>
                  <w:color w:val="0000EE"/>
                </w:rPr>
                <w:t>-L</w:t>
              </w:r>
              <w:r>
                <w:rPr>
                  <w:rFonts w:ascii="Arial" w:cs="Arial" w:eastAsia="Arial" w:hAnsi="Arial"/>
                  <w:sz w:val="11"/>
                  <w:szCs w:val="11"/>
                  <w:color w:val="0000EE"/>
                </w:rPr>
                <w:t>OOKING</w:t>
              </w:r>
              <w:r>
                <w:rPr>
                  <w:rFonts w:ascii="Arial" w:cs="Arial" w:eastAsia="Arial" w:hAnsi="Arial"/>
                  <w:sz w:val="14"/>
                  <w:szCs w:val="14"/>
                  <w:color w:val="0000EE"/>
                </w:rPr>
                <w:t xml:space="preserve"> S</w:t>
              </w:r>
              <w:r>
                <w:rPr>
                  <w:rFonts w:ascii="Arial" w:cs="Arial" w:eastAsia="Arial" w:hAnsi="Arial"/>
                  <w:sz w:val="11"/>
                  <w:szCs w:val="11"/>
                  <w:color w:val="0000EE"/>
                </w:rPr>
                <w:t>TATEMENTS</w:t>
              </w:r>
            </w:hyperlink>
          </w:p>
        </w:tc>
        <w:tc>
          <w:tcPr>
            <w:tcW w:w="7360" w:type="dxa"/>
            <w:vAlign w:val="bottom"/>
            <w:gridSpan w:val="4"/>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5"/>
        </w:trPr>
        <w:tc>
          <w:tcPr>
            <w:tcW w:w="1100" w:type="dxa"/>
            <w:vAlign w:val="bottom"/>
            <w:tcBorders>
              <w:bottom w:val="single" w:sz="8" w:color="0000EE"/>
            </w:tcBorders>
            <w:gridSpan w:val="8"/>
          </w:tcPr>
          <w:p>
            <w:pPr>
              <w:spacing w:after="0" w:line="155" w:lineRule="exact"/>
              <w:rPr>
                <w:rFonts w:ascii="Arial" w:cs="Arial" w:eastAsia="Arial" w:hAnsi="Arial"/>
                <w:sz w:val="14"/>
                <w:szCs w:val="14"/>
                <w:color w:val="0000EE"/>
                <w:w w:val="97"/>
              </w:rPr>
            </w:pPr>
            <w:hyperlink w:anchor="page34">
              <w:r>
                <w:rPr>
                  <w:rFonts w:ascii="Arial" w:cs="Arial" w:eastAsia="Arial" w:hAnsi="Arial"/>
                  <w:sz w:val="14"/>
                  <w:szCs w:val="14"/>
                  <w:color w:val="0000EE"/>
                  <w:w w:val="97"/>
                </w:rPr>
                <w:t>U</w:t>
              </w:r>
              <w:r>
                <w:rPr>
                  <w:rFonts w:ascii="Arial" w:cs="Arial" w:eastAsia="Arial" w:hAnsi="Arial"/>
                  <w:sz w:val="11"/>
                  <w:szCs w:val="11"/>
                  <w:color w:val="0000EE"/>
                  <w:w w:val="97"/>
                </w:rPr>
                <w:t>SE OF</w:t>
              </w:r>
              <w:r>
                <w:rPr>
                  <w:rFonts w:ascii="Arial" w:cs="Arial" w:eastAsia="Arial" w:hAnsi="Arial"/>
                  <w:sz w:val="14"/>
                  <w:szCs w:val="14"/>
                  <w:color w:val="0000EE"/>
                  <w:w w:val="97"/>
                </w:rPr>
                <w:t xml:space="preserve"> P</w:t>
              </w:r>
              <w:r>
                <w:rPr>
                  <w:rFonts w:ascii="Arial" w:cs="Arial" w:eastAsia="Arial" w:hAnsi="Arial"/>
                  <w:sz w:val="11"/>
                  <w:szCs w:val="11"/>
                  <w:color w:val="0000EE"/>
                  <w:w w:val="97"/>
                </w:rPr>
                <w:t>ROCEEDS</w:t>
              </w:r>
            </w:hyperlink>
          </w:p>
        </w:tc>
        <w:tc>
          <w:tcPr>
            <w:tcW w:w="9900" w:type="dxa"/>
            <w:vAlign w:val="bottom"/>
            <w:gridSpan w:val="18"/>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5"/>
        </w:trPr>
        <w:tc>
          <w:tcPr>
            <w:tcW w:w="1080" w:type="dxa"/>
            <w:vAlign w:val="bottom"/>
            <w:tcBorders>
              <w:bottom w:val="single" w:sz="8" w:color="0000EE"/>
            </w:tcBorders>
            <w:gridSpan w:val="7"/>
          </w:tcPr>
          <w:p>
            <w:pPr>
              <w:spacing w:after="0" w:line="155" w:lineRule="exact"/>
              <w:rPr>
                <w:rFonts w:ascii="Arial" w:cs="Arial" w:eastAsia="Arial" w:hAnsi="Arial"/>
                <w:sz w:val="14"/>
                <w:szCs w:val="14"/>
                <w:color w:val="0000EE"/>
              </w:rPr>
            </w:pPr>
            <w:hyperlink w:anchor="page35">
              <w:r>
                <w:rPr>
                  <w:rFonts w:ascii="Arial" w:cs="Arial" w:eastAsia="Arial" w:hAnsi="Arial"/>
                  <w:sz w:val="14"/>
                  <w:szCs w:val="14"/>
                  <w:color w:val="0000EE"/>
                </w:rPr>
                <w:t>D</w:t>
              </w:r>
              <w:r>
                <w:rPr>
                  <w:rFonts w:ascii="Arial" w:cs="Arial" w:eastAsia="Arial" w:hAnsi="Arial"/>
                  <w:sz w:val="11"/>
                  <w:szCs w:val="11"/>
                  <w:color w:val="0000EE"/>
                </w:rPr>
                <w:t>IVIDEND</w:t>
              </w:r>
              <w:r>
                <w:rPr>
                  <w:rFonts w:ascii="Arial" w:cs="Arial" w:eastAsia="Arial" w:hAnsi="Arial"/>
                  <w:sz w:val="14"/>
                  <w:szCs w:val="14"/>
                  <w:color w:val="0000EE"/>
                </w:rPr>
                <w:t xml:space="preserve"> P</w:t>
              </w:r>
              <w:r>
                <w:rPr>
                  <w:rFonts w:ascii="Arial" w:cs="Arial" w:eastAsia="Arial" w:hAnsi="Arial"/>
                  <w:sz w:val="11"/>
                  <w:szCs w:val="11"/>
                  <w:color w:val="0000EE"/>
                </w:rPr>
                <w:t>OLICY</w:t>
              </w:r>
            </w:hyperlink>
          </w:p>
        </w:tc>
        <w:tc>
          <w:tcPr>
            <w:tcW w:w="9920" w:type="dxa"/>
            <w:vAlign w:val="bottom"/>
            <w:gridSpan w:val="19"/>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5"/>
        </w:trPr>
        <w:tc>
          <w:tcPr>
            <w:tcW w:w="980" w:type="dxa"/>
            <w:vAlign w:val="bottom"/>
            <w:tcBorders>
              <w:bottom w:val="single" w:sz="8" w:color="0000EE"/>
            </w:tcBorders>
            <w:gridSpan w:val="5"/>
          </w:tcPr>
          <w:p>
            <w:pPr>
              <w:spacing w:after="0" w:line="155" w:lineRule="exact"/>
              <w:rPr>
                <w:rFonts w:ascii="Arial" w:cs="Arial" w:eastAsia="Arial" w:hAnsi="Arial"/>
                <w:sz w:val="14"/>
                <w:szCs w:val="14"/>
                <w:color w:val="0000EE"/>
              </w:rPr>
            </w:pPr>
            <w:hyperlink w:anchor="page36">
              <w:r>
                <w:rPr>
                  <w:rFonts w:ascii="Arial" w:cs="Arial" w:eastAsia="Arial" w:hAnsi="Arial"/>
                  <w:sz w:val="14"/>
                  <w:szCs w:val="14"/>
                  <w:color w:val="0000EE"/>
                </w:rPr>
                <w:t>C</w:t>
              </w:r>
              <w:r>
                <w:rPr>
                  <w:rFonts w:ascii="Arial" w:cs="Arial" w:eastAsia="Arial" w:hAnsi="Arial"/>
                  <w:sz w:val="11"/>
                  <w:szCs w:val="11"/>
                  <w:color w:val="0000EE"/>
                </w:rPr>
                <w:t>APITALIZATION</w:t>
              </w:r>
            </w:hyperlink>
          </w:p>
        </w:tc>
        <w:tc>
          <w:tcPr>
            <w:tcW w:w="10020" w:type="dxa"/>
            <w:vAlign w:val="bottom"/>
            <w:gridSpan w:val="21"/>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5"/>
        </w:trPr>
        <w:tc>
          <w:tcPr>
            <w:tcW w:w="600" w:type="dxa"/>
            <w:vAlign w:val="bottom"/>
            <w:tcBorders>
              <w:bottom w:val="single" w:sz="8" w:color="0000EE"/>
            </w:tcBorders>
            <w:gridSpan w:val="2"/>
          </w:tcPr>
          <w:p>
            <w:pPr>
              <w:spacing w:after="0" w:line="155" w:lineRule="exact"/>
              <w:rPr>
                <w:rFonts w:ascii="Arial" w:cs="Arial" w:eastAsia="Arial" w:hAnsi="Arial"/>
                <w:sz w:val="14"/>
                <w:szCs w:val="14"/>
                <w:color w:val="0000EE"/>
              </w:rPr>
            </w:pPr>
            <w:hyperlink w:anchor="page37">
              <w:r>
                <w:rPr>
                  <w:rFonts w:ascii="Arial" w:cs="Arial" w:eastAsia="Arial" w:hAnsi="Arial"/>
                  <w:sz w:val="14"/>
                  <w:szCs w:val="14"/>
                  <w:color w:val="0000EE"/>
                </w:rPr>
                <w:t>D</w:t>
              </w:r>
              <w:r>
                <w:rPr>
                  <w:rFonts w:ascii="Arial" w:cs="Arial" w:eastAsia="Arial" w:hAnsi="Arial"/>
                  <w:sz w:val="11"/>
                  <w:szCs w:val="11"/>
                  <w:color w:val="0000EE"/>
                </w:rPr>
                <w:t>ILUTION</w:t>
              </w:r>
            </w:hyperlink>
          </w:p>
        </w:tc>
        <w:tc>
          <w:tcPr>
            <w:tcW w:w="10400" w:type="dxa"/>
            <w:vAlign w:val="bottom"/>
            <w:gridSpan w:val="24"/>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5"/>
        </w:trPr>
        <w:tc>
          <w:tcPr>
            <w:tcW w:w="3020" w:type="dxa"/>
            <w:vAlign w:val="bottom"/>
            <w:tcBorders>
              <w:bottom w:val="single" w:sz="8" w:color="0000EE"/>
            </w:tcBorders>
            <w:gridSpan w:val="19"/>
          </w:tcPr>
          <w:p>
            <w:pPr>
              <w:spacing w:after="0" w:line="155" w:lineRule="exact"/>
              <w:rPr>
                <w:rFonts w:ascii="Arial" w:cs="Arial" w:eastAsia="Arial" w:hAnsi="Arial"/>
                <w:sz w:val="14"/>
                <w:szCs w:val="14"/>
                <w:color w:val="0000EE"/>
              </w:rPr>
            </w:pPr>
            <w:hyperlink w:anchor="page39">
              <w:r>
                <w:rPr>
                  <w:rFonts w:ascii="Arial" w:cs="Arial" w:eastAsia="Arial" w:hAnsi="Arial"/>
                  <w:sz w:val="14"/>
                  <w:szCs w:val="14"/>
                  <w:color w:val="0000EE"/>
                </w:rPr>
                <w:t>U</w:t>
              </w:r>
              <w:r>
                <w:rPr>
                  <w:rFonts w:ascii="Arial" w:cs="Arial" w:eastAsia="Arial" w:hAnsi="Arial"/>
                  <w:sz w:val="11"/>
                  <w:szCs w:val="11"/>
                  <w:color w:val="0000EE"/>
                </w:rPr>
                <w:t>NAUDITED</w:t>
              </w:r>
              <w:r>
                <w:rPr>
                  <w:rFonts w:ascii="Arial" w:cs="Arial" w:eastAsia="Arial" w:hAnsi="Arial"/>
                  <w:sz w:val="14"/>
                  <w:szCs w:val="14"/>
                  <w:color w:val="0000EE"/>
                </w:rPr>
                <w:t xml:space="preserve"> P</w:t>
              </w:r>
              <w:r>
                <w:rPr>
                  <w:rFonts w:ascii="Arial" w:cs="Arial" w:eastAsia="Arial" w:hAnsi="Arial"/>
                  <w:sz w:val="11"/>
                  <w:szCs w:val="11"/>
                  <w:color w:val="0000EE"/>
                </w:rPr>
                <w:t>RO</w:t>
              </w:r>
              <w:r>
                <w:rPr>
                  <w:rFonts w:ascii="Arial" w:cs="Arial" w:eastAsia="Arial" w:hAnsi="Arial"/>
                  <w:sz w:val="14"/>
                  <w:szCs w:val="14"/>
                  <w:color w:val="0000EE"/>
                </w:rPr>
                <w:t xml:space="preserve"> F</w:t>
              </w:r>
              <w:r>
                <w:rPr>
                  <w:rFonts w:ascii="Arial" w:cs="Arial" w:eastAsia="Arial" w:hAnsi="Arial"/>
                  <w:sz w:val="11"/>
                  <w:szCs w:val="11"/>
                  <w:color w:val="0000EE"/>
                </w:rPr>
                <w:t>ORMA</w:t>
              </w:r>
              <w:r>
                <w:rPr>
                  <w:rFonts w:ascii="Arial" w:cs="Arial" w:eastAsia="Arial" w:hAnsi="Arial"/>
                  <w:sz w:val="14"/>
                  <w:szCs w:val="14"/>
                  <w:color w:val="0000EE"/>
                </w:rPr>
                <w:t xml:space="preserve"> F</w:t>
              </w:r>
              <w:r>
                <w:rPr>
                  <w:rFonts w:ascii="Arial" w:cs="Arial" w:eastAsia="Arial" w:hAnsi="Arial"/>
                  <w:sz w:val="11"/>
                  <w:szCs w:val="11"/>
                  <w:color w:val="0000EE"/>
                </w:rPr>
                <w:t>INANCIAL</w:t>
              </w:r>
              <w:r>
                <w:rPr>
                  <w:rFonts w:ascii="Arial" w:cs="Arial" w:eastAsia="Arial" w:hAnsi="Arial"/>
                  <w:sz w:val="14"/>
                  <w:szCs w:val="14"/>
                  <w:color w:val="0000EE"/>
                </w:rPr>
                <w:t xml:space="preserve"> I</w:t>
              </w:r>
              <w:r>
                <w:rPr>
                  <w:rFonts w:ascii="Arial" w:cs="Arial" w:eastAsia="Arial" w:hAnsi="Arial"/>
                  <w:sz w:val="11"/>
                  <w:szCs w:val="11"/>
                  <w:color w:val="0000EE"/>
                </w:rPr>
                <w:t>NFORMATION</w:t>
              </w:r>
            </w:hyperlink>
          </w:p>
        </w:tc>
        <w:tc>
          <w:tcPr>
            <w:tcW w:w="7980" w:type="dxa"/>
            <w:vAlign w:val="bottom"/>
            <w:gridSpan w:val="7"/>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5"/>
        </w:trPr>
        <w:tc>
          <w:tcPr>
            <w:tcW w:w="3420" w:type="dxa"/>
            <w:vAlign w:val="bottom"/>
            <w:tcBorders>
              <w:bottom w:val="single" w:sz="8" w:color="0000EE"/>
            </w:tcBorders>
            <w:gridSpan w:val="21"/>
          </w:tcPr>
          <w:p>
            <w:pPr>
              <w:spacing w:after="0" w:line="155" w:lineRule="exact"/>
              <w:rPr>
                <w:rFonts w:ascii="Arial" w:cs="Arial" w:eastAsia="Arial" w:hAnsi="Arial"/>
                <w:sz w:val="14"/>
                <w:szCs w:val="14"/>
                <w:color w:val="0000EE"/>
              </w:rPr>
            </w:pPr>
            <w:hyperlink w:anchor="page49">
              <w:r>
                <w:rPr>
                  <w:rFonts w:ascii="Arial" w:cs="Arial" w:eastAsia="Arial" w:hAnsi="Arial"/>
                  <w:sz w:val="14"/>
                  <w:szCs w:val="14"/>
                  <w:color w:val="0000EE"/>
                </w:rPr>
                <w:t>S</w:t>
              </w:r>
              <w:r>
                <w:rPr>
                  <w:rFonts w:ascii="Arial" w:cs="Arial" w:eastAsia="Arial" w:hAnsi="Arial"/>
                  <w:sz w:val="11"/>
                  <w:szCs w:val="11"/>
                  <w:color w:val="0000EE"/>
                </w:rPr>
                <w:t>ELECTED</w:t>
              </w:r>
              <w:r>
                <w:rPr>
                  <w:rFonts w:ascii="Arial" w:cs="Arial" w:eastAsia="Arial" w:hAnsi="Arial"/>
                  <w:sz w:val="14"/>
                  <w:szCs w:val="14"/>
                  <w:color w:val="0000EE"/>
                </w:rPr>
                <w:t xml:space="preserve"> H</w:t>
              </w:r>
              <w:r>
                <w:rPr>
                  <w:rFonts w:ascii="Arial" w:cs="Arial" w:eastAsia="Arial" w:hAnsi="Arial"/>
                  <w:sz w:val="11"/>
                  <w:szCs w:val="11"/>
                  <w:color w:val="0000EE"/>
                </w:rPr>
                <w:t>ISTORICAL</w:t>
              </w:r>
              <w:r>
                <w:rPr>
                  <w:rFonts w:ascii="Arial" w:cs="Arial" w:eastAsia="Arial" w:hAnsi="Arial"/>
                  <w:sz w:val="14"/>
                  <w:szCs w:val="14"/>
                  <w:color w:val="0000EE"/>
                </w:rPr>
                <w:t xml:space="preserve"> F</w:t>
              </w:r>
              <w:r>
                <w:rPr>
                  <w:rFonts w:ascii="Arial" w:cs="Arial" w:eastAsia="Arial" w:hAnsi="Arial"/>
                  <w:sz w:val="11"/>
                  <w:szCs w:val="11"/>
                  <w:color w:val="0000EE"/>
                </w:rPr>
                <w:t>INANCIAL AND</w:t>
              </w:r>
              <w:r>
                <w:rPr>
                  <w:rFonts w:ascii="Arial" w:cs="Arial" w:eastAsia="Arial" w:hAnsi="Arial"/>
                  <w:sz w:val="14"/>
                  <w:szCs w:val="14"/>
                  <w:color w:val="0000EE"/>
                </w:rPr>
                <w:t xml:space="preserve"> O</w:t>
              </w:r>
              <w:r>
                <w:rPr>
                  <w:rFonts w:ascii="Arial" w:cs="Arial" w:eastAsia="Arial" w:hAnsi="Arial"/>
                  <w:sz w:val="11"/>
                  <w:szCs w:val="11"/>
                  <w:color w:val="0000EE"/>
                </w:rPr>
                <w:t>PERATING</w:t>
              </w:r>
              <w:r>
                <w:rPr>
                  <w:rFonts w:ascii="Arial" w:cs="Arial" w:eastAsia="Arial" w:hAnsi="Arial"/>
                  <w:sz w:val="14"/>
                  <w:szCs w:val="14"/>
                  <w:color w:val="0000EE"/>
                </w:rPr>
                <w:t xml:space="preserve"> D</w:t>
              </w:r>
              <w:r>
                <w:rPr>
                  <w:rFonts w:ascii="Arial" w:cs="Arial" w:eastAsia="Arial" w:hAnsi="Arial"/>
                  <w:sz w:val="11"/>
                  <w:szCs w:val="11"/>
                  <w:color w:val="0000EE"/>
                </w:rPr>
                <w:t>ATA</w:t>
              </w:r>
            </w:hyperlink>
          </w:p>
        </w:tc>
        <w:tc>
          <w:tcPr>
            <w:tcW w:w="7580" w:type="dxa"/>
            <w:vAlign w:val="bottom"/>
            <w:gridSpan w:val="5"/>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0000EE"/>
            </w:tcBorders>
            <w:gridSpan w:val="24"/>
          </w:tcPr>
          <w:p>
            <w:pPr>
              <w:spacing w:after="0" w:line="155" w:lineRule="exact"/>
              <w:rPr>
                <w:rFonts w:ascii="Arial" w:cs="Arial" w:eastAsia="Arial" w:hAnsi="Arial"/>
                <w:sz w:val="14"/>
                <w:szCs w:val="14"/>
                <w:color w:val="0000EE"/>
              </w:rPr>
            </w:pPr>
            <w:hyperlink w:anchor="page56">
              <w:r>
                <w:rPr>
                  <w:rFonts w:ascii="Arial" w:cs="Arial" w:eastAsia="Arial" w:hAnsi="Arial"/>
                  <w:sz w:val="14"/>
                  <w:szCs w:val="14"/>
                  <w:color w:val="0000EE"/>
                </w:rPr>
                <w:t>M</w:t>
              </w:r>
              <w:r>
                <w:rPr>
                  <w:rFonts w:ascii="Arial" w:cs="Arial" w:eastAsia="Arial" w:hAnsi="Arial"/>
                  <w:sz w:val="11"/>
                  <w:szCs w:val="11"/>
                  <w:color w:val="0000EE"/>
                </w:rPr>
                <w:t>ANAGEMENT</w:t>
              </w:r>
              <w:r>
                <w:rPr>
                  <w:rFonts w:ascii="Arial" w:cs="Arial" w:eastAsia="Arial" w:hAnsi="Arial"/>
                  <w:sz w:val="14"/>
                  <w:szCs w:val="14"/>
                  <w:color w:val="0000EE"/>
                </w:rPr>
                <w:t>’</w:t>
              </w:r>
              <w:r>
                <w:rPr>
                  <w:rFonts w:ascii="Arial" w:cs="Arial" w:eastAsia="Arial" w:hAnsi="Arial"/>
                  <w:sz w:val="11"/>
                  <w:szCs w:val="11"/>
                  <w:color w:val="0000EE"/>
                </w:rPr>
                <w:t>S</w:t>
              </w:r>
              <w:r>
                <w:rPr>
                  <w:rFonts w:ascii="Arial" w:cs="Arial" w:eastAsia="Arial" w:hAnsi="Arial"/>
                  <w:sz w:val="14"/>
                  <w:szCs w:val="14"/>
                  <w:color w:val="0000EE"/>
                </w:rPr>
                <w:t xml:space="preserve"> D</w:t>
              </w:r>
              <w:r>
                <w:rPr>
                  <w:rFonts w:ascii="Arial" w:cs="Arial" w:eastAsia="Arial" w:hAnsi="Arial"/>
                  <w:sz w:val="11"/>
                  <w:szCs w:val="11"/>
                  <w:color w:val="0000EE"/>
                </w:rPr>
                <w:t>ISCUSSION AND</w:t>
              </w:r>
              <w:r>
                <w:rPr>
                  <w:rFonts w:ascii="Arial" w:cs="Arial" w:eastAsia="Arial" w:hAnsi="Arial"/>
                  <w:sz w:val="14"/>
                  <w:szCs w:val="14"/>
                  <w:color w:val="0000EE"/>
                </w:rPr>
                <w:t xml:space="preserve"> A</w:t>
              </w:r>
              <w:r>
                <w:rPr>
                  <w:rFonts w:ascii="Arial" w:cs="Arial" w:eastAsia="Arial" w:hAnsi="Arial"/>
                  <w:sz w:val="11"/>
                  <w:szCs w:val="11"/>
                  <w:color w:val="0000EE"/>
                </w:rPr>
                <w:t>NALYSIS OF</w:t>
              </w:r>
              <w:r>
                <w:rPr>
                  <w:rFonts w:ascii="Arial" w:cs="Arial" w:eastAsia="Arial" w:hAnsi="Arial"/>
                  <w:sz w:val="14"/>
                  <w:szCs w:val="14"/>
                  <w:color w:val="0000EE"/>
                </w:rPr>
                <w:t xml:space="preserve"> F</w:t>
              </w:r>
              <w:r>
                <w:rPr>
                  <w:rFonts w:ascii="Arial" w:cs="Arial" w:eastAsia="Arial" w:hAnsi="Arial"/>
                  <w:sz w:val="11"/>
                  <w:szCs w:val="11"/>
                  <w:color w:val="0000EE"/>
                </w:rPr>
                <w:t>INANCIAL</w:t>
              </w:r>
              <w:r>
                <w:rPr>
                  <w:rFonts w:ascii="Arial" w:cs="Arial" w:eastAsia="Arial" w:hAnsi="Arial"/>
                  <w:sz w:val="14"/>
                  <w:szCs w:val="14"/>
                  <w:color w:val="0000EE"/>
                </w:rPr>
                <w:t xml:space="preserve"> C</w:t>
              </w:r>
              <w:r>
                <w:rPr>
                  <w:rFonts w:ascii="Arial" w:cs="Arial" w:eastAsia="Arial" w:hAnsi="Arial"/>
                  <w:sz w:val="11"/>
                  <w:szCs w:val="11"/>
                  <w:color w:val="0000EE"/>
                </w:rPr>
                <w:t>ONDITION AND</w:t>
              </w:r>
              <w:r>
                <w:rPr>
                  <w:rFonts w:ascii="Arial" w:cs="Arial" w:eastAsia="Arial" w:hAnsi="Arial"/>
                  <w:sz w:val="14"/>
                  <w:szCs w:val="14"/>
                  <w:color w:val="0000EE"/>
                </w:rPr>
                <w:t xml:space="preserve"> R</w:t>
              </w:r>
              <w:r>
                <w:rPr>
                  <w:rFonts w:ascii="Arial" w:cs="Arial" w:eastAsia="Arial" w:hAnsi="Arial"/>
                  <w:sz w:val="11"/>
                  <w:szCs w:val="11"/>
                  <w:color w:val="0000EE"/>
                </w:rPr>
                <w:t>ESULTS OF</w:t>
              </w:r>
              <w:r>
                <w:rPr>
                  <w:rFonts w:ascii="Arial" w:cs="Arial" w:eastAsia="Arial" w:hAnsi="Arial"/>
                  <w:sz w:val="14"/>
                  <w:szCs w:val="14"/>
                  <w:color w:val="0000EE"/>
                </w:rPr>
                <w:t xml:space="preserve"> O</w:t>
              </w:r>
              <w:r>
                <w:rPr>
                  <w:rFonts w:ascii="Arial" w:cs="Arial" w:eastAsia="Arial" w:hAnsi="Arial"/>
                  <w:sz w:val="11"/>
                  <w:szCs w:val="11"/>
                  <w:color w:val="0000EE"/>
                </w:rPr>
                <w:t>PERATIONS</w:t>
              </w:r>
            </w:hyperlink>
          </w:p>
        </w:tc>
        <w:tc>
          <w:tcPr>
            <w:tcW w:w="4940" w:type="dxa"/>
            <w:vAlign w:val="bottom"/>
            <w:gridSpan w:val="2"/>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5"/>
        </w:trPr>
        <w:tc>
          <w:tcPr>
            <w:tcW w:w="2660" w:type="dxa"/>
            <w:vAlign w:val="bottom"/>
            <w:tcBorders>
              <w:bottom w:val="single" w:sz="8" w:color="0000EE"/>
            </w:tcBorders>
            <w:gridSpan w:val="18"/>
          </w:tcPr>
          <w:p>
            <w:pPr>
              <w:spacing w:after="0" w:line="155" w:lineRule="exact"/>
              <w:rPr>
                <w:rFonts w:ascii="Arial" w:cs="Arial" w:eastAsia="Arial" w:hAnsi="Arial"/>
                <w:sz w:val="14"/>
                <w:szCs w:val="14"/>
                <w:color w:val="0000EE"/>
              </w:rPr>
            </w:pPr>
            <w:hyperlink w:anchor="page76">
              <w:r>
                <w:rPr>
                  <w:rFonts w:ascii="Arial" w:cs="Arial" w:eastAsia="Arial" w:hAnsi="Arial"/>
                  <w:sz w:val="14"/>
                  <w:szCs w:val="14"/>
                  <w:color w:val="0000EE"/>
                </w:rPr>
                <w:t>C</w:t>
              </w:r>
              <w:r>
                <w:rPr>
                  <w:rFonts w:ascii="Arial" w:cs="Arial" w:eastAsia="Arial" w:hAnsi="Arial"/>
                  <w:sz w:val="11"/>
                  <w:szCs w:val="11"/>
                  <w:color w:val="0000EE"/>
                </w:rPr>
                <w:t>ORPORATE</w:t>
              </w:r>
              <w:r>
                <w:rPr>
                  <w:rFonts w:ascii="Arial" w:cs="Arial" w:eastAsia="Arial" w:hAnsi="Arial"/>
                  <w:sz w:val="14"/>
                  <w:szCs w:val="14"/>
                  <w:color w:val="0000EE"/>
                </w:rPr>
                <w:t xml:space="preserve"> H</w:t>
              </w:r>
              <w:r>
                <w:rPr>
                  <w:rFonts w:ascii="Arial" w:cs="Arial" w:eastAsia="Arial" w:hAnsi="Arial"/>
                  <w:sz w:val="11"/>
                  <w:szCs w:val="11"/>
                  <w:color w:val="0000EE"/>
                </w:rPr>
                <w:t>ISTORY AND</w:t>
              </w:r>
              <w:r>
                <w:rPr>
                  <w:rFonts w:ascii="Arial" w:cs="Arial" w:eastAsia="Arial" w:hAnsi="Arial"/>
                  <w:sz w:val="14"/>
                  <w:szCs w:val="14"/>
                  <w:color w:val="0000EE"/>
                </w:rPr>
                <w:t xml:space="preserve"> R</w:t>
              </w:r>
              <w:r>
                <w:rPr>
                  <w:rFonts w:ascii="Arial" w:cs="Arial" w:eastAsia="Arial" w:hAnsi="Arial"/>
                  <w:sz w:val="11"/>
                  <w:szCs w:val="11"/>
                  <w:color w:val="0000EE"/>
                </w:rPr>
                <w:t>EORGANIZATION</w:t>
              </w:r>
            </w:hyperlink>
          </w:p>
        </w:tc>
        <w:tc>
          <w:tcPr>
            <w:tcW w:w="8340" w:type="dxa"/>
            <w:vAlign w:val="bottom"/>
            <w:gridSpan w:val="8"/>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55"/>
        </w:trPr>
        <w:tc>
          <w:tcPr>
            <w:tcW w:w="1560" w:type="dxa"/>
            <w:vAlign w:val="bottom"/>
            <w:tcBorders>
              <w:bottom w:val="single" w:sz="8" w:color="0000EE"/>
            </w:tcBorders>
            <w:gridSpan w:val="10"/>
          </w:tcPr>
          <w:p>
            <w:pPr>
              <w:spacing w:after="0" w:line="155" w:lineRule="exact"/>
              <w:rPr>
                <w:rFonts w:ascii="Arial" w:cs="Arial" w:eastAsia="Arial" w:hAnsi="Arial"/>
                <w:sz w:val="14"/>
                <w:szCs w:val="14"/>
                <w:color w:val="0000EE"/>
              </w:rPr>
            </w:pPr>
            <w:hyperlink w:anchor="page83">
              <w:r>
                <w:rPr>
                  <w:rFonts w:ascii="Arial" w:cs="Arial" w:eastAsia="Arial" w:hAnsi="Arial"/>
                  <w:sz w:val="14"/>
                  <w:szCs w:val="14"/>
                  <w:color w:val="0000EE"/>
                </w:rPr>
                <w:t>F</w:t>
              </w:r>
              <w:r>
                <w:rPr>
                  <w:rFonts w:ascii="Arial" w:cs="Arial" w:eastAsia="Arial" w:hAnsi="Arial"/>
                  <w:sz w:val="11"/>
                  <w:szCs w:val="11"/>
                  <w:color w:val="0000EE"/>
                </w:rPr>
                <w:t>INANCING</w:t>
              </w:r>
              <w:r>
                <w:rPr>
                  <w:rFonts w:ascii="Arial" w:cs="Arial" w:eastAsia="Arial" w:hAnsi="Arial"/>
                  <w:sz w:val="14"/>
                  <w:szCs w:val="14"/>
                  <w:color w:val="0000EE"/>
                </w:rPr>
                <w:t xml:space="preserve"> T</w:t>
              </w:r>
              <w:r>
                <w:rPr>
                  <w:rFonts w:ascii="Arial" w:cs="Arial" w:eastAsia="Arial" w:hAnsi="Arial"/>
                  <w:sz w:val="11"/>
                  <w:szCs w:val="11"/>
                  <w:color w:val="0000EE"/>
                </w:rPr>
                <w:t>RANSACTION</w:t>
              </w:r>
            </w:hyperlink>
          </w:p>
        </w:tc>
        <w:tc>
          <w:tcPr>
            <w:tcW w:w="9440" w:type="dxa"/>
            <w:vAlign w:val="bottom"/>
            <w:gridSpan w:val="16"/>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85">
              <w:r>
                <w:rPr>
                  <w:rFonts w:ascii="Arial" w:cs="Arial" w:eastAsia="Arial" w:hAnsi="Arial"/>
                  <w:sz w:val="14"/>
                  <w:szCs w:val="14"/>
                  <w:color w:val="0000EE"/>
                </w:rPr>
                <w:t>I</w:t>
              </w:r>
              <w:r>
                <w:rPr>
                  <w:rFonts w:ascii="Arial" w:cs="Arial" w:eastAsia="Arial" w:hAnsi="Arial"/>
                  <w:sz w:val="11"/>
                  <w:szCs w:val="11"/>
                  <w:color w:val="0000EE"/>
                </w:rPr>
                <w:t>NDUSTRY</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53"/>
        </w:trPr>
        <w:tc>
          <w:tcPr>
            <w:tcW w:w="5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75"/>
              </w:rPr>
              <w:t>Page</w:t>
            </w:r>
          </w:p>
        </w:tc>
        <w:tc>
          <w:tcPr>
            <w:tcW w:w="0" w:type="dxa"/>
            <w:vAlign w:val="bottom"/>
          </w:tcPr>
          <w:p>
            <w:pPr>
              <w:spacing w:after="0"/>
              <w:rPr>
                <w:sz w:val="1"/>
                <w:szCs w:val="1"/>
                <w:color w:val="auto"/>
              </w:rPr>
            </w:pPr>
          </w:p>
        </w:tc>
      </w:tr>
      <w:tr>
        <w:trPr>
          <w:trHeight w:val="133"/>
        </w:trPr>
        <w:tc>
          <w:tcPr>
            <w:tcW w:w="10760" w:type="dxa"/>
            <w:vAlign w:val="bottom"/>
            <w:gridSpan w:val="25"/>
          </w:tcPr>
          <w:p>
            <w:pPr>
              <w:spacing w:after="0" w:line="133" w:lineRule="exact"/>
              <w:rPr>
                <w:rFonts w:ascii="Arial" w:cs="Arial" w:eastAsia="Arial" w:hAnsi="Arial"/>
                <w:sz w:val="14"/>
                <w:szCs w:val="14"/>
                <w:color w:val="0000EE"/>
              </w:rPr>
            </w:pPr>
            <w:hyperlink w:anchor="page93">
              <w:r>
                <w:rPr>
                  <w:rFonts w:ascii="Arial" w:cs="Arial" w:eastAsia="Arial" w:hAnsi="Arial"/>
                  <w:sz w:val="14"/>
                  <w:szCs w:val="14"/>
                  <w:color w:val="0000EE"/>
                </w:rPr>
                <w:t>B</w:t>
              </w:r>
              <w:r>
                <w:rPr>
                  <w:rFonts w:ascii="Arial" w:cs="Arial" w:eastAsia="Arial" w:hAnsi="Arial"/>
                  <w:sz w:val="11"/>
                  <w:szCs w:val="11"/>
                  <w:color w:val="0000EE"/>
                </w:rPr>
                <w:t>USINESS</w:t>
              </w:r>
            </w:hyperlink>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12">
              <w:r>
                <w:rPr>
                  <w:rFonts w:ascii="Arial" w:cs="Arial" w:eastAsia="Arial" w:hAnsi="Arial"/>
                  <w:sz w:val="14"/>
                  <w:szCs w:val="14"/>
                  <w:color w:val="0000EE"/>
                </w:rPr>
                <w:t>M</w:t>
              </w:r>
              <w:r>
                <w:rPr>
                  <w:rFonts w:ascii="Arial" w:cs="Arial" w:eastAsia="Arial" w:hAnsi="Arial"/>
                  <w:sz w:val="11"/>
                  <w:szCs w:val="11"/>
                  <w:color w:val="0000EE"/>
                </w:rPr>
                <w:t>ANAGEMENT</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17">
              <w:r>
                <w:rPr>
                  <w:rFonts w:ascii="Arial" w:cs="Arial" w:eastAsia="Arial" w:hAnsi="Arial"/>
                  <w:sz w:val="14"/>
                  <w:szCs w:val="14"/>
                  <w:color w:val="0000EE"/>
                </w:rPr>
                <w:t>C</w:t>
              </w:r>
              <w:r>
                <w:rPr>
                  <w:rFonts w:ascii="Arial" w:cs="Arial" w:eastAsia="Arial" w:hAnsi="Arial"/>
                  <w:sz w:val="11"/>
                  <w:szCs w:val="11"/>
                  <w:color w:val="0000EE"/>
                </w:rPr>
                <w:t>OMPENSATION</w:t>
              </w:r>
              <w:r>
                <w:rPr>
                  <w:rFonts w:ascii="Arial" w:cs="Arial" w:eastAsia="Arial" w:hAnsi="Arial"/>
                  <w:sz w:val="14"/>
                  <w:szCs w:val="14"/>
                  <w:color w:val="0000EE"/>
                </w:rPr>
                <w:t xml:space="preserve"> D</w:t>
              </w:r>
              <w:r>
                <w:rPr>
                  <w:rFonts w:ascii="Arial" w:cs="Arial" w:eastAsia="Arial" w:hAnsi="Arial"/>
                  <w:sz w:val="11"/>
                  <w:szCs w:val="11"/>
                  <w:color w:val="0000EE"/>
                </w:rPr>
                <w:t>ISCUSSION AND</w:t>
              </w:r>
              <w:r>
                <w:rPr>
                  <w:rFonts w:ascii="Arial" w:cs="Arial" w:eastAsia="Arial" w:hAnsi="Arial"/>
                  <w:sz w:val="14"/>
                  <w:szCs w:val="14"/>
                  <w:color w:val="0000EE"/>
                </w:rPr>
                <w:t xml:space="preserve"> A</w:t>
              </w:r>
              <w:r>
                <w:rPr>
                  <w:rFonts w:ascii="Arial" w:cs="Arial" w:eastAsia="Arial" w:hAnsi="Arial"/>
                  <w:sz w:val="11"/>
                  <w:szCs w:val="11"/>
                  <w:color w:val="0000EE"/>
                </w:rPr>
                <w:t>NALYSIS</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55"/>
        </w:trPr>
        <w:tc>
          <w:tcPr>
            <w:tcW w:w="1660" w:type="dxa"/>
            <w:vAlign w:val="bottom"/>
            <w:tcBorders>
              <w:top w:val="single" w:sz="8" w:color="0000EE"/>
              <w:bottom w:val="single" w:sz="8" w:color="0000EE"/>
            </w:tcBorders>
            <w:gridSpan w:val="12"/>
          </w:tcPr>
          <w:p>
            <w:pPr>
              <w:spacing w:after="0" w:line="155" w:lineRule="exact"/>
              <w:rPr>
                <w:rFonts w:ascii="Arial" w:cs="Arial" w:eastAsia="Arial" w:hAnsi="Arial"/>
                <w:sz w:val="14"/>
                <w:szCs w:val="14"/>
                <w:color w:val="0000EE"/>
              </w:rPr>
            </w:pPr>
            <w:hyperlink w:anchor="page119">
              <w:r>
                <w:rPr>
                  <w:rFonts w:ascii="Arial" w:cs="Arial" w:eastAsia="Arial" w:hAnsi="Arial"/>
                  <w:sz w:val="14"/>
                  <w:szCs w:val="14"/>
                  <w:color w:val="0000EE"/>
                </w:rPr>
                <w:t>E</w:t>
              </w:r>
              <w:r>
                <w:rPr>
                  <w:rFonts w:ascii="Arial" w:cs="Arial" w:eastAsia="Arial" w:hAnsi="Arial"/>
                  <w:sz w:val="11"/>
                  <w:szCs w:val="11"/>
                  <w:color w:val="0000EE"/>
                </w:rPr>
                <w:t>XECUTIVE</w:t>
              </w:r>
              <w:r>
                <w:rPr>
                  <w:rFonts w:ascii="Arial" w:cs="Arial" w:eastAsia="Arial" w:hAnsi="Arial"/>
                  <w:sz w:val="14"/>
                  <w:szCs w:val="14"/>
                  <w:color w:val="0000EE"/>
                </w:rPr>
                <w:t xml:space="preserve"> C</w:t>
              </w:r>
              <w:r>
                <w:rPr>
                  <w:rFonts w:ascii="Arial" w:cs="Arial" w:eastAsia="Arial" w:hAnsi="Arial"/>
                  <w:sz w:val="11"/>
                  <w:szCs w:val="11"/>
                  <w:color w:val="0000EE"/>
                </w:rPr>
                <w:t>OMPENSATION</w:t>
              </w:r>
            </w:hyperlink>
          </w:p>
        </w:tc>
        <w:tc>
          <w:tcPr>
            <w:tcW w:w="940" w:type="dxa"/>
            <w:vAlign w:val="bottom"/>
            <w:tcBorders>
              <w:top w:val="single" w:sz="8" w:color="0000EE"/>
            </w:tcBorders>
            <w:gridSpan w:val="4"/>
          </w:tcPr>
          <w:p>
            <w:pPr>
              <w:spacing w:after="0"/>
              <w:rPr>
                <w:sz w:val="13"/>
                <w:szCs w:val="13"/>
                <w:color w:val="auto"/>
              </w:rPr>
            </w:pPr>
          </w:p>
        </w:tc>
        <w:tc>
          <w:tcPr>
            <w:tcW w:w="8400" w:type="dxa"/>
            <w:vAlign w:val="bottom"/>
            <w:gridSpan w:val="10"/>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55"/>
        </w:trPr>
        <w:tc>
          <w:tcPr>
            <w:tcW w:w="3720" w:type="dxa"/>
            <w:vAlign w:val="bottom"/>
            <w:tcBorders>
              <w:bottom w:val="single" w:sz="8" w:color="0000EE"/>
            </w:tcBorders>
            <w:gridSpan w:val="23"/>
          </w:tcPr>
          <w:p>
            <w:pPr>
              <w:spacing w:after="0" w:line="155" w:lineRule="exact"/>
              <w:rPr>
                <w:rFonts w:ascii="Arial" w:cs="Arial" w:eastAsia="Arial" w:hAnsi="Arial"/>
                <w:sz w:val="14"/>
                <w:szCs w:val="14"/>
                <w:color w:val="0000EE"/>
              </w:rPr>
            </w:pPr>
            <w:hyperlink w:anchor="page135">
              <w:r>
                <w:rPr>
                  <w:rFonts w:ascii="Arial" w:cs="Arial" w:eastAsia="Arial" w:hAnsi="Arial"/>
                  <w:sz w:val="14"/>
                  <w:szCs w:val="14"/>
                  <w:color w:val="0000EE"/>
                </w:rPr>
                <w:t>C</w:t>
              </w:r>
              <w:r>
                <w:rPr>
                  <w:rFonts w:ascii="Arial" w:cs="Arial" w:eastAsia="Arial" w:hAnsi="Arial"/>
                  <w:sz w:val="11"/>
                  <w:szCs w:val="11"/>
                  <w:color w:val="0000EE"/>
                </w:rPr>
                <w:t>ERTAIN</w:t>
              </w:r>
              <w:r>
                <w:rPr>
                  <w:rFonts w:ascii="Arial" w:cs="Arial" w:eastAsia="Arial" w:hAnsi="Arial"/>
                  <w:sz w:val="14"/>
                  <w:szCs w:val="14"/>
                  <w:color w:val="0000EE"/>
                </w:rPr>
                <w:t xml:space="preserve"> R</w:t>
              </w:r>
              <w:r>
                <w:rPr>
                  <w:rFonts w:ascii="Arial" w:cs="Arial" w:eastAsia="Arial" w:hAnsi="Arial"/>
                  <w:sz w:val="11"/>
                  <w:szCs w:val="11"/>
                  <w:color w:val="0000EE"/>
                </w:rPr>
                <w:t>ELATIONSHIPS AND</w:t>
              </w:r>
              <w:r>
                <w:rPr>
                  <w:rFonts w:ascii="Arial" w:cs="Arial" w:eastAsia="Arial" w:hAnsi="Arial"/>
                  <w:sz w:val="14"/>
                  <w:szCs w:val="14"/>
                  <w:color w:val="0000EE"/>
                </w:rPr>
                <w:t xml:space="preserve"> R</w:t>
              </w:r>
              <w:r>
                <w:rPr>
                  <w:rFonts w:ascii="Arial" w:cs="Arial" w:eastAsia="Arial" w:hAnsi="Arial"/>
                  <w:sz w:val="11"/>
                  <w:szCs w:val="11"/>
                  <w:color w:val="0000EE"/>
                </w:rPr>
                <w:t>ELATED</w:t>
              </w:r>
              <w:r>
                <w:rPr>
                  <w:rFonts w:ascii="Arial" w:cs="Arial" w:eastAsia="Arial" w:hAnsi="Arial"/>
                  <w:sz w:val="14"/>
                  <w:szCs w:val="14"/>
                  <w:color w:val="0000EE"/>
                </w:rPr>
                <w:t xml:space="preserve"> P</w:t>
              </w:r>
              <w:r>
                <w:rPr>
                  <w:rFonts w:ascii="Arial" w:cs="Arial" w:eastAsia="Arial" w:hAnsi="Arial"/>
                  <w:sz w:val="11"/>
                  <w:szCs w:val="11"/>
                  <w:color w:val="0000EE"/>
                </w:rPr>
                <w:t>ARTY</w:t>
              </w:r>
              <w:r>
                <w:rPr>
                  <w:rFonts w:ascii="Arial" w:cs="Arial" w:eastAsia="Arial" w:hAnsi="Arial"/>
                  <w:sz w:val="14"/>
                  <w:szCs w:val="14"/>
                  <w:color w:val="0000EE"/>
                </w:rPr>
                <w:t xml:space="preserve"> T</w:t>
              </w:r>
              <w:r>
                <w:rPr>
                  <w:rFonts w:ascii="Arial" w:cs="Arial" w:eastAsia="Arial" w:hAnsi="Arial"/>
                  <w:sz w:val="11"/>
                  <w:szCs w:val="11"/>
                  <w:color w:val="0000EE"/>
                </w:rPr>
                <w:t>RANSACTIONS</w:t>
              </w:r>
            </w:hyperlink>
          </w:p>
        </w:tc>
        <w:tc>
          <w:tcPr>
            <w:tcW w:w="7280" w:type="dxa"/>
            <w:vAlign w:val="bottom"/>
            <w:gridSpan w:val="3"/>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54">
              <w:r>
                <w:rPr>
                  <w:rFonts w:ascii="Arial" w:cs="Arial" w:eastAsia="Arial" w:hAnsi="Arial"/>
                  <w:sz w:val="14"/>
                  <w:szCs w:val="14"/>
                  <w:color w:val="0000EE"/>
                </w:rPr>
                <w:t>P</w:t>
              </w:r>
              <w:r>
                <w:rPr>
                  <w:rFonts w:ascii="Arial" w:cs="Arial" w:eastAsia="Arial" w:hAnsi="Arial"/>
                  <w:sz w:val="11"/>
                  <w:szCs w:val="11"/>
                  <w:color w:val="0000EE"/>
                </w:rPr>
                <w:t>RINCIPAL</w:t>
              </w:r>
              <w:r>
                <w:rPr>
                  <w:rFonts w:ascii="Arial" w:cs="Arial" w:eastAsia="Arial" w:hAnsi="Arial"/>
                  <w:sz w:val="14"/>
                  <w:szCs w:val="14"/>
                  <w:color w:val="0000EE"/>
                </w:rPr>
                <w:t xml:space="preserve"> S</w:t>
              </w:r>
              <w:r>
                <w:rPr>
                  <w:rFonts w:ascii="Arial" w:cs="Arial" w:eastAsia="Arial" w:hAnsi="Arial"/>
                  <w:sz w:val="11"/>
                  <w:szCs w:val="11"/>
                  <w:color w:val="0000EE"/>
                </w:rPr>
                <w:t>TOCKHOLDERS</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60" w:type="dxa"/>
            <w:vAlign w:val="bottom"/>
            <w:tcBorders>
              <w:bottom w:val="single" w:sz="8" w:color="0000EE"/>
            </w:tcBorders>
            <w:gridSpan w:val="13"/>
          </w:tcPr>
          <w:p>
            <w:pPr>
              <w:spacing w:after="0" w:line="155" w:lineRule="exact"/>
              <w:rPr>
                <w:rFonts w:ascii="Arial" w:cs="Arial" w:eastAsia="Arial" w:hAnsi="Arial"/>
                <w:sz w:val="14"/>
                <w:szCs w:val="14"/>
                <w:color w:val="0000EE"/>
              </w:rPr>
            </w:pPr>
            <w:hyperlink w:anchor="page155">
              <w:r>
                <w:rPr>
                  <w:rFonts w:ascii="Arial" w:cs="Arial" w:eastAsia="Arial" w:hAnsi="Arial"/>
                  <w:sz w:val="14"/>
                  <w:szCs w:val="14"/>
                  <w:color w:val="0000EE"/>
                </w:rPr>
                <w:t>D</w:t>
              </w:r>
              <w:r>
                <w:rPr>
                  <w:rFonts w:ascii="Arial" w:cs="Arial" w:eastAsia="Arial" w:hAnsi="Arial"/>
                  <w:sz w:val="11"/>
                  <w:szCs w:val="11"/>
                  <w:color w:val="0000EE"/>
                </w:rPr>
                <w:t>ESCRIPTION OF</w:t>
              </w:r>
              <w:r>
                <w:rPr>
                  <w:rFonts w:ascii="Arial" w:cs="Arial" w:eastAsia="Arial" w:hAnsi="Arial"/>
                  <w:sz w:val="14"/>
                  <w:szCs w:val="14"/>
                  <w:color w:val="0000EE"/>
                </w:rPr>
                <w:t xml:space="preserve"> C</w:t>
              </w:r>
              <w:r>
                <w:rPr>
                  <w:rFonts w:ascii="Arial" w:cs="Arial" w:eastAsia="Arial" w:hAnsi="Arial"/>
                  <w:sz w:val="11"/>
                  <w:szCs w:val="11"/>
                  <w:color w:val="0000EE"/>
                </w:rPr>
                <w:t>APITAL</w:t>
              </w:r>
              <w:r>
                <w:rPr>
                  <w:rFonts w:ascii="Arial" w:cs="Arial" w:eastAsia="Arial" w:hAnsi="Arial"/>
                  <w:sz w:val="14"/>
                  <w:szCs w:val="14"/>
                  <w:color w:val="0000EE"/>
                </w:rPr>
                <w:t xml:space="preserve"> S</w:t>
              </w:r>
              <w:r>
                <w:rPr>
                  <w:rFonts w:ascii="Arial" w:cs="Arial" w:eastAsia="Arial" w:hAnsi="Arial"/>
                  <w:sz w:val="11"/>
                  <w:szCs w:val="11"/>
                  <w:color w:val="0000EE"/>
                </w:rPr>
                <w:t>TOCK</w:t>
              </w:r>
            </w:hyperlink>
          </w:p>
        </w:tc>
        <w:tc>
          <w:tcPr>
            <w:tcW w:w="9040" w:type="dxa"/>
            <w:vAlign w:val="bottom"/>
            <w:gridSpan w:val="13"/>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5"/>
        </w:trPr>
        <w:tc>
          <w:tcPr>
            <w:tcW w:w="2180" w:type="dxa"/>
            <w:vAlign w:val="bottom"/>
            <w:tcBorders>
              <w:bottom w:val="single" w:sz="8" w:color="0000EE"/>
            </w:tcBorders>
            <w:gridSpan w:val="15"/>
          </w:tcPr>
          <w:p>
            <w:pPr>
              <w:spacing w:after="0" w:line="155" w:lineRule="exact"/>
              <w:rPr>
                <w:rFonts w:ascii="Arial" w:cs="Arial" w:eastAsia="Arial" w:hAnsi="Arial"/>
                <w:sz w:val="14"/>
                <w:szCs w:val="14"/>
                <w:color w:val="0000EE"/>
              </w:rPr>
            </w:pPr>
            <w:hyperlink w:anchor="page161">
              <w:r>
                <w:rPr>
                  <w:rFonts w:ascii="Arial" w:cs="Arial" w:eastAsia="Arial" w:hAnsi="Arial"/>
                  <w:sz w:val="14"/>
                  <w:szCs w:val="14"/>
                  <w:color w:val="0000EE"/>
                </w:rPr>
                <w:t>S</w:t>
              </w:r>
              <w:r>
                <w:rPr>
                  <w:rFonts w:ascii="Arial" w:cs="Arial" w:eastAsia="Arial" w:hAnsi="Arial"/>
                  <w:sz w:val="11"/>
                  <w:szCs w:val="11"/>
                  <w:color w:val="0000EE"/>
                </w:rPr>
                <w:t>HARES</w:t>
              </w:r>
              <w:r>
                <w:rPr>
                  <w:rFonts w:ascii="Arial" w:cs="Arial" w:eastAsia="Arial" w:hAnsi="Arial"/>
                  <w:sz w:val="14"/>
                  <w:szCs w:val="14"/>
                  <w:color w:val="0000EE"/>
                </w:rPr>
                <w:t xml:space="preserve"> E</w:t>
              </w:r>
              <w:r>
                <w:rPr>
                  <w:rFonts w:ascii="Arial" w:cs="Arial" w:eastAsia="Arial" w:hAnsi="Arial"/>
                  <w:sz w:val="11"/>
                  <w:szCs w:val="11"/>
                  <w:color w:val="0000EE"/>
                </w:rPr>
                <w:t>LIGIBLE FOR</w:t>
              </w:r>
              <w:r>
                <w:rPr>
                  <w:rFonts w:ascii="Arial" w:cs="Arial" w:eastAsia="Arial" w:hAnsi="Arial"/>
                  <w:sz w:val="14"/>
                  <w:szCs w:val="14"/>
                  <w:color w:val="0000EE"/>
                </w:rPr>
                <w:t xml:space="preserve"> F</w:t>
              </w:r>
              <w:r>
                <w:rPr>
                  <w:rFonts w:ascii="Arial" w:cs="Arial" w:eastAsia="Arial" w:hAnsi="Arial"/>
                  <w:sz w:val="11"/>
                  <w:szCs w:val="11"/>
                  <w:color w:val="0000EE"/>
                </w:rPr>
                <w:t>UTURE</w:t>
              </w:r>
              <w:r>
                <w:rPr>
                  <w:rFonts w:ascii="Arial" w:cs="Arial" w:eastAsia="Arial" w:hAnsi="Arial"/>
                  <w:sz w:val="14"/>
                  <w:szCs w:val="14"/>
                  <w:color w:val="0000EE"/>
                </w:rPr>
                <w:t xml:space="preserve"> S</w:t>
              </w:r>
              <w:r>
                <w:rPr>
                  <w:rFonts w:ascii="Arial" w:cs="Arial" w:eastAsia="Arial" w:hAnsi="Arial"/>
                  <w:sz w:val="11"/>
                  <w:szCs w:val="11"/>
                  <w:color w:val="0000EE"/>
                </w:rPr>
                <w:t>ALE</w:t>
              </w:r>
            </w:hyperlink>
          </w:p>
        </w:tc>
        <w:tc>
          <w:tcPr>
            <w:tcW w:w="8820" w:type="dxa"/>
            <w:vAlign w:val="bottom"/>
            <w:gridSpan w:val="11"/>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63">
              <w:r>
                <w:rPr>
                  <w:rFonts w:ascii="Arial" w:cs="Arial" w:eastAsia="Arial" w:hAnsi="Arial"/>
                  <w:sz w:val="14"/>
                  <w:szCs w:val="14"/>
                  <w:color w:val="0000EE"/>
                </w:rPr>
                <w:t>M</w:t>
              </w:r>
              <w:r>
                <w:rPr>
                  <w:rFonts w:ascii="Arial" w:cs="Arial" w:eastAsia="Arial" w:hAnsi="Arial"/>
                  <w:sz w:val="11"/>
                  <w:szCs w:val="11"/>
                  <w:color w:val="0000EE"/>
                </w:rPr>
                <w:t>ATERIAL</w:t>
              </w:r>
              <w:r>
                <w:rPr>
                  <w:rFonts w:ascii="Arial" w:cs="Arial" w:eastAsia="Arial" w:hAnsi="Arial"/>
                  <w:sz w:val="14"/>
                  <w:szCs w:val="14"/>
                  <w:color w:val="0000EE"/>
                </w:rPr>
                <w:t xml:space="preserve"> U.S. F</w:t>
              </w:r>
              <w:r>
                <w:rPr>
                  <w:rFonts w:ascii="Arial" w:cs="Arial" w:eastAsia="Arial" w:hAnsi="Arial"/>
                  <w:sz w:val="11"/>
                  <w:szCs w:val="11"/>
                  <w:color w:val="0000EE"/>
                </w:rPr>
                <w:t>EDERAL</w:t>
              </w:r>
              <w:r>
                <w:rPr>
                  <w:rFonts w:ascii="Arial" w:cs="Arial" w:eastAsia="Arial" w:hAnsi="Arial"/>
                  <w:sz w:val="14"/>
                  <w:szCs w:val="14"/>
                  <w:color w:val="0000EE"/>
                </w:rPr>
                <w:t xml:space="preserve"> I</w:t>
              </w:r>
              <w:r>
                <w:rPr>
                  <w:rFonts w:ascii="Arial" w:cs="Arial" w:eastAsia="Arial" w:hAnsi="Arial"/>
                  <w:sz w:val="11"/>
                  <w:szCs w:val="11"/>
                  <w:color w:val="0000EE"/>
                </w:rPr>
                <w:t>NCOME</w:t>
              </w:r>
              <w:r>
                <w:rPr>
                  <w:rFonts w:ascii="Arial" w:cs="Arial" w:eastAsia="Arial" w:hAnsi="Arial"/>
                  <w:sz w:val="14"/>
                  <w:szCs w:val="14"/>
                  <w:color w:val="0000EE"/>
                </w:rPr>
                <w:t xml:space="preserve"> T</w:t>
              </w:r>
              <w:r>
                <w:rPr>
                  <w:rFonts w:ascii="Arial" w:cs="Arial" w:eastAsia="Arial" w:hAnsi="Arial"/>
                  <w:sz w:val="11"/>
                  <w:szCs w:val="11"/>
                  <w:color w:val="0000EE"/>
                </w:rPr>
                <w:t>AX</w:t>
              </w:r>
              <w:r>
                <w:rPr>
                  <w:rFonts w:ascii="Arial" w:cs="Arial" w:eastAsia="Arial" w:hAnsi="Arial"/>
                  <w:sz w:val="14"/>
                  <w:szCs w:val="14"/>
                  <w:color w:val="0000EE"/>
                </w:rPr>
                <w:t xml:space="preserve"> C</w:t>
              </w:r>
              <w:r>
                <w:rPr>
                  <w:rFonts w:ascii="Arial" w:cs="Arial" w:eastAsia="Arial" w:hAnsi="Arial"/>
                  <w:sz w:val="11"/>
                  <w:szCs w:val="11"/>
                  <w:color w:val="0000EE"/>
                </w:rPr>
                <w:t>ONSIDERATIONS</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55"/>
        </w:trPr>
        <w:tc>
          <w:tcPr>
            <w:tcW w:w="940" w:type="dxa"/>
            <w:vAlign w:val="bottom"/>
            <w:tcBorders>
              <w:top w:val="single" w:sz="8" w:color="0000EE"/>
              <w:bottom w:val="single" w:sz="8" w:color="0000EE"/>
            </w:tcBorders>
            <w:gridSpan w:val="4"/>
          </w:tcPr>
          <w:p>
            <w:pPr>
              <w:spacing w:after="0" w:line="155" w:lineRule="exact"/>
              <w:rPr>
                <w:rFonts w:ascii="Arial" w:cs="Arial" w:eastAsia="Arial" w:hAnsi="Arial"/>
                <w:sz w:val="14"/>
                <w:szCs w:val="14"/>
                <w:color w:val="0000EE"/>
              </w:rPr>
            </w:pPr>
            <w:hyperlink w:anchor="page167">
              <w:r>
                <w:rPr>
                  <w:rFonts w:ascii="Arial" w:cs="Arial" w:eastAsia="Arial" w:hAnsi="Arial"/>
                  <w:sz w:val="14"/>
                  <w:szCs w:val="14"/>
                  <w:color w:val="0000EE"/>
                </w:rPr>
                <w:t>U</w:t>
              </w:r>
              <w:r>
                <w:rPr>
                  <w:rFonts w:ascii="Arial" w:cs="Arial" w:eastAsia="Arial" w:hAnsi="Arial"/>
                  <w:sz w:val="11"/>
                  <w:szCs w:val="11"/>
                  <w:color w:val="0000EE"/>
                </w:rPr>
                <w:t>NDERWRITING</w:t>
              </w:r>
            </w:hyperlink>
          </w:p>
        </w:tc>
        <w:tc>
          <w:tcPr>
            <w:tcW w:w="2420" w:type="dxa"/>
            <w:vAlign w:val="bottom"/>
            <w:tcBorders>
              <w:top w:val="single" w:sz="8" w:color="0000EE"/>
            </w:tcBorders>
            <w:gridSpan w:val="16"/>
          </w:tcPr>
          <w:p>
            <w:pPr>
              <w:spacing w:after="0"/>
              <w:rPr>
                <w:sz w:val="13"/>
                <w:szCs w:val="13"/>
                <w:color w:val="auto"/>
              </w:rPr>
            </w:pPr>
          </w:p>
        </w:tc>
        <w:tc>
          <w:tcPr>
            <w:tcW w:w="7640" w:type="dxa"/>
            <w:vAlign w:val="bottom"/>
            <w:gridSpan w:val="6"/>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74">
              <w:r>
                <w:rPr>
                  <w:rFonts w:ascii="Arial" w:cs="Arial" w:eastAsia="Arial" w:hAnsi="Arial"/>
                  <w:sz w:val="14"/>
                  <w:szCs w:val="14"/>
                  <w:color w:val="0000EE"/>
                </w:rPr>
                <w:t>L</w:t>
              </w:r>
              <w:r>
                <w:rPr>
                  <w:rFonts w:ascii="Arial" w:cs="Arial" w:eastAsia="Arial" w:hAnsi="Arial"/>
                  <w:sz w:val="11"/>
                  <w:szCs w:val="11"/>
                  <w:color w:val="0000EE"/>
                </w:rPr>
                <w:t>EGAL</w:t>
              </w:r>
              <w:r>
                <w:rPr>
                  <w:rFonts w:ascii="Arial" w:cs="Arial" w:eastAsia="Arial" w:hAnsi="Arial"/>
                  <w:sz w:val="14"/>
                  <w:szCs w:val="14"/>
                  <w:color w:val="0000EE"/>
                </w:rPr>
                <w:t xml:space="preserve"> M</w:t>
              </w:r>
              <w:r>
                <w:rPr>
                  <w:rFonts w:ascii="Arial" w:cs="Arial" w:eastAsia="Arial" w:hAnsi="Arial"/>
                  <w:sz w:val="11"/>
                  <w:szCs w:val="11"/>
                  <w:color w:val="0000EE"/>
                </w:rPr>
                <w:t>ATTERS</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55"/>
        </w:trPr>
        <w:tc>
          <w:tcPr>
            <w:tcW w:w="1000" w:type="dxa"/>
            <w:vAlign w:val="bottom"/>
            <w:tcBorders>
              <w:top w:val="single" w:sz="8" w:color="0000EE"/>
            </w:tcBorders>
            <w:gridSpan w:val="6"/>
          </w:tcPr>
          <w:p>
            <w:pPr>
              <w:spacing w:after="0" w:line="155" w:lineRule="exact"/>
              <w:rPr>
                <w:rFonts w:ascii="Arial" w:cs="Arial" w:eastAsia="Arial" w:hAnsi="Arial"/>
                <w:sz w:val="14"/>
                <w:szCs w:val="14"/>
                <w:color w:val="0000EE"/>
              </w:rPr>
            </w:pPr>
            <w:hyperlink w:anchor="page174">
              <w:r>
                <w:rPr>
                  <w:rFonts w:ascii="Arial" w:cs="Arial" w:eastAsia="Arial" w:hAnsi="Arial"/>
                  <w:sz w:val="14"/>
                  <w:szCs w:val="14"/>
                  <w:color w:val="0000EE"/>
                </w:rPr>
                <w:t>E</w:t>
              </w:r>
              <w:r>
                <w:rPr>
                  <w:rFonts w:ascii="Arial" w:cs="Arial" w:eastAsia="Arial" w:hAnsi="Arial"/>
                  <w:sz w:val="11"/>
                  <w:szCs w:val="11"/>
                  <w:color w:val="0000EE"/>
                </w:rPr>
                <w:t>XPERTS</w:t>
              </w:r>
            </w:hyperlink>
          </w:p>
        </w:tc>
        <w:tc>
          <w:tcPr>
            <w:tcW w:w="10000" w:type="dxa"/>
            <w:vAlign w:val="bottom"/>
            <w:gridSpan w:val="20"/>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540" w:type="dxa"/>
            <w:vAlign w:val="bottom"/>
            <w:gridSpan w:val="1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360" w:type="dxa"/>
            <w:vAlign w:val="bottom"/>
            <w:gridSpan w:val="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74">
              <w:r>
                <w:rPr>
                  <w:rFonts w:ascii="Arial" w:cs="Arial" w:eastAsia="Arial" w:hAnsi="Arial"/>
                  <w:sz w:val="14"/>
                  <w:szCs w:val="14"/>
                  <w:color w:val="0000EE"/>
                </w:rPr>
                <w:t>W</w:t>
              </w:r>
              <w:r>
                <w:rPr>
                  <w:rFonts w:ascii="Arial" w:cs="Arial" w:eastAsia="Arial" w:hAnsi="Arial"/>
                  <w:sz w:val="11"/>
                  <w:szCs w:val="11"/>
                  <w:color w:val="0000EE"/>
                </w:rPr>
                <w:t>HERE</w:t>
              </w:r>
              <w:r>
                <w:rPr>
                  <w:rFonts w:ascii="Arial" w:cs="Arial" w:eastAsia="Arial" w:hAnsi="Arial"/>
                  <w:sz w:val="14"/>
                  <w:szCs w:val="14"/>
                  <w:color w:val="0000EE"/>
                </w:rPr>
                <w:t xml:space="preserve"> Y</w:t>
              </w:r>
              <w:r>
                <w:rPr>
                  <w:rFonts w:ascii="Arial" w:cs="Arial" w:eastAsia="Arial" w:hAnsi="Arial"/>
                  <w:sz w:val="11"/>
                  <w:szCs w:val="11"/>
                  <w:color w:val="0000EE"/>
                </w:rPr>
                <w:t>OU</w:t>
              </w:r>
              <w:r>
                <w:rPr>
                  <w:rFonts w:ascii="Arial" w:cs="Arial" w:eastAsia="Arial" w:hAnsi="Arial"/>
                  <w:sz w:val="14"/>
                  <w:szCs w:val="14"/>
                  <w:color w:val="0000EE"/>
                </w:rPr>
                <w:t xml:space="preserve"> C</w:t>
              </w:r>
              <w:r>
                <w:rPr>
                  <w:rFonts w:ascii="Arial" w:cs="Arial" w:eastAsia="Arial" w:hAnsi="Arial"/>
                  <w:sz w:val="11"/>
                  <w:szCs w:val="11"/>
                  <w:color w:val="0000EE"/>
                </w:rPr>
                <w:t>AN</w:t>
              </w:r>
              <w:r>
                <w:rPr>
                  <w:rFonts w:ascii="Arial" w:cs="Arial" w:eastAsia="Arial" w:hAnsi="Arial"/>
                  <w:sz w:val="14"/>
                  <w:szCs w:val="14"/>
                  <w:color w:val="0000EE"/>
                </w:rPr>
                <w:t xml:space="preserve"> F</w:t>
              </w:r>
              <w:r>
                <w:rPr>
                  <w:rFonts w:ascii="Arial" w:cs="Arial" w:eastAsia="Arial" w:hAnsi="Arial"/>
                  <w:sz w:val="11"/>
                  <w:szCs w:val="11"/>
                  <w:color w:val="0000EE"/>
                </w:rPr>
                <w:t>IND</w:t>
              </w:r>
              <w:r>
                <w:rPr>
                  <w:rFonts w:ascii="Arial" w:cs="Arial" w:eastAsia="Arial" w:hAnsi="Arial"/>
                  <w:sz w:val="14"/>
                  <w:szCs w:val="14"/>
                  <w:color w:val="0000EE"/>
                </w:rPr>
                <w:t xml:space="preserve"> M</w:t>
              </w:r>
              <w:r>
                <w:rPr>
                  <w:rFonts w:ascii="Arial" w:cs="Arial" w:eastAsia="Arial" w:hAnsi="Arial"/>
                  <w:sz w:val="11"/>
                  <w:szCs w:val="11"/>
                  <w:color w:val="0000EE"/>
                </w:rPr>
                <w:t>ORE</w:t>
              </w:r>
              <w:r>
                <w:rPr>
                  <w:rFonts w:ascii="Arial" w:cs="Arial" w:eastAsia="Arial" w:hAnsi="Arial"/>
                  <w:sz w:val="14"/>
                  <w:szCs w:val="14"/>
                  <w:color w:val="0000EE"/>
                </w:rPr>
                <w:t xml:space="preserve"> I</w:t>
              </w:r>
              <w:r>
                <w:rPr>
                  <w:rFonts w:ascii="Arial" w:cs="Arial" w:eastAsia="Arial" w:hAnsi="Arial"/>
                  <w:sz w:val="11"/>
                  <w:szCs w:val="11"/>
                  <w:color w:val="0000EE"/>
                </w:rPr>
                <w:t>NFORMATION</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55"/>
        </w:trPr>
        <w:tc>
          <w:tcPr>
            <w:tcW w:w="2060" w:type="dxa"/>
            <w:vAlign w:val="bottom"/>
            <w:tcBorders>
              <w:top w:val="single" w:sz="8" w:color="0000EE"/>
              <w:bottom w:val="single" w:sz="8" w:color="0000EE"/>
            </w:tcBorders>
            <w:gridSpan w:val="14"/>
          </w:tcPr>
          <w:p>
            <w:pPr>
              <w:spacing w:after="0" w:line="155" w:lineRule="exact"/>
              <w:rPr>
                <w:rFonts w:ascii="Arial" w:cs="Arial" w:eastAsia="Arial" w:hAnsi="Arial"/>
                <w:sz w:val="14"/>
                <w:szCs w:val="14"/>
                <w:color w:val="0000EE"/>
              </w:rPr>
            </w:pPr>
            <w:hyperlink w:anchor="page176">
              <w:r>
                <w:rPr>
                  <w:rFonts w:ascii="Arial" w:cs="Arial" w:eastAsia="Arial" w:hAnsi="Arial"/>
                  <w:sz w:val="14"/>
                  <w:szCs w:val="14"/>
                  <w:color w:val="0000EE"/>
                </w:rPr>
                <w:t>I</w:t>
              </w:r>
              <w:r>
                <w:rPr>
                  <w:rFonts w:ascii="Arial" w:cs="Arial" w:eastAsia="Arial" w:hAnsi="Arial"/>
                  <w:sz w:val="11"/>
                  <w:szCs w:val="11"/>
                  <w:color w:val="0000EE"/>
                </w:rPr>
                <w:t>NDEX TO</w:t>
              </w:r>
              <w:r>
                <w:rPr>
                  <w:rFonts w:ascii="Arial" w:cs="Arial" w:eastAsia="Arial" w:hAnsi="Arial"/>
                  <w:sz w:val="14"/>
                  <w:szCs w:val="14"/>
                  <w:color w:val="0000EE"/>
                </w:rPr>
                <w:t xml:space="preserve"> F</w:t>
              </w:r>
              <w:r>
                <w:rPr>
                  <w:rFonts w:ascii="Arial" w:cs="Arial" w:eastAsia="Arial" w:hAnsi="Arial"/>
                  <w:sz w:val="11"/>
                  <w:szCs w:val="11"/>
                  <w:color w:val="0000EE"/>
                </w:rPr>
                <w:t>INANCIAL</w:t>
              </w:r>
              <w:r>
                <w:rPr>
                  <w:rFonts w:ascii="Arial" w:cs="Arial" w:eastAsia="Arial" w:hAnsi="Arial"/>
                  <w:sz w:val="14"/>
                  <w:szCs w:val="14"/>
                  <w:color w:val="0000EE"/>
                </w:rPr>
                <w:t xml:space="preserve"> S</w:t>
              </w:r>
              <w:r>
                <w:rPr>
                  <w:rFonts w:ascii="Arial" w:cs="Arial" w:eastAsia="Arial" w:hAnsi="Arial"/>
                  <w:sz w:val="11"/>
                  <w:szCs w:val="11"/>
                  <w:color w:val="0000EE"/>
                </w:rPr>
                <w:t>TATEMENTS</w:t>
              </w:r>
            </w:hyperlink>
          </w:p>
        </w:tc>
        <w:tc>
          <w:tcPr>
            <w:tcW w:w="580" w:type="dxa"/>
            <w:vAlign w:val="bottom"/>
            <w:tcBorders>
              <w:top w:val="single" w:sz="8" w:color="0000EE"/>
            </w:tcBorders>
            <w:gridSpan w:val="3"/>
          </w:tcPr>
          <w:p>
            <w:pPr>
              <w:spacing w:after="0"/>
              <w:rPr>
                <w:sz w:val="13"/>
                <w:szCs w:val="13"/>
                <w:color w:val="auto"/>
              </w:rPr>
            </w:pPr>
          </w:p>
        </w:tc>
        <w:tc>
          <w:tcPr>
            <w:tcW w:w="8360" w:type="dxa"/>
            <w:vAlign w:val="bottom"/>
            <w:gridSpan w:val="9"/>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146050</wp:posOffset>
            </wp:positionV>
            <wp:extent cx="11106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318" w:lineRule="exact"/>
        <w:rPr>
          <w:sz w:val="20"/>
          <w:szCs w:val="20"/>
          <w:color w:val="auto"/>
        </w:rPr>
      </w:pPr>
    </w:p>
    <w:p>
      <w:pPr>
        <w:ind w:right="500" w:firstLine="458"/>
        <w:spacing w:after="0" w:line="337" w:lineRule="auto"/>
        <w:rPr>
          <w:sz w:val="20"/>
          <w:szCs w:val="20"/>
          <w:color w:val="auto"/>
        </w:rPr>
      </w:pPr>
      <w:r>
        <w:rPr>
          <w:rFonts w:ascii="Arial" w:cs="Arial" w:eastAsia="Arial" w:hAnsi="Arial"/>
          <w:sz w:val="13"/>
          <w:szCs w:val="13"/>
          <w:b w:val="1"/>
          <w:bCs w:val="1"/>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Dealer Prospectus Delivery Obligation</w:t>
      </w:r>
    </w:p>
    <w:p>
      <w:pPr>
        <w:spacing w:after="0" w:line="12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2"/>
          <w:szCs w:val="12"/>
          <w:b w:val="1"/>
          <w:bCs w:val="1"/>
          <w:color w:val="auto"/>
        </w:rPr>
        <w:t>Until</w:t>
      </w:r>
      <w:r>
        <w:rPr>
          <w:sz w:val="20"/>
          <w:szCs w:val="20"/>
          <w:color w:val="auto"/>
        </w:rPr>
        <w:tab/>
      </w:r>
      <w:r>
        <w:rPr>
          <w:rFonts w:ascii="Arial" w:cs="Arial" w:eastAsia="Arial" w:hAnsi="Arial"/>
          <w:sz w:val="12"/>
          <w:szCs w:val="12"/>
          <w:b w:val="1"/>
          <w:bCs w:val="1"/>
          <w:color w:val="auto"/>
        </w:rPr>
        <w:t>, 2007, all dealers that effect transactions in these securities, whether or not participating in this offering, may be required to deliver a prospectus. This is in addition</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dealer’s obligation to deliver a prospectus when acting as an underwriter and with respect to unsold allotments or subscriptions.</w:t>
      </w:r>
    </w:p>
    <w:p>
      <w:pPr>
        <w:spacing w:after="0" w:line="12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60"/>
          </w:cols>
          <w:pgMar w:left="220" w:top="399"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PROSPECTUS SUMMARY</w:t>
      </w:r>
    </w:p>
    <w:p>
      <w:pPr>
        <w:spacing w:after="0" w:line="149" w:lineRule="exact"/>
        <w:rPr>
          <w:sz w:val="20"/>
          <w:szCs w:val="20"/>
          <w:color w:val="auto"/>
        </w:rPr>
      </w:pPr>
    </w:p>
    <w:p>
      <w:pPr>
        <w:jc w:val="both"/>
        <w:ind w:right="40" w:firstLine="458"/>
        <w:spacing w:after="0" w:line="275" w:lineRule="auto"/>
        <w:rPr>
          <w:sz w:val="20"/>
          <w:szCs w:val="20"/>
          <w:color w:val="auto"/>
        </w:rPr>
      </w:pPr>
      <w:r>
        <w:rPr>
          <w:rFonts w:ascii="Arial" w:cs="Arial" w:eastAsia="Arial" w:hAnsi="Arial"/>
          <w:sz w:val="14"/>
          <w:szCs w:val="14"/>
          <w:i w:val="1"/>
          <w:iCs w:val="1"/>
          <w:color w:val="auto"/>
        </w:rPr>
        <w:t>The following summary highlights information contained elsewhere in this prospectus. It is not complete and does not contain all of the information that you should consider before investing in our common stock. You should read the entire prospectus carefully, especially the risks of investing in our common stock discussed under “Risk Factors” and our consolidated financial statements and accompanying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In this prospectus, unless the context otherwise requires:</w:t>
      </w:r>
    </w:p>
    <w:p>
      <w:pPr>
        <w:spacing w:after="0" w:line="79" w:lineRule="exact"/>
        <w:rPr>
          <w:sz w:val="20"/>
          <w:szCs w:val="20"/>
          <w:color w:val="auto"/>
        </w:rPr>
      </w:pPr>
    </w:p>
    <w:p>
      <w:pPr>
        <w:ind w:left="780" w:right="580" w:hanging="240"/>
        <w:spacing w:after="0" w:line="289"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“NCM Inc.,” “we,” “us” or “our” refer to National CineMedia, Inc., a newly-formed Delaware corporation, and its consolidated subsidiary National CineMedia, LLC, and the businesses that NCM LLC will operate upon completion of this offering;</w:t>
      </w:r>
    </w:p>
    <w:p>
      <w:pPr>
        <w:spacing w:after="0" w:line="27" w:lineRule="exact"/>
        <w:rPr>
          <w:rFonts w:ascii="Arial" w:cs="Arial" w:eastAsia="Arial" w:hAnsi="Arial"/>
          <w:sz w:val="14"/>
          <w:szCs w:val="14"/>
          <w:i w:val="1"/>
          <w:iCs w:val="1"/>
          <w:color w:val="auto"/>
        </w:rPr>
      </w:pPr>
    </w:p>
    <w:p>
      <w:pPr>
        <w:ind w:left="780" w:right="20" w:hanging="240"/>
        <w:spacing w:after="0" w:line="289"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“NCM LLC” refers to National CineMedia, LLC, a Delaware limited liability company that is the current operating company for our business, which NCM Inc. will acquire an interest in, and become a member and the sole manager of, upon completion of this offering;</w:t>
      </w:r>
    </w:p>
    <w:p>
      <w:pPr>
        <w:spacing w:after="0" w:line="27" w:lineRule="exact"/>
        <w:rPr>
          <w:rFonts w:ascii="Arial" w:cs="Arial" w:eastAsia="Arial" w:hAnsi="Arial"/>
          <w:sz w:val="14"/>
          <w:szCs w:val="14"/>
          <w:i w:val="1"/>
          <w:iCs w:val="1"/>
          <w:color w:val="auto"/>
        </w:rPr>
      </w:pPr>
    </w:p>
    <w:p>
      <w:pPr>
        <w:ind w:left="780" w:hanging="240"/>
        <w:spacing w:after="0" w:line="275"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“AMC” refers to AMC Entertainment Inc. and its subsidiaries, National Cinema Network, Inc., or “NCN,” which contributed assets used in the operations of NCM LLC and formed NCM LLC in March 2005, and American Multi-Cinema, Inc., which will become party to an amended and restated exhibitor services agreement with NCM LLC upon completion of this offering;</w:t>
      </w:r>
    </w:p>
    <w:p>
      <w:pPr>
        <w:spacing w:after="0" w:line="36" w:lineRule="exact"/>
        <w:rPr>
          <w:rFonts w:ascii="Arial" w:cs="Arial" w:eastAsia="Arial" w:hAnsi="Arial"/>
          <w:sz w:val="14"/>
          <w:szCs w:val="14"/>
          <w:i w:val="1"/>
          <w:iCs w:val="1"/>
          <w:color w:val="auto"/>
        </w:rPr>
      </w:pPr>
    </w:p>
    <w:p>
      <w:pPr>
        <w:ind w:left="780" w:right="100" w:hanging="240"/>
        <w:spacing w:after="0" w:line="289"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“Cinemark” refers to Cinemark Holdings, Inc. and its subsidiaries, Cinemark Media, Inc., which joined NCM LLC in July 2005, and Cinemark USA, Inc., which will become party to an amended and restated exhibitor services agreement with NCM LLC upon completion of this offering; and</w:t>
      </w:r>
    </w:p>
    <w:p>
      <w:pPr>
        <w:spacing w:after="0" w:line="27" w:lineRule="exact"/>
        <w:rPr>
          <w:rFonts w:ascii="Arial" w:cs="Arial" w:eastAsia="Arial" w:hAnsi="Arial"/>
          <w:sz w:val="14"/>
          <w:szCs w:val="14"/>
          <w:i w:val="1"/>
          <w:iCs w:val="1"/>
          <w:color w:val="auto"/>
        </w:rPr>
      </w:pPr>
    </w:p>
    <w:p>
      <w:pPr>
        <w:ind w:left="780" w:right="300" w:hanging="240"/>
        <w:spacing w:after="0" w:line="275"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will become party to an amended and restated exhibitor services agreement with NCM LLC upon completion of this offering.</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National CineMedia, Inc.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83" w:lineRule="exact"/>
        <w:rPr>
          <w:sz w:val="20"/>
          <w:szCs w:val="20"/>
          <w:color w:val="auto"/>
        </w:rPr>
      </w:pPr>
    </w:p>
    <w:p>
      <w:pPr>
        <w:ind w:right="60" w:firstLine="458"/>
        <w:spacing w:after="0" w:line="293" w:lineRule="auto"/>
        <w:rPr>
          <w:sz w:val="20"/>
          <w:szCs w:val="20"/>
          <w:color w:val="auto"/>
        </w:rPr>
      </w:pPr>
      <w:r>
        <w:rPr>
          <w:rFonts w:ascii="Arial" w:cs="Arial" w:eastAsia="Arial" w:hAnsi="Arial"/>
          <w:sz w:val="13"/>
          <w:szCs w:val="13"/>
          <w:color w:val="auto"/>
        </w:rPr>
        <w:t>We operate the largest digital in-theatre network in North America that allows us to distribute advertisements and other content for our advertising, meetings and events businesses utilizing our proprietary digital content network. Upon completion of this offering, we will have long-term exhibitor services agreements with our founding members—AMC, Cinemark and Regal, the three largest motion picture exhibition companies in the U.S.—and multi-year agreements with several other theatre operators whom we refer to as network affiliates. The exhibitor services agreements grant us exclusive rights, subject to limited exceptions, to sell advertising and meeting services and distribute entertainment programming in those theatres. The network affiliate agreements grant us exclusive rights, subject to limited exceptions, to sell advertising on their theatre screens. We currently derive revenue principally from the following activities:</w:t>
      </w:r>
    </w:p>
    <w:p>
      <w:pPr>
        <w:spacing w:after="0" w:line="27" w:lineRule="exact"/>
        <w:rPr>
          <w:sz w:val="20"/>
          <w:szCs w:val="20"/>
          <w:color w:val="auto"/>
        </w:rPr>
      </w:pPr>
    </w:p>
    <w:p>
      <w:pPr>
        <w:ind w:left="780" w:right="200" w:hanging="240"/>
        <w:spacing w:after="0" w:line="289" w:lineRule="auto"/>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b w:val="1"/>
          <w:bCs w:val="1"/>
          <w:i w:val="1"/>
          <w:iCs w:val="1"/>
          <w:color w:val="auto"/>
        </w:rPr>
        <w:t>Advertising</w:t>
      </w:r>
      <w:r>
        <w:rPr>
          <w:rFonts w:ascii="Arial" w:cs="Arial" w:eastAsia="Arial" w:hAnsi="Arial"/>
          <w:sz w:val="14"/>
          <w:szCs w:val="14"/>
          <w:color w:val="auto"/>
        </w:rPr>
        <w:t>: We develop, produce, sell and distribute a branded, pre-feature entertainment and advertising program called “</w:t>
      </w:r>
      <w:r>
        <w:rPr>
          <w:rFonts w:ascii="Arial" w:cs="Arial" w:eastAsia="Arial" w:hAnsi="Arial"/>
          <w:sz w:val="14"/>
          <w:szCs w:val="14"/>
          <w:i w:val="1"/>
          <w:iCs w:val="1"/>
          <w:color w:val="auto"/>
        </w:rPr>
        <w:t>FirstLook</w:t>
      </w:r>
      <w:r>
        <w:rPr>
          <w:rFonts w:ascii="Arial" w:cs="Arial" w:eastAsia="Arial" w:hAnsi="Arial"/>
          <w:sz w:val="14"/>
          <w:szCs w:val="14"/>
          <w:color w:val="auto"/>
        </w:rPr>
        <w:t>,” along with an advertising program for our lobby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entertainment network and various marketing and promotional products in theatre lobbies;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b w:val="1"/>
          <w:bCs w:val="1"/>
          <w:i w:val="1"/>
          <w:iCs w:val="1"/>
          <w:color w:val="auto"/>
        </w:rPr>
        <w:t>CineMeetings</w:t>
      </w:r>
      <w:r>
        <w:rPr>
          <w:rFonts w:ascii="Arial" w:cs="Arial" w:eastAsia="Arial" w:hAnsi="Arial"/>
          <w:sz w:val="14"/>
          <w:szCs w:val="14"/>
          <w:color w:val="auto"/>
        </w:rPr>
        <w:t>: We facilitate live and pre-recorded networked and single-site meetings and corporate events in the movie theatres throughout our network;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b w:val="1"/>
          <w:bCs w:val="1"/>
          <w:i w:val="1"/>
          <w:iCs w:val="1"/>
          <w:color w:val="auto"/>
        </w:rPr>
        <w:t>Digital Programming Events</w:t>
      </w:r>
      <w:r>
        <w:rPr>
          <w:rFonts w:ascii="Arial" w:cs="Arial" w:eastAsia="Arial" w:hAnsi="Arial"/>
          <w:sz w:val="13"/>
          <w:szCs w:val="13"/>
          <w:color w:val="auto"/>
        </w:rPr>
        <w:t>: We distribute live and pre-recorded concerts, sporting events and other entertainment programming content to theatres across our digital network.</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40"/>
          </w:cols>
          <w:pgMar w:left="220" w:top="399" w:right="23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firstLine="458"/>
        <w:spacing w:after="0" w:line="285" w:lineRule="auto"/>
        <w:rPr>
          <w:sz w:val="20"/>
          <w:szCs w:val="20"/>
          <w:color w:val="auto"/>
        </w:rPr>
      </w:pPr>
      <w:r>
        <w:rPr>
          <w:rFonts w:ascii="Arial" w:cs="Arial" w:eastAsia="Arial" w:hAnsi="Arial"/>
          <w:sz w:val="12"/>
          <w:szCs w:val="12"/>
          <w:color w:val="auto"/>
        </w:rPr>
        <w:t>We believe that the reach, scope and digital delivery capability of our network provide an effective platform for national, regional and local advertisers to reach a young, affluent and engaged audience on a highly targeted and measurable basis. Our network is currently located in 46 states and the District of Columbia and covers all of the top 25, as well as 49 of the top 50, Designated Market Areas</w:t>
      </w:r>
      <w:r>
        <w:rPr>
          <w:rFonts w:ascii="Arial" w:cs="Arial" w:eastAsia="Arial" w:hAnsi="Arial"/>
          <w:sz w:val="15"/>
          <w:szCs w:val="15"/>
          <w:color w:val="auto"/>
          <w:vertAlign w:val="superscript"/>
        </w:rPr>
        <w:t>®</w:t>
      </w:r>
      <w:r>
        <w:rPr>
          <w:rFonts w:ascii="Arial" w:cs="Arial" w:eastAsia="Arial" w:hAnsi="Arial"/>
          <w:sz w:val="12"/>
          <w:szCs w:val="12"/>
          <w:color w:val="auto"/>
        </w:rPr>
        <w:t>, or DMAs</w:t>
      </w:r>
      <w:r>
        <w:rPr>
          <w:rFonts w:ascii="Arial" w:cs="Arial" w:eastAsia="Arial" w:hAnsi="Arial"/>
          <w:sz w:val="15"/>
          <w:szCs w:val="15"/>
          <w:color w:val="auto"/>
          <w:vertAlign w:val="superscript"/>
        </w:rPr>
        <w:t>®</w:t>
      </w:r>
      <w:r>
        <w:rPr>
          <w:rFonts w:ascii="Arial" w:cs="Arial" w:eastAsia="Arial" w:hAnsi="Arial"/>
          <w:sz w:val="12"/>
          <w:szCs w:val="12"/>
          <w:color w:val="auto"/>
        </w:rPr>
        <w:t>, and 149 DMAs</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total. DMA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registered trademark of </w:t>
      </w:r>
      <w:r>
        <w:rPr>
          <w:rFonts w:ascii="Arial" w:cs="Arial" w:eastAsia="Arial" w:hAnsi="Arial"/>
          <w:sz w:val="12"/>
          <w:szCs w:val="12"/>
          <w:i w:val="1"/>
          <w:iCs w:val="1"/>
          <w:color w:val="auto"/>
        </w:rPr>
        <w:t>Nielsen Media Research, Inc</w:t>
      </w:r>
      <w:r>
        <w:rPr>
          <w:rFonts w:ascii="Arial" w:cs="Arial" w:eastAsia="Arial" w:hAnsi="Arial"/>
          <w:sz w:val="12"/>
          <w:szCs w:val="12"/>
          <w:color w:val="auto"/>
        </w:rPr>
        <w:t>. During 2005, approximately 500 million patrons, representing 36% of the total U.S. theatre attendance, attended movies shown in theatres owned by our founding members. As of September 28, 2006, we had a total of 12,973 screens in our network, as set forth in the table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Network*</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51435</wp:posOffset>
            </wp:positionV>
            <wp:extent cx="61067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6795" cy="6985"/>
                    </a:xfrm>
                    <a:prstGeom prst="rect">
                      <a:avLst/>
                    </a:prstGeom>
                    <a:noFill/>
                  </pic:spPr>
                </pic:pic>
              </a:graphicData>
            </a:graphic>
          </wp:anchor>
        </w:drawing>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640" w:type="dxa"/>
            <w:vAlign w:val="bottom"/>
          </w:tcPr>
          <w:p>
            <w:pPr>
              <w:jc w:val="right"/>
              <w:ind w:right="53"/>
              <w:spacing w:after="0"/>
              <w:rPr>
                <w:sz w:val="20"/>
                <w:szCs w:val="20"/>
                <w:color w:val="auto"/>
              </w:rPr>
            </w:pPr>
            <w:r>
              <w:rPr>
                <w:rFonts w:ascii="Arial" w:cs="Arial" w:eastAsia="Arial" w:hAnsi="Arial"/>
                <w:sz w:val="11"/>
                <w:szCs w:val="11"/>
                <w:b w:val="1"/>
                <w:bCs w:val="1"/>
                <w:color w:val="auto"/>
              </w:rPr>
              <w:t>Theatres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Screens</w:t>
            </w:r>
          </w:p>
        </w:tc>
      </w:tr>
      <w:tr>
        <w:trPr>
          <w:trHeight w:val="111"/>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ind w:right="74"/>
              <w:spacing w:after="0" w:line="111" w:lineRule="exact"/>
              <w:rPr>
                <w:sz w:val="20"/>
                <w:szCs w:val="20"/>
                <w:color w:val="auto"/>
              </w:rPr>
            </w:pPr>
            <w:r>
              <w:rPr>
                <w:rFonts w:ascii="Arial" w:cs="Arial" w:eastAsia="Arial" w:hAnsi="Arial"/>
                <w:sz w:val="11"/>
                <w:szCs w:val="11"/>
                <w:b w:val="1"/>
                <w:bCs w:val="1"/>
                <w:color w:val="auto"/>
              </w:rPr>
              <w:t>Digital</w:t>
            </w: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14"/>
              <w:spacing w:after="0" w:line="111" w:lineRule="exact"/>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9"/>
                <w:szCs w:val="9"/>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Founding Members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12,039</w:t>
            </w:r>
          </w:p>
        </w:tc>
        <w:tc>
          <w:tcPr>
            <w:tcW w:w="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Network Affiliates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3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3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3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11,077</w:t>
            </w:r>
          </w:p>
        </w:tc>
        <w:tc>
          <w:tcPr>
            <w:tcW w:w="3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12,973</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132080</wp:posOffset>
            </wp:positionV>
            <wp:extent cx="61067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06795" cy="6985"/>
                    </a:xfrm>
                    <a:prstGeom prst="rect">
                      <a:avLst/>
                    </a:prstGeom>
                    <a:noFill/>
                  </pic:spPr>
                </pic:pic>
              </a:graphicData>
            </a:graphic>
          </wp:anchor>
        </w:drawing>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 Excludes Loews Cineplex Entertainment Inc. and Century Theatres, Inc.</w:t>
      </w:r>
    </w:p>
    <w:p>
      <w:pPr>
        <w:spacing w:after="0" w:line="145" w:lineRule="exact"/>
        <w:rPr>
          <w:sz w:val="20"/>
          <w:szCs w:val="20"/>
          <w:color w:val="auto"/>
        </w:rPr>
      </w:pPr>
    </w:p>
    <w:p>
      <w:pPr>
        <w:jc w:val="both"/>
        <w:ind w:right="80" w:firstLine="458"/>
        <w:spacing w:after="0" w:line="275" w:lineRule="auto"/>
        <w:rPr>
          <w:sz w:val="20"/>
          <w:szCs w:val="20"/>
          <w:color w:val="auto"/>
        </w:rPr>
      </w:pPr>
      <w:r>
        <w:rPr>
          <w:rFonts w:ascii="Arial" w:cs="Arial" w:eastAsia="Arial" w:hAnsi="Arial"/>
          <w:sz w:val="14"/>
          <w:szCs w:val="14"/>
          <w:color w:val="auto"/>
        </w:rPr>
        <w:t>On January 26, 2006, AMC acquired the Loews theatre circuit. As of September 28, 2006, Loews operated approximately 107 theatres with 1,275 screens. The Loews screens will become part of our network on an exclusive basis beginning on June 1, 2008, subject to the run-out of certain pre-existing contractual obligations for on-screen advertising existing on May 31, 2008. During 2005, approximately 66.5 million movie patrons attended Loews’ theatres in the United States.</w:t>
      </w:r>
    </w:p>
    <w:p>
      <w:pPr>
        <w:spacing w:after="0" w:line="102"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On October 5, 2006, Cinemark acquired the Century theatre circuit. As of that date, Century operated 77 theatres with 1,017 screens. The Century screens were added to our network on an exclusive basis, subject to limited exceptions, in November 2006. During Century’s fiscal year ended September 28, 2006, approximately 49.6 million movie patrons attended Century’s theatres in the United States.</w:t>
      </w:r>
    </w:p>
    <w:p>
      <w:pPr>
        <w:spacing w:after="0" w:line="102"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 xml:space="preserve">Our on-screen digital pre-feature show consists of a national and regional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which is preceded by a local advertising presentation. The pre-feature show includes entertainment content segments commingled with advertisements and ends at or about the advertised movie show time when the film trailers begin. Our lobby entertainment network includes television and high-definition plasma screens strategically located throughout the lobbies of most of our digitally equipped theatres. As of September 28, 2006, we had 1,722 lobby screens in 670 theatres deployed across our network. In addition to the lobby entertainment network, we provide a wide variety of advertising and promotional products in our theatre lobbies such as posters, standees, product displays or sampling opportunities, and box office coupons or flyer handouts. These products can be sold individually or bundled with on-screen or lobby entertainment network advertisements. For the nine-month period ended September 28, 2006, advertising accounted for 93.3% of our total pro forma revenue.</w:t>
      </w:r>
    </w:p>
    <w:p>
      <w:pPr>
        <w:spacing w:after="0" w:line="110"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Our entertainment content segments are provided under multi-year contractual arrangements with leading media companies that we refer to as content partners. Our content partners currently include Discovery Communications, NBC Universal, Sony Pictures Entertainment, Turner Broadcasting System and Universal City Studios. Under the terms of these contracts, our content partners make available to us original content segments and make long-term commitments to buy a portion of our available advertising inventory. These multi-year contracts represented 19.9% of our pro forma total revenue for the nine months ended September 28, 2006.</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399" w:right="21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20" w:firstLine="458"/>
        <w:spacing w:after="0" w:line="270" w:lineRule="auto"/>
        <w:rPr>
          <w:sz w:val="20"/>
          <w:szCs w:val="20"/>
          <w:color w:val="auto"/>
        </w:rPr>
      </w:pPr>
      <w:r>
        <w:rPr>
          <w:rFonts w:ascii="Arial" w:cs="Arial" w:eastAsia="Arial" w:hAnsi="Arial"/>
          <w:sz w:val="14"/>
          <w:szCs w:val="14"/>
          <w:color w:val="auto"/>
        </w:rPr>
        <w:t>Our CineMeetings business facilitates live and pre-recorded networked and single-site meetings and corporate events in movie theatres. Event content can be broadcast over our digital network live or prior to the event for multi-site or single-site meetings. By bundling meetings or events with the screening of a feature film, sometimes before the film opens to the general public, our “Meeting and a Movie” product represents a significant point of differentiation between us and other meeting venues such as hotels. For the nine months ended September 28, 2006, CineMeetings accounted for 5.1% of our total pro forma revenue.</w:t>
      </w:r>
    </w:p>
    <w:p>
      <w:pPr>
        <w:spacing w:after="0" w:line="106" w:lineRule="exact"/>
        <w:rPr>
          <w:sz w:val="20"/>
          <w:szCs w:val="20"/>
          <w:color w:val="auto"/>
        </w:rPr>
      </w:pPr>
    </w:p>
    <w:p>
      <w:pPr>
        <w:jc w:val="both"/>
        <w:ind w:right="260" w:firstLine="458"/>
        <w:spacing w:after="0" w:line="305" w:lineRule="auto"/>
        <w:rPr>
          <w:sz w:val="20"/>
          <w:szCs w:val="20"/>
          <w:color w:val="auto"/>
        </w:rPr>
      </w:pPr>
      <w:r>
        <w:rPr>
          <w:rFonts w:ascii="Arial" w:cs="Arial" w:eastAsia="Arial" w:hAnsi="Arial"/>
          <w:sz w:val="13"/>
          <w:szCs w:val="13"/>
          <w:color w:val="auto"/>
        </w:rPr>
        <w:t>Our digital programming events business focuses on the licensing and distribution of live and pre-recorded entertainment programming content and the sale of associated sponsorships. Our digital programming events include live and pre-recorded concerts and music events, DVD product releases, marketing events, theatrical premieres, Broadway plays, live sporting events and other special events. For the nine-month period ended September 28, 2006, digital programming events accounted for 1.6% of our total pro forma revenue.</w:t>
      </w:r>
    </w:p>
    <w:p>
      <w:pPr>
        <w:spacing w:after="0" w:line="86"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During the three and nine months ended September 28, 2006, we generated pro forma revenue, operating income and adjusted EBITDA of $73.9 million, $38.9 million and $41.5 million; and $188.1 million, $84.9 million and $92.8 million, respectively. See the notes to “Selected Historical Financial and Operating Data” for a discussion of the calculation of adjusted EBITDA. For additional financial information about our business, including factors which affect comparability of our financial results across periods, see “Management’s Discussion and Analysis of Financial Condition and Results of Operations,” “Unaudited Pro Forma Financial Information” and NCM LLC’s historical financial statements and related notes included elsewhere in this prospectus. Our historical operating and pro forma results for these periods do not include payments that will be made by AMC to us pursuant to the Loews screen integration agreement as such payments will be recorded directly to our equity account for accounting purposes. See “Management’s Discussion and Analysis of Financial Condition and Results of Operations—Our Company Following the Completion of this Offering— Loews Payments.”</w:t>
      </w:r>
    </w:p>
    <w:p>
      <w:pPr>
        <w:spacing w:after="0" w:line="111" w:lineRule="exact"/>
        <w:rPr>
          <w:sz w:val="20"/>
          <w:szCs w:val="20"/>
          <w:color w:val="auto"/>
        </w:rPr>
      </w:pPr>
    </w:p>
    <w:p>
      <w:pPr>
        <w:ind w:right="180" w:firstLine="458"/>
        <w:spacing w:after="0" w:line="293" w:lineRule="auto"/>
        <w:rPr>
          <w:sz w:val="20"/>
          <w:szCs w:val="20"/>
          <w:color w:val="auto"/>
        </w:rPr>
      </w:pPr>
      <w:r>
        <w:rPr>
          <w:rFonts w:ascii="Arial" w:cs="Arial" w:eastAsia="Arial" w:hAnsi="Arial"/>
          <w:sz w:val="13"/>
          <w:szCs w:val="13"/>
          <w:color w:val="auto"/>
        </w:rPr>
        <w:t>Our business is dependent on our success in implementing and producing revenue from the business activities governed by our exhibitor services agreements and our agreements with our network affiliates, and the operating success of the founding members and our network affiliates. If one of the exhibitor services agreements were terminated, we would not be able to provide our services in theatres covered by that agreement and our revenue would likely decline. In addition, the exhibitor services agreements and other agreements were negotiated with the founding members and may contain terms that are different than comparable agreements negotiated with unaffiliated third parties. Also, our revenue may be affected by box office attendance, which declined in each of 2003, 2004 and 2005, although it increased in the first nine months of 2006 over the first nine months of 2005.</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Overview</w:t>
      </w:r>
    </w:p>
    <w:p>
      <w:pPr>
        <w:spacing w:after="0" w:line="83"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 xml:space="preserve">According to </w:t>
      </w:r>
      <w:r>
        <w:rPr>
          <w:rFonts w:ascii="Arial" w:cs="Arial" w:eastAsia="Arial" w:hAnsi="Arial"/>
          <w:sz w:val="14"/>
          <w:szCs w:val="14"/>
          <w:i w:val="1"/>
          <w:iCs w:val="1"/>
          <w:color w:val="auto"/>
        </w:rPr>
        <w:t>Kagan Research</w:t>
      </w:r>
      <w:r>
        <w:rPr>
          <w:rFonts w:ascii="Arial" w:cs="Arial" w:eastAsia="Arial" w:hAnsi="Arial"/>
          <w:sz w:val="14"/>
          <w:szCs w:val="14"/>
          <w:color w:val="auto"/>
        </w:rPr>
        <w:t xml:space="preserve">, advertising spending in the United States has grown at a compound annual growth rate, or CAGR, of 4.8% since 1996, to $240 billion in 2005. From 2001 to 2005, Internet and cinema advertising grew at a CAGR of 13.2% and 26.0%, respectively, while more traditional media platforms such as broadcast television, radio, magazines and newspapers grew slower than the overall advertising market. Today, cinema advertising accounts for a small but growing portion of the U.S. advertising market. According to </w:t>
      </w:r>
      <w:r>
        <w:rPr>
          <w:rFonts w:ascii="Arial" w:cs="Arial" w:eastAsia="Arial" w:hAnsi="Arial"/>
          <w:sz w:val="14"/>
          <w:szCs w:val="14"/>
          <w:i w:val="1"/>
          <w:iCs w:val="1"/>
          <w:color w:val="auto"/>
        </w:rPr>
        <w:t>Kagan Research</w:t>
      </w:r>
      <w:r>
        <w:rPr>
          <w:rFonts w:ascii="Arial" w:cs="Arial" w:eastAsia="Arial" w:hAnsi="Arial"/>
          <w:sz w:val="14"/>
          <w:szCs w:val="14"/>
          <w:color w:val="auto"/>
        </w:rPr>
        <w:t>, cinema advertising revenue grew to $514 million in 2005, a 17.4% increase over 2004.</w:t>
      </w:r>
    </w:p>
    <w:p>
      <w:pPr>
        <w:spacing w:after="0" w:line="106"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Historically, cinema advertising in the U.S. has been a low-quality medium consisting of slide advertisements delivered by 35 mm projectors and repurposed national television advertisements played on 35 mm film. The 35 mm medium was expensive, required long distribution lead times to make 35 mm film prints, and provided advertisers very little flexibility to target specific audiences or geographic regions, or to change advertising messages once a campaign was launched. Due to the lack of scale amongst cinema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20" w:top="399" w:right="2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20"/>
        <w:spacing w:after="0" w:line="289" w:lineRule="auto"/>
        <w:rPr>
          <w:sz w:val="20"/>
          <w:szCs w:val="20"/>
          <w:color w:val="auto"/>
        </w:rPr>
      </w:pPr>
      <w:r>
        <w:rPr>
          <w:rFonts w:ascii="Arial" w:cs="Arial" w:eastAsia="Arial" w:hAnsi="Arial"/>
          <w:sz w:val="14"/>
          <w:szCs w:val="14"/>
          <w:color w:val="auto"/>
        </w:rPr>
        <w:t>advertising businesses, advertisers were unable to purchase national coverage from any one operator, with consistent delivery and pricing metrics. Further, cinema advertising was not measured by a nationally recognized media measurement service, and therefore was not considered by many national advertisers.</w:t>
      </w:r>
    </w:p>
    <w:p>
      <w:pPr>
        <w:spacing w:after="0" w:line="93"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 xml:space="preserve">Over the past few years, cinema advertising in the U.S. has undergone significant changes as companies providing nationwide coverage have emerged. Some companies have deployed digital networks and fostered the development of higher quality pre-feature shows that commingle advertising and entertainment programming. The growth of cinema advertising has been further supported by the establishment of third-party market research on the medium from firms such as </w:t>
      </w:r>
      <w:r>
        <w:rPr>
          <w:rFonts w:ascii="Arial" w:cs="Arial" w:eastAsia="Arial" w:hAnsi="Arial"/>
          <w:sz w:val="13"/>
          <w:szCs w:val="13"/>
          <w:i w:val="1"/>
          <w:iCs w:val="1"/>
          <w:color w:val="auto"/>
        </w:rPr>
        <w:t>Nielsen Media Research</w:t>
      </w:r>
      <w:r>
        <w:rPr>
          <w:rFonts w:ascii="Arial" w:cs="Arial" w:eastAsia="Arial" w:hAnsi="Arial"/>
          <w:sz w:val="13"/>
          <w:szCs w:val="13"/>
          <w:color w:val="auto"/>
        </w:rPr>
        <w:t xml:space="preserve"> and </w:t>
      </w:r>
      <w:r>
        <w:rPr>
          <w:rFonts w:ascii="Arial" w:cs="Arial" w:eastAsia="Arial" w:hAnsi="Arial"/>
          <w:sz w:val="13"/>
          <w:szCs w:val="13"/>
          <w:i w:val="1"/>
          <w:iCs w:val="1"/>
          <w:color w:val="auto"/>
        </w:rPr>
        <w:t>Arbitron</w:t>
      </w:r>
      <w:r>
        <w:rPr>
          <w:rFonts w:ascii="Arial" w:cs="Arial" w:eastAsia="Arial" w:hAnsi="Arial"/>
          <w:sz w:val="13"/>
          <w:szCs w:val="13"/>
          <w:color w:val="auto"/>
        </w:rPr>
        <w:t>. With recall rates that are five to six times better than those of television advertising, according to industry studies, and the targeted nature of this medium, advertisers can achieve their desired marketing results by more effectively reaching their chosen consumer segments while still achieving broad national reach. For these reasons, we believe that cinema advertising results in a better value proposition than traditional mass media platforms.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our key competitive strengths include:</w:t>
      </w:r>
    </w:p>
    <w:p>
      <w:pPr>
        <w:spacing w:after="0" w:line="79" w:lineRule="exact"/>
        <w:rPr>
          <w:sz w:val="20"/>
          <w:szCs w:val="20"/>
          <w:color w:val="auto"/>
        </w:rPr>
      </w:pPr>
    </w:p>
    <w:p>
      <w:pPr>
        <w:ind w:right="400" w:firstLine="458"/>
        <w:spacing w:after="0" w:line="305" w:lineRule="auto"/>
        <w:rPr>
          <w:sz w:val="20"/>
          <w:szCs w:val="20"/>
          <w:color w:val="auto"/>
        </w:rPr>
      </w:pPr>
      <w:r>
        <w:rPr>
          <w:rFonts w:ascii="Arial" w:cs="Arial" w:eastAsia="Arial" w:hAnsi="Arial"/>
          <w:sz w:val="13"/>
          <w:szCs w:val="13"/>
          <w:b w:val="1"/>
          <w:bCs w:val="1"/>
          <w:i w:val="1"/>
          <w:iCs w:val="1"/>
          <w:color w:val="auto"/>
        </w:rPr>
        <w:t xml:space="preserve">Superior, Targeted National Advertising Network. </w:t>
      </w:r>
      <w:r>
        <w:rPr>
          <w:rFonts w:ascii="Arial" w:cs="Arial" w:eastAsia="Arial" w:hAnsi="Arial"/>
          <w:sz w:val="13"/>
          <w:szCs w:val="13"/>
          <w:color w:val="auto"/>
        </w:rPr>
        <w:t>We believe our ability to deliver marketing messages in theatre auditoriums to young, affluent and engaged audiences using our digital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content network provides measurable results, yielding a superior return on investment for advertisers as compared to many traditional media platforms. Our digital network technology gives us flexibility in distributing content to our entire audience, specific theatres, geographic regions, or demographic groups based on film or film rating category.</w:t>
      </w:r>
    </w:p>
    <w:p>
      <w:pPr>
        <w:spacing w:after="0" w:line="86"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b w:val="1"/>
          <w:bCs w:val="1"/>
          <w:i w:val="1"/>
          <w:iCs w:val="1"/>
          <w:color w:val="auto"/>
        </w:rPr>
        <w:t xml:space="preserve">Innovative, Branded Digital Pre-Feature Content. </w:t>
      </w:r>
      <w:r>
        <w:rPr>
          <w:rFonts w:ascii="Arial" w:cs="Arial" w:eastAsia="Arial" w:hAnsi="Arial"/>
          <w:sz w:val="14"/>
          <w:szCs w:val="14"/>
          <w:color w:val="auto"/>
        </w:rPr>
        <w:t>We believe that our digital entertainment and advertising pre-feature program,</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FirstLook</w:t>
      </w:r>
      <w:r>
        <w:rPr>
          <w:rFonts w:ascii="Arial" w:cs="Arial" w:eastAsia="Arial" w:hAnsi="Arial"/>
          <w:sz w:val="14"/>
          <w:szCs w:val="14"/>
          <w:color w:val="auto"/>
        </w:rPr>
        <w:t>, provides a high-quality entertainment experience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patrons and an effective marketing platform for advertisers.</w:t>
      </w:r>
    </w:p>
    <w:p>
      <w:pPr>
        <w:spacing w:after="0" w:line="9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b w:val="1"/>
          <w:bCs w:val="1"/>
          <w:i w:val="1"/>
          <w:iCs w:val="1"/>
          <w:color w:val="auto"/>
        </w:rPr>
        <w:t xml:space="preserve">Integrated Marketing Products. </w:t>
      </w:r>
      <w:r>
        <w:rPr>
          <w:rFonts w:ascii="Arial" w:cs="Arial" w:eastAsia="Arial" w:hAnsi="Arial"/>
          <w:sz w:val="14"/>
          <w:szCs w:val="14"/>
          <w:color w:val="auto"/>
        </w:rPr>
        <w:t>By bundling on-screen advertising with our in-lobby marketing programs, we believe our advertisers can extend the exposure for their brands and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create an interactive “relationship” with the consumer that is not available with broadcast television or traditional display advertising.</w:t>
      </w:r>
    </w:p>
    <w:p>
      <w:pPr>
        <w:spacing w:after="0" w:line="93" w:lineRule="exact"/>
        <w:rPr>
          <w:sz w:val="20"/>
          <w:szCs w:val="20"/>
          <w:color w:val="auto"/>
        </w:rPr>
      </w:pPr>
    </w:p>
    <w:p>
      <w:pPr>
        <w:ind w:right="360" w:firstLine="458"/>
        <w:spacing w:after="0" w:line="330" w:lineRule="auto"/>
        <w:rPr>
          <w:sz w:val="20"/>
          <w:szCs w:val="20"/>
          <w:color w:val="auto"/>
        </w:rPr>
      </w:pPr>
      <w:r>
        <w:rPr>
          <w:rFonts w:ascii="Arial" w:cs="Arial" w:eastAsia="Arial" w:hAnsi="Arial"/>
          <w:sz w:val="13"/>
          <w:szCs w:val="13"/>
          <w:b w:val="1"/>
          <w:bCs w:val="1"/>
          <w:i w:val="1"/>
          <w:iCs w:val="1"/>
          <w:color w:val="auto"/>
        </w:rPr>
        <w:t xml:space="preserve">Scalable, State-of-the-Art Content Distribution Technology. </w:t>
      </w:r>
      <w:r>
        <w:rPr>
          <w:rFonts w:ascii="Arial" w:cs="Arial" w:eastAsia="Arial" w:hAnsi="Arial"/>
          <w:sz w:val="13"/>
          <w:szCs w:val="13"/>
          <w:color w:val="auto"/>
        </w:rPr>
        <w:t>Our technology provides the ability to electronically change advertisements from our network operations center as needed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advertising clients, which shortens lead times, provides increased flexibility to change messages or target specific audiences, and significantly reduces distribution costs.</w:t>
      </w:r>
    </w:p>
    <w:p>
      <w:pPr>
        <w:spacing w:after="0" w:line="70"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b w:val="1"/>
          <w:bCs w:val="1"/>
          <w:i w:val="1"/>
          <w:iCs w:val="1"/>
          <w:color w:val="auto"/>
        </w:rPr>
        <w:t xml:space="preserve">Strong Operating Margins with Limited Capital Requirements. </w:t>
      </w:r>
      <w:r>
        <w:rPr>
          <w:rFonts w:ascii="Arial" w:cs="Arial" w:eastAsia="Arial" w:hAnsi="Arial"/>
          <w:sz w:val="14"/>
          <w:szCs w:val="14"/>
          <w:color w:val="auto"/>
        </w:rPr>
        <w:t>A significant portion of our advertising inventory is covered by multi-year contracts. Due to the agreements with our founding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members and the scalable nature of our business model, we do not expect to make major capital investments to grow our operations as our network of theatres expands. The combination of the presale of a significant portion of our advertising inventory, our strong operating margins and our limited capital expenditures has allowed us to generate significant net income before distributions to our founding members.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 xml:space="preserve">Experienced Management Team. </w:t>
      </w:r>
      <w:r>
        <w:rPr>
          <w:rFonts w:ascii="Arial" w:cs="Arial" w:eastAsia="Arial" w:hAnsi="Arial"/>
          <w:sz w:val="12"/>
          <w:szCs w:val="12"/>
          <w:color w:val="auto"/>
        </w:rPr>
        <w:t>Our management team has significant experience in advertising sales and marketing, theatre operations, digital network design and operations, and finance.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The majority of our senior management team was assembled during the formation of RCM, our predecessor company, in early 2002.</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399" w:right="21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primary strategic initiatives are to:</w:t>
      </w:r>
    </w:p>
    <w:p>
      <w:pPr>
        <w:spacing w:after="0" w:line="79" w:lineRule="exact"/>
        <w:rPr>
          <w:sz w:val="20"/>
          <w:szCs w:val="20"/>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enhance inventory utilization by increasing existing client expenditures and creating new client relationships;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 our national CPM by providing a superior return on investment to our clients and carefully managing available inventory;</w:t>
      </w:r>
    </w:p>
    <w:p>
      <w:pPr>
        <w:spacing w:after="0" w:line="79" w:lineRule="exact"/>
        <w:rPr>
          <w:rFonts w:ascii="Arial" w:cs="Arial" w:eastAsia="Arial" w:hAnsi="Arial"/>
          <w:sz w:val="14"/>
          <w:szCs w:val="14"/>
          <w:color w:val="auto"/>
        </w:rPr>
      </w:pPr>
    </w:p>
    <w:p>
      <w:pPr>
        <w:ind w:left="780" w:right="420" w:hanging="240"/>
        <w:spacing w:after="0" w:line="289" w:lineRule="auto"/>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expand our geographic coverage and reach through the growth in the number of our founding members’ digital theatres and the establishment of network affiliate relationships with additional theatre operators;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provide integrated marketing solutions that create more effective marketing campaigns for our clients;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 market awareness of our CineMeetings business to expand our client base and increase our revenue;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expand our live and pre-recorded digital programming revenue by securing additional high-quality entertainment content;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upgrade our advertising sales and inventory management systems to allow us to more effectively manage our advertising inventory;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develop new marketing and distribution businesses that leverage our sales and marketing and technology infrastructures.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Structure and Reorganization</w:t>
      </w:r>
    </w:p>
    <w:p>
      <w:pPr>
        <w:spacing w:after="0" w:line="83" w:lineRule="exact"/>
        <w:rPr>
          <w:sz w:val="20"/>
          <w:szCs w:val="20"/>
          <w:color w:val="auto"/>
        </w:rPr>
      </w:pPr>
    </w:p>
    <w:p>
      <w:pPr>
        <w:ind w:right="40" w:firstLine="458"/>
        <w:spacing w:after="0" w:line="290" w:lineRule="auto"/>
        <w:rPr>
          <w:sz w:val="20"/>
          <w:szCs w:val="20"/>
          <w:color w:val="auto"/>
        </w:rPr>
      </w:pPr>
      <w:r>
        <w:rPr>
          <w:rFonts w:ascii="Arial" w:cs="Arial" w:eastAsia="Arial" w:hAnsi="Arial"/>
          <w:sz w:val="13"/>
          <w:szCs w:val="13"/>
          <w:color w:val="auto"/>
        </w:rPr>
        <w:t>In connection with the completion of this offering, we will amend and restate NCM LLC’s existing agreements with the founding members, including the exhibitor services agreements and the NCM LLC operating agreement, as described under “Certain Relationships and Related Party Transactions—Transactions with Founding Members.” We will also enter into an amended and restated Loews screen integration agreement with AMC. We will acquire common membership units of NCM LLC using the net proceeds of the offering. NCM LLC will redeem all of its outstanding preferred membership units issued pursuant to a non-cash recapitalization using the proceeds of a term loan entered into in connection with the completion of this offering. Options to acquire our common stock will be substituted for options to acquire common membership units in NCM LLC, and restricted common stock will be issued in substitution for restricted units that will be granted to NCM LLC option holders as “IPO awards.” We refer to these and other transactions described in more detail under “Corporate History and Reorganization” collectively as the reorganization.</w:t>
      </w:r>
    </w:p>
    <w:p>
      <w:pPr>
        <w:spacing w:after="0" w:line="96" w:lineRule="exact"/>
        <w:rPr>
          <w:sz w:val="20"/>
          <w:szCs w:val="20"/>
          <w:color w:val="auto"/>
        </w:rPr>
      </w:pPr>
    </w:p>
    <w:p>
      <w:pPr>
        <w:ind w:firstLine="458"/>
        <w:spacing w:after="0" w:line="229" w:lineRule="auto"/>
        <w:rPr>
          <w:sz w:val="20"/>
          <w:szCs w:val="20"/>
          <w:color w:val="auto"/>
        </w:rPr>
      </w:pPr>
      <w:r>
        <w:rPr>
          <w:rFonts w:ascii="Arial" w:cs="Arial" w:eastAsia="Arial" w:hAnsi="Arial"/>
          <w:sz w:val="14"/>
          <w:szCs w:val="14"/>
          <w:color w:val="auto"/>
        </w:rPr>
        <w:t>We will sell our common stock to the public in this offering. After completion of this offering, we will be a holding company that manages NCM LLC but has no business operations or material assets other than a minority ownership interest of approximately 40.5% of the common membership units in NCM LLC.</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Our founding members will hold the remaining 59.5% of NCM LLC’s common membership units.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Our only source of cash flow from operations will be distributions from NCM LLC pursuant to the NCM LLC operating agreement and management fees pursuant to a management services agreement between us and NCM LLC.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90119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300" w:lineRule="exact"/>
        <w:rPr>
          <w:sz w:val="20"/>
          <w:szCs w:val="20"/>
          <w:color w:val="auto"/>
        </w:rPr>
      </w:pPr>
    </w:p>
    <w:p>
      <w:pPr>
        <w:ind w:left="440" w:right="100" w:hanging="259"/>
        <w:spacing w:after="0"/>
        <w:tabs>
          <w:tab w:leader="none" w:pos="4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ectPr>
          <w:pgSz w:w="11900" w:h="16838" w:orient="portrait"/>
          <w:cols w:equalWidth="0" w:num="1">
            <w:col w:w="11440"/>
          </w:cols>
          <w:pgMar w:left="220" w:top="399" w:right="23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a result of the reorganization and the completion of this offering, our founding members will:</w:t>
      </w:r>
    </w:p>
    <w:p>
      <w:pPr>
        <w:spacing w:after="0" w:line="79" w:lineRule="exact"/>
        <w:rPr>
          <w:sz w:val="20"/>
          <w:szCs w:val="20"/>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receive an aggregate of $686.3 million for their agreeing to modify our payment obligations under the existing exhibitor services agreements;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receive an aggregate of $698.5 million as the redemption price for their preferred membership units in NCM LLC;</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entitled to mandatory quarterly cash distributions from NCM LLC on a pro rata basis with other NCM LLC members;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entitled to receive monthly theatre access fees from NCM LLC, comprised of a payment per theatre attendee and a payment per digital screen;</w:t>
      </w:r>
    </w:p>
    <w:p>
      <w:pPr>
        <w:spacing w:after="0" w:line="79" w:lineRule="exact"/>
        <w:rPr>
          <w:rFonts w:ascii="Arial" w:cs="Arial" w:eastAsia="Arial" w:hAnsi="Arial"/>
          <w:sz w:val="14"/>
          <w:szCs w:val="14"/>
          <w:color w:val="auto"/>
        </w:rPr>
      </w:pPr>
    </w:p>
    <w:p>
      <w:pPr>
        <w:ind w:left="780" w:right="24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receive a long term commitment from NCM LLC for access to advertising inventory to satisfy their beverage concessionaire agreements, pursuant to the terms of the exhibitor services agreements;</w:t>
      </w:r>
    </w:p>
    <w:p>
      <w:pPr>
        <w:spacing w:after="0" w:line="27" w:lineRule="exact"/>
        <w:rPr>
          <w:rFonts w:ascii="Arial" w:cs="Arial" w:eastAsia="Arial" w:hAnsi="Arial"/>
          <w:sz w:val="14"/>
          <w:szCs w:val="14"/>
          <w:color w:val="auto"/>
        </w:rPr>
      </w:pPr>
    </w:p>
    <w:p>
      <w:pPr>
        <w:ind w:left="780" w:right="74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have the right to designate a total of six nominees (three of whom must qualify as independent under Nasdaq rules) to our ten-member board of directors to be voted on by our stockholders, with special approval rights over specified NCM LLC matters if these designees are not nominated or elected to our board;</w:t>
      </w:r>
    </w:p>
    <w:p>
      <w:pPr>
        <w:spacing w:after="0" w:line="27"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able to influence certain corporate decisions of NCM Inc. outside of the day-to-day operations and administration of NCM Inc. due to 90% board approval requirements for specified actions;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permitted to promote specified theatre operations and cross-marketing relationships in their theatres pursuant to the terms of the exhibitor services agreements;</w:t>
      </w:r>
    </w:p>
    <w:p>
      <w:pPr>
        <w:spacing w:after="0" w:line="79" w:lineRule="exact"/>
        <w:rPr>
          <w:rFonts w:ascii="Arial" w:cs="Arial" w:eastAsia="Arial" w:hAnsi="Arial"/>
          <w:sz w:val="14"/>
          <w:szCs w:val="14"/>
          <w:color w:val="auto"/>
        </w:rPr>
      </w:pPr>
    </w:p>
    <w:p>
      <w:pPr>
        <w:ind w:left="780" w:right="8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entitled to receive periodic cash payments representing 90% of the amount of cash savings, if any, in U.S. federal, state and local income or franchise taxes that we realize as a result of the offering and related transactions;</w:t>
      </w:r>
    </w:p>
    <w:p>
      <w:pPr>
        <w:spacing w:after="0" w:line="27"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have the ability to choose to have their NCM LLC common membership units redeemed at any time, although we will decide whether the redemption price will be paid in cash or shares of our common stock;</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have registration rights with respect to any shares of our common stock that they receive upon redemption of their NCM LLC common membership units;</w:t>
      </w:r>
    </w:p>
    <w:p>
      <w:pPr>
        <w:spacing w:after="0" w:line="79" w:lineRule="exact"/>
        <w:rPr>
          <w:rFonts w:ascii="Arial" w:cs="Arial" w:eastAsia="Arial" w:hAnsi="Arial"/>
          <w:sz w:val="14"/>
          <w:szCs w:val="14"/>
          <w:color w:val="auto"/>
        </w:rPr>
      </w:pPr>
    </w:p>
    <w:p>
      <w:pPr>
        <w:ind w:left="780" w:right="22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receive an aggregate of $71.8 million on a pro rata basis for their common membership units in NCM LLC if the underwriters fully exercise their option to purchase up to an additional 4,000,000 shares of our common stock to cover over-allotments; and</w:t>
      </w:r>
    </w:p>
    <w:p>
      <w:pPr>
        <w:spacing w:after="0" w:line="27" w:lineRule="exact"/>
        <w:rPr>
          <w:rFonts w:ascii="Arial" w:cs="Arial" w:eastAsia="Arial" w:hAnsi="Arial"/>
          <w:sz w:val="14"/>
          <w:szCs w:val="14"/>
          <w:color w:val="auto"/>
        </w:rPr>
      </w:pPr>
    </w:p>
    <w:p>
      <w:pPr>
        <w:ind w:left="780" w:right="10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or about 30 days after the completion of this offering, receive all amounts due under their existing exhibitor services agreements (which were $43.8 million as of September 28, 2006), which the Company expects will be substantially offset by receivables from its customers.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Transaction</w:t>
      </w:r>
    </w:p>
    <w:p>
      <w:pPr>
        <w:spacing w:after="0" w:line="83"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In connection with the completion of this offering, NCM LLC will enter into a new $805.0 million senior secured credit facility with a group of lenders that will include affiliates of several of the underwriters. This facility will consist of a six-year, $80.0 million revolving credit facility and an eight-year, $725.0 million term loan facility.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399" w:right="2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Digital Cinema</w:t>
      </w:r>
    </w:p>
    <w:p>
      <w:pPr>
        <w:spacing w:after="0" w:line="83"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On June 28, 2006, we announced the hiring of Travis Reid, former president and chief executive officer of Loews, as a consultant to lead our effort to create a financing model and establish agreements with major motion picture studios for the implementation of digital cinema (distribution of feature films in a digital format rather than a 35 mm format). We also engaged J.P. Morgan Securities Inc. to assist with structuring the financing. After the reorganization, we expect to continue to provide services related to the design, testing and procurement of digital cinema equipment for a fee, pursuant to a digital cinema services agreement to be entered into with an entity to be formed and owned by our founding members. Prior to the completion of the offering, our consulting agreement with Mr. Reid and engagement letter with J.P. Morgan Securities will be assigned to the newly formed entity. Neither NCM Inc. nor any of our subsidiaries will have an ownership interest in this new entity. Future digital cinema developments will be managed by this new entity and are thus subject to the approval of our founding members. Our provision of services to this venture could provide us with several benefits, including additional revenue from the digital cinema services agreement and possibly provide us with the ability to integrate the operational and technological needs of our advertising and digital programming events businesses into the digital cinema systems that may be deployed into theatres, if we and the founding members choose that strategy.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399" w:right="23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Common stock offered by us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Common stock to be outstanding immediately after this offering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right="240" w:hanging="75"/>
        <w:spacing w:after="0" w:line="289" w:lineRule="auto"/>
        <w:rPr>
          <w:sz w:val="20"/>
          <w:szCs w:val="20"/>
          <w:color w:val="auto"/>
        </w:rPr>
      </w:pPr>
      <w:r>
        <w:rPr>
          <w:rFonts w:ascii="Arial" w:cs="Arial" w:eastAsia="Arial" w:hAnsi="Arial"/>
          <w:sz w:val="14"/>
          <w:szCs w:val="14"/>
          <w:color w:val="auto"/>
        </w:rPr>
        <w:t>Common membership units in NCM LLC to be outstanding immediately after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Common stock voting rights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485140</wp:posOffset>
            </wp:positionV>
            <wp:extent cx="190119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-531495</wp:posOffset>
            </wp:positionV>
            <wp:extent cx="729234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38,000,000 shares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38,000,000 shares</w:t>
      </w:r>
      <w:r>
        <w:rPr>
          <w:rFonts w:ascii="Arial" w:cs="Arial" w:eastAsia="Arial" w:hAnsi="Arial"/>
          <w:sz w:val="18"/>
          <w:szCs w:val="18"/>
          <w:color w:val="auto"/>
          <w:vertAlign w:val="superscript"/>
        </w:rPr>
        <w:t>1</w:t>
      </w:r>
    </w:p>
    <w:p>
      <w:pPr>
        <w:spacing w:after="0" w:line="143" w:lineRule="exact"/>
        <w:rPr>
          <w:sz w:val="20"/>
          <w:szCs w:val="20"/>
          <w:color w:val="auto"/>
        </w:rPr>
      </w:pPr>
    </w:p>
    <w:p>
      <w:pPr>
        <w:ind w:right="60"/>
        <w:spacing w:after="0" w:line="322" w:lineRule="auto"/>
        <w:rPr>
          <w:sz w:val="20"/>
          <w:szCs w:val="20"/>
          <w:color w:val="auto"/>
        </w:rPr>
      </w:pPr>
      <w:r>
        <w:rPr>
          <w:rFonts w:ascii="Arial" w:cs="Arial" w:eastAsia="Arial" w:hAnsi="Arial"/>
          <w:sz w:val="12"/>
          <w:szCs w:val="12"/>
          <w:color w:val="auto"/>
        </w:rPr>
        <w:t>We have granted to the underwriters a 30-day option to purchase on a pro rata basis up to 4,000,000 additional shares at the initial public offering price less underwriting discounts and commissions. The option may be exercised only to cover any over-allotments of common stock. If the underwriters exercise their option in full, we will use the net proceeds from the over-allotments to purchase 4,000,000 common membership units in NCM LLC held by our founding members on a pro rata basis at a price per unit equal to the public offering price per share, less underwriting discounts and commissions and offering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93,850,951 common membership units</w:t>
      </w:r>
      <w:r>
        <w:rPr>
          <w:rFonts w:ascii="Arial" w:cs="Arial" w:eastAsia="Arial" w:hAnsi="Arial"/>
          <w:sz w:val="18"/>
          <w:szCs w:val="18"/>
          <w:color w:val="auto"/>
          <w:vertAlign w:val="superscript"/>
        </w:rPr>
        <w:t>1</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Each share of our common stock will entitle its holder to one vote per share.</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Each common membership unit in NCM LLC not owned by us may be redeemed in exchange for, at our option, shares of our common stock on a one-for-one basis or a cash payment equal to the market price of one share of our common stock. If, immediately following this offering, our founding members had all of their membership units in NCM LLC redeemed in exchange for shares of our common stock, they would own an aggregate of approximately 59.5% of all outstanding shares of our common stock (or 55.2% if the underwriters exercised their over-allotment option in full).</w:t>
      </w:r>
      <w:r>
        <w:rPr>
          <w:rFonts w:ascii="Arial" w:cs="Arial" w:eastAsia="Arial" w:hAnsi="Arial"/>
          <w:sz w:val="18"/>
          <w:szCs w:val="18"/>
          <w:color w:val="auto"/>
          <w:vertAlign w:val="superscript"/>
        </w:rPr>
        <w:t>2</w:t>
      </w:r>
    </w:p>
    <w:p>
      <w:pPr>
        <w:spacing w:after="0" w:line="88" w:lineRule="exact"/>
        <w:rPr>
          <w:sz w:val="20"/>
          <w:szCs w:val="20"/>
          <w:color w:val="auto"/>
        </w:rPr>
      </w:pPr>
    </w:p>
    <w:p>
      <w:pPr>
        <w:ind w:right="180"/>
        <w:spacing w:after="0" w:line="270" w:lineRule="auto"/>
        <w:rPr>
          <w:sz w:val="20"/>
          <w:szCs w:val="20"/>
          <w:color w:val="auto"/>
        </w:rPr>
      </w:pPr>
      <w:r>
        <w:rPr>
          <w:rFonts w:ascii="Arial" w:cs="Arial" w:eastAsia="Arial" w:hAnsi="Arial"/>
          <w:sz w:val="14"/>
          <w:szCs w:val="14"/>
          <w:color w:val="auto"/>
        </w:rPr>
        <w:t>Pursuant to the NCM LLC operating agreement, NCM LLC will be required to distribute to common members, on a quarterly basis, all cash that is not required to meet business needs or restricted under the terms of any outstanding indebtedness. We intend to distribute as dividends to our common stockholders a substantial portion of the distributions we receive from NCM LLC. See “Dividend Policy.”</w:t>
      </w:r>
    </w:p>
    <w:p>
      <w:pPr>
        <w:spacing w:after="0" w:line="200" w:lineRule="exact"/>
        <w:rPr>
          <w:sz w:val="20"/>
          <w:szCs w:val="20"/>
          <w:color w:val="auto"/>
        </w:rPr>
      </w:pPr>
    </w:p>
    <w:p>
      <w:pPr>
        <w:sectPr>
          <w:pgSz w:w="11900" w:h="16838" w:orient="portrait"/>
          <w:cols w:equalWidth="0" w:num="2">
            <w:col w:w="3660" w:space="460"/>
            <w:col w:w="7340"/>
          </w:cols>
          <w:pgMar w:left="220" w:top="399" w:right="219" w:bottom="1440" w:gutter="0" w:footer="0" w:header="0"/>
        </w:sectPr>
      </w:pPr>
    </w:p>
    <w:p>
      <w:pPr>
        <w:spacing w:after="0" w:line="92" w:lineRule="exact"/>
        <w:rPr>
          <w:sz w:val="20"/>
          <w:szCs w:val="20"/>
          <w:color w:val="auto"/>
        </w:rPr>
      </w:pPr>
    </w:p>
    <w:p>
      <w:pPr>
        <w:ind w:left="440" w:right="40" w:hanging="259"/>
        <w:spacing w:after="0" w:line="231" w:lineRule="auto"/>
        <w:tabs>
          <w:tab w:leader="none" w:pos="4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Excludes 358,977 shares of unvested restricted stock and 1,790,960 shares underlying unvested stock options that will be granted by NCM Inc., which will result in an increase in the number of common membership units held by NCM Inc. upon vesting or exercise, respectively.</w:t>
      </w:r>
    </w:p>
    <w:p>
      <w:pPr>
        <w:spacing w:after="0" w:line="61" w:lineRule="exact"/>
        <w:rPr>
          <w:sz w:val="20"/>
          <w:szCs w:val="20"/>
          <w:color w:val="auto"/>
        </w:rPr>
      </w:pPr>
    </w:p>
    <w:p>
      <w:pPr>
        <w:ind w:left="440" w:right="300" w:hanging="259"/>
        <w:spacing w:after="0" w:line="231" w:lineRule="auto"/>
        <w:tabs>
          <w:tab w:leader="none" w:pos="4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399" w:right="219" w:bottom="1440" w:gutter="0" w:footer="0" w:header="0"/>
          <w:type w:val="continuous"/>
        </w:sectPr>
      </w:pPr>
    </w:p>
    <w:bookmarkStart w:id="12" w:name="page13"/>
    <w:bookmarkEnd w:id="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20"/>
          </w:cols>
          <w:pgMar w:left="220" w:top="399" w:right="25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20"/>
        <w:spacing w:after="0" w:line="286" w:lineRule="auto"/>
        <w:rPr>
          <w:sz w:val="20"/>
          <w:szCs w:val="20"/>
          <w:color w:val="auto"/>
        </w:rPr>
      </w:pPr>
      <w:r>
        <w:rPr>
          <w:rFonts w:ascii="Arial" w:cs="Arial" w:eastAsia="Arial" w:hAnsi="Arial"/>
          <w:sz w:val="13"/>
          <w:szCs w:val="13"/>
          <w:color w:val="auto"/>
        </w:rPr>
        <w:t>We estimate that we will receive net proceeds of approximately $674.3 million assuming an estimated public offering price of $19.00 per share (the midpoint of the range set forth on the cover page of this prospectus), after deducting estimated underwriting discounts and commissions and estimated offering expenses of $8.0 million. We will use all of the net proceeds to purchase newly issued common membership units in NCM LLC at a price per unit equal to the public offering price per share, less underwriting discounts and commissions and offering expenses. We will purchase a number of common membership units equal to the number of shares of common stock sold in this offering. NCM LLC will pay all of the proceeds it receives from us to our founding members as a portion of the payment owed to them for their agreeing to modify our payment obligations under our exhibitor services agreements. NCM LLC will also pay $12 million to the founding members from its term loan borrowings for this purpose. Several of the underwriters have affiliates who own common stock of one or more of our founding members. See “Use of Proceeds,” “Underwriting” and “Risk Factors—Risks Related to the Offering.”</w:t>
      </w:r>
    </w:p>
    <w:p>
      <w:pPr>
        <w:spacing w:after="0" w:line="142" w:lineRule="exact"/>
        <w:rPr>
          <w:sz w:val="20"/>
          <w:szCs w:val="20"/>
          <w:color w:val="auto"/>
        </w:rPr>
      </w:pPr>
    </w:p>
    <w:p>
      <w:pPr>
        <w:sectPr>
          <w:pgSz w:w="11900" w:h="16838" w:orient="portrait"/>
          <w:cols w:equalWidth="0" w:num="2">
            <w:col w:w="3400" w:space="720"/>
            <w:col w:w="7300"/>
          </w:cols>
          <w:pgMar w:left="220" w:top="399" w:right="259" w:bottom="1440" w:gutter="0" w:footer="0" w:header="0"/>
          <w:type w:val="continuous"/>
        </w:sectPr>
      </w:pPr>
    </w:p>
    <w:p>
      <w:pPr>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ind w:right="420"/>
        <w:spacing w:after="0" w:line="289" w:lineRule="auto"/>
        <w:rPr>
          <w:sz w:val="20"/>
          <w:szCs w:val="20"/>
          <w:color w:val="auto"/>
        </w:rPr>
      </w:pPr>
      <w:r>
        <w:rPr>
          <w:rFonts w:ascii="Arial" w:cs="Arial" w:eastAsia="Arial" w:hAnsi="Arial"/>
          <w:sz w:val="14"/>
          <w:szCs w:val="14"/>
          <w:color w:val="auto"/>
        </w:rPr>
        <w:t>The “Risk Factors” section included in this prospectus contains a discussion of factors that you should carefully read and consider before deciding to invest in shares of our common stock.</w:t>
      </w:r>
    </w:p>
    <w:p>
      <w:pPr>
        <w:spacing w:after="0" w:line="137" w:lineRule="exact"/>
        <w:rPr>
          <w:sz w:val="20"/>
          <w:szCs w:val="20"/>
          <w:color w:val="auto"/>
        </w:rPr>
      </w:pPr>
    </w:p>
    <w:p>
      <w:pPr>
        <w:sectPr>
          <w:pgSz w:w="11900" w:h="16838" w:orient="portrait"/>
          <w:cols w:equalWidth="0" w:num="2">
            <w:col w:w="3400" w:space="720"/>
            <w:col w:w="7300"/>
          </w:cols>
          <w:pgMar w:left="220" w:top="399" w:right="259" w:bottom="1440" w:gutter="0" w:footer="0" w:header="0"/>
          <w:type w:val="continuous"/>
        </w:sectPr>
      </w:pPr>
    </w:p>
    <w:p>
      <w:pPr>
        <w:spacing w:after="0"/>
        <w:rPr>
          <w:sz w:val="20"/>
          <w:szCs w:val="20"/>
          <w:color w:val="auto"/>
        </w:rPr>
      </w:pPr>
      <w:r>
        <w:rPr>
          <w:rFonts w:ascii="Arial" w:cs="Arial" w:eastAsia="Arial" w:hAnsi="Arial"/>
          <w:sz w:val="12"/>
          <w:szCs w:val="12"/>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NCMI</w:t>
      </w:r>
    </w:p>
    <w:p>
      <w:pPr>
        <w:spacing w:after="0" w:line="156" w:lineRule="exact"/>
        <w:rPr>
          <w:sz w:val="20"/>
          <w:szCs w:val="20"/>
          <w:color w:val="auto"/>
        </w:rPr>
      </w:pPr>
    </w:p>
    <w:p>
      <w:pPr>
        <w:sectPr>
          <w:pgSz w:w="11900" w:h="16838" w:orient="portrait"/>
          <w:cols w:equalWidth="0" w:num="2">
            <w:col w:w="3400" w:space="720"/>
            <w:col w:w="7300"/>
          </w:cols>
          <w:pgMar w:left="220" w:top="399" w:right="25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Unless otherwise stated herein, the information in this prospectus assumes that:</w:t>
      </w:r>
    </w:p>
    <w:p>
      <w:pPr>
        <w:spacing w:after="0" w:line="79" w:lineRule="exact"/>
        <w:rPr>
          <w:sz w:val="20"/>
          <w:szCs w:val="20"/>
          <w:color w:val="auto"/>
        </w:rPr>
      </w:pPr>
    </w:p>
    <w:p>
      <w:pPr>
        <w:ind w:left="780" w:hanging="24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44,291-to-1 split of membership units of NCM LLC has occurred;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reorganization was completed in connection with the completion of this offering;</w:t>
      </w:r>
    </w:p>
    <w:p>
      <w:pPr>
        <w:spacing w:after="0" w:line="79"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underwriters have not exercised their option to purchase up to 4,000,000 additional shares of common stock to cover over-allotments of shares. If the underwriters exercise their option in full, immediately following this offering, 42,000,000 shares of common stock will be outstanding;</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initial offering price is $19.00 per share, the midpoint of the range set forth on the cover page of this prospectus; and</w:t>
      </w:r>
    </w:p>
    <w:p>
      <w:pPr>
        <w:spacing w:after="0" w:line="79" w:lineRule="exact"/>
        <w:rPr>
          <w:rFonts w:ascii="Arial" w:cs="Arial" w:eastAsia="Arial" w:hAnsi="Arial"/>
          <w:sz w:val="14"/>
          <w:szCs w:val="14"/>
          <w:color w:val="auto"/>
        </w:rPr>
      </w:pPr>
    </w:p>
    <w:p>
      <w:pPr>
        <w:ind w:left="780" w:right="200" w:hanging="240"/>
        <w:spacing w:after="0" w:line="28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amended and restated certificate of incorporation and amended and restated bylaws were adopted in connection with the completion of this offering, pursuant to which our board of directors will be divided into three classes, and other provisions described under “Description of Capital Stock” will become operative.</w:t>
      </w:r>
    </w:p>
    <w:p>
      <w:pPr>
        <w:spacing w:after="0" w:line="93" w:lineRule="exact"/>
        <w:rPr>
          <w:sz w:val="20"/>
          <w:szCs w:val="20"/>
          <w:color w:val="auto"/>
        </w:rPr>
      </w:pPr>
    </w:p>
    <w:p>
      <w:pPr>
        <w:ind w:right="640" w:firstLine="458"/>
        <w:spacing w:after="0" w:line="330" w:lineRule="auto"/>
        <w:rPr>
          <w:sz w:val="20"/>
          <w:szCs w:val="20"/>
          <w:color w:val="auto"/>
        </w:rPr>
      </w:pPr>
      <w:r>
        <w:rPr>
          <w:rFonts w:ascii="Arial" w:cs="Arial" w:eastAsia="Arial" w:hAnsi="Arial"/>
          <w:sz w:val="13"/>
          <w:szCs w:val="13"/>
          <w:color w:val="auto"/>
        </w:rPr>
        <w:t>No shares of common stock are outstanding before completion of this offering. The number of shares of common stock to be outstanding after completion of this offering is based on 38,000,000 shares of our common stock to be sold in this offering and, except where we state otherwise, the common stock information we present in this prospectus excludes:</w:t>
      </w:r>
    </w:p>
    <w:p>
      <w:pPr>
        <w:spacing w:after="0" w:line="4" w:lineRule="exact"/>
        <w:rPr>
          <w:sz w:val="20"/>
          <w:szCs w:val="20"/>
          <w:color w:val="auto"/>
        </w:rPr>
      </w:pPr>
    </w:p>
    <w:p>
      <w:pPr>
        <w:ind w:left="5700" w:right="4660" w:hanging="5160"/>
        <w:spacing w:after="0" w:line="523" w:lineRule="auto"/>
        <w:tabs>
          <w:tab w:leader="none" w:pos="785" w:val="left"/>
        </w:tabs>
        <w:numPr>
          <w:ilvl w:val="0"/>
          <w:numId w:val="10"/>
        </w:numPr>
        <w:rPr>
          <w:rFonts w:ascii="Arial" w:cs="Arial" w:eastAsia="Arial" w:hAnsi="Arial"/>
          <w:sz w:val="13"/>
          <w:szCs w:val="13"/>
          <w:color w:val="auto"/>
        </w:rPr>
      </w:pPr>
      <w:r>
        <w:rPr>
          <w:rFonts w:ascii="Arial" w:cs="Arial" w:eastAsia="Arial" w:hAnsi="Arial"/>
          <w:sz w:val="13"/>
          <w:szCs w:val="13"/>
          <w:color w:val="auto"/>
        </w:rPr>
        <w:t>55,850,951 shares of common stock issuable upon redemption of NCM LLC common membership units; 9</w:t>
      </w:r>
    </w:p>
    <w:p>
      <w:pPr>
        <w:sectPr>
          <w:pgSz w:w="11900" w:h="16838" w:orient="portrait"/>
          <w:cols w:equalWidth="0" w:num="1">
            <w:col w:w="11420"/>
          </w:cols>
          <w:pgMar w:left="220" w:top="399" w:right="259" w:bottom="1440" w:gutter="0" w:footer="0" w:header="0"/>
          <w:type w:val="continuous"/>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line="289" w:lineRule="auto"/>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1,790,960 shares of common stock issuable upon the exercise of outstanding employee options (after substitution of options to acquire our common stock for NCM LLC options and grant of additional options upon completion of this offering) at a weighted average exercise price of $17.38 per share;</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358,977 shares of restricted stock (after substitution of restricted stock for NCM LLC restricted units and grant of additional restricted stock upon completion of this offering); and</w:t>
      </w:r>
    </w:p>
    <w:p>
      <w:pPr>
        <w:spacing w:after="0" w:line="90" w:lineRule="exact"/>
        <w:rPr>
          <w:rFonts w:ascii="Arial" w:cs="Arial" w:eastAsia="Arial" w:hAnsi="Arial"/>
          <w:sz w:val="13"/>
          <w:szCs w:val="13"/>
          <w:color w:val="auto"/>
        </w:rPr>
      </w:pPr>
    </w:p>
    <w:p>
      <w:pPr>
        <w:ind w:left="780" w:hanging="24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500,000 shares of common stock we will reserve for future issuance under our equity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149"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 xml:space="preserve">We are a Delaware corporation organized on October 5, 2006, and our principal executive offices are located at 9110 E. Nichols Ave., Suite 200, Centennial, Colorado 80112-3405. The telephone number of our principal executive offices is (303) 792-3600. We maintain a website at </w:t>
      </w:r>
      <w:r>
        <w:rPr>
          <w:rFonts w:ascii="Arial" w:cs="Arial" w:eastAsia="Arial" w:hAnsi="Arial"/>
          <w:sz w:val="14"/>
          <w:szCs w:val="14"/>
          <w:i w:val="1"/>
          <w:iCs w:val="1"/>
          <w:color w:val="auto"/>
        </w:rPr>
        <w:t>www.ncm.com</w:t>
      </w:r>
      <w:r>
        <w:rPr>
          <w:rFonts w:ascii="Arial" w:cs="Arial" w:eastAsia="Arial" w:hAnsi="Arial"/>
          <w:sz w:val="14"/>
          <w:szCs w:val="14"/>
          <w:color w:val="auto"/>
        </w:rPr>
        <w:t>, on which we will post our key corporate governance documents, including our board committee charters and our code of ethics. We do not incorporate the information on our website into this prospectus and you should not consider any information on, or that can be accessed through, our website as part of this prospectus.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20" w:top="399" w:right="25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Historical And Pro Forma Financial And Operating Data</w:t>
      </w:r>
    </w:p>
    <w:p>
      <w:pPr>
        <w:spacing w:after="0" w:line="149"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NCM LLC was formed on March 29, 2005, by AMC and Regal as a joint venture that combined the cinema advertising and meetings and events operations of Regal’s subsidiary, RCM, and the cinema advertising operations of AMC’s subsidiary, NCN. On July 15, 2005,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revenue from the sale of advertising for Cinemark’s screens are only reflected in NCM LLC’s unaudited historical statements of operations subsequent to those dates.</w:t>
      </w:r>
    </w:p>
    <w:p>
      <w:pPr>
        <w:spacing w:after="0" w:line="110"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The summary historical financial and operating data for the three and nine months ended September 28, 2006, and the summary balance sheet data as of September 28, 2006, were derived from the financial statements of NCM LLC included elsewhere in this prospectus, except for the capital expenditures data of NCM LLC for the three months ended September 28, 2006, which is derived from unaudited financial statements of NCM LLC that are not included in this prospectus. The summary historical financial and operating data for the nine months ended December 29, 2005 were derived from the audited financial statements of NCM LLC included elsewhere in this prospectus.</w:t>
      </w:r>
    </w:p>
    <w:p>
      <w:pPr>
        <w:spacing w:after="0" w:line="106" w:lineRule="exact"/>
        <w:rPr>
          <w:sz w:val="20"/>
          <w:szCs w:val="20"/>
          <w:color w:val="auto"/>
        </w:rPr>
      </w:pPr>
    </w:p>
    <w:p>
      <w:pPr>
        <w:ind w:right="40" w:firstLine="458"/>
        <w:spacing w:after="0" w:line="293" w:lineRule="auto"/>
        <w:rPr>
          <w:sz w:val="20"/>
          <w:szCs w:val="20"/>
          <w:color w:val="auto"/>
        </w:rPr>
      </w:pPr>
      <w:r>
        <w:rPr>
          <w:rFonts w:ascii="Arial" w:cs="Arial" w:eastAsia="Arial" w:hAnsi="Arial"/>
          <w:sz w:val="13"/>
          <w:szCs w:val="13"/>
          <w:color w:val="auto"/>
        </w:rPr>
        <w:t>The summary (i) unaudited pro forma consolidated statements of operations for the year ended December 29, 2005, and the three and nine months ended September 28, 2006, and (ii) unaudited pro forma consolidated balance sheet at September 28, 2006, present the results of operations and financial position of NCM Inc. assuming the transactions discussed below had been completed and the contractual arrangements discussed below had been entered into as of December 31, 2004, with respect to the pro forma statements of operations and as of September 28, 2006, with respect to the pro forma balance sheet. The pro forma adjustments are based on available information and upon assumptions that management believes are reasonable in order to reflect, on a pro forma basis, the impact on the historical financial information of NCM Inc. of the historical and the transaction adjustments as described in “Unaudited Pro Forma Financial Information.”</w:t>
      </w:r>
    </w:p>
    <w:p>
      <w:pPr>
        <w:spacing w:after="0" w:line="9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You should read this unaudited pro forma condensed consolidated financial information together with the other information contained in this prospectus, including “Corporate History and Reorganization,” “Financing Transaction,” “Management’s Discussion and Analysis of Financial Condition and Results of Operations,” “Unaudited Pro Forma Financial Information,” our audited historical financial statements and the notes thereto included elsewhere in this prospectus, and our unaudited historical interim consolidated financial statements and the notes thereto included elsewhere in this prospectus.</w:t>
      </w:r>
    </w:p>
    <w:p>
      <w:pPr>
        <w:spacing w:after="0" w:line="106"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The unaudited pro forma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prospectus,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consolidated financial information should not be relied upon as being indicative of NCM Inc. or NCM LLC’s results of operations or financial condition had the historical adjustments and the transaction adjustments been completed on December 31, 2004, with respect to the pro forma statements of operations and as of September 28, 2006, with respect to the pro forma balance sheet. The pro forma consolidated financial information also does not project our results of operations or financial position for any future period or date.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399" w:right="2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0"/>
              </w:rPr>
              <w:t>Nine Months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625"/>
              <w:spacing w:after="0"/>
              <w:rPr>
                <w:sz w:val="20"/>
                <w:szCs w:val="20"/>
                <w:color w:val="auto"/>
              </w:rPr>
            </w:pPr>
            <w:r>
              <w:rPr>
                <w:rFonts w:ascii="Arial" w:cs="Arial" w:eastAsia="Arial" w:hAnsi="Arial"/>
                <w:sz w:val="11"/>
                <w:szCs w:val="11"/>
                <w:b w:val="1"/>
                <w:bCs w:val="1"/>
                <w:color w:val="auto"/>
                <w:w w:val="92"/>
              </w:rPr>
              <w:t>Year</w:t>
            </w:r>
          </w:p>
        </w:tc>
        <w:tc>
          <w:tcPr>
            <w:tcW w:w="80" w:type="dxa"/>
            <w:vAlign w:val="bottom"/>
          </w:tcPr>
          <w:p>
            <w:pPr>
              <w:spacing w:after="0"/>
              <w:rPr>
                <w:sz w:val="10"/>
                <w:szCs w:val="10"/>
                <w:color w:val="auto"/>
              </w:rPr>
            </w:pPr>
          </w:p>
        </w:tc>
        <w:tc>
          <w:tcPr>
            <w:tcW w:w="1820" w:type="dxa"/>
            <w:vAlign w:val="bottom"/>
            <w:gridSpan w:val="6"/>
            <w:vMerge w:val="restart"/>
          </w:tcPr>
          <w:p>
            <w:pPr>
              <w:ind w:left="180"/>
              <w:spacing w:after="0"/>
              <w:rPr>
                <w:sz w:val="20"/>
                <w:szCs w:val="20"/>
                <w:color w:val="auto"/>
              </w:rPr>
            </w:pPr>
            <w:r>
              <w:rPr>
                <w:rFonts w:ascii="Arial" w:cs="Arial" w:eastAsia="Arial" w:hAnsi="Arial"/>
                <w:sz w:val="11"/>
                <w:szCs w:val="11"/>
                <w:b w:val="1"/>
                <w:bCs w:val="1"/>
                <w:color w:val="auto"/>
              </w:rPr>
              <w:t>Nine Months Ended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8"/>
            <w:vMerge w:val="restart"/>
          </w:tcPr>
          <w:p>
            <w:pPr>
              <w:jc w:val="right"/>
              <w:ind w:right="380"/>
              <w:spacing w:after="0"/>
              <w:rPr>
                <w:sz w:val="20"/>
                <w:szCs w:val="20"/>
                <w:color w:val="auto"/>
              </w:rPr>
            </w:pPr>
            <w:r>
              <w:rPr>
                <w:rFonts w:ascii="Arial" w:cs="Arial" w:eastAsia="Arial" w:hAnsi="Arial"/>
                <w:sz w:val="11"/>
                <w:szCs w:val="11"/>
                <w:b w:val="1"/>
                <w:bCs w:val="1"/>
                <w:color w:val="auto"/>
                <w:w w:val="90"/>
              </w:rPr>
              <w:t>Three Months Ended</w:t>
            </w:r>
          </w:p>
        </w:tc>
        <w:tc>
          <w:tcPr>
            <w:tcW w:w="0" w:type="dxa"/>
            <w:vAlign w:val="bottom"/>
          </w:tcPr>
          <w:p>
            <w:pPr>
              <w:spacing w:after="0"/>
              <w:rPr>
                <w:sz w:val="1"/>
                <w:szCs w:val="1"/>
                <w:color w:val="auto"/>
              </w:rPr>
            </w:pPr>
          </w:p>
        </w:tc>
      </w:tr>
      <w:tr>
        <w:trPr>
          <w:trHeight w:val="55"/>
        </w:trPr>
        <w:tc>
          <w:tcPr>
            <w:tcW w:w="4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restart"/>
          </w:tcPr>
          <w:p>
            <w:pPr>
              <w:jc w:val="center"/>
              <w:ind w:right="440"/>
              <w:spacing w:after="0" w:line="121" w:lineRule="exact"/>
              <w:rPr>
                <w:sz w:val="20"/>
                <w:szCs w:val="20"/>
                <w:color w:val="auto"/>
              </w:rPr>
            </w:pPr>
            <w:r>
              <w:rPr>
                <w:rFonts w:ascii="Arial" w:cs="Arial" w:eastAsia="Arial" w:hAnsi="Arial"/>
                <w:sz w:val="11"/>
                <w:szCs w:val="11"/>
                <w:b w:val="1"/>
                <w:bCs w:val="1"/>
                <w:color w:val="auto"/>
                <w:w w:val="89"/>
              </w:rPr>
              <w:t>Ended</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ind w:right="625"/>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4"/>
                <w:szCs w:val="4"/>
                <w:color w:val="auto"/>
              </w:rPr>
            </w:pPr>
          </w:p>
        </w:tc>
        <w:tc>
          <w:tcPr>
            <w:tcW w:w="182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4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gridSpan w:val="6"/>
            <w:vMerge w:val="restart"/>
          </w:tcPr>
          <w:p>
            <w:pPr>
              <w:ind w:left="180"/>
              <w:spacing w:after="0"/>
              <w:rPr>
                <w:sz w:val="20"/>
                <w:szCs w:val="20"/>
                <w:color w:val="auto"/>
              </w:rPr>
            </w:pPr>
            <w:r>
              <w:rPr>
                <w:rFonts w:ascii="Arial" w:cs="Arial" w:eastAsia="Arial" w:hAnsi="Arial"/>
                <w:sz w:val="11"/>
                <w:szCs w:val="11"/>
                <w:b w:val="1"/>
                <w:bCs w:val="1"/>
                <w:color w:val="auto"/>
              </w:rPr>
              <w:t>September 28, 2006</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gridSpan w:val="8"/>
            <w:vMerge w:val="restart"/>
          </w:tcPr>
          <w:p>
            <w:pPr>
              <w:jc w:val="right"/>
              <w:ind w:right="420"/>
              <w:spacing w:after="0"/>
              <w:rPr>
                <w:sz w:val="20"/>
                <w:szCs w:val="20"/>
                <w:color w:val="auto"/>
              </w:rPr>
            </w:pPr>
            <w:r>
              <w:rPr>
                <w:rFonts w:ascii="Arial" w:cs="Arial" w:eastAsia="Arial" w:hAnsi="Arial"/>
                <w:sz w:val="11"/>
                <w:szCs w:val="11"/>
                <w:b w:val="1"/>
                <w:bCs w:val="1"/>
                <w:color w:val="auto"/>
                <w:w w:val="91"/>
              </w:rPr>
              <w:t>September 28, 2006</w:t>
            </w:r>
          </w:p>
        </w:tc>
        <w:tc>
          <w:tcPr>
            <w:tcW w:w="0" w:type="dxa"/>
            <w:vAlign w:val="bottom"/>
          </w:tcPr>
          <w:p>
            <w:pPr>
              <w:spacing w:after="0"/>
              <w:rPr>
                <w:sz w:val="1"/>
                <w:szCs w:val="1"/>
                <w:color w:val="auto"/>
              </w:rPr>
            </w:pPr>
          </w:p>
        </w:tc>
      </w:tr>
      <w:tr>
        <w:trPr>
          <w:trHeight w:val="66"/>
        </w:trPr>
        <w:tc>
          <w:tcPr>
            <w:tcW w:w="4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220" w:type="dxa"/>
            <w:vAlign w:val="bottom"/>
          </w:tcPr>
          <w:p>
            <w:pPr>
              <w:spacing w:after="0"/>
              <w:rPr>
                <w:sz w:val="5"/>
                <w:szCs w:val="5"/>
                <w:color w:val="auto"/>
              </w:rPr>
            </w:pPr>
          </w:p>
        </w:tc>
        <w:tc>
          <w:tcPr>
            <w:tcW w:w="1220" w:type="dxa"/>
            <w:vAlign w:val="bottom"/>
            <w:gridSpan w:val="3"/>
            <w:vMerge w:val="restart"/>
          </w:tcPr>
          <w:p>
            <w:pPr>
              <w:ind w:left="20"/>
              <w:spacing w:after="0" w:line="121" w:lineRule="exact"/>
              <w:rPr>
                <w:sz w:val="20"/>
                <w:szCs w:val="20"/>
                <w:color w:val="auto"/>
              </w:rPr>
            </w:pPr>
            <w:r>
              <w:rPr>
                <w:rFonts w:ascii="Arial" w:cs="Arial" w:eastAsia="Arial" w:hAnsi="Arial"/>
                <w:sz w:val="11"/>
                <w:szCs w:val="11"/>
                <w:b w:val="1"/>
                <w:bCs w:val="1"/>
                <w:color w:val="auto"/>
              </w:rPr>
              <w:t>December 29,</w:t>
            </w:r>
          </w:p>
        </w:tc>
        <w:tc>
          <w:tcPr>
            <w:tcW w:w="80" w:type="dxa"/>
            <w:vAlign w:val="bottom"/>
          </w:tcPr>
          <w:p>
            <w:pPr>
              <w:spacing w:after="0"/>
              <w:rPr>
                <w:sz w:val="5"/>
                <w:szCs w:val="5"/>
                <w:color w:val="auto"/>
              </w:rPr>
            </w:pPr>
          </w:p>
        </w:tc>
        <w:tc>
          <w:tcPr>
            <w:tcW w:w="18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4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4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32"/>
              <w:spacing w:after="0" w:line="121" w:lineRule="exact"/>
              <w:rPr>
                <w:sz w:val="20"/>
                <w:szCs w:val="20"/>
                <w:color w:val="auto"/>
              </w:rPr>
            </w:pPr>
            <w:r>
              <w:rPr>
                <w:rFonts w:ascii="Arial" w:cs="Arial" w:eastAsia="Arial" w:hAnsi="Arial"/>
                <w:sz w:val="11"/>
                <w:szCs w:val="11"/>
                <w:b w:val="1"/>
                <w:bCs w:val="1"/>
                <w:color w:val="auto"/>
                <w:w w:val="89"/>
              </w:rPr>
              <w:t>2005</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53"/>
              <w:spacing w:after="0" w:line="121" w:lineRule="exact"/>
              <w:rPr>
                <w:sz w:val="20"/>
                <w:szCs w:val="20"/>
                <w:color w:val="auto"/>
              </w:rPr>
            </w:pPr>
            <w:r>
              <w:rPr>
                <w:rFonts w:ascii="Arial" w:cs="Arial" w:eastAsia="Arial" w:hAnsi="Arial"/>
                <w:sz w:val="11"/>
                <w:szCs w:val="11"/>
                <w:b w:val="1"/>
                <w:bCs w:val="1"/>
                <w:color w:val="auto"/>
                <w:w w:val="89"/>
              </w:rPr>
              <w:t>2005</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545"/>
              <w:spacing w:after="0" w:line="121" w:lineRule="exact"/>
              <w:rPr>
                <w:sz w:val="20"/>
                <w:szCs w:val="20"/>
                <w:color w:val="auto"/>
              </w:rPr>
            </w:pPr>
            <w:r>
              <w:rPr>
                <w:rFonts w:ascii="Arial" w:cs="Arial" w:eastAsia="Arial" w:hAnsi="Arial"/>
                <w:sz w:val="11"/>
                <w:szCs w:val="11"/>
                <w:b w:val="1"/>
                <w:bCs w:val="1"/>
                <w:color w:val="auto"/>
              </w:rPr>
              <w:t>Pro</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Pro</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1"/>
                <w:szCs w:val="11"/>
                <w:b w:val="1"/>
                <w:bCs w:val="1"/>
                <w:color w:val="auto"/>
                <w:w w:val="91"/>
              </w:rPr>
              <w:t>Historical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0"/>
              </w:rPr>
              <w:t>Pro Forma</w:t>
            </w:r>
          </w:p>
        </w:tc>
        <w:tc>
          <w:tcPr>
            <w:tcW w:w="560" w:type="dxa"/>
            <w:vAlign w:val="bottom"/>
          </w:tcPr>
          <w:p>
            <w:pPr>
              <w:spacing w:after="0"/>
              <w:rPr>
                <w:sz w:val="12"/>
                <w:szCs w:val="12"/>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1"/>
              </w:rPr>
              <w:t>Historical</w:t>
            </w:r>
          </w:p>
        </w:tc>
        <w:tc>
          <w:tcPr>
            <w:tcW w:w="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w w:val="89"/>
              </w:rPr>
              <w:t>Forma</w:t>
            </w:r>
          </w:p>
        </w:tc>
        <w:tc>
          <w:tcPr>
            <w:tcW w:w="4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87"/>
              </w:rPr>
              <w:t>Historical</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0"/>
              <w:spacing w:after="0"/>
              <w:rPr>
                <w:sz w:val="20"/>
                <w:szCs w:val="20"/>
                <w:color w:val="auto"/>
              </w:rPr>
            </w:pPr>
            <w:r>
              <w:rPr>
                <w:rFonts w:ascii="Arial" w:cs="Arial" w:eastAsia="Arial" w:hAnsi="Arial"/>
                <w:sz w:val="11"/>
                <w:szCs w:val="11"/>
                <w:b w:val="1"/>
                <w:bCs w:val="1"/>
                <w:color w:val="auto"/>
                <w:w w:val="95"/>
              </w:rPr>
              <w:t>Forma</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4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line="100" w:lineRule="exact"/>
              <w:rPr>
                <w:sz w:val="20"/>
                <w:szCs w:val="20"/>
                <w:color w:val="auto"/>
              </w:rPr>
            </w:pPr>
            <w:r>
              <w:rPr>
                <w:rFonts w:ascii="Arial" w:cs="Arial" w:eastAsia="Arial" w:hAnsi="Arial"/>
                <w:sz w:val="11"/>
                <w:szCs w:val="11"/>
                <w:b w:val="1"/>
                <w:bCs w:val="1"/>
                <w:color w:val="auto"/>
                <w:w w:val="90"/>
              </w:rPr>
              <w:t>in millions,</w:t>
            </w:r>
          </w:p>
        </w:tc>
        <w:tc>
          <w:tcPr>
            <w:tcW w:w="48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84"/>
              </w:rPr>
              <w:t>except net</w:t>
            </w:r>
          </w:p>
        </w:tc>
        <w:tc>
          <w:tcPr>
            <w:tcW w:w="1420" w:type="dxa"/>
            <w:vAlign w:val="bottom"/>
            <w:gridSpan w:val="5"/>
          </w:tcPr>
          <w:p>
            <w:pPr>
              <w:jc w:val="right"/>
              <w:ind w:right="105"/>
              <w:spacing w:after="0" w:line="100" w:lineRule="exact"/>
              <w:rPr>
                <w:sz w:val="20"/>
                <w:szCs w:val="20"/>
                <w:color w:val="auto"/>
              </w:rPr>
            </w:pPr>
            <w:r>
              <w:rPr>
                <w:rFonts w:ascii="Arial" w:cs="Arial" w:eastAsia="Arial" w:hAnsi="Arial"/>
                <w:sz w:val="11"/>
                <w:szCs w:val="11"/>
                <w:b w:val="1"/>
                <w:bCs w:val="1"/>
                <w:color w:val="auto"/>
                <w:w w:val="88"/>
              </w:rPr>
              <w:t>income per share and total</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Result of Operations Data</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gridSpan w:val="14"/>
          </w:tcPr>
          <w:p>
            <w:pPr>
              <w:jc w:val="right"/>
              <w:ind w:right="700"/>
              <w:spacing w:after="0"/>
              <w:rPr>
                <w:sz w:val="20"/>
                <w:szCs w:val="20"/>
                <w:color w:val="auto"/>
              </w:rPr>
            </w:pPr>
            <w:r>
              <w:rPr>
                <w:rFonts w:ascii="Arial" w:cs="Arial" w:eastAsia="Arial" w:hAnsi="Arial"/>
                <w:sz w:val="11"/>
                <w:szCs w:val="11"/>
                <w:b w:val="1"/>
                <w:bCs w:val="1"/>
                <w:color w:val="auto"/>
                <w:w w:val="90"/>
              </w:rPr>
              <w:t>advertising contract value revenue per founding member attendee)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Advertising Revenue</w:t>
            </w:r>
          </w:p>
        </w:tc>
        <w:tc>
          <w:tcPr>
            <w:tcW w:w="820" w:type="dxa"/>
            <w:vAlign w:val="bottom"/>
            <w:gridSpan w:val="2"/>
          </w:tcPr>
          <w:p>
            <w:pPr>
              <w:ind w:left="7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56.0</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207.4</w:t>
            </w: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128.2</w:t>
            </w:r>
          </w:p>
        </w:tc>
        <w:tc>
          <w:tcPr>
            <w:tcW w:w="5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175.4</w:t>
            </w:r>
          </w:p>
        </w:tc>
        <w:tc>
          <w:tcPr>
            <w:tcW w:w="160" w:type="dxa"/>
            <w:vAlign w:val="bottom"/>
          </w:tcPr>
          <w:p>
            <w:pPr>
              <w:spacing w:after="0"/>
              <w:rPr>
                <w:sz w:val="15"/>
                <w:szCs w:val="15"/>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54.9</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68.9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Administrative Fees—Members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85"/>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4.3</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jc w:val="right"/>
              <w:ind w:right="465"/>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0.8</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Total Revenue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98.8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221.6</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145.2</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188.1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60.7</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73.9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Operating Income (Loss)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95.7</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5"/>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84.9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38.9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Net Income (Loss)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5"/>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Arial" w:cs="Arial" w:eastAsia="Arial" w:hAnsi="Arial"/>
                <w:sz w:val="14"/>
                <w:szCs w:val="14"/>
                <w:color w:val="auto"/>
              </w:rPr>
              <w:t>Net Income (Loss) Per Basic Share</w:t>
            </w:r>
          </w:p>
        </w:tc>
        <w:tc>
          <w:tcPr>
            <w:tcW w:w="820" w:type="dxa"/>
            <w:vAlign w:val="bottom"/>
            <w:gridSpan w:val="2"/>
          </w:tcPr>
          <w:p>
            <w:pPr>
              <w:ind w:left="7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(0.19)</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0.20</w:t>
            </w: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405"/>
              <w:spacing w:after="0"/>
              <w:rPr>
                <w:sz w:val="20"/>
                <w:szCs w:val="20"/>
                <w:color w:val="auto"/>
              </w:rPr>
            </w:pPr>
            <w:r>
              <w:rPr>
                <w:rFonts w:ascii="Arial" w:cs="Arial" w:eastAsia="Arial" w:hAnsi="Arial"/>
                <w:sz w:val="14"/>
                <w:szCs w:val="14"/>
                <w:color w:val="auto"/>
              </w:rPr>
              <w:t>(0.29)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0.23</w:t>
            </w:r>
          </w:p>
        </w:tc>
        <w:tc>
          <w:tcPr>
            <w:tcW w:w="160" w:type="dxa"/>
            <w:vAlign w:val="bottom"/>
          </w:tcPr>
          <w:p>
            <w:pPr>
              <w:spacing w:after="0"/>
              <w:rPr>
                <w:sz w:val="15"/>
                <w:szCs w:val="15"/>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280"/>
              <w:spacing w:after="0"/>
              <w:rPr>
                <w:sz w:val="20"/>
                <w:szCs w:val="20"/>
                <w:color w:val="auto"/>
              </w:rPr>
            </w:pPr>
            <w:r>
              <w:rPr>
                <w:rFonts w:ascii="Arial" w:cs="Arial" w:eastAsia="Arial" w:hAnsi="Arial"/>
                <w:sz w:val="14"/>
                <w:szCs w:val="14"/>
                <w:color w:val="auto"/>
              </w:rPr>
              <w:t>(0.02)</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4"/>
                <w:szCs w:val="14"/>
                <w:b w:val="1"/>
                <w:bCs w:val="1"/>
                <w:color w:val="auto"/>
              </w:rPr>
              <w:t>Other Financial Data</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EBITDA(1)</w:t>
            </w:r>
          </w:p>
        </w:tc>
        <w:tc>
          <w:tcPr>
            <w:tcW w:w="820" w:type="dxa"/>
            <w:vAlign w:val="bottom"/>
            <w:gridSpan w:val="2"/>
          </w:tcPr>
          <w:p>
            <w:pPr>
              <w:ind w:left="7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(3.9)</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405"/>
              <w:spacing w:after="0"/>
              <w:rPr>
                <w:sz w:val="20"/>
                <w:szCs w:val="20"/>
                <w:color w:val="auto"/>
              </w:rPr>
            </w:pPr>
            <w:r>
              <w:rPr>
                <w:rFonts w:ascii="Arial" w:cs="Arial" w:eastAsia="Arial" w:hAnsi="Arial"/>
                <w:sz w:val="14"/>
                <w:szCs w:val="14"/>
                <w:color w:val="auto"/>
              </w:rPr>
              <w:t>(7.5)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88.3</w:t>
            </w:r>
          </w:p>
        </w:tc>
        <w:tc>
          <w:tcPr>
            <w:tcW w:w="160" w:type="dxa"/>
            <w:vAlign w:val="bottom"/>
          </w:tcPr>
          <w:p>
            <w:pPr>
              <w:spacing w:after="0"/>
              <w:rPr>
                <w:sz w:val="15"/>
                <w:szCs w:val="15"/>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0.7</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Adjusted EBITDA(1)</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108.8</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5"/>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92.8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41.5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Adjusted EBITDA Margin(1)</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85"/>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NM</w:t>
            </w:r>
          </w:p>
        </w:tc>
        <w:tc>
          <w:tcPr>
            <w:tcW w:w="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49.3%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Arial" w:cs="Arial" w:eastAsia="Arial" w:hAnsi="Arial"/>
                <w:sz w:val="14"/>
                <w:szCs w:val="14"/>
                <w:color w:val="auto"/>
              </w:rPr>
              <w:t>Capital Expenditures</w:t>
            </w:r>
          </w:p>
        </w:tc>
        <w:tc>
          <w:tcPr>
            <w:tcW w:w="820" w:type="dxa"/>
            <w:vAlign w:val="bottom"/>
            <w:gridSpan w:val="2"/>
          </w:tcPr>
          <w:p>
            <w:pPr>
              <w:ind w:left="7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5.9</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4.3</w:t>
            </w:r>
          </w:p>
        </w:tc>
        <w:tc>
          <w:tcPr>
            <w:tcW w:w="5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5"/>
                <w:szCs w:val="15"/>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1.9</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Founding Member Screens at Period End(2)</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9,696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9,696</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12,039</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12,039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w w:val="88"/>
              </w:rPr>
              <w:t>12,039</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12,039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Total Screens at Period End(3)</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10,766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10,766</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12,973</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12,973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w w:val="88"/>
              </w:rPr>
              <w:t>12,973</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12,973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Digital Screens at Period End(4)</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8,713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8,713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5"/>
              <w:spacing w:after="0"/>
              <w:rPr>
                <w:sz w:val="20"/>
                <w:szCs w:val="20"/>
                <w:color w:val="auto"/>
              </w:rPr>
            </w:pPr>
            <w:r>
              <w:rPr>
                <w:rFonts w:ascii="Arial" w:cs="Arial" w:eastAsia="Arial" w:hAnsi="Arial"/>
                <w:sz w:val="14"/>
                <w:szCs w:val="14"/>
                <w:color w:val="auto"/>
                <w:w w:val="88"/>
              </w:rPr>
              <w:t>11,077</w:t>
            </w:r>
          </w:p>
        </w:tc>
        <w:tc>
          <w:tcPr>
            <w:tcW w:w="6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11,077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w w:val="88"/>
              </w:rPr>
              <w:t>11,077</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11,077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Founding Member Attendance for Period(5) (in millions)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299.3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395.2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384.4</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384.4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131.8</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131.8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Total Advertising Contract Value(6)</w:t>
            </w:r>
          </w:p>
        </w:tc>
        <w:tc>
          <w:tcPr>
            <w:tcW w:w="820" w:type="dxa"/>
            <w:vAlign w:val="bottom"/>
            <w:gridSpan w:val="2"/>
          </w:tcPr>
          <w:p>
            <w:pPr>
              <w:ind w:left="7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144.0</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203.7</w:t>
            </w: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141.6</w:t>
            </w:r>
          </w:p>
        </w:tc>
        <w:tc>
          <w:tcPr>
            <w:tcW w:w="5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171.5</w:t>
            </w:r>
          </w:p>
        </w:tc>
        <w:tc>
          <w:tcPr>
            <w:tcW w:w="160" w:type="dxa"/>
            <w:vAlign w:val="bottom"/>
          </w:tcPr>
          <w:p>
            <w:pPr>
              <w:spacing w:after="0"/>
              <w:rPr>
                <w:sz w:val="15"/>
                <w:szCs w:val="15"/>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57.4</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67.6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Arial" w:cs="Arial" w:eastAsia="Arial" w:hAnsi="Arial"/>
                <w:sz w:val="14"/>
                <w:szCs w:val="14"/>
                <w:color w:val="auto"/>
              </w:rPr>
              <w:t>Total Advertising Contract Value per Founding Member Attendee(6)</w:t>
            </w:r>
          </w:p>
        </w:tc>
        <w:tc>
          <w:tcPr>
            <w:tcW w:w="820" w:type="dxa"/>
            <w:vAlign w:val="bottom"/>
            <w:gridSpan w:val="2"/>
          </w:tcPr>
          <w:p>
            <w:pPr>
              <w:ind w:left="7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0.48</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0.52</w:t>
            </w: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0.37</w:t>
            </w:r>
          </w:p>
        </w:tc>
        <w:tc>
          <w:tcPr>
            <w:tcW w:w="5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0.45</w:t>
            </w:r>
          </w:p>
        </w:tc>
        <w:tc>
          <w:tcPr>
            <w:tcW w:w="160" w:type="dxa"/>
            <w:vAlign w:val="bottom"/>
          </w:tcPr>
          <w:p>
            <w:pPr>
              <w:spacing w:after="0"/>
              <w:rPr>
                <w:sz w:val="15"/>
                <w:szCs w:val="15"/>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0.44</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9"/>
              </w:rPr>
              <w:t>September 28, 2006</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3"/>
          </w:tcPr>
          <w:p>
            <w:pPr>
              <w:jc w:val="center"/>
              <w:ind w:right="40"/>
              <w:spacing w:after="0" w:line="100" w:lineRule="exact"/>
              <w:rPr>
                <w:sz w:val="20"/>
                <w:szCs w:val="20"/>
                <w:color w:val="auto"/>
              </w:rPr>
            </w:pPr>
            <w:r>
              <w:rPr>
                <w:rFonts w:ascii="Arial" w:cs="Arial" w:eastAsia="Arial" w:hAnsi="Arial"/>
                <w:sz w:val="11"/>
                <w:szCs w:val="11"/>
                <w:b w:val="1"/>
                <w:bCs w:val="1"/>
                <w:color w:val="auto"/>
              </w:rPr>
              <w:t>NCM Inc.</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6"/>
          </w:tcPr>
          <w:p>
            <w:pPr>
              <w:jc w:val="right"/>
              <w:ind w:right="540"/>
              <w:spacing w:after="0" w:line="121" w:lineRule="exact"/>
              <w:rPr>
                <w:sz w:val="20"/>
                <w:szCs w:val="20"/>
                <w:color w:val="auto"/>
              </w:rPr>
            </w:pPr>
            <w:r>
              <w:rPr>
                <w:rFonts w:ascii="Arial" w:cs="Arial" w:eastAsia="Arial" w:hAnsi="Arial"/>
                <w:sz w:val="11"/>
                <w:szCs w:val="11"/>
                <w:b w:val="1"/>
                <w:bCs w:val="1"/>
                <w:color w:val="auto"/>
              </w:rPr>
              <w:t>NCM LLC</w:t>
            </w:r>
          </w:p>
        </w:tc>
        <w:tc>
          <w:tcPr>
            <w:tcW w:w="220" w:type="dxa"/>
            <w:vAlign w:val="bottom"/>
          </w:tcPr>
          <w:p>
            <w:pPr>
              <w:spacing w:after="0"/>
              <w:rPr>
                <w:sz w:val="10"/>
                <w:szCs w:val="10"/>
                <w:color w:val="auto"/>
              </w:rPr>
            </w:pPr>
          </w:p>
        </w:tc>
        <w:tc>
          <w:tcPr>
            <w:tcW w:w="620" w:type="dxa"/>
            <w:vAlign w:val="bottom"/>
            <w:gridSpan w:val="5"/>
          </w:tcPr>
          <w:p>
            <w:pPr>
              <w:jc w:val="center"/>
              <w:ind w:right="60"/>
              <w:spacing w:after="0" w:line="121" w:lineRule="exact"/>
              <w:rPr>
                <w:sz w:val="20"/>
                <w:szCs w:val="20"/>
                <w:color w:val="auto"/>
              </w:rPr>
            </w:pPr>
            <w:r>
              <w:rPr>
                <w:rFonts w:ascii="Arial" w:cs="Arial" w:eastAsia="Arial" w:hAnsi="Arial"/>
                <w:sz w:val="11"/>
                <w:szCs w:val="11"/>
                <w:b w:val="1"/>
                <w:bCs w:val="1"/>
                <w:color w:val="auto"/>
                <w:w w:val="94"/>
              </w:rPr>
              <w:t>Pro Forma</w:t>
            </w:r>
          </w:p>
        </w:tc>
        <w:tc>
          <w:tcPr>
            <w:tcW w:w="0" w:type="dxa"/>
            <w:vAlign w:val="bottom"/>
          </w:tcPr>
          <w:p>
            <w:pPr>
              <w:spacing w:after="0"/>
              <w:rPr>
                <w:sz w:val="1"/>
                <w:szCs w:val="1"/>
                <w:color w:val="auto"/>
              </w:rPr>
            </w:pPr>
          </w:p>
        </w:tc>
      </w:tr>
      <w:tr>
        <w:trPr>
          <w:trHeight w:val="142"/>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6"/>
          </w:tcPr>
          <w:p>
            <w:pPr>
              <w:jc w:val="right"/>
              <w:ind w:right="580"/>
              <w:spacing w:after="0"/>
              <w:rPr>
                <w:sz w:val="20"/>
                <w:szCs w:val="20"/>
                <w:color w:val="auto"/>
              </w:rPr>
            </w:pPr>
            <w:r>
              <w:rPr>
                <w:rFonts w:ascii="Arial" w:cs="Arial" w:eastAsia="Arial" w:hAnsi="Arial"/>
                <w:sz w:val="11"/>
                <w:szCs w:val="11"/>
                <w:b w:val="1"/>
                <w:bCs w:val="1"/>
                <w:color w:val="auto"/>
                <w:w w:val="91"/>
              </w:rPr>
              <w:t>Historical</w:t>
            </w:r>
          </w:p>
        </w:tc>
        <w:tc>
          <w:tcPr>
            <w:tcW w:w="220" w:type="dxa"/>
            <w:vAlign w:val="bottom"/>
          </w:tcPr>
          <w:p>
            <w:pPr>
              <w:spacing w:after="0"/>
              <w:rPr>
                <w:sz w:val="12"/>
                <w:szCs w:val="12"/>
                <w:color w:val="auto"/>
              </w:rPr>
            </w:pPr>
          </w:p>
        </w:tc>
        <w:tc>
          <w:tcPr>
            <w:tcW w:w="62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7"/>
              </w:rPr>
              <w:t>As Adjusted</w:t>
            </w:r>
          </w:p>
        </w:tc>
        <w:tc>
          <w:tcPr>
            <w:tcW w:w="0" w:type="dxa"/>
            <w:vAlign w:val="bottom"/>
          </w:tcPr>
          <w:p>
            <w:pPr>
              <w:spacing w:after="0"/>
              <w:rPr>
                <w:sz w:val="1"/>
                <w:szCs w:val="1"/>
                <w:color w:val="auto"/>
              </w:rPr>
            </w:pPr>
          </w:p>
        </w:tc>
      </w:tr>
      <w:tr>
        <w:trPr>
          <w:trHeight w:val="158"/>
        </w:trPr>
        <w:tc>
          <w:tcPr>
            <w:tcW w:w="46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Receivables, net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jc w:val="right"/>
              <w:ind w:right="25"/>
              <w:spacing w:after="0"/>
              <w:rPr>
                <w:sz w:val="20"/>
                <w:szCs w:val="20"/>
                <w:color w:val="auto"/>
              </w:rPr>
            </w:pPr>
            <w:r>
              <w:rPr>
                <w:rFonts w:ascii="Arial" w:cs="Arial" w:eastAsia="Arial" w:hAnsi="Arial"/>
                <w:sz w:val="14"/>
                <w:szCs w:val="14"/>
                <w:color w:val="auto"/>
              </w:rPr>
              <w:t>$</w:t>
            </w:r>
          </w:p>
        </w:tc>
        <w:tc>
          <w:tcPr>
            <w:tcW w:w="360" w:type="dxa"/>
            <w:vAlign w:val="bottom"/>
            <w:gridSpan w:val="3"/>
          </w:tcPr>
          <w:p>
            <w:pPr>
              <w:ind w:left="100"/>
              <w:spacing w:after="0"/>
              <w:rPr>
                <w:sz w:val="20"/>
                <w:szCs w:val="20"/>
                <w:color w:val="auto"/>
              </w:rPr>
            </w:pPr>
            <w:r>
              <w:rPr>
                <w:rFonts w:ascii="Arial" w:cs="Arial" w:eastAsia="Arial" w:hAnsi="Arial"/>
                <w:sz w:val="14"/>
                <w:szCs w:val="14"/>
                <w:color w:val="auto"/>
                <w:w w:val="87"/>
              </w:rPr>
              <w:t>51.9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Property and equipment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ind w:left="100"/>
              <w:spacing w:after="0"/>
              <w:rPr>
                <w:sz w:val="20"/>
                <w:szCs w:val="20"/>
                <w:color w:val="auto"/>
              </w:rPr>
            </w:pPr>
            <w:r>
              <w:rPr>
                <w:rFonts w:ascii="Arial" w:cs="Arial" w:eastAsia="Arial" w:hAnsi="Arial"/>
                <w:sz w:val="14"/>
                <w:szCs w:val="14"/>
                <w:color w:val="auto"/>
                <w:w w:val="87"/>
              </w:rPr>
              <w:t>11.6</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Total Assets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ind w:left="100"/>
              <w:spacing w:after="0"/>
              <w:rPr>
                <w:sz w:val="20"/>
                <w:szCs w:val="20"/>
                <w:color w:val="auto"/>
              </w:rPr>
            </w:pPr>
            <w:r>
              <w:rPr>
                <w:rFonts w:ascii="Arial" w:cs="Arial" w:eastAsia="Arial" w:hAnsi="Arial"/>
                <w:sz w:val="14"/>
                <w:szCs w:val="14"/>
                <w:color w:val="auto"/>
                <w:w w:val="87"/>
              </w:rPr>
              <w:t>72.2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color w:val="auto"/>
              </w:rPr>
              <w:t>Indebtedness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ind w:left="100"/>
              <w:spacing w:after="0"/>
              <w:rPr>
                <w:sz w:val="20"/>
                <w:szCs w:val="20"/>
                <w:color w:val="auto"/>
              </w:rPr>
            </w:pPr>
            <w:r>
              <w:rPr>
                <w:rFonts w:ascii="Arial" w:cs="Arial" w:eastAsia="Arial" w:hAnsi="Arial"/>
                <w:sz w:val="14"/>
                <w:szCs w:val="14"/>
                <w:color w:val="auto"/>
                <w:w w:val="87"/>
              </w:rPr>
              <w:t>10.0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Arial" w:cs="Arial" w:eastAsia="Arial" w:hAnsi="Arial"/>
                <w:sz w:val="14"/>
                <w:szCs w:val="14"/>
                <w:color w:val="auto"/>
              </w:rPr>
              <w:t>Members’/Stockholder’s Equity (Deficit)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(574.6)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Summary Historical and Pro Forma Financial and Operating Data</w:t>
      </w:r>
    </w:p>
    <w:p>
      <w:pPr>
        <w:spacing w:after="0" w:line="83" w:lineRule="exact"/>
        <w:rPr>
          <w:sz w:val="20"/>
          <w:szCs w:val="20"/>
          <w:color w:val="auto"/>
        </w:rPr>
      </w:pPr>
    </w:p>
    <w:p>
      <w:pPr>
        <w:ind w:right="80" w:firstLine="465"/>
        <w:spacing w:after="0" w:line="267"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in the following paragraph, which after this offering will be included in the calculation of adjusted EBITDA to determine our compliance with financial covenants under our new senior secured credit facility. See “Financing Transaction.”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399" w:right="21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firstLine="458"/>
        <w:spacing w:after="0" w:line="313" w:lineRule="auto"/>
        <w:rPr>
          <w:sz w:val="20"/>
          <w:szCs w:val="20"/>
          <w:color w:val="auto"/>
        </w:rPr>
      </w:pPr>
      <w:r>
        <w:rPr>
          <w:rFonts w:ascii="Arial" w:cs="Arial" w:eastAsia="Arial" w:hAnsi="Arial"/>
          <w:sz w:val="12"/>
          <w:szCs w:val="12"/>
          <w:color w:val="auto"/>
        </w:rPr>
        <w:t>On January 26, 2006, AMC completed the acquisition of Loews. Loews has a pre-existing contract with another cinema advertising provider through May 31, 2008. Therefore, the Loews screens will become part of our national theatre network on an exclusive basis beginning on May 31, 2008, subject to the run-out of certain pre-existing contractual obligations for on-screen advertising existing on June 1, 2008. In accordance with a Loews screen integration agreement between us and AMC, AMC will pay us an amount that approximates the EBITDA we would have generated if we were able to sell advertising in the Loews theatre chain on an exclusive basis. On January ,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Loews payments will be made on a quarterly basis in arrears until May 31, 2008, and for accounting purposes will be recorded in members’ equity and will not be reflected in NCM LLC’s statements of operations. For the three months ended September 28, 2006, the Loews payments would have been $2.4 million. See “Management’s Discussion and Analysis of Financial Condition and Results of Operations—Our Company Following the Completion of this Offering—Loews Payments” for additional discussion regarding the Loews payments.</w:t>
      </w:r>
    </w:p>
    <w:p>
      <w:pPr>
        <w:spacing w:after="0" w:line="85"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We have included EBITDA, adjusted EBITDA and adjusted EBITDA margin in this prospectus to provide investors with supplemental measures of our operating performance and information about the calculation of some of the financial covenants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prospectus.</w:t>
      </w:r>
    </w:p>
    <w:p>
      <w:pPr>
        <w:spacing w:after="0" w:line="95" w:lineRule="exact"/>
        <w:rPr>
          <w:sz w:val="20"/>
          <w:szCs w:val="20"/>
          <w:color w:val="auto"/>
        </w:rPr>
      </w:pPr>
    </w:p>
    <w:p>
      <w:pPr>
        <w:ind w:right="120" w:firstLine="458"/>
        <w:spacing w:after="0" w:line="293" w:lineRule="auto"/>
        <w:rPr>
          <w:sz w:val="20"/>
          <w:szCs w:val="20"/>
          <w:color w:val="auto"/>
        </w:rPr>
      </w:pPr>
      <w:r>
        <w:rPr>
          <w:rFonts w:ascii="Arial" w:cs="Arial" w:eastAsia="Arial" w:hAnsi="Arial"/>
          <w:sz w:val="13"/>
          <w:szCs w:val="13"/>
          <w:color w:val="auto"/>
        </w:rPr>
        <w:t>Adjusted EBITDA including the Loews payments is a material component of the covenants that will be imposed on us by the new senior secured credit facility. Under the new senior secured credit facility, we will be subject to financial covenant ratios that will be calculated by reference to adjusted EBITDA including the Loews payments. Non-compliance with the financial covenants contained in the senior secured credit facility could result in a default, an acceleration in the repayment of amounts outstanding and a termination of the lending commitments under the senior secured credit facility. For a description of required financial covenant levels and actual ratio calculations based on adjusted EBITDA including the Loews payments, see “Management’s Discussion and Analysis of Financial Condition and Results of Operations—Our Company Following the Completion of this Offering—Loews Payments.”</w:t>
      </w:r>
    </w:p>
    <w:p>
      <w:pPr>
        <w:spacing w:after="0" w:line="93"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20" w:top="399"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reconciles net income (loss) to EBITDA, adjusted EBITDA and adjusted EBITDA margin on a historical and pro forma basis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1"/>
                <w:szCs w:val="11"/>
                <w:b w:val="1"/>
                <w:bCs w:val="1"/>
                <w:color w:val="auto"/>
                <w:w w:val="90"/>
              </w:rPr>
              <w:t>Nine Months</w:t>
            </w:r>
          </w:p>
        </w:tc>
        <w:tc>
          <w:tcPr>
            <w:tcW w:w="120" w:type="dxa"/>
            <w:vAlign w:val="bottom"/>
          </w:tcPr>
          <w:p>
            <w:pPr>
              <w:spacing w:after="0"/>
              <w:rPr>
                <w:sz w:val="10"/>
                <w:szCs w:val="10"/>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1"/>
                <w:szCs w:val="11"/>
                <w:b w:val="1"/>
                <w:bCs w:val="1"/>
                <w:color w:val="auto"/>
                <w:w w:val="83"/>
              </w:rPr>
              <w:t>Year</w:t>
            </w:r>
          </w:p>
        </w:tc>
        <w:tc>
          <w:tcPr>
            <w:tcW w:w="120" w:type="dxa"/>
            <w:vAlign w:val="bottom"/>
          </w:tcPr>
          <w:p>
            <w:pPr>
              <w:spacing w:after="0"/>
              <w:rPr>
                <w:sz w:val="10"/>
                <w:szCs w:val="10"/>
                <w:color w:val="auto"/>
              </w:rPr>
            </w:pPr>
          </w:p>
        </w:tc>
        <w:tc>
          <w:tcPr>
            <w:tcW w:w="10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w w:val="89"/>
              </w:rPr>
              <w:t>Nine Months Ended</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5"/>
            <w:vMerge w:val="restart"/>
          </w:tcPr>
          <w:p>
            <w:pPr>
              <w:jc w:val="right"/>
              <w:ind w:right="380"/>
              <w:spacing w:after="0"/>
              <w:rPr>
                <w:sz w:val="20"/>
                <w:szCs w:val="20"/>
                <w:color w:val="auto"/>
              </w:rPr>
            </w:pPr>
            <w:r>
              <w:rPr>
                <w:rFonts w:ascii="Arial" w:cs="Arial" w:eastAsia="Arial" w:hAnsi="Arial"/>
                <w:sz w:val="11"/>
                <w:szCs w:val="11"/>
                <w:b w:val="1"/>
                <w:bCs w:val="1"/>
                <w:color w:val="auto"/>
                <w:w w:val="97"/>
              </w:rPr>
              <w:t>Three Months Ended</w:t>
            </w:r>
          </w:p>
        </w:tc>
        <w:tc>
          <w:tcPr>
            <w:tcW w:w="0" w:type="dxa"/>
            <w:vAlign w:val="bottom"/>
          </w:tcPr>
          <w:p>
            <w:pPr>
              <w:spacing w:after="0"/>
              <w:rPr>
                <w:sz w:val="1"/>
                <w:szCs w:val="1"/>
                <w:color w:val="auto"/>
              </w:rPr>
            </w:pPr>
          </w:p>
        </w:tc>
      </w:tr>
      <w:tr>
        <w:trPr>
          <w:trHeight w:val="55"/>
        </w:trPr>
        <w:tc>
          <w:tcPr>
            <w:tcW w:w="3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jc w:val="center"/>
              <w:ind w:right="720"/>
              <w:spacing w:after="0" w:line="121" w:lineRule="exact"/>
              <w:rPr>
                <w:sz w:val="20"/>
                <w:szCs w:val="20"/>
                <w:color w:val="auto"/>
              </w:rPr>
            </w:pPr>
            <w:r>
              <w:rPr>
                <w:rFonts w:ascii="Arial" w:cs="Arial" w:eastAsia="Arial" w:hAnsi="Arial"/>
                <w:sz w:val="11"/>
                <w:szCs w:val="11"/>
                <w:b w:val="1"/>
                <w:bCs w:val="1"/>
                <w:color w:val="auto"/>
                <w:w w:val="95"/>
              </w:rPr>
              <w:t>Ended</w:t>
            </w:r>
          </w:p>
        </w:tc>
        <w:tc>
          <w:tcPr>
            <w:tcW w:w="120" w:type="dxa"/>
            <w:vAlign w:val="bottom"/>
          </w:tcPr>
          <w:p>
            <w:pPr>
              <w:spacing w:after="0"/>
              <w:rPr>
                <w:sz w:val="4"/>
                <w:szCs w:val="4"/>
                <w:color w:val="auto"/>
              </w:rPr>
            </w:pPr>
          </w:p>
        </w:tc>
        <w:tc>
          <w:tcPr>
            <w:tcW w:w="1160" w:type="dxa"/>
            <w:vAlign w:val="bottom"/>
            <w:gridSpan w:val="2"/>
            <w:vMerge w:val="restart"/>
          </w:tcPr>
          <w:p>
            <w:pPr>
              <w:jc w:val="center"/>
              <w:ind w:right="760"/>
              <w:spacing w:after="0" w:line="121" w:lineRule="exact"/>
              <w:rPr>
                <w:sz w:val="20"/>
                <w:szCs w:val="20"/>
                <w:color w:val="auto"/>
              </w:rPr>
            </w:pPr>
            <w:r>
              <w:rPr>
                <w:rFonts w:ascii="Arial" w:cs="Arial" w:eastAsia="Arial" w:hAnsi="Arial"/>
                <w:sz w:val="11"/>
                <w:szCs w:val="11"/>
                <w:b w:val="1"/>
                <w:bCs w:val="1"/>
                <w:color w:val="auto"/>
                <w:w w:val="95"/>
              </w:rPr>
              <w:t>Ended</w:t>
            </w:r>
          </w:p>
        </w:tc>
        <w:tc>
          <w:tcPr>
            <w:tcW w:w="1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w w:val="87"/>
              </w:rPr>
              <w:t>September 28, 2006</w:t>
            </w: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w w:val="99"/>
              </w:rPr>
              <w:t>September 28, 2006</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80" w:type="dxa"/>
            <w:vAlign w:val="bottom"/>
            <w:gridSpan w:val="3"/>
            <w:vMerge w:val="restart"/>
          </w:tcPr>
          <w:p>
            <w:pPr>
              <w:jc w:val="center"/>
              <w:ind w:right="640"/>
              <w:spacing w:after="0" w:line="121" w:lineRule="exact"/>
              <w:rPr>
                <w:sz w:val="20"/>
                <w:szCs w:val="20"/>
                <w:color w:val="auto"/>
              </w:rPr>
            </w:pPr>
            <w:r>
              <w:rPr>
                <w:rFonts w:ascii="Arial" w:cs="Arial" w:eastAsia="Arial" w:hAnsi="Arial"/>
                <w:sz w:val="11"/>
                <w:szCs w:val="11"/>
                <w:b w:val="1"/>
                <w:bCs w:val="1"/>
                <w:color w:val="auto"/>
                <w:w w:val="89"/>
              </w:rPr>
              <w:t>December 29,</w:t>
            </w:r>
          </w:p>
        </w:tc>
        <w:tc>
          <w:tcPr>
            <w:tcW w:w="128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3"/>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34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3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2005</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52"/>
              <w:spacing w:after="0" w:line="121" w:lineRule="exact"/>
              <w:rPr>
                <w:sz w:val="20"/>
                <w:szCs w:val="20"/>
                <w:color w:val="auto"/>
              </w:rPr>
            </w:pPr>
            <w:r>
              <w:rPr>
                <w:rFonts w:ascii="Arial" w:cs="Arial" w:eastAsia="Arial" w:hAnsi="Arial"/>
                <w:sz w:val="11"/>
                <w:szCs w:val="11"/>
                <w:b w:val="1"/>
                <w:bCs w:val="1"/>
                <w:color w:val="auto"/>
                <w:w w:val="81"/>
              </w:rPr>
              <w:t>2005</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gridSpan w:val="3"/>
          </w:tcPr>
          <w:p>
            <w:pPr>
              <w:jc w:val="right"/>
              <w:ind w:right="500"/>
              <w:spacing w:after="0" w:line="121" w:lineRule="exact"/>
              <w:rPr>
                <w:sz w:val="20"/>
                <w:szCs w:val="20"/>
                <w:color w:val="auto"/>
              </w:rPr>
            </w:pPr>
            <w:r>
              <w:rPr>
                <w:rFonts w:ascii="Arial" w:cs="Arial" w:eastAsia="Arial" w:hAnsi="Arial"/>
                <w:sz w:val="11"/>
                <w:szCs w:val="11"/>
                <w:b w:val="1"/>
                <w:bCs w:val="1"/>
                <w:color w:val="auto"/>
              </w:rPr>
              <w:t>Pro</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240"/>
              <w:spacing w:after="0" w:line="121" w:lineRule="exact"/>
              <w:rPr>
                <w:sz w:val="20"/>
                <w:szCs w:val="20"/>
                <w:color w:val="auto"/>
              </w:rPr>
            </w:pPr>
            <w:r>
              <w:rPr>
                <w:rFonts w:ascii="Arial" w:cs="Arial" w:eastAsia="Arial" w:hAnsi="Arial"/>
                <w:sz w:val="11"/>
                <w:szCs w:val="11"/>
                <w:b w:val="1"/>
                <w:bCs w:val="1"/>
                <w:color w:val="auto"/>
                <w:w w:val="86"/>
              </w:rPr>
              <w:t>Pro</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1"/>
              </w:rPr>
              <w:t>Historical</w:t>
            </w:r>
          </w:p>
        </w:tc>
        <w:tc>
          <w:tcPr>
            <w:tcW w:w="1280" w:type="dxa"/>
            <w:vAlign w:val="bottom"/>
            <w:gridSpan w:val="3"/>
          </w:tcPr>
          <w:p>
            <w:pPr>
              <w:jc w:val="center"/>
              <w:ind w:right="640"/>
              <w:spacing w:after="0"/>
              <w:rPr>
                <w:sz w:val="20"/>
                <w:szCs w:val="20"/>
                <w:color w:val="auto"/>
              </w:rPr>
            </w:pPr>
            <w:r>
              <w:rPr>
                <w:rFonts w:ascii="Arial" w:cs="Arial" w:eastAsia="Arial" w:hAnsi="Arial"/>
                <w:sz w:val="11"/>
                <w:szCs w:val="11"/>
                <w:b w:val="1"/>
                <w:bCs w:val="1"/>
                <w:color w:val="auto"/>
                <w:w w:val="94"/>
              </w:rPr>
              <w:t>Pro Forma</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Historical</w:t>
            </w:r>
          </w:p>
        </w:tc>
        <w:tc>
          <w:tcPr>
            <w:tcW w:w="78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Forma</w:t>
            </w:r>
          </w:p>
        </w:tc>
        <w:tc>
          <w:tcPr>
            <w:tcW w:w="260" w:type="dxa"/>
            <w:vAlign w:val="bottom"/>
          </w:tcPr>
          <w:p>
            <w:pPr>
              <w:spacing w:after="0"/>
              <w:rPr>
                <w:sz w:val="12"/>
                <w:szCs w:val="12"/>
                <w:color w:val="auto"/>
              </w:rPr>
            </w:pP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rPr>
              <w:t>Historical</w:t>
            </w:r>
          </w:p>
        </w:tc>
        <w:tc>
          <w:tcPr>
            <w:tcW w:w="5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Forma</w:t>
            </w:r>
          </w:p>
        </w:tc>
        <w:tc>
          <w:tcPr>
            <w:tcW w:w="0" w:type="dxa"/>
            <w:vAlign w:val="bottom"/>
          </w:tcPr>
          <w:p>
            <w:pPr>
              <w:spacing w:after="0"/>
              <w:rPr>
                <w:sz w:val="1"/>
                <w:szCs w:val="1"/>
                <w:color w:val="auto"/>
              </w:rPr>
            </w:pPr>
          </w:p>
        </w:tc>
      </w:tr>
      <w:tr>
        <w:trPr>
          <w:trHeight w:val="104"/>
        </w:trPr>
        <w:tc>
          <w:tcPr>
            <w:tcW w:w="34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ind w:left="60"/>
              <w:spacing w:after="0" w:line="104" w:lineRule="exact"/>
              <w:rPr>
                <w:sz w:val="20"/>
                <w:szCs w:val="20"/>
                <w:color w:val="auto"/>
              </w:rPr>
            </w:pPr>
            <w:r>
              <w:rPr>
                <w:rFonts w:ascii="Arial" w:cs="Arial" w:eastAsia="Arial" w:hAnsi="Arial"/>
                <w:sz w:val="11"/>
                <w:szCs w:val="11"/>
                <w:b w:val="1"/>
                <w:bCs w:val="1"/>
                <w:color w:val="auto"/>
              </w:rPr>
              <w:t>($ in</w:t>
            </w:r>
          </w:p>
        </w:tc>
        <w:tc>
          <w:tcPr>
            <w:tcW w:w="580" w:type="dxa"/>
            <w:vAlign w:val="bottom"/>
          </w:tcPr>
          <w:p>
            <w:pPr>
              <w:jc w:val="right"/>
              <w:ind w:right="145"/>
              <w:spacing w:after="0" w:line="104" w:lineRule="exact"/>
              <w:rPr>
                <w:sz w:val="20"/>
                <w:szCs w:val="20"/>
                <w:color w:val="auto"/>
              </w:rPr>
            </w:pPr>
            <w:r>
              <w:rPr>
                <w:rFonts w:ascii="Arial" w:cs="Arial" w:eastAsia="Arial" w:hAnsi="Arial"/>
                <w:sz w:val="11"/>
                <w:szCs w:val="11"/>
                <w:b w:val="1"/>
                <w:bCs w:val="1"/>
                <w:color w:val="auto"/>
                <w:w w:val="79"/>
              </w:rPr>
              <w:t>millions)</w:t>
            </w: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Net Income (Loss)</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5"/>
              <w:spacing w:after="0"/>
              <w:rPr>
                <w:sz w:val="20"/>
                <w:szCs w:val="20"/>
                <w:color w:val="auto"/>
              </w:rPr>
            </w:pPr>
            <w:r>
              <w:rPr>
                <w:rFonts w:ascii="Arial" w:cs="Arial" w:eastAsia="Arial" w:hAnsi="Arial"/>
                <w:sz w:val="14"/>
                <w:szCs w:val="14"/>
                <w:color w:val="auto"/>
              </w:rPr>
              <w:t>(11.2)</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8.9</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0"/>
              <w:spacing w:after="0"/>
              <w:rPr>
                <w:sz w:val="20"/>
                <w:szCs w:val="20"/>
                <w:color w:val="auto"/>
              </w:rPr>
            </w:pPr>
            <w:r>
              <w:rPr>
                <w:rFonts w:ascii="Arial" w:cs="Arial" w:eastAsia="Arial" w:hAnsi="Arial"/>
                <w:sz w:val="14"/>
                <w:szCs w:val="14"/>
                <w:color w:val="auto"/>
              </w:rPr>
              <w:t>(0.6)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Income Taxes</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5.9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Minority Interest</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21.7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Interest Expense</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5"/>
                <w:szCs w:val="15"/>
                <w:color w:val="auto"/>
              </w:rPr>
            </w:pPr>
          </w:p>
        </w:tc>
        <w:tc>
          <w:tcPr>
            <w:tcW w:w="920" w:type="dxa"/>
            <w:vAlign w:val="bottom"/>
            <w:gridSpan w:val="2"/>
          </w:tcPr>
          <w:p>
            <w:pPr>
              <w:jc w:val="right"/>
              <w:ind w:right="525"/>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48.4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1"/>
        </w:trPr>
        <w:tc>
          <w:tcPr>
            <w:tcW w:w="34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920" w:type="dxa"/>
            <w:vAlign w:val="bottom"/>
            <w:gridSpan w:val="2"/>
          </w:tcPr>
          <w:p>
            <w:pPr>
              <w:jc w:val="right"/>
              <w:ind w:right="525"/>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EBITDA</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80" w:type="dxa"/>
            <w:vAlign w:val="bottom"/>
            <w:vMerge w:val="continue"/>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100.</w:t>
            </w:r>
            <w:r>
              <w:rPr>
                <w:rFonts w:ascii="Arial" w:cs="Arial" w:eastAsia="Arial" w:hAnsi="Arial"/>
                <w:sz w:val="14"/>
                <w:szCs w:val="14"/>
                <w:u w:val="single" w:color="auto"/>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5"/>
              <w:spacing w:after="0"/>
              <w:rPr>
                <w:sz w:val="20"/>
                <w:szCs w:val="20"/>
                <w:color w:val="auto"/>
              </w:rPr>
            </w:pPr>
            <w:r>
              <w:rPr>
                <w:rFonts w:ascii="Arial" w:cs="Arial" w:eastAsia="Arial" w:hAnsi="Arial"/>
                <w:sz w:val="14"/>
                <w:szCs w:val="14"/>
                <w:color w:val="auto"/>
              </w:rPr>
              <w:t>(7.5)</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88.3</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Severance Plan Costs</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4"/>
                <w:szCs w:val="14"/>
                <w:color w:val="auto"/>
              </w:rPr>
            </w:pPr>
          </w:p>
        </w:tc>
        <w:tc>
          <w:tcPr>
            <w:tcW w:w="920" w:type="dxa"/>
            <w:vAlign w:val="bottom"/>
            <w:gridSpan w:val="2"/>
          </w:tcPr>
          <w:p>
            <w:pPr>
              <w:jc w:val="right"/>
              <w:ind w:right="525"/>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Share-based Payment Costs</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525"/>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1"/>
        </w:trPr>
        <w:tc>
          <w:tcPr>
            <w:tcW w:w="3480" w:type="dxa"/>
            <w:vAlign w:val="bottom"/>
          </w:tcPr>
          <w:p>
            <w:pPr>
              <w:spacing w:after="0"/>
              <w:rPr>
                <w:sz w:val="20"/>
                <w:szCs w:val="20"/>
                <w:color w:val="auto"/>
              </w:rPr>
            </w:pPr>
            <w:r>
              <w:rPr>
                <w:rFonts w:ascii="Arial" w:cs="Arial" w:eastAsia="Arial" w:hAnsi="Arial"/>
                <w:sz w:val="14"/>
                <w:szCs w:val="14"/>
                <w:color w:val="auto"/>
              </w:rPr>
              <w:t>Deferred Stock Compensation</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80" w:type="dxa"/>
            <w:vAlign w:val="bottom"/>
            <w:vMerge w:val="continue"/>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6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108.</w:t>
            </w:r>
            <w:r>
              <w:rPr>
                <w:rFonts w:ascii="Arial" w:cs="Arial" w:eastAsia="Arial" w:hAnsi="Arial"/>
                <w:sz w:val="14"/>
                <w:szCs w:val="14"/>
                <w:u w:val="single" w:color="auto"/>
                <w:color w:val="auto"/>
              </w:rPr>
              <w:t>8</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5"/>
              <w:spacing w:after="0"/>
              <w:rPr>
                <w:sz w:val="20"/>
                <w:szCs w:val="20"/>
                <w:color w:val="auto"/>
              </w:rPr>
            </w:pPr>
            <w:r>
              <w:rPr>
                <w:rFonts w:ascii="Arial" w:cs="Arial" w:eastAsia="Arial" w:hAnsi="Arial"/>
                <w:sz w:val="14"/>
                <w:szCs w:val="14"/>
                <w:color w:val="auto"/>
              </w:rPr>
              <w:t>(3.0)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92.8</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Adjusted EBITDA Margin*</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3"/>
                <w:szCs w:val="13"/>
                <w:color w:val="auto"/>
              </w:rPr>
            </w:pPr>
          </w:p>
        </w:tc>
        <w:tc>
          <w:tcPr>
            <w:tcW w:w="116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49.1%</w:t>
            </w:r>
          </w:p>
        </w:tc>
        <w:tc>
          <w:tcPr>
            <w:tcW w:w="120" w:type="dxa"/>
            <w:vAlign w:val="bottom"/>
          </w:tcPr>
          <w:p>
            <w:pPr>
              <w:spacing w:after="0"/>
              <w:rPr>
                <w:sz w:val="13"/>
                <w:szCs w:val="13"/>
                <w:color w:val="auto"/>
              </w:rPr>
            </w:pPr>
          </w:p>
        </w:tc>
        <w:tc>
          <w:tcPr>
            <w:tcW w:w="9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NM</w:t>
            </w:r>
          </w:p>
        </w:tc>
        <w:tc>
          <w:tcPr>
            <w:tcW w:w="140" w:type="dxa"/>
            <w:vAlign w:val="bottom"/>
          </w:tcPr>
          <w:p>
            <w:pPr>
              <w:spacing w:after="0"/>
              <w:rPr>
                <w:sz w:val="13"/>
                <w:szCs w:val="13"/>
                <w:color w:val="auto"/>
              </w:rPr>
            </w:pPr>
          </w:p>
        </w:tc>
        <w:tc>
          <w:tcPr>
            <w:tcW w:w="6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0"/>
              </w:rPr>
              <w:t>49.3%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4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220" w:hanging="213"/>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margin is calculated by dividing adjusted EBITDA by total revenue.</w:t>
      </w:r>
    </w:p>
    <w:p>
      <w:pPr>
        <w:spacing w:after="0" w:line="145" w:lineRule="exact"/>
        <w:rPr>
          <w:rFonts w:ascii="Arial" w:cs="Arial" w:eastAsia="Arial" w:hAnsi="Arial"/>
          <w:sz w:val="14"/>
          <w:szCs w:val="14"/>
          <w:i w:val="1"/>
          <w:iCs w:val="1"/>
          <w:color w:val="auto"/>
        </w:rPr>
      </w:pPr>
    </w:p>
    <w:p>
      <w:pPr>
        <w:ind w:right="300" w:firstLine="465"/>
        <w:spacing w:after="0" w:line="289" w:lineRule="auto"/>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the total number of screens within our advertising network operated by our founding members. Excludes Cinemark operated screens for the period ended December 29, 2005. Excludes Loews and Century screens for all periods presented.</w:t>
      </w:r>
    </w:p>
    <w:p>
      <w:pPr>
        <w:spacing w:after="0" w:line="93" w:lineRule="exact"/>
        <w:rPr>
          <w:rFonts w:ascii="Arial" w:cs="Arial" w:eastAsia="Arial" w:hAnsi="Arial"/>
          <w:sz w:val="14"/>
          <w:szCs w:val="14"/>
          <w:color w:val="auto"/>
        </w:rPr>
      </w:pPr>
    </w:p>
    <w:p>
      <w:pPr>
        <w:ind w:left="600" w:hanging="135"/>
        <w:spacing w:after="0"/>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the sum of founding member screens and network affiliate screens.</w:t>
      </w:r>
    </w:p>
    <w:p>
      <w:pPr>
        <w:spacing w:after="0" w:line="145" w:lineRule="exact"/>
        <w:rPr>
          <w:rFonts w:ascii="Arial" w:cs="Arial" w:eastAsia="Arial" w:hAnsi="Arial"/>
          <w:sz w:val="14"/>
          <w:szCs w:val="14"/>
          <w:color w:val="auto"/>
        </w:rPr>
      </w:pPr>
    </w:p>
    <w:p>
      <w:pPr>
        <w:ind w:left="600" w:hanging="135"/>
        <w:spacing w:after="0"/>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the total number of screens which are connected to our digital content network.</w:t>
      </w:r>
    </w:p>
    <w:p>
      <w:pPr>
        <w:spacing w:after="0" w:line="145" w:lineRule="exact"/>
        <w:rPr>
          <w:rFonts w:ascii="Arial" w:cs="Arial" w:eastAsia="Arial" w:hAnsi="Arial"/>
          <w:sz w:val="14"/>
          <w:szCs w:val="14"/>
          <w:color w:val="auto"/>
        </w:rPr>
      </w:pPr>
    </w:p>
    <w:p>
      <w:pPr>
        <w:ind w:right="160" w:firstLine="465"/>
        <w:spacing w:after="0" w:line="275" w:lineRule="auto"/>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the total attendance within our advertising network in theatres operated by our founding members. Excludes Cinemark attendance for the period ended December 29, 2005. Excludes Loews and Century screens for all periods presented. The Loews and Century total attendance for the three and nine months ended September 28, 2006 were approximately 16.2 million and 12.5 million, and 48.5 million and 36.9 million, respectively.</w:t>
      </w:r>
    </w:p>
    <w:p>
      <w:pPr>
        <w:spacing w:after="0" w:line="102" w:lineRule="exact"/>
        <w:rPr>
          <w:rFonts w:ascii="Arial" w:cs="Arial" w:eastAsia="Arial" w:hAnsi="Arial"/>
          <w:sz w:val="14"/>
          <w:szCs w:val="14"/>
          <w:color w:val="auto"/>
        </w:rPr>
      </w:pPr>
    </w:p>
    <w:p>
      <w:pPr>
        <w:ind w:right="80" w:firstLine="465"/>
        <w:spacing w:after="0" w:line="275" w:lineRule="auto"/>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Includes advertising revenue plus legacy contract value for all historical periods. Excludes $3.7 million of revenue related to the beverage concessionaire agreements for Cinemark in the pro forma period ended December 29, 2005, and $1.3 million and $3.9 million of revenue related to the beverage concessionaire agreements for Loews in the pro forma three and nine months ended September 28, 2006, as attendees for Cinemark and Loews were not included during these periods.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399"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 FACTORS</w:t>
      </w:r>
    </w:p>
    <w:p>
      <w:pPr>
        <w:spacing w:after="0" w:line="149"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i w:val="1"/>
          <w:iCs w:val="1"/>
          <w:color w:val="auto"/>
        </w:rPr>
        <w:t>Before you decide to purchase shares of our common stock, you should understand the high degree of risk involved. You should consider carefully the following risks and other information in this prospectus, including our pro forma and historical financial statements and related notes. If any of the following risks actually occur, our business, financial condition and operating results could be adversely affected. As a result, the trading price of our common stock could decline, perhaps significantly.</w:t>
      </w:r>
    </w:p>
    <w:p>
      <w:pPr>
        <w:spacing w:after="0" w:line="164"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the exhibitor services agreements with, or lack of support by, our founding members could damage our revenue, growth and profitability</w:t>
      </w:r>
    </w:p>
    <w:p>
      <w:pPr>
        <w:spacing w:after="0" w:line="79"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The exhibitor services agreements with our founding members will be critical to our business. The three exhibitor services agreements, which will be in effect following the completion of this offering, each have a term of 30 years and provide us with a five-year right of first refusal, which begins one year prior to the end of the term of the exhibitor services agreement. The term of the exhibitor services agreements as they relate to CineMeetings and digital programming will be approximately five years with provisions for automatic renewal if certain financial performance conditions are met. Our founding members’ theatres represent approximately 93% of the screens in our network as of September 28, 2006. If any one of the exhibitor services agreements were terminated, not renewed at its expiration or found to be unenforceable, it would have a material adverse effect on our revenue, profitability and financial condition.</w:t>
      </w:r>
    </w:p>
    <w:p>
      <w:pPr>
        <w:spacing w:after="0" w:line="93" w:lineRule="exact"/>
        <w:rPr>
          <w:sz w:val="20"/>
          <w:szCs w:val="20"/>
          <w:color w:val="auto"/>
        </w:rPr>
      </w:pPr>
    </w:p>
    <w:p>
      <w:pPr>
        <w:ind w:right="20" w:firstLine="458"/>
        <w:spacing w:after="0" w:line="290" w:lineRule="auto"/>
        <w:rPr>
          <w:sz w:val="20"/>
          <w:szCs w:val="20"/>
          <w:color w:val="auto"/>
        </w:rPr>
      </w:pPr>
      <w:r>
        <w:rPr>
          <w:rFonts w:ascii="Arial" w:cs="Arial" w:eastAsia="Arial" w:hAnsi="Arial"/>
          <w:sz w:val="13"/>
          <w:szCs w:val="13"/>
          <w:color w:val="auto"/>
        </w:rPr>
        <w:t>The exhibitor services agreements require the cooperation, investment and support of the founding members, the absence of which could adversely affect us. Pursuant to the exhibitor services agreements, our founding members must make investments to replace digital network equipment within their theatres and equip newly constructed theatres with digital network 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CineMeetings and digital programming events revenue and operating margins may decline. If the founding members reject advertising or choose not to participate in certain CineMeetings or digital programming events under the terms of the exhibitor services agreements because they believe it would adversely affect their film attendance levels or the reputation of their company, our revenue from these businesses would be reduced.</w:t>
      </w:r>
    </w:p>
    <w:p>
      <w:pPr>
        <w:spacing w:after="0" w:line="162" w:lineRule="exact"/>
        <w:rPr>
          <w:sz w:val="20"/>
          <w:szCs w:val="20"/>
          <w:color w:val="auto"/>
        </w:rPr>
      </w:pPr>
    </w:p>
    <w:p>
      <w:pPr>
        <w:ind w:right="420"/>
        <w:spacing w:after="0" w:line="289" w:lineRule="auto"/>
        <w:rPr>
          <w:sz w:val="20"/>
          <w:szCs w:val="20"/>
          <w:color w:val="auto"/>
        </w:rPr>
      </w:pPr>
      <w:r>
        <w:rPr>
          <w:rFonts w:ascii="Arial" w:cs="Arial" w:eastAsia="Arial" w:hAnsi="Arial"/>
          <w:sz w:val="14"/>
          <w:szCs w:val="14"/>
          <w:b w:val="1"/>
          <w:bCs w:val="1"/>
          <w:i w:val="1"/>
          <w:iCs w:val="1"/>
          <w:color w:val="auto"/>
        </w:rPr>
        <w:t>The exhibitor services agreements allow the founding members to engage in activities that might compete with certain elements of our business, which could reduce our revenue and growth potential</w:t>
      </w:r>
    </w:p>
    <w:p>
      <w:pPr>
        <w:spacing w:after="0" w:line="28"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 xml:space="preserve">The exhibitor services agreements contain certain limited exceptions to our exclusive right to use the founding members’ theatres for our advertising business. The founding members will have the right to enter into strategic cross-marketing relationships with third-party, unaffiliated businesses for the purpose of generating increased attendance or revenue (other than revenue from the sale of advertising) and, subject to certain limits, can use one minute on the lobby entertainment network and certain types of lobby promotions, at no cost, for the purpose of promoting the products or services of those businesses while at the same time promoting the theatre circuit or the movie-going experience. Subject to certain limits, they can also purchase an additional minute of advertising on the lobby entertainment network for these cross-marketing promotions. The use of lobby entertainment network or lobby promotions by our founding members for these advertisements and programs could result in the founding members creating relationships with advertisers that could adversely affect our current lobby entertainment network and lobby promotions advertising revenue and profitability as well as the potential we have to grow that advertising revenue in the future. The lobby entertainment network and lobby promotions represented 2.2% and 7.2% and 2.8% and 6.1%, respectively, of our total pro forma advertising revenue for the three and nine months ended September 28, 2006. The founding members will not have the right to use their movie screens (including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or otherwise) for promoting these cross-marketing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399"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relationships, and thus we will have the exclusive rights to advertise on the movie screens, except for limited advertising related to theatre operations, and to package such on-screen advertising with the lobby entertainment network advertising and lobby promotions.</w:t>
      </w:r>
    </w:p>
    <w:p>
      <w:pPr>
        <w:spacing w:after="0" w:line="93"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The founding members also will have the right to install a second network of video monitors in the theatre lobbies in excess of those required to be installed by the founding members for the lobby entertainment network. This additional lobby video network, which we refer to as the founders’ lobby network, is to be used by the founding members to promote products or services related to operating the theatres, such as concessions and loyalty programs. The presence of the founders’ lobby network within the lobby areas could reduce the effectiveness of our lobby entertainment network, thereby reducing our current lobby entertainment network advertising revenue and profitability and adversely affecting future revenue potential associated with that marketing platform.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non-competition provisions of the exhibitor services agreements are deemed unenforceable, our founding members could compete against us and our business could be adversely affected</w:t>
      </w:r>
    </w:p>
    <w:p>
      <w:pPr>
        <w:spacing w:after="0" w:line="102" w:lineRule="exact"/>
        <w:rPr>
          <w:sz w:val="20"/>
          <w:szCs w:val="20"/>
          <w:color w:val="auto"/>
        </w:rPr>
      </w:pPr>
    </w:p>
    <w:p>
      <w:pPr>
        <w:ind w:right="240" w:firstLine="458"/>
        <w:spacing w:after="0" w:line="328" w:lineRule="auto"/>
        <w:rPr>
          <w:sz w:val="20"/>
          <w:szCs w:val="20"/>
          <w:color w:val="auto"/>
        </w:rPr>
      </w:pPr>
      <w:r>
        <w:rPr>
          <w:rFonts w:ascii="Arial" w:cs="Arial" w:eastAsia="Arial" w:hAnsi="Arial"/>
          <w:sz w:val="12"/>
          <w:szCs w:val="12"/>
          <w:color w:val="auto"/>
        </w:rPr>
        <w:t>With certain limited exceptions, each of the exhibitor services agreements prohibits the applicable founding member from engaging in any of the business activities that we provide in the founding member’s theatres under the exhibitor services agreement,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11" w:lineRule="exact"/>
        <w:rPr>
          <w:sz w:val="20"/>
          <w:szCs w:val="20"/>
          <w:color w:val="auto"/>
        </w:rPr>
      </w:pPr>
    </w:p>
    <w:p>
      <w:pPr>
        <w:ind w:left="780" w:hanging="24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is not necessary to protect a legitimate business interest of the party seeking enforcement;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unreasonably restrains the party against whom enforcement is sought; or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is contrary to the public interest.</w:t>
      </w:r>
    </w:p>
    <w:p>
      <w:pPr>
        <w:spacing w:after="0" w:line="145"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exhibitor services agreements.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72"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b w:val="1"/>
          <w:bCs w:val="1"/>
          <w:i w:val="1"/>
          <w:iCs w:val="1"/>
          <w:color w:val="auto"/>
        </w:rPr>
        <w:t>If one of our founding members declares bankruptcy, our exhibitor services agreement with that founding member may be rejected, renegotiated or deemed unenforceable or our network could be adversely affected by the disposition of theatres</w:t>
      </w:r>
    </w:p>
    <w:p>
      <w:pPr>
        <w:spacing w:after="0" w:line="28"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Each of our founding members currently has a significant amount of indebtedness which is below investment grade. Since 1999, several major motion picture exhibition companies have filed for bankruptcy. For example, each of United Artists, Edwards Theatres, Regal Cinemas, General Cinemas and Loews Cineplex filed for bankruptcy during 2000 or 2001.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 founding member, it is possible that all or part of our exhibitor services agreement with that founding member could be rejected by a trustee in the bankruptcy case pursuant to Section 365 or Section 1123 of the United States Bankruptcy Code, or by the founding member, and thus not be enforceable. Alternatively, the founding member could seek to renegotiate the exhibitor services agreement in a manner less favorable to us than the existing agreement. In addition, the founding member could seek to sell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399" w:right="21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otherwise dispose of theatres, which might result in the removal of those theatres from our network. Because we sell advertising based on the number of theatre patrons that will view the advertisement, a reduction in the number of theatres in our network could reduce our advertising revenue.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markets for advertising, meeting management and digital programming content are competitive and we may be unable to compete successfully</w:t>
      </w:r>
    </w:p>
    <w:p>
      <w:pPr>
        <w:spacing w:after="0" w:line="79"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The market for advertising is intensely competitive. Cinema advertising is a small component of the overall U.S. advertising market and thus we must compete with established, larger and better known national and local media platforms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102" w:lineRule="exact"/>
        <w:rPr>
          <w:sz w:val="20"/>
          <w:szCs w:val="20"/>
          <w:color w:val="auto"/>
        </w:rPr>
      </w:pPr>
    </w:p>
    <w:p>
      <w:pPr>
        <w:ind w:right="80" w:firstLine="458"/>
        <w:spacing w:after="0" w:line="305" w:lineRule="auto"/>
        <w:rPr>
          <w:sz w:val="20"/>
          <w:szCs w:val="20"/>
          <w:color w:val="auto"/>
        </w:rPr>
      </w:pPr>
      <w:r>
        <w:rPr>
          <w:rFonts w:ascii="Arial" w:cs="Arial" w:eastAsia="Arial" w:hAnsi="Arial"/>
          <w:sz w:val="13"/>
          <w:szCs w:val="13"/>
          <w:color w:val="auto"/>
        </w:rPr>
        <w:t>We also compete directly with other cinema advertising companies. We expect these competitors to devote significant financial and operating resources to maintaining and growing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86" w:lineRule="exact"/>
        <w:rPr>
          <w:sz w:val="20"/>
          <w:szCs w:val="20"/>
          <w:color w:val="auto"/>
        </w:rPr>
      </w:pPr>
    </w:p>
    <w:p>
      <w:pPr>
        <w:ind w:right="200" w:firstLine="458"/>
        <w:spacing w:after="0" w:line="270" w:lineRule="auto"/>
        <w:rPr>
          <w:sz w:val="20"/>
          <w:szCs w:val="20"/>
          <w:color w:val="auto"/>
        </w:rPr>
      </w:pPr>
      <w:r>
        <w:rPr>
          <w:rFonts w:ascii="Arial" w:cs="Arial" w:eastAsia="Arial" w:hAnsi="Arial"/>
          <w:sz w:val="14"/>
          <w:szCs w:val="14"/>
          <w:color w:val="auto"/>
        </w:rPr>
        <w:t>Our CineMeetings business facilitates live and pre-recorded events in theatre auditoriums. These events are typically scheduled from Monday through Thursday during off-peak hours while theatre attendance for movies is traditionally low. This business competes for customers with a number of venues including hotels, conference facilities, restaurants, arenas and other convention properties, as well as virtual meetings hosted on-line or over private teleconferencing networks. Accordingly, our ability to increase sales in our CineMeetings business is contingent on our ability to attract new customers and compete effectively against other well-established venues.</w:t>
      </w:r>
    </w:p>
    <w:p>
      <w:pPr>
        <w:spacing w:after="0" w:line="106" w:lineRule="exact"/>
        <w:rPr>
          <w:sz w:val="20"/>
          <w:szCs w:val="20"/>
          <w:color w:val="auto"/>
        </w:rPr>
      </w:pPr>
    </w:p>
    <w:p>
      <w:pPr>
        <w:ind w:right="240" w:firstLine="458"/>
        <w:spacing w:after="0" w:line="293" w:lineRule="auto"/>
        <w:rPr>
          <w:sz w:val="20"/>
          <w:szCs w:val="20"/>
          <w:color w:val="auto"/>
        </w:rPr>
      </w:pPr>
      <w:r>
        <w:rPr>
          <w:rFonts w:ascii="Arial" w:cs="Arial" w:eastAsia="Arial" w:hAnsi="Arial"/>
          <w:sz w:val="13"/>
          <w:szCs w:val="13"/>
          <w:color w:val="auto"/>
        </w:rPr>
        <w:t>Our digital programming events business focuses on the licensing and distribution of entertainment programming products and the sale of sponsorships associated with that programming. It includes live and pre-recorded concerts and music events, concert and DVD product releases, theatrical premieres, Broadway plays, as well as live sports and other special events. This business competes for music, sports and other entertainment programming, as well as the associated sponsorships, with other national networks, some of which offer greater geographic reach and larger audiences. Accordingly, our ability to source a consistent flow of programming is contingent on our ability to develop and sustain relationships with content owners. Sponsorships for our digital programming events may be limited by our ability to license a consistent and significant source of content that sponsors want to be associated with.</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rely heavily on our founding members’ ability to attract customers, any reduction in attendance at founding member theatres could decrease our revenue</w:t>
      </w:r>
    </w:p>
    <w:p>
      <w:pPr>
        <w:spacing w:after="0" w:line="79"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Our business is affected by the success of our founding members, who operate in a highly competitive industry. From the late 1990s through 2002, the number of movie screens and the level of theatre attendance in the United States increased substantially, as movie theatres began to offer new amenities such as stadium seating, improved projection quality and superior sound systems. While box office attendance has increased in 2006 through September 30 as compared to the same period in 2005, it declined in each of 2003, 2004 and 2005. If theatre attendance declines in the future, one or more of our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Our founding members also may not successfully compete for licenses to exhibit quality films and are not assured a consistent supply of motion pictures since they do not have long-term arrangements with major film distributors. Any of these circumstances could reduce our revenue because our revenue depends on the number of theatre patrons who view our advertising and pre-feature show.</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40"/>
          </w:cols>
          <w:pgMar w:left="220" w:top="399" w:right="23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declines in theatre attendance could reduce the attractiveness of cinema advertising</w:t>
      </w:r>
    </w:p>
    <w:p>
      <w:pPr>
        <w:spacing w:after="0" w:line="79" w:lineRule="exact"/>
        <w:rPr>
          <w:sz w:val="20"/>
          <w:szCs w:val="20"/>
          <w:color w:val="auto"/>
        </w:rPr>
      </w:pPr>
    </w:p>
    <w:p>
      <w:pPr>
        <w:ind w:right="220" w:firstLine="458"/>
        <w:spacing w:after="0" w:line="330" w:lineRule="auto"/>
        <w:rPr>
          <w:sz w:val="20"/>
          <w:szCs w:val="20"/>
          <w:color w:val="auto"/>
        </w:rPr>
      </w:pPr>
      <w:r>
        <w:rPr>
          <w:rFonts w:ascii="Arial" w:cs="Arial" w:eastAsia="Arial" w:hAnsi="Arial"/>
          <w:sz w:val="13"/>
          <w:szCs w:val="13"/>
          <w:color w:val="auto"/>
        </w:rPr>
        <w:t>The value of our advertising business could be adversely affected by a long term multi-year decline in theatre attendance or even the perception by media buyers that our network attendance and geographic coverage were expected to decline significantly over the next several years. Factors that could reduce attendance at our network theatres include the following:</w:t>
      </w:r>
    </w:p>
    <w:p>
      <w:pPr>
        <w:spacing w:after="0" w:line="4" w:lineRule="exact"/>
        <w:rPr>
          <w:sz w:val="20"/>
          <w:szCs w:val="20"/>
          <w:color w:val="auto"/>
        </w:rPr>
      </w:pPr>
    </w:p>
    <w:p>
      <w:pPr>
        <w:ind w:left="780" w:right="20" w:hanging="240"/>
        <w:spacing w:after="0" w:line="289" w:lineRule="auto"/>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any reduction in consumer confidence or disposable income in general that reduces the demand for motion pictures or adversely affects the motion picture production industry; and</w:t>
      </w:r>
    </w:p>
    <w:p>
      <w:pPr>
        <w:spacing w:after="0" w:line="90" w:lineRule="exact"/>
        <w:rPr>
          <w:rFonts w:ascii="Arial" w:cs="Arial" w:eastAsia="Arial" w:hAnsi="Arial"/>
          <w:sz w:val="13"/>
          <w:szCs w:val="13"/>
          <w:color w:val="auto"/>
        </w:rPr>
      </w:pPr>
    </w:p>
    <w:p>
      <w:pPr>
        <w:ind w:left="780" w:hanging="240"/>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success of first-run motion pictures, which depends upon the production and marketing efforts of the major studios and the attractiveness of the movies to patrons.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loss of any major content partner or advertising customer could significantly reduce our revenue</w:t>
      </w:r>
    </w:p>
    <w:p>
      <w:pPr>
        <w:spacing w:after="0" w:line="79"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Following this offering, we will derive a significant portion of our revenue from our contracts with our five content partners and our founding members’ agreements to purchase on-screen advertising for their beverage concessionaires. NCM LLC’s or its predecessor company’s relationships with the content partners date back as far as December 2002. Although none of these companies individually accounted for over 10% of our pro forma revenue, in the aggregate during the nine months ended September 28, 2006, they accounted for approximately 30.0% of our pro forma revenue in the aggregate during the three months ended September 28, 2006, and approximately 37.8% of our pro forma revenue in the aggregate during the nine months ended September 28, 2006.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generate our revenue almost entirely from advertising, and the reduction in spending by or loss of advertisers could have a serious adverse effect on our business</w:t>
      </w:r>
    </w:p>
    <w:p>
      <w:pPr>
        <w:spacing w:after="0" w:line="79"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We generated approximately 93.2% of our pro forma revenue in the three months ended September 28, 2006 and 93.3% of our pro forma revenue in the nine months ended September 28, 2006, from advertising sales. A substantial portion of our advertising inventory is covered by contracts with terms of approximately one month. Advertisers will not continue to do business with us if they believe our advertising medium is ineffective or overly expensive. In addition, large advertisers generally have set advertising budgets, most of which are focused on traditional media platforms. Reductions in the size of advertisers’ budgets due to local, regional or national economic trends or other factors could result in lower spending on cinema advertising in general or our advertising business in particular. If we are unable to remain competitive and provide value to our advertisers, they may reduce their advertising purchases or stop placing advertisements with us, which would negatively affect our revenue and ability to generate new business from advertising clients.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maintain our technological advantage, our business could fail to grow and revenue and operating margins could decline</w:t>
      </w:r>
    </w:p>
    <w:p>
      <w:pPr>
        <w:spacing w:after="0" w:line="79"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color w:val="auto"/>
        </w:rPr>
        <w:t>Failure to successfully or cost-effectively implement upgrades to our software systems to maintain our technological competitiveness could limit our ability to increase our revenue and more effectively leverage our digital platform. Any failure by us to upgrade our technology to remain current with technological changes, including digital cinema, that may be adopted by other providers of cinema advertising or other advertising platforms could hurt our ability to compete with those companies. Under the terms of our exhibitor services agreements with our founding members, we may request that our founding members upgrade the equipment or software installed in their theatres. We must negotiate with our founding members as to the terms of such upgrade, including cost sharing terms, if any. If we are not able to come to an agreement on an upgrade request, we may elect to pay for the upgrades requested which could result in our incurring significant capital</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40"/>
          </w:cols>
          <w:pgMar w:left="220" w:top="399" w:right="2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auto"/>
        </w:rPr>
        <w:t>expenditures, which could adversely affect our results of operations. In addition, the failure or delay in implementation of such upgrades or problems with the integration of our systems and software with the digital cinema systems, if such integration is pursued, could slow or prevent the growth of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operations are experiencing rapid growth, and we may be unable to effectively manage or continue our growth</w:t>
      </w:r>
    </w:p>
    <w:p>
      <w:pPr>
        <w:spacing w:after="0" w:line="79"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We have experienced, and continue to experience, rapid growth in our headcount and operations, which has placed, and will continue to place, significant demands on our management and operational infrastructure. If we do not effectively manage our growth, the quality of our services could suffer, which could negatively affect our brand, our relationships with our advertising clients and digital content suppliers and our operating results. To effectively manage this growth, we will need to continue to improve our digital content system distribution software and our internal management systems, including our advertising inventory optimization, management and reporting systems. These systems enhancements and improvements will require allocation of valuable financial and management resources. If the improvements are not implemented successfully in a timely manner or at all, our ability to manage our growth will be impaired and we may have to make significant additional expenditures to address these issues.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preliminary plans for developing additional revenue opportunities may not be implemented, may require substantial expenditures and may not be achieved</w:t>
      </w:r>
    </w:p>
    <w:p>
      <w:pPr>
        <w:spacing w:after="0" w:line="79"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In addition to our strategy to grow our advertising business, CineMeetings and digital programming events businesses, we are also considering other potential opportunities for revenue growth, which we describe in “Business—Our Strategy—Develop New Marketing Platforms that Leverage Our Existing Assets.” For example, we may form a joint venture to create an entertainment magazine that will be distributed in our founding member theatres, and a branded entertainment web site in connection with that magazine on which we and the joint venture may sell advertising. We may also decide to expand our network technology and sales capabilities outside of theatres. These plans are at an early stage, and we may not actually proceed with any of them. If we do choose to proceed with any of these plans, the resulting marketing platforms may not be profitable, despite our having made substantial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have a limited operating history, it is difficult to evaluate our business and prospects</w:t>
      </w:r>
    </w:p>
    <w:p>
      <w:pPr>
        <w:spacing w:after="0" w:line="79"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Our predecessor company, RCM, began operations in 2002. NCM LLC was formed on March 29, 2005, as a joint venture that combined the operations of subsidiaries of AMC and Regal. Cinemark joined as a founding member on July 15, 2005, but because it had a pre-existing contract with another cinema advertising provider, we did not begin to sell advertising in its theatres on an exclusive basis until January 1, 2006 (subject to the run-out of certain pre-existing contractual obligations for on-screen advertising through April 1, 2006), and its theatres were not fully integrated into our network until May 2006. As a result, we have a limited operating history from which you can compare corresponding periods and evaluate our business and our prospects. We may encounter risks and difficulties frequently experienced by newly formed companies in rapidly evolving businesses. If we are unsuccessful in executing our business strategy, we may be unable to:</w:t>
      </w:r>
    </w:p>
    <w:p>
      <w:pPr>
        <w:spacing w:after="0" w:line="27" w:lineRule="exact"/>
        <w:rPr>
          <w:sz w:val="20"/>
          <w:szCs w:val="20"/>
          <w:color w:val="auto"/>
        </w:rPr>
      </w:pPr>
    </w:p>
    <w:p>
      <w:pPr>
        <w:ind w:left="780" w:hanging="24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 our revenue and expand our client base;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operate, support, expand, develop and improve our software and other systems;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 to produce high operating income margins;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respond to technological changes.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historical and pro forma financial information may not be representative of our financial results as an independent public company or our future financial performance</w:t>
      </w:r>
    </w:p>
    <w:p>
      <w:pPr>
        <w:spacing w:after="0" w:line="79"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Our historical financial information included in this prospectus does not reflect our financial condition, results of operations and cash flows as they would have been achieved during the periods presented as a separate, stand-alone public entity. Our historical financial statements do not necessarily reflect the costs that we would have incurred had we operated as an independent stand-alone public entity for all periods presented. These costs include higher corporate overhead, interest expense and income taxes.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40"/>
          </w:cols>
          <w:pgMar w:left="220" w:top="399" w:right="2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Our historical financial information includes the consolidated financial statements of RCM, our predecessor company, for periods prior to March 2005 and does not include any information related to AMC or Cinemark. Although historical financial information on AMC’s theatre advertising subsidiary, NCN, is presented herein, there is no historical financial information on the combined operations of both AMC and Regal prior to the formation of NCM LLC. Additionally, the historical financial statements of RCM and NCN include screen access charges at different rates than those in effect after the formation of NCM LLC, which rates will change again after completion of the financing transaction and reorganization.</w:t>
      </w:r>
    </w:p>
    <w:p>
      <w:pPr>
        <w:spacing w:after="0" w:line="106"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color w:val="auto"/>
        </w:rPr>
        <w:t>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In addition, our historical financial information does not include any information related to theatres operated by Loews, which AMC acquired on January 26, 2006, and which will become a part of our theatre network beginning on June 1, 2008, or Century, which Cinemark acquired on October 5, 2006, and which became a part of our theatre network on an exclusive basis, subject to limited exceptions, on the closing date. The historical results of operations of NCM LLC, RCM and NCN have been significantly impacted by related party transactions that we have entered into, as further discussed in the historical financial statements included elsewhere in this prospectus, and the future operating results of NCM Inc. will also be significantly impacted by related party transactions entered into in connection with this offering. As a result, this information may not be representative of our future financial performance.</w:t>
      </w:r>
    </w:p>
    <w:p>
      <w:pPr>
        <w:spacing w:after="0" w:line="111" w:lineRule="exact"/>
        <w:rPr>
          <w:sz w:val="20"/>
          <w:szCs w:val="20"/>
          <w:color w:val="auto"/>
        </w:rPr>
      </w:pPr>
    </w:p>
    <w:p>
      <w:pPr>
        <w:ind w:right="60" w:firstLine="458"/>
        <w:spacing w:after="0" w:line="287" w:lineRule="auto"/>
        <w:rPr>
          <w:sz w:val="20"/>
          <w:szCs w:val="20"/>
          <w:color w:val="auto"/>
        </w:rPr>
      </w:pPr>
      <w:r>
        <w:rPr>
          <w:rFonts w:ascii="Arial" w:cs="Arial" w:eastAsia="Arial" w:hAnsi="Arial"/>
          <w:sz w:val="13"/>
          <w:szCs w:val="13"/>
          <w:color w:val="auto"/>
        </w:rPr>
        <w:t>In preparing the pro forma financial information in this prospectus, we have made adjustments to the historical financial information of NCM LLC and its predecessor company based upon currently available information and upon assumptions that our management believes are reasonable in order to reflect, on a pro forma basis, the impact of the transactions contemplated by the reorganization, the financing transaction and this offering. Some of these adjustments include, among other items, the terms of the exhibitor services agreements with our founding members, adjustments to income tax provisions to account for NCM LLC’s status as a limited liability company and our status as a taxable entity, and our acquisition of common membership units of NCM LLC. However, the pro forma financial information does not include adjustments for the addition of the Cinemark, Loews or Century screens. These and other estimates and assumptions used in the calculation of the pro forma financial information in this prospectus may be materially different from our actual experience as a separate, independent company. The pro forma financial information included in this prospectus does not purport to represent what our results of operations would actually have been had we operated as a separate, independent company during the periods presented, nor do the pro forma data give effect to any events other than those discussed in the unaudited pro forma financial information and related notes. See “Unaudited Pro Forma Financial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depend upon our senior management and our business may be adversely affected if we cannot retain them</w:t>
      </w:r>
    </w:p>
    <w:p>
      <w:pPr>
        <w:spacing w:after="0" w:line="79" w:lineRule="exact"/>
        <w:rPr>
          <w:sz w:val="20"/>
          <w:szCs w:val="20"/>
          <w:color w:val="auto"/>
        </w:rPr>
      </w:pPr>
    </w:p>
    <w:p>
      <w:pPr>
        <w:ind w:firstLine="458"/>
        <w:spacing w:after="0" w:line="341" w:lineRule="auto"/>
        <w:rPr>
          <w:sz w:val="20"/>
          <w:szCs w:val="20"/>
          <w:color w:val="auto"/>
        </w:rPr>
      </w:pPr>
      <w:r>
        <w:rPr>
          <w:rFonts w:ascii="Arial" w:cs="Arial" w:eastAsia="Arial" w:hAnsi="Arial"/>
          <w:sz w:val="12"/>
          <w:szCs w:val="12"/>
          <w:color w:val="auto"/>
        </w:rPr>
        <w:t>Our success depends upon the retention of our experienced senior management with specialized industry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technology may infringe on rights owned by others which may interfere with our ability to provide services</w:t>
      </w:r>
    </w:p>
    <w:p>
      <w:pPr>
        <w:spacing w:after="0" w:line="79"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We may discover that the technology we use infringes patent, copyright, or other intellectual property rights owned by others. In addition, we cannot assure you that our competitors will not claim rights in patents, copyrights, or other intellectual property that will prevent, limit or interfere with our ability to provide our services either in the United States or in international markets. Further, the laws of certain foreign countries may not protect our intellectual property rights to the same extent as do the laws of the United States.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399" w:right="2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 fluctuates from quarter to quarter and may be unpredictable, which could increase the volatility of our stock price</w:t>
      </w:r>
    </w:p>
    <w:p>
      <w:pPr>
        <w:spacing w:after="0" w:line="7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Typically, our revenue is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the poor performance of films released in a given quarter or a disruption in the release schedule of films could affect results for the entire fiscal year and significantly affect quarter-to-quarter results. Because our results vary widely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Risks Related to Our Corporate Structure</w:t>
      </w:r>
    </w:p>
    <w:p>
      <w:pPr>
        <w:spacing w:after="0" w:line="149"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i w:val="1"/>
          <w:iCs w:val="1"/>
          <w:color w:val="auto"/>
        </w:rPr>
        <w:t>We are a holding company with no operations of our own, and will depend on distributions from NCM LLC to meet our ongoing obligations and to pay cash dividends on our common stock</w:t>
      </w:r>
    </w:p>
    <w:p>
      <w:pPr>
        <w:spacing w:after="0" w:line="102"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will be subject to statutory and contractual restrictions based upon NCM LLC’s financial performance, including NCM LLC’s compliance with the covenants in its senior secured credit facility and the NCM LLC operating agreement. The NCM LLC senior secured credit facility will limit NCM LLC’s ability to distribute cash to its members, including us, based upon certain leverage tests, with exceptions for, among other things, payment of our income taxes and a management fee to NCM Inc. pursuant to the terms of the management services agreement. We will be unable to pay dividends to our stockholders or pay other expenses outside the ordinary course of business if NCM LLC fails to comply with these covenants and is unable to distribute cash to us.</w:t>
      </w:r>
    </w:p>
    <w:p>
      <w:pPr>
        <w:spacing w:after="0" w:line="110"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Pursuant to a management services agreement between us and NCM LLC, NCM LLC will make payments to us to fund our day-to-day operating expenses, such as payroll. However, if NCM LLC cannot make the payments pursuant to the management services agreement, we may be unable to cover these expenses.</w:t>
      </w:r>
    </w:p>
    <w:p>
      <w:pPr>
        <w:spacing w:after="0" w:line="9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As a member of NCM LLC, we will incur income taxes on our proportionate share of any net taxable income of NCM LLC. We have structured the NCM LLC senior secured credit facility to allow NCM LLC to distribute cash to its members (including us and the founding members) in amounts sufficient to cover their tax liabilities and management fees, if any. To the extent we need funds to pay such taxes or for any other purpose, and NCM LLC is unable to provide such funds because of limitations in the NCM LLC senior secured credit facility or other restrictions, it could have a material adverse effect on our business, financial condition, results of operations or prospects.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NCM LLC’s substantial debt obligations could impair our financial condition or prevent us from achieving our business goals</w:t>
      </w:r>
    </w:p>
    <w:p>
      <w:pPr>
        <w:spacing w:after="0" w:line="79"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color w:val="auto"/>
        </w:rPr>
        <w:t>In connection with the completion of this offering, NCM LLC will borrow $725.0 million in a term loan that will be a part of a new senior secured credit facility. See “Financing Transaction.” We expect the agreements governing NCM LLC’s debt obligations to contain restrictive covenants that will limit NCM LLC’s ability to take specified actions and prescribe minimum financial maintenance requirements that NCM LLC must meet. Because NCM LLC will be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or us. Any such defaults could materially impair our financial condition and liquidity.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20" w:top="399" w:right="25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Amounts payable to our founding members have historically been paid as NCM LLC collected the related accounts receivable from its customers. Approximately 30 days following the closing of this offering, NCM LLC will repay the remaining amounts owed to our founding members under the existing exhibitor services agreements (which were $43.8 million as of September 28, 2006). To the extent that such amounts have not been funded by receivables (which were $51.9 million as of September 28, 2006), we will draw upon the revolving credit facility to satisfy the amounts owed to the founding members. NCM LLC will repay the amount drawn under the credit facility for this purpose as additional receivables are collected. The amount outstanding under the new revolving credit facility will continue to fluctuate based on working capital needs.</w:t>
      </w:r>
    </w:p>
    <w:p>
      <w:pPr>
        <w:spacing w:after="0" w:line="110"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If NCM LLC is unable to meet its debt service obligations, it or we could be forced to restructure or refinance the obligations, seek additional equity financing or sell assets. We may be unable to restructure or refinance these obligations, obtain additional equity financing or sell assets on satisfactory terms or at all.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NCM LLC’s indebtedness could have other negative consequences for us, including without limitation:</w:t>
      </w:r>
    </w:p>
    <w:p>
      <w:pPr>
        <w:spacing w:after="0" w:line="79" w:lineRule="exact"/>
        <w:rPr>
          <w:sz w:val="20"/>
          <w:szCs w:val="20"/>
          <w:color w:val="auto"/>
        </w:rPr>
      </w:pPr>
    </w:p>
    <w:p>
      <w:pPr>
        <w:ind w:left="780" w:hanging="24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limiting NCM LLC’s ability to obtain financing in the future;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much of NCM LLC’s cash flow to be dedicated to interest obligations and making it unavailable for other purposes;</w:t>
      </w:r>
    </w:p>
    <w:p>
      <w:pPr>
        <w:spacing w:after="0" w:line="79" w:lineRule="exact"/>
        <w:rPr>
          <w:rFonts w:ascii="Arial" w:cs="Arial" w:eastAsia="Arial" w:hAnsi="Arial"/>
          <w:sz w:val="14"/>
          <w:szCs w:val="14"/>
          <w:color w:val="auto"/>
        </w:rPr>
      </w:pPr>
    </w:p>
    <w:p>
      <w:pPr>
        <w:ind w:left="780" w:right="60" w:hanging="240"/>
        <w:spacing w:after="0" w:line="289" w:lineRule="auto"/>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making NCM LLC more vulnerable to an increase in interest rates, a downturn in our operating performance or a decline in general economic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founding members or their affiliates may have interests that differ from those of our public stockholders and they may be able influence our affairs</w:t>
      </w:r>
    </w:p>
    <w:p>
      <w:pPr>
        <w:spacing w:after="0" w:line="79"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37" w:lineRule="exact"/>
        <w:rPr>
          <w:sz w:val="20"/>
          <w:szCs w:val="20"/>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assign, transfer, sell or pledge all or a portion of the membership units of NCM LLC beneficially owned by NCM Inc.;</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acquire, dispose, lease or license assets with an aggregate value exceeding 20% of the fair market value of the business of NCM LLC operating as a going concern;</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merge, reorganize, recapitalize, reclassify, consolidate, dissolve, liquidate or enter into a similar transaction;</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 any funded indebtedness or repay, before due, any funded indebtedness with a fixed term in an aggregate amount in excess of $15 million per year;</w:t>
      </w:r>
    </w:p>
    <w:p>
      <w:pPr>
        <w:spacing w:after="0" w:line="79" w:lineRule="exact"/>
        <w:rPr>
          <w:rFonts w:ascii="Arial" w:cs="Arial" w:eastAsia="Arial" w:hAnsi="Arial"/>
          <w:sz w:val="14"/>
          <w:szCs w:val="14"/>
          <w:color w:val="auto"/>
        </w:rPr>
      </w:pPr>
    </w:p>
    <w:p>
      <w:pPr>
        <w:ind w:left="780" w:right="440" w:hanging="240"/>
        <w:spacing w:after="0" w:line="289" w:lineRule="auto"/>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amend, modify, restate or repeal any provision of NCM Inc.’s certificate of incorporation or bylaws or the NCM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enter into, modify or terminate certain material contracts not in the ordinary course of business as defined under applicable securities 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399"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except as specifically set forth in the NCM LLC operating agreement, declare, set aside or pay any redemption of, or dividends with respect to membership interests;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amend any material terms or provisions (as defined in the Nasdaq rules) of NCM Inc.’s equity incentive plan or enter into any new equity incentive compensation plan;</w:t>
      </w:r>
    </w:p>
    <w:p>
      <w:pPr>
        <w:spacing w:after="0" w:line="79" w:lineRule="exact"/>
        <w:rPr>
          <w:rFonts w:ascii="Arial" w:cs="Arial" w:eastAsia="Arial" w:hAnsi="Arial"/>
          <w:sz w:val="14"/>
          <w:szCs w:val="14"/>
          <w:color w:val="auto"/>
        </w:rPr>
      </w:pPr>
    </w:p>
    <w:p>
      <w:pPr>
        <w:ind w:left="780" w:right="300" w:hanging="240"/>
        <w:spacing w:after="0" w:line="289" w:lineRule="auto"/>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approve any actions relating to NCM LLC that could reasonably be expected to have a material adverse tax effect on the founding members.</w:t>
      </w:r>
    </w:p>
    <w:p>
      <w:pPr>
        <w:spacing w:after="0" w:line="145"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If any director designee to our board designated by our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specified actions of NCM LLC as described under “Corporate History and Reorganization—Corporate Governance Matters.”</w:t>
      </w:r>
    </w:p>
    <w:p>
      <w:pPr>
        <w:spacing w:after="0" w:line="102"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110"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Under these circumstances, our corporate governance documents will allow our founding members and their affiliates to exercise a greater degree of influence in the operation of our business and that of NCM LLC and the management of our affairs and those of NCM LLC than is typically available to stockholders of a publicly-traded company. Even if our founding members or their affiliates own a minority economic interest in NCM LLC, they may be able to continue exerting such degree of influence over us and NCM LLC.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Different interests among our founding members or between our founding members and us could prevent us from achieving our business goals</w:t>
      </w:r>
    </w:p>
    <w:p>
      <w:pPr>
        <w:spacing w:after="0" w:line="79" w:lineRule="exact"/>
        <w:rPr>
          <w:sz w:val="20"/>
          <w:szCs w:val="20"/>
          <w:color w:val="auto"/>
        </w:rPr>
      </w:pPr>
    </w:p>
    <w:p>
      <w:pPr>
        <w:ind w:right="120" w:firstLine="458"/>
        <w:spacing w:after="0" w:line="305" w:lineRule="auto"/>
        <w:rPr>
          <w:sz w:val="20"/>
          <w:szCs w:val="20"/>
          <w:color w:val="auto"/>
        </w:rPr>
      </w:pPr>
      <w:r>
        <w:rPr>
          <w:rFonts w:ascii="Arial" w:cs="Arial" w:eastAsia="Arial" w:hAnsi="Arial"/>
          <w:sz w:val="13"/>
          <w:szCs w:val="13"/>
          <w:color w:val="auto"/>
        </w:rPr>
        <w:t>For the foreseeable future, we expect that our board of directors will include directors and executive officers of our founding members and other directors who may have commercial relationships with our founding members. Our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our founding members.</w:t>
      </w:r>
    </w:p>
    <w:p>
      <w:pPr>
        <w:spacing w:after="0" w:line="86" w:lineRule="exact"/>
        <w:rPr>
          <w:sz w:val="20"/>
          <w:szCs w:val="20"/>
          <w:color w:val="auto"/>
        </w:rPr>
      </w:pPr>
    </w:p>
    <w:p>
      <w:pPr>
        <w:ind w:right="440" w:firstLine="458"/>
        <w:spacing w:after="0" w:line="289" w:lineRule="auto"/>
        <w:rPr>
          <w:sz w:val="20"/>
          <w:szCs w:val="20"/>
          <w:color w:val="auto"/>
        </w:rPr>
      </w:pPr>
      <w:r>
        <w:rPr>
          <w:rFonts w:ascii="Arial" w:cs="Arial" w:eastAsia="Arial" w:hAnsi="Arial"/>
          <w:sz w:val="14"/>
          <w:szCs w:val="14"/>
          <w:color w:val="auto"/>
        </w:rPr>
        <w:t>In addition, the structural relationship we have with our founding members could create conflicts of interest among the founding members, or between the founding members and us, in a number of areas relating to our past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399" w:right="21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20"/>
        <w:spacing w:after="0" w:line="330" w:lineRule="auto"/>
        <w:rPr>
          <w:sz w:val="20"/>
          <w:szCs w:val="20"/>
          <w:color w:val="auto"/>
        </w:rPr>
      </w:pPr>
      <w:r>
        <w:rPr>
          <w:rFonts w:ascii="Arial" w:cs="Arial" w:eastAsia="Arial" w:hAnsi="Arial"/>
          <w:sz w:val="13"/>
          <w:szCs w:val="13"/>
          <w:color w:val="auto"/>
        </w:rPr>
        <w:t>and ongoing relationships. There will not be any formal dispute resolution procedures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102"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Our certificate of incorporation will contain provisions related to corporate opportunities that may be of interest to both our founding members and us. It will provide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exhibitor services agreements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95"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In addition, our certificate of incorporation and the NCM LLC operating agreement expressly provide that our founding members may have other business interests and may engage in any other businesses not specifically prohibited by the terms of the certificate of incorporation and exhibitor services agreements. If the parent companies of the founding members develop new media platforms they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 The terms of our certificate of incorporation are more fully described in “Description of Capital Stock.”</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b w:val="1"/>
          <w:bCs w:val="1"/>
          <w:i w:val="1"/>
          <w:iCs w:val="1"/>
          <w:color w:val="auto"/>
        </w:rPr>
        <w:t>The agreements between us and our founding members were made in the context of an affiliated relationship and may contain different terms than comparable agreements with unaffiliated third parties</w:t>
      </w:r>
    </w:p>
    <w:p>
      <w:pPr>
        <w:spacing w:after="0" w:line="28"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The exhibitor services agreements and the other contractual agreements that we have with our founding members were negotiated in the context of an affiliated relationship in which representatives of our founding members and their affiliates comprised our entire board of directors. As a result, the financial provisions and the other terms of these agreements, such as covenants, contractual obligations on our part and on the part of our founding members, and termination and default provisions may be less favorable to us than terms that we might have obtained in negotiations with unaffiliated third parties in similar circumstances.</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4"/>
          <w:szCs w:val="14"/>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28" w:lineRule="exact"/>
        <w:rPr>
          <w:sz w:val="20"/>
          <w:szCs w:val="20"/>
          <w:color w:val="auto"/>
        </w:rPr>
      </w:pPr>
    </w:p>
    <w:p>
      <w:pPr>
        <w:ind w:right="40" w:firstLine="458"/>
        <w:spacing w:after="0" w:line="330" w:lineRule="auto"/>
        <w:rPr>
          <w:sz w:val="20"/>
          <w:szCs w:val="20"/>
          <w:color w:val="auto"/>
        </w:rPr>
      </w:pPr>
      <w:r>
        <w:rPr>
          <w:rFonts w:ascii="Arial" w:cs="Arial" w:eastAsia="Arial" w:hAnsi="Arial"/>
          <w:sz w:val="13"/>
          <w:szCs w:val="13"/>
          <w:color w:val="auto"/>
        </w:rPr>
        <w:t>Provisions contained in our certificate of incorporation and bylaws, the NCM LLC operating agreement, provisions of the Delaware General Corporation Law, or DGCL, could delay or prevent a third party from entering into a strategic transaction with us, even if such a transaction would benefit our stockholders. For example, our certificate of incorporation and bylaws:</w:t>
      </w:r>
    </w:p>
    <w:p>
      <w:pPr>
        <w:spacing w:after="0" w:line="4" w:lineRule="exact"/>
        <w:rPr>
          <w:sz w:val="20"/>
          <w:szCs w:val="20"/>
          <w:color w:val="auto"/>
        </w:rPr>
      </w:pPr>
    </w:p>
    <w:p>
      <w:pPr>
        <w:ind w:left="780" w:hanging="240"/>
        <w:spacing w:after="0"/>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establish supermajority approval requirements by our directors before our board may take certain actions;</w:t>
      </w:r>
    </w:p>
    <w:p>
      <w:pPr>
        <w:spacing w:after="0" w:line="79"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could be issued by our board of directors to increase the number of outstanding shares, making a takeover more difficult and expensive;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399" w:right="2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establish a classified board of directors;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allow removal of directors only for cause;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prohibit stockholder action by written consent;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 not permit cumulative voting in the election of directors, which would otherwise allow less than a majority of stockholders to elect director candidates; and</w:t>
      </w:r>
    </w:p>
    <w:p>
      <w:pPr>
        <w:spacing w:after="0" w:line="79" w:lineRule="exact"/>
        <w:rPr>
          <w:rFonts w:ascii="Arial" w:cs="Arial" w:eastAsia="Arial" w:hAnsi="Arial"/>
          <w:sz w:val="14"/>
          <w:szCs w:val="14"/>
          <w:color w:val="auto"/>
        </w:rPr>
      </w:pPr>
    </w:p>
    <w:p>
      <w:pPr>
        <w:ind w:left="780" w:right="440" w:hanging="240"/>
        <w:spacing w:after="0" w:line="289" w:lineRule="auto"/>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provide that the founding members will be able to exercise a greater degree of influence over the operations of NCM LLC, which may discourage other nominations to our board of directors, if any director nominee designated by the founding members is not elected by our stockholders.</w:t>
      </w:r>
    </w:p>
    <w:p>
      <w:pPr>
        <w:spacing w:after="0" w:line="93"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59"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b w:val="1"/>
          <w:bCs w:val="1"/>
          <w:i w:val="1"/>
          <w:iCs w:val="1"/>
          <w:color w:val="auto"/>
        </w:rPr>
        <w:t>Any future issuance of membership units by NCM LLC and subsequent redemption of such units for common stock could dilute the voting power of our common stockholders and adversely affect the market value of our common stock</w:t>
      </w:r>
    </w:p>
    <w:p>
      <w:pPr>
        <w:spacing w:after="0" w:line="28"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The common unit adjustment agreement and the exhibitor services agreements that will be in place upon the completion of this offering provide that we will issue common membership units of NCM LLC to account for changes in the number of theatre screens our founding members operate. Historically, each of the founding members has increased the number of screens it operates. If this trend continues, NCM LLC may issue additional common membership units to the founding members to reflect their increased screen count. Each common membership unit may be redeemed in exchange for, at our option, shares of our common stock on a one-for-one basis or a cash payment equal to the market price of one share of our common stock. If a significant number of common membership units were issued to our founding members, the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 founding member’s common membership units in NCM LLC.</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issuance of preferred stock could dilute the voting power of our common stockholders and adversely affect the market value of our common stock</w:t>
      </w:r>
    </w:p>
    <w:p>
      <w:pPr>
        <w:spacing w:after="0" w:line="79"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02"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or our founding members are determined to be an investment company, we would become subject to burdensome regulatory requirements and our business activities could be restricted</w:t>
      </w:r>
    </w:p>
    <w:p>
      <w:pPr>
        <w:spacing w:after="0" w:line="102"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We do not believe that we are an “investment company” under the Investment Company Act of 1940, as amended. As sole manager of NCM LLC, we will control NCM LLC, and our interest in NCM LLC is not 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399"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Following this offering, our sole asset will be our equity interest in 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93"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We and NCM LLC intend to conduct our operations so that we are not deemed an investment company under the Investment Company Act. However, if anything were to occur that would cause us to be deemed to be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06" w:lineRule="exact"/>
        <w:rPr>
          <w:sz w:val="20"/>
          <w:szCs w:val="20"/>
          <w:color w:val="auto"/>
        </w:rPr>
      </w:pPr>
    </w:p>
    <w:p>
      <w:pPr>
        <w:ind w:firstLine="458"/>
        <w:spacing w:after="0" w:line="378" w:lineRule="auto"/>
        <w:rPr>
          <w:sz w:val="20"/>
          <w:szCs w:val="20"/>
          <w:color w:val="auto"/>
        </w:rPr>
      </w:pPr>
      <w:r>
        <w:rPr>
          <w:rFonts w:ascii="Arial" w:cs="Arial" w:eastAsia="Arial" w:hAnsi="Arial"/>
          <w:sz w:val="12"/>
          <w:szCs w:val="12"/>
          <w:color w:val="auto"/>
        </w:rPr>
        <w:t>We also rely on representations of our founding members that they are not investment companies under the Investment Company Act. If any founding member were deemed to be an investment company, the restrictions placed upon that founding member might inhibit its ability to fulfill its obligations under its exhibitor services agreement or restrict NCM LLC’s ability to borrow funds.</w:t>
      </w:r>
    </w:p>
    <w:p>
      <w:pPr>
        <w:spacing w:after="0" w:line="108"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Risks Relating to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the proceeds from this offering to purchase membership units in NCM LLC will preclude use of those proceeds for other corporate purposes</w:t>
      </w:r>
    </w:p>
    <w:p>
      <w:pPr>
        <w:spacing w:after="0" w:line="79"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We intend to use the net proceeds from this offering to purchase newly issued common membership units of NCM LLC, at a price per unit equal to the public offering price per share, less underwriting discounts and commissions and offering expenses. Our founding members will receive $686.3 million for their agreeing to modify our payment obligations under our exhibitor services agreements. NCM LLC will pay all of the proceeds it receives from us to our founding members in payment of a portion of this obligation. The proceeds from this offering will not be available to NCM LLC or us for other corporate purposes, such as expanding our business, which could negatively impact the value of your investment in our common stock. In addition, NCM LLC will enter into a new $805.0 million senior secured credit facility that will substantially limit its future borrowing capacity. The proceeds of the $725.0 million term loan that is part of this new credit facility will be used to redeem all the preferred membership units in NCM LLC from our founding members, to pay any shortfall in the amounts owed to our founding members for their agreeing to modify our payment obligations under our exhibitor services agreements and to pay transaction expenses. The revolving facility that is part of the new facility will be drawn upon to repay amounts outstanding under NCM LLC’s existing revolving credit facility (which were $10.0 million as of September 28, 2006) and any remaining amounts owed to the founding members under the existing exhibitor services agreement that, due to timing differences, may not be funded by receivables. As a result, we or NCM LLC may not be able to sell securities or borrow money on acceptable terms, and we and NCM LLC may be unable to expand our business and operations as anticipated. If we are unable to do so, our financial results and the market for our common stock could be adversely affected.</w:t>
      </w:r>
    </w:p>
    <w:p>
      <w:pPr>
        <w:spacing w:after="0" w:line="164"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b w:val="1"/>
          <w:bCs w:val="1"/>
          <w:i w:val="1"/>
          <w:iCs w:val="1"/>
          <w:color w:val="auto"/>
        </w:rPr>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28"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We expect that the offering and related transactions will have the effect of reducing the amounts NCM Inc. would otherwise pay in the future to various tax authorities as a result of an increase in its proportionate share of tax basis in NCM LLC’s tangible and intangible assets. We have agreed in our tax receivable agreement with the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20" w:top="399"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founding members to pay to the founding members 90% of the amount by which NCM Inc.’s tax payments to various tax authorities are reduced, which could be up to approximately $480 million or more over 30 years or longer. See “Certain Relationships and Related Party Transactions—Transactions With Founding Members— Tax Receivable Agreement.”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materially impaired.</w:t>
      </w:r>
    </w:p>
    <w:p>
      <w:pPr>
        <w:spacing w:after="0" w:line="158" w:lineRule="exact"/>
        <w:rPr>
          <w:sz w:val="20"/>
          <w:szCs w:val="20"/>
          <w:color w:val="auto"/>
        </w:rPr>
      </w:pPr>
    </w:p>
    <w:p>
      <w:pPr>
        <w:ind w:right="140"/>
        <w:spacing w:after="0" w:line="289" w:lineRule="auto"/>
        <w:rPr>
          <w:sz w:val="20"/>
          <w:szCs w:val="20"/>
          <w:color w:val="auto"/>
        </w:rPr>
      </w:pPr>
      <w:r>
        <w:rPr>
          <w:rFonts w:ascii="Arial" w:cs="Arial" w:eastAsia="Arial" w:hAnsi="Arial"/>
          <w:sz w:val="14"/>
          <w:szCs w:val="14"/>
          <w:b w:val="1"/>
          <w:bCs w:val="1"/>
          <w:i w:val="1"/>
          <w:iCs w:val="1"/>
          <w:color w:val="auto"/>
        </w:rPr>
        <w:t>The substantial number of shares that will be eligible for sale in the near future could cause the market price for our common stock to decline or make it difficult for us to sell equity securities in the future</w:t>
      </w:r>
    </w:p>
    <w:p>
      <w:pPr>
        <w:spacing w:after="0" w:line="28"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We cannot predict the effect, if any, that market sales of shares of common stock or the availability of shares of common stock for sale will have on the market price of our common stock from time to time. Sales of substantial amounts of shares of our common stock in the public market following this offering,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w:t>
      </w:r>
    </w:p>
    <w:p>
      <w:pPr>
        <w:spacing w:after="0" w:line="106" w:lineRule="exact"/>
        <w:rPr>
          <w:sz w:val="20"/>
          <w:szCs w:val="20"/>
          <w:color w:val="auto"/>
        </w:rPr>
      </w:pPr>
    </w:p>
    <w:p>
      <w:pPr>
        <w:ind w:right="200" w:firstLine="458"/>
        <w:spacing w:after="0" w:line="297" w:lineRule="auto"/>
        <w:rPr>
          <w:sz w:val="20"/>
          <w:szCs w:val="20"/>
          <w:color w:val="auto"/>
        </w:rPr>
      </w:pPr>
      <w:r>
        <w:rPr>
          <w:rFonts w:ascii="Arial" w:cs="Arial" w:eastAsia="Arial" w:hAnsi="Arial"/>
          <w:sz w:val="13"/>
          <w:szCs w:val="13"/>
          <w:color w:val="auto"/>
        </w:rPr>
        <w:t>The 38,000,000 shares of common stock being sold in this offering will be freely tradable unless acquired by one of our affiliates. In addition, the founding members may receive up to 55,850,951 shares of common stock, which initially will be unregistered, upon redemption of their outstanding common membership units of NCM LLC. These shares of unregistered common stock will constitute “restricted securities” under the Securities Act of 1933, as amended, or the Securities Act. Provided the holders comply with the holding periods and other conditions prescribed in Rule 144 under the Securities Act, all but 78,947 of these unregistered shares of common stock cease to be restricted securities and become freely tradable.</w:t>
      </w:r>
    </w:p>
    <w:p>
      <w:pPr>
        <w:spacing w:after="0" w:line="91"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Our officers and directors have agreed that they will not offer,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or publicly disclose the intention to make any such disposition, or to enter into any such arrangement, without, in each case, the prior written consent of Credit Suisse Securities (USA) LLC for a period of 180 days after the date of this prospectus. The founding members have also agreed to the same restrictions for a period of 180 days after the date of this prospectus. After the lock-up period expires, our founding members will be able to exercise registration rights that we have granted them as described in “Certain Relationships and Related Party Transactions—Transactions with Founding Members—Registration Rights.” We cannot predict whether substantial amounts of our common stock will be sold in the open market in anticipation of, or following any divestiture by our founding members or our directors or executive officers of their shares of our common stock.</w:t>
      </w:r>
    </w:p>
    <w:p>
      <w:pPr>
        <w:spacing w:after="0" w:line="95"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color w:val="auto"/>
        </w:rPr>
        <w:t>Additionally, 358,977 shares of restricted stock will be outstanding and approximately 1,790,960 shares of our common stock will be issuable upon exercise of stock options that vest through 2012 and become exercisable beginning on January 1, 2008. We will substitute 352,661 shares of restricted stock for restricted units that will be granted to NCM LLC option holders as “IPO awards” and 1,572,960 options to acquire our common stock for options that were granted by NCM LLC throughout 2006 in connection with the completion of this offering. None of such restricted stock or options were vested as of September 28, 2006. We also plan to grant options to acquire 218,000 shares of our common stock to our employees, and 6,316 shares of restricted common stock to our non-employee directors, in connection with the completion of this offering. Once the options and restricted stock become vested and/or exercisable, as applicable, to the extent they are not held by one of our affiliates, the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399" w:right="21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acquired upon vesting or exercise will be freely tradable following effectiveness of the registration statement for the shares reserved under the equity incentive plan, which we plan to file promptly after completion of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may be volatile and may decline substantially from the initial offering price</w:t>
      </w:r>
    </w:p>
    <w:p>
      <w:pPr>
        <w:spacing w:after="0" w:line="79"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Before this offering, there has been no public market for our common stock, and an active trading market for our common stock may not develop or continue upon completion of this offering. The initial public offering price will be determined by negotiations between us and the representatives of the underwriters and may not be indicative of the price at which our common stock will trade after the offering.</w:t>
      </w:r>
    </w:p>
    <w:p>
      <w:pPr>
        <w:spacing w:after="0" w:line="102" w:lineRule="exact"/>
        <w:rPr>
          <w:sz w:val="20"/>
          <w:szCs w:val="20"/>
          <w:color w:val="auto"/>
        </w:rPr>
      </w:pPr>
    </w:p>
    <w:p>
      <w:pPr>
        <w:ind w:right="20" w:firstLine="458"/>
        <w:spacing w:after="0" w:line="330" w:lineRule="auto"/>
        <w:rPr>
          <w:sz w:val="20"/>
          <w:szCs w:val="20"/>
          <w:color w:val="auto"/>
        </w:rPr>
      </w:pPr>
      <w:r>
        <w:rPr>
          <w:rFonts w:ascii="Arial" w:cs="Arial" w:eastAsia="Arial" w:hAnsi="Arial"/>
          <w:sz w:val="13"/>
          <w:szCs w:val="13"/>
          <w:color w:val="auto"/>
        </w:rPr>
        <w:t>The stock market in general has experienced extreme price and volume fluctuations in recent years. These broad market fluctuations may adversely affect the market price of our common stock, regardless of our actual operating performance. You may be unable to resell your shares at or above the public offering price because of a number of factors, including:</w:t>
      </w:r>
    </w:p>
    <w:p>
      <w:pPr>
        <w:spacing w:after="0" w:line="4" w:lineRule="exact"/>
        <w:rPr>
          <w:sz w:val="20"/>
          <w:szCs w:val="20"/>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actual or anticipated quarterly fluctuations in our operating results;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expectations of future financial performance or changes in estimates of securities analysts;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the market valuations of other companies;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announcements relating to actions of other media companies, strategic relationships, acquisitions or industry consolidation;</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terrorist acts or wars;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general economic, market and political conditions not related to our business.</w:t>
      </w:r>
    </w:p>
    <w:p>
      <w:pPr>
        <w:spacing w:after="0" w:line="211" w:lineRule="exact"/>
        <w:rPr>
          <w:sz w:val="20"/>
          <w:szCs w:val="20"/>
          <w:color w:val="auto"/>
        </w:rPr>
      </w:pPr>
    </w:p>
    <w:p>
      <w:pPr>
        <w:ind w:right="700"/>
        <w:spacing w:after="0" w:line="289" w:lineRule="auto"/>
        <w:rPr>
          <w:sz w:val="20"/>
          <w:szCs w:val="20"/>
          <w:color w:val="auto"/>
        </w:rPr>
      </w:pPr>
      <w:r>
        <w:rPr>
          <w:rFonts w:ascii="Arial" w:cs="Arial" w:eastAsia="Arial" w:hAnsi="Arial"/>
          <w:sz w:val="14"/>
          <w:szCs w:val="14"/>
          <w:b w:val="1"/>
          <w:bCs w:val="1"/>
          <w:i w:val="1"/>
          <w:iCs w:val="1"/>
          <w:color w:val="auto"/>
        </w:rPr>
        <w:t>Affiliates of several of the underwriters for this offering hold interests in founding members and, therefore, have interests in this offering beyond customary underwriting discounts and commissions</w:t>
      </w:r>
    </w:p>
    <w:p>
      <w:pPr>
        <w:spacing w:after="0" w:line="28" w:lineRule="exact"/>
        <w:rPr>
          <w:sz w:val="20"/>
          <w:szCs w:val="20"/>
          <w:color w:val="auto"/>
        </w:rPr>
      </w:pPr>
    </w:p>
    <w:p>
      <w:pPr>
        <w:ind w:right="100" w:firstLine="458"/>
        <w:spacing w:after="0" w:line="287" w:lineRule="auto"/>
        <w:rPr>
          <w:sz w:val="20"/>
          <w:szCs w:val="20"/>
          <w:color w:val="auto"/>
        </w:rPr>
      </w:pPr>
      <w:r>
        <w:rPr>
          <w:rFonts w:ascii="Arial" w:cs="Arial" w:eastAsia="Arial" w:hAnsi="Arial"/>
          <w:sz w:val="13"/>
          <w:szCs w:val="13"/>
          <w:color w:val="auto"/>
        </w:rPr>
        <w:t>As of January 5, 2007, several of the underwriters have affiliates who own common stock of one or more of our founding members. An affiliate of Citigroup Global Markets Inc. owned approximately 3.0% of AMC’s common stock, less than 1.0% of Regal’s common stock and less than 1.0% of Cinemark’s common stock. Goldman, Sachs and Co. owned less than 1.0% of Regal’s common stock. An affiliate of Morgan Stanley &amp; Co. Incorporated owned approximately 1.8% of Regal’s common stock. An affiliate of J.P. Morgan Securities Inc. owned approximately 20.8% of AMC’s common stock and less than 1.0% of Regal’s common stock. An affiliate of Credit Suisse Securities (USA) LLC owned less than 1.0% of Regal’s common stock, less than 1.0% of Cinemark’s common stock and less than 1.0% of AMC’s common stock. Banc of America Securities LLC and its affiliates owned approximately 4.3% of Regal’s common stock. See “Use of Proceeds” and “Underwriting.” There may be a conflict of interest between their interests as underwriters and their interests as stockholders of founding members, who will receive a payment of $686.3 million from NCM LLC upon the completion of this offering for their agreeing to modify our payment obligations under our exhibitor services agreements. As participants in this offering that are seeking to realize the value of their investment in us, these underwriters have interests beyond customary underwriting discounts and commissions.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will experience immediate and substantial dilution in net tangible book value per share of common stock</w:t>
      </w:r>
    </w:p>
    <w:p>
      <w:pPr>
        <w:spacing w:after="0" w:line="7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The initial public offering price of the common stock will be substantially higher than the pro forma combined net tangible book value per share of our outstanding common stock. If you purchase shares of our common stock, you will incur immediate and substantial dilution in the amount of $25.26 per share, based on an assumed initial public offering price of $19.00 per share, which is the midpoint of the initial public offering price range set forth on the cover of this prospectus. A $1.00 increase in the initial public offering price per share would not impact the net tangible book value. A 10% increase in the number of shares of common stock sold, assuming an initial public offering price of $19.00 (the midpoint of the range set forth on the cover page of this prospectus), would not have a meaningful impact on our net tangible book value as of September 28, 2006. See “Dilution.”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399" w:right="21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49"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In addition to historical information, this prospectus contains forward-looking statements. The words “forecast,” “estimate,” “project,” “intend,” “expect,” “should,” “believe” and similar expressions are intended to identify forward-looking statements. These forward-looking statements involve known and unknown risks, uncertainties, assumptions and other factors, including those discussed in “Risk Factors” and “Management’s Discussion and Analysis of Financial Condition and Results of Operations,” which may cause our actual results, performance or achievements to be materially different from any future results, performance or achievements expressed or implied by such forward-looking statements. These risks and uncertainties include, but are not limited to, the following:</w:t>
      </w:r>
    </w:p>
    <w:p>
      <w:pPr>
        <w:spacing w:after="0" w:line="44" w:lineRule="exact"/>
        <w:rPr>
          <w:sz w:val="20"/>
          <w:szCs w:val="20"/>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national, regional and local economic conditions that may affect the markets in which we operate;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levels of expenditures on advertising in general and cinema advertising in particular;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increased competition within cinema advertising or other segments of the advertising industry;</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technological changes and innovations, including alternative methods for delivering movies to consumers;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popularity of major motion picture releases and level of theatre attendance;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shifts in population and other demographics;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renew expiring advertising contracts at favorable rates, or to replace them with new contracts that are comparably favorable to us;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need for, and ability to obtain, additional funding for acquisitions and operations;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risks and uncertainties relating to our significant indebtedness following the completion of this offering;</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fluctuations in operating costs;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capital expenditure requirements;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interest rates;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accounting principles, policies or guidelines.</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This list of factors that may affect future performance and the accuracy of forward-looking statements is illustrative but not exhaustive. In addition, new risks and uncertainties may arise from time to time. Accordingly, all forward-looking statements should be evaluated with an understanding of their inherent uncertainty.</w:t>
      </w:r>
    </w:p>
    <w:p>
      <w:pPr>
        <w:spacing w:after="0" w:line="93"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Except as required by law, we assume no obligation to publicly update or revise these forward-looking statements for any reason, or to update the reasons actual results could differ materially from those anticipated in these forward-looking statements, even if new information becomes available in the future.</w:t>
      </w:r>
    </w:p>
    <w:p>
      <w:pPr>
        <w:spacing w:after="0" w:line="8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20"/>
          </w:cols>
          <w:pgMar w:left="220" w:top="399" w:right="35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USE OF PROCEEDS</w:t>
      </w:r>
    </w:p>
    <w:p>
      <w:pPr>
        <w:spacing w:after="0" w:line="149" w:lineRule="exact"/>
        <w:rPr>
          <w:sz w:val="20"/>
          <w:szCs w:val="20"/>
          <w:color w:val="auto"/>
        </w:rPr>
      </w:pPr>
    </w:p>
    <w:p>
      <w:pPr>
        <w:jc w:val="both"/>
        <w:ind w:firstLine="458"/>
        <w:spacing w:after="0" w:line="267" w:lineRule="auto"/>
        <w:rPr>
          <w:sz w:val="20"/>
          <w:szCs w:val="20"/>
          <w:color w:val="auto"/>
        </w:rPr>
      </w:pPr>
      <w:r>
        <w:rPr>
          <w:rFonts w:ascii="Arial" w:cs="Arial" w:eastAsia="Arial" w:hAnsi="Arial"/>
          <w:sz w:val="14"/>
          <w:szCs w:val="14"/>
          <w:color w:val="auto"/>
        </w:rPr>
        <w:t>Based upon an estimated initial public offering price of $19.00 per share (the midpoint of the range set forth on the cover page of this prospectus), we estimate that we will receive net proceeds from this offering of approximately $674.3 million, after deducting estimated underwriting discounts and commissions in connection with this offering and estimated offering expenses of $8.0 million. See “Underwriting.” If the underwriters exercise their option to purchase an additional 4,000,000 shares of our common stock to cover over-allotments of shares, we will use the net proceeds from the over-allotments to purchase an equivalent number of common membership units in NCM LLC held by our founding members on a pro rata basis at a price per unit equal to the public offering price per share, less underwriting discounts and commissions and offering expenses.</w:t>
      </w:r>
    </w:p>
    <w:p>
      <w:pPr>
        <w:spacing w:after="0" w:line="110" w:lineRule="exact"/>
        <w:rPr>
          <w:sz w:val="20"/>
          <w:szCs w:val="20"/>
          <w:color w:val="auto"/>
        </w:rPr>
      </w:pPr>
    </w:p>
    <w:p>
      <w:pPr>
        <w:ind w:right="180" w:firstLine="458"/>
        <w:spacing w:after="0" w:line="297" w:lineRule="auto"/>
        <w:rPr>
          <w:sz w:val="20"/>
          <w:szCs w:val="20"/>
          <w:color w:val="auto"/>
        </w:rPr>
      </w:pPr>
      <w:r>
        <w:rPr>
          <w:rFonts w:ascii="Arial" w:cs="Arial" w:eastAsia="Arial" w:hAnsi="Arial"/>
          <w:sz w:val="13"/>
          <w:szCs w:val="13"/>
          <w:color w:val="auto"/>
        </w:rPr>
        <w:t>We will use all of the estimated net proceeds of approximately $674.3 million to purchase newly issued common membership units from NCM LLC at a price per unit equal to the public offering price per share, less underwriting discounts and commissions and offering expenses of $8.0 million. NCM LLC will use all of the estimated net proceeds of approximately $674.3 million it receives from us to pay a portion of the $686.3 million owed to our founding members for their agreeing to modify our payment obligations under our exhibitor services agreements. NCM LLC will also use $12.0 million from its term loan borrowings for this purpose. We will purchase a number of common membership units equal to the number of shares of common stock sold in this offering.</w:t>
      </w:r>
    </w:p>
    <w:p>
      <w:pPr>
        <w:spacing w:after="0" w:line="91" w:lineRule="exact"/>
        <w:rPr>
          <w:sz w:val="20"/>
          <w:szCs w:val="20"/>
          <w:color w:val="auto"/>
        </w:rPr>
      </w:pPr>
    </w:p>
    <w:p>
      <w:pPr>
        <w:ind w:right="40" w:firstLine="458"/>
        <w:spacing w:after="0" w:line="293" w:lineRule="auto"/>
        <w:rPr>
          <w:sz w:val="20"/>
          <w:szCs w:val="20"/>
          <w:color w:val="auto"/>
        </w:rPr>
      </w:pPr>
      <w:r>
        <w:rPr>
          <w:rFonts w:ascii="Arial" w:cs="Arial" w:eastAsia="Arial" w:hAnsi="Arial"/>
          <w:sz w:val="13"/>
          <w:szCs w:val="13"/>
          <w:color w:val="auto"/>
        </w:rPr>
        <w:t>As of January 5, 2007, several of the underwriters have affiliates who own common stock of one or more of our founding members. An affiliate of Citigroup Global Markets Inc. owned approximately 3.0% of AMC’s common stock, less than 1.0% of Regal’s common stock and less than 1.0% of Cinemark’s common stock. Goldman, Sachs and Co. owned less than 1.0% of Regal’s common stock. An affiliate of Morgan Stanley &amp; Co. Incorporated owned approximately 1.8% of Regal’s common stock. An affiliate of J.P. Morgan Securities Inc. owned approximately 20.8% of AMC’s common stock and less than 1.0% of Regal’s common stock. An affiliate of Credit Suisse Securities (USA) LLC owned less than 1.0% of Regal’s common stock, less than 1.0% of Cinemark’s common stock and less than 1.0% of AMC’s common stock. Banc of America Securities LLC and its affiliates owned approximately 4.3% of Regal’s common stock.</w:t>
      </w:r>
    </w:p>
    <w:p>
      <w:pPr>
        <w:spacing w:after="0" w:line="93"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In connection with the completion of this offering, NCM LLC will enter into a new $805.0 million senior secured credit facility with a group of lenders that will include affiliates of several of the underwriters. This facility will consist of a six-year, $80.0 million revolving credit facility and an eight-year, $725.0 million term loan facility. The revolving credit facility will be available, subject to certain conditions, for general corporate purposes of NCM LLC and its subsidiaries in the ordinary course of business and for other transactions permitted under the credit agreement. The term loan will be due on the eighth anniversary of funding and will be used to redeem all the preferred membership units of NCM LLC for an aggregate price of $698.5 million, and to pay $12.0 million to our founding members for their agreeing to modify our payment obligations under our exhibitor services agreements, and to pay transaction expenses. The revolving facility will be drawn upon to repay amounts outstanding under NCM LLC’s existing $20 million revolving credit facility (which were $10.0 million as of September 28, 2006). Affiliates of Credit Suisse Securities (USA) LLC, Lehman Brothers Inc., Banc of America Securities LLC and Citigroup Global Markets Inc. are lenders under the existing revolving credit facility.</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20" w:top="399" w:right="27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POLICY</w:t>
      </w:r>
    </w:p>
    <w:p>
      <w:pPr>
        <w:spacing w:after="0" w:line="149"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Upon completion of the offering, we will become a member and the sole manager of NCM LLC. We will be a holding company, will have no direct operations and will be able to pay dividends only from our available cash on hand and funds received from NCM LLC. We expect that most of our operating expenses will be paid by NCM LLC pursuant to the terms of a management services agreement between us and NCM LLC.</w:t>
      </w:r>
    </w:p>
    <w:p>
      <w:pPr>
        <w:spacing w:after="0" w:line="102"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NCM LLC’s operating agreement will require that it distribute to its members, on a quarterly basis, cash that is not required to meet NCM LLC’s anticipated business needs and that is permitted to be distributed under the terms of its senior secured credit facility. The terms of the senior secured credit facility will limit distributions to us and other members of NCM LLC if there is a default or if we do not meet certain leverage tests. NCM LLC’s ability to make any distributions to us will also depend upon other factors, including its operating results and cash flow from operations. The change from our current circuit share expense to a theatre access fee will result in lower payments to our founding members under the exhibitor services agreements than has been the case historically. We believe this reduction in payments will more than offset the expected higher interest payments under the senior secured credit facility, and allow NCM LLC to generate sufficient cash to make distributions to us in the future. We intend to distribute as dividends to our common stockholders a substantial portion of the distributions we receive from NCM LLC.</w:t>
      </w:r>
    </w:p>
    <w:p>
      <w:pPr>
        <w:spacing w:after="0" w:line="96"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net assets minus our liabilities and our capital, or, if we have no surplus, out of our net profits for the fiscal year in which the dividend is declared and/or the preceding fiscal year.</w:t>
      </w:r>
    </w:p>
    <w:p>
      <w:pPr>
        <w:spacing w:after="0" w:line="106"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Any cash distributed to us by NCM LLC will not be available to NCM LLC for other corporate purposes, such as acquisitions, investments, capital expenditures or repayment of NCM LLC’s term loan.</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40"/>
          </w:cols>
          <w:pgMar w:left="220" w:top="399" w:right="2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CAPITALIZATION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as of September 28, 2006:</w:t>
      </w:r>
    </w:p>
    <w:p>
      <w:pPr>
        <w:spacing w:after="0" w:line="79" w:lineRule="exact"/>
        <w:rPr>
          <w:sz w:val="20"/>
          <w:szCs w:val="20"/>
          <w:color w:val="auto"/>
        </w:rPr>
      </w:pPr>
    </w:p>
    <w:p>
      <w:pPr>
        <w:ind w:left="920" w:hanging="249"/>
        <w:spacing w:after="0"/>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cash and cash equivalents and capitalization of NCM LLC; and</w:t>
      </w:r>
    </w:p>
    <w:p>
      <w:pPr>
        <w:spacing w:after="0" w:line="79" w:lineRule="exact"/>
        <w:rPr>
          <w:rFonts w:ascii="Arial" w:cs="Arial" w:eastAsia="Arial" w:hAnsi="Arial"/>
          <w:sz w:val="14"/>
          <w:szCs w:val="14"/>
          <w:color w:val="auto"/>
        </w:rPr>
      </w:pPr>
    </w:p>
    <w:p>
      <w:pPr>
        <w:ind w:left="920" w:hanging="288"/>
        <w:spacing w:after="0" w:line="270" w:lineRule="auto"/>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pro forma cash and cash equivalents and capitalization on a consolidated basis with NCM LLC as adjusted to reflect (a) the incurrence of debt under the new NCM LLC senior secured credit facility, (b) the reorganization and (c) our issuance and sale of the shares of common stock in this offering at an assumed initial offering price of $19.00 per share (the midpoint of the range set forth on the cover page of this prospectus) after deducting underwriting discounts and commissions and offering expenses, the receipt of the estimated proceeds therefrom and the purchase of 38,000,000 common membership units from NCM LLC.</w:t>
      </w:r>
    </w:p>
    <w:p>
      <w:pPr>
        <w:spacing w:after="0" w:line="106"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The table should be read in conjunction with the historical financial statements and related notes and our unaudited pro forma financial information and related notes, in each case included elsewhere in this prospectus. The data assume that there has been no exercise, in whole or in part, of the underwriters’ over-allotment option to purchase additional shares of our common stock in this offering.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1"/>
                <w:szCs w:val="11"/>
                <w:b w:val="1"/>
                <w:bCs w:val="1"/>
                <w:color w:val="auto"/>
                <w:w w:val="91"/>
              </w:rPr>
              <w:t>As of September 28, 2006</w:t>
            </w: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9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45"/>
              <w:spacing w:after="0" w:line="100" w:lineRule="exact"/>
              <w:rPr>
                <w:sz w:val="20"/>
                <w:szCs w:val="20"/>
                <w:color w:val="auto"/>
              </w:rPr>
            </w:pPr>
            <w:r>
              <w:rPr>
                <w:rFonts w:ascii="Arial" w:cs="Arial" w:eastAsia="Arial" w:hAnsi="Arial"/>
                <w:sz w:val="11"/>
                <w:szCs w:val="11"/>
                <w:b w:val="1"/>
                <w:bCs w:val="1"/>
                <w:color w:val="auto"/>
                <w:w w:val="97"/>
              </w:rPr>
              <w:t>NCM Inc.</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0"/>
              </w:rPr>
              <w:t>Pro Forma</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5"/>
              <w:spacing w:after="0"/>
              <w:rPr>
                <w:sz w:val="20"/>
                <w:szCs w:val="20"/>
                <w:color w:val="auto"/>
              </w:rPr>
            </w:pPr>
            <w:r>
              <w:rPr>
                <w:rFonts w:ascii="Arial" w:cs="Arial" w:eastAsia="Arial" w:hAnsi="Arial"/>
                <w:sz w:val="11"/>
                <w:szCs w:val="11"/>
                <w:b w:val="1"/>
                <w:bCs w:val="1"/>
                <w:color w:val="auto"/>
              </w:rPr>
              <w:t>NCM LLC</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As Adjusted</w:t>
            </w: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auto"/>
              </w:rPr>
              <w:t>($ in</w:t>
            </w:r>
          </w:p>
        </w:tc>
        <w:tc>
          <w:tcPr>
            <w:tcW w:w="120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84"/>
              </w:rPr>
              <w:t>millions, except per share</w:t>
            </w:r>
          </w:p>
        </w:tc>
        <w:tc>
          <w:tcPr>
            <w:tcW w:w="860" w:type="dxa"/>
            <w:vAlign w:val="bottom"/>
            <w:tcBorders>
              <w:top w:val="single" w:sz="8" w:color="auto"/>
            </w:tcBorders>
            <w:gridSpan w:val="2"/>
          </w:tcPr>
          <w:p>
            <w:pPr>
              <w:jc w:val="right"/>
              <w:ind w:right="505"/>
              <w:spacing w:after="0" w:line="123" w:lineRule="exact"/>
              <w:rPr>
                <w:sz w:val="20"/>
                <w:szCs w:val="20"/>
                <w:color w:val="auto"/>
              </w:rPr>
            </w:pPr>
            <w:r>
              <w:rPr>
                <w:rFonts w:ascii="Arial" w:cs="Arial" w:eastAsia="Arial" w:hAnsi="Arial"/>
                <w:sz w:val="11"/>
                <w:szCs w:val="11"/>
                <w:b w:val="1"/>
                <w:bCs w:val="1"/>
                <w:color w:val="auto"/>
              </w:rPr>
              <w:t>data)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4.6</w:t>
            </w:r>
          </w:p>
        </w:tc>
        <w:tc>
          <w:tcPr>
            <w:tcW w:w="13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4.6</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tcPr>
          <w:p>
            <w:pPr>
              <w:spacing w:after="0" w:line="121" w:lineRule="exact"/>
              <w:rPr>
                <w:sz w:val="20"/>
                <w:szCs w:val="20"/>
                <w:color w:val="auto"/>
              </w:rPr>
            </w:pPr>
            <w:r>
              <w:rPr>
                <w:rFonts w:ascii="Arial" w:cs="Arial" w:eastAsia="Arial" w:hAnsi="Arial"/>
                <w:sz w:val="11"/>
                <w:szCs w:val="11"/>
                <w:color w:val="auto"/>
              </w:rPr>
              <w:t>Term Loan</w:t>
            </w:r>
          </w:p>
        </w:tc>
        <w:tc>
          <w:tcPr>
            <w:tcW w:w="100" w:type="dxa"/>
            <w:vAlign w:val="bottom"/>
          </w:tcPr>
          <w:p>
            <w:pPr>
              <w:spacing w:after="0"/>
              <w:rPr>
                <w:sz w:val="10"/>
                <w:szCs w:val="10"/>
                <w:color w:val="auto"/>
              </w:rPr>
            </w:pPr>
          </w:p>
        </w:tc>
        <w:tc>
          <w:tcPr>
            <w:tcW w:w="660" w:type="dxa"/>
            <w:vAlign w:val="bottom"/>
          </w:tcPr>
          <w:p>
            <w:pPr>
              <w:jc w:val="right"/>
              <w:ind w:right="5"/>
              <w:spacing w:after="0" w:line="121" w:lineRule="exact"/>
              <w:rPr>
                <w:sz w:val="20"/>
                <w:szCs w:val="20"/>
                <w:color w:val="auto"/>
              </w:rPr>
            </w:pPr>
            <w:r>
              <w:rPr>
                <w:rFonts w:ascii="Arial" w:cs="Arial" w:eastAsia="Arial" w:hAnsi="Arial"/>
                <w:sz w:val="11"/>
                <w:szCs w:val="11"/>
                <w:color w:val="auto"/>
              </w:rPr>
              <w:t>—</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725.0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Revolving Credit Facility</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10.0</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10.0 (1)</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tcPr>
          <w:p>
            <w:pPr>
              <w:spacing w:after="0" w:line="121" w:lineRule="exact"/>
              <w:rPr>
                <w:sz w:val="20"/>
                <w:szCs w:val="20"/>
                <w:color w:val="auto"/>
              </w:rPr>
            </w:pPr>
            <w:r>
              <w:rPr>
                <w:rFonts w:ascii="Arial" w:cs="Arial" w:eastAsia="Arial" w:hAnsi="Arial"/>
                <w:sz w:val="11"/>
                <w:szCs w:val="11"/>
                <w:color w:val="auto"/>
              </w:rPr>
              <w:t>Members’ Equity</w:t>
            </w:r>
          </w:p>
        </w:tc>
        <w:tc>
          <w:tcPr>
            <w:tcW w:w="10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2.1</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Stockholder’s Equity (deficit):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20" w:type="dxa"/>
            <w:vAlign w:val="bottom"/>
          </w:tcPr>
          <w:p>
            <w:pPr>
              <w:spacing w:after="0"/>
              <w:rPr>
                <w:sz w:val="9"/>
                <w:szCs w:val="9"/>
                <w:color w:val="auto"/>
              </w:rPr>
            </w:pPr>
          </w:p>
        </w:tc>
        <w:tc>
          <w:tcPr>
            <w:tcW w:w="6640" w:type="dxa"/>
            <w:vAlign w:val="bottom"/>
            <w:gridSpan w:val="2"/>
          </w:tcPr>
          <w:p>
            <w:pPr>
              <w:ind w:left="360"/>
              <w:spacing w:after="0" w:line="113" w:lineRule="exact"/>
              <w:rPr>
                <w:sz w:val="20"/>
                <w:szCs w:val="20"/>
                <w:color w:val="auto"/>
              </w:rPr>
            </w:pPr>
            <w:r>
              <w:rPr>
                <w:rFonts w:ascii="Arial" w:cs="Arial" w:eastAsia="Arial" w:hAnsi="Arial"/>
                <w:sz w:val="11"/>
                <w:szCs w:val="11"/>
                <w:color w:val="auto"/>
              </w:rPr>
              <w:t>Common stock; $0.01 par value; 1.000 shares authorized; none issued and outstanding on an actual basis,</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920" w:type="dxa"/>
            <w:vAlign w:val="bottom"/>
          </w:tcPr>
          <w:p>
            <w:pPr>
              <w:spacing w:after="0"/>
              <w:rPr>
                <w:sz w:val="11"/>
                <w:szCs w:val="11"/>
                <w:color w:val="auto"/>
              </w:rPr>
            </w:pPr>
          </w:p>
        </w:tc>
        <w:tc>
          <w:tcPr>
            <w:tcW w:w="6640" w:type="dxa"/>
            <w:vAlign w:val="bottom"/>
            <w:gridSpan w:val="2"/>
          </w:tcPr>
          <w:p>
            <w:pPr>
              <w:ind w:left="540"/>
              <w:spacing w:after="0"/>
              <w:rPr>
                <w:sz w:val="20"/>
                <w:szCs w:val="20"/>
                <w:color w:val="auto"/>
              </w:rPr>
            </w:pPr>
            <w:r>
              <w:rPr>
                <w:rFonts w:ascii="Arial" w:cs="Arial" w:eastAsia="Arial" w:hAnsi="Arial"/>
                <w:sz w:val="11"/>
                <w:szCs w:val="11"/>
                <w:color w:val="auto"/>
              </w:rPr>
              <w:t>38,000,000 shares issued and outstanding on a pro forma basis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ind w:left="360"/>
              <w:spacing w:after="0" w:line="121" w:lineRule="exact"/>
              <w:rPr>
                <w:sz w:val="20"/>
                <w:szCs w:val="20"/>
                <w:color w:val="auto"/>
              </w:rPr>
            </w:pPr>
            <w:r>
              <w:rPr>
                <w:rFonts w:ascii="Arial" w:cs="Arial" w:eastAsia="Arial" w:hAnsi="Arial"/>
                <w:sz w:val="11"/>
                <w:szCs w:val="11"/>
                <w:color w:val="auto"/>
              </w:rPr>
              <w:t>Additional Paid-in Capital</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809.8</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tcPr>
          <w:p>
            <w:pPr>
              <w:ind w:left="360"/>
              <w:spacing w:after="0" w:line="121" w:lineRule="exact"/>
              <w:rPr>
                <w:sz w:val="20"/>
                <w:szCs w:val="20"/>
                <w:color w:val="auto"/>
              </w:rPr>
            </w:pPr>
            <w:r>
              <w:rPr>
                <w:rFonts w:ascii="Arial" w:cs="Arial" w:eastAsia="Arial" w:hAnsi="Arial"/>
                <w:sz w:val="11"/>
                <w:szCs w:val="11"/>
                <w:color w:val="auto"/>
              </w:rPr>
              <w:t>Minority Interest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(1,384.8)(2)</w:t>
            </w: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ind w:left="700"/>
              <w:spacing w:after="0" w:line="121" w:lineRule="exact"/>
              <w:rPr>
                <w:sz w:val="20"/>
                <w:szCs w:val="20"/>
                <w:color w:val="auto"/>
              </w:rPr>
            </w:pPr>
            <w:r>
              <w:rPr>
                <w:rFonts w:ascii="Arial" w:cs="Arial" w:eastAsia="Arial" w:hAnsi="Arial"/>
                <w:sz w:val="11"/>
                <w:szCs w:val="11"/>
                <w:color w:val="auto"/>
              </w:rPr>
              <w:t>Members’/Stockholder’s Equity (deficit)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2.1</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(574.6)(3)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40" w:type="dxa"/>
            <w:vAlign w:val="bottom"/>
            <w:gridSpan w:val="2"/>
            <w:vMerge w:val="restart"/>
          </w:tcPr>
          <w:p>
            <w:pPr>
              <w:ind w:left="1060"/>
              <w:spacing w:after="0"/>
              <w:rPr>
                <w:sz w:val="20"/>
                <w:szCs w:val="20"/>
                <w:color w:val="auto"/>
              </w:rPr>
            </w:pPr>
            <w:r>
              <w:rPr>
                <w:rFonts w:ascii="Arial" w:cs="Arial" w:eastAsia="Arial" w:hAnsi="Arial"/>
                <w:sz w:val="11"/>
                <w:szCs w:val="11"/>
                <w:color w:val="auto"/>
              </w:rPr>
              <w:t>Total Capitalization</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20" w:type="dxa"/>
            <w:vAlign w:val="bottom"/>
          </w:tcPr>
          <w:p>
            <w:pPr>
              <w:spacing w:after="0"/>
              <w:rPr>
                <w:sz w:val="10"/>
                <w:szCs w:val="10"/>
                <w:color w:val="auto"/>
              </w:rPr>
            </w:pPr>
          </w:p>
        </w:tc>
        <w:tc>
          <w:tcPr>
            <w:tcW w:w="6640" w:type="dxa"/>
            <w:vAlign w:val="bottom"/>
            <w:gridSpan w:val="2"/>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12.1</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160.4 (3)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92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0" w:right="60" w:hanging="380"/>
        <w:spacing w:after="0" w:line="262" w:lineRule="auto"/>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payable to our founding members have historically been paid as NCM LLC collected the related accounts receivable from its customers. Approximately 30 days following the closing of this offering, NCM LLC will repay the remaining amounts owed to our founding members under the existing exhibitor services agreements (which were $43.8 million as of September 28, 2006). To the extent that such amounts have not been funded by receivables (which were $51.9 million as of September 28, 2006), we will draw upon the revolving credit facility to satisfy the amounts owed to the founding members. NCM LLC will repay the amount drawn under the credit facility for this purpose as additional receivables are collected. The amount outstanding under the new revolving credit facility will continue to fluctuate based on working capital needs.</w:t>
      </w:r>
    </w:p>
    <w:p>
      <w:pPr>
        <w:spacing w:after="0" w:line="1" w:lineRule="exact"/>
        <w:rPr>
          <w:rFonts w:ascii="Arial" w:cs="Arial" w:eastAsia="Arial" w:hAnsi="Arial"/>
          <w:sz w:val="14"/>
          <w:szCs w:val="14"/>
          <w:color w:val="auto"/>
        </w:rPr>
      </w:pPr>
    </w:p>
    <w:p>
      <w:pPr>
        <w:ind w:left="440" w:right="40" w:hanging="380"/>
        <w:spacing w:after="0" w:line="260" w:lineRule="auto"/>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aggregate ownership of 59.5% of NCM LLC by the founding members and the accounting for such minority interest in our stockholder’s equity because the amount of minority interest will be negative.</w:t>
      </w:r>
    </w:p>
    <w:p>
      <w:pPr>
        <w:ind w:left="440" w:right="200" w:hanging="380"/>
        <w:spacing w:after="0" w:line="301" w:lineRule="auto"/>
        <w:tabs>
          <w:tab w:leader="none" w:pos="4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$1.00 increase in the initial public offering price per share would result in increases in stockholder’s equity and total capitalization, as of September 28, 2006 on a pro forma basis, of $3.2 million. Separately, a 10% increase in the number of shares of common stock sold, assuming an initial public offering price of $19.00 (the midpoint of the range set forth on the cover page of this prospectus), would result in increases in stockholders’ equity and total capitalization, as of September 28, 2006 on a pro forma basis, of $14.2 million.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399" w:right="21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DILUTION</w:t>
      </w:r>
    </w:p>
    <w:p>
      <w:pPr>
        <w:spacing w:after="0" w:line="149"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If you invest in our common stock, your interest will be diluted to the extent of the difference between the initial public offering price per share of our common stock and the pro forma net tangible book value per share of our common stock after this offering. Dilution results from the fact that the per share offering price of the common stock is substantially in excess of the book value per share attributable to the existing stockholders for the presently outstanding stock.</w:t>
      </w:r>
    </w:p>
    <w:p>
      <w:pPr>
        <w:spacing w:after="0" w:line="102" w:lineRule="exact"/>
        <w:rPr>
          <w:sz w:val="20"/>
          <w:szCs w:val="20"/>
          <w:color w:val="auto"/>
        </w:rPr>
      </w:pPr>
    </w:p>
    <w:p>
      <w:pPr>
        <w:ind w:right="100" w:firstLine="458"/>
        <w:spacing w:after="0" w:line="305" w:lineRule="auto"/>
        <w:rPr>
          <w:sz w:val="20"/>
          <w:szCs w:val="20"/>
          <w:color w:val="auto"/>
        </w:rPr>
      </w:pPr>
      <w:r>
        <w:rPr>
          <w:rFonts w:ascii="Arial" w:cs="Arial" w:eastAsia="Arial" w:hAnsi="Arial"/>
          <w:sz w:val="13"/>
          <w:szCs w:val="13"/>
          <w:color w:val="auto"/>
        </w:rPr>
        <w:t>As of September 28, 2006, the net tangible negative book value of NCM LLC was approximately $(0.9) million, or approximately $(0.02) per share of common stock. Net tangible book value per share represents total tangible assets less total consolidated liabilities, divided by the aggregate number of shares of common stock outstanding assuming the redemption of all current NCM LLC common membership units in exchange for an aggregate of 55,850,951 shares of common stock. Restricted stock of 358,977 is also included in the following calculations.</w:t>
      </w:r>
    </w:p>
    <w:p>
      <w:pPr>
        <w:spacing w:after="0" w:line="86" w:lineRule="exact"/>
        <w:rPr>
          <w:sz w:val="20"/>
          <w:szCs w:val="20"/>
          <w:color w:val="auto"/>
        </w:rPr>
      </w:pPr>
    </w:p>
    <w:p>
      <w:pPr>
        <w:ind w:right="20" w:firstLine="458"/>
        <w:spacing w:after="0" w:line="299" w:lineRule="auto"/>
        <w:rPr>
          <w:sz w:val="20"/>
          <w:szCs w:val="20"/>
          <w:color w:val="auto"/>
        </w:rPr>
      </w:pPr>
      <w:r>
        <w:rPr>
          <w:rFonts w:ascii="Arial" w:cs="Arial" w:eastAsia="Arial" w:hAnsi="Arial"/>
          <w:sz w:val="13"/>
          <w:szCs w:val="13"/>
          <w:color w:val="auto"/>
        </w:rPr>
        <w:t>After giving effect to our issuance of shares of common stock in this offering, the reorganization and the financing transaction, and assuming an estimated offering price of $19.00 per share (the midpoint of the range set forth on the cover page of this prospectus), and after deducting estimated offering expenses and assuming full redemption of NCM LLC membership units held by the founding members in exchange for shares of our common stock, our pro forma net tangible negative book value as of September 28, 2006 would have been approximately $(589.8) million or $(6.26) per share of common stock.</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This represents an immediate dilution to new investors in our common stock of approximately $25.26 per share.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540" w:type="dxa"/>
            <w:vAlign w:val="bottom"/>
          </w:tcPr>
          <w:p>
            <w:pPr>
              <w:ind w:left="460"/>
              <w:spacing w:after="0"/>
              <w:rPr>
                <w:sz w:val="20"/>
                <w:szCs w:val="20"/>
                <w:color w:val="auto"/>
              </w:rPr>
            </w:pPr>
            <w:r>
              <w:rPr>
                <w:rFonts w:ascii="Arial" w:cs="Arial" w:eastAsia="Arial" w:hAnsi="Arial"/>
                <w:sz w:val="14"/>
                <w:szCs w:val="14"/>
                <w:color w:val="auto"/>
              </w:rPr>
              <w:t>The following table illustrates this per share dilution (assuming that the underwriters do not exercise their over-allotment option in whole or in part):</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3"/>
        </w:trPr>
        <w:tc>
          <w:tcPr>
            <w:tcW w:w="9540" w:type="dxa"/>
            <w:vAlign w:val="bottom"/>
          </w:tcPr>
          <w:p>
            <w:pPr>
              <w:spacing w:after="0"/>
              <w:rPr>
                <w:sz w:val="20"/>
                <w:szCs w:val="20"/>
                <w:color w:val="auto"/>
              </w:rPr>
            </w:pPr>
            <w:r>
              <w:rPr>
                <w:rFonts w:ascii="Arial" w:cs="Arial" w:eastAsia="Arial" w:hAnsi="Arial"/>
                <w:sz w:val="14"/>
                <w:szCs w:val="14"/>
                <w:color w:val="auto"/>
              </w:rPr>
              <w:t>Initial public offering price per share</w:t>
            </w:r>
          </w:p>
        </w:tc>
        <w:tc>
          <w:tcPr>
            <w:tcW w:w="1860" w:type="dxa"/>
            <w:vAlign w:val="bottom"/>
            <w:gridSpan w:val="2"/>
          </w:tcPr>
          <w:p>
            <w:pPr>
              <w:ind w:left="1440"/>
              <w:spacing w:after="0"/>
              <w:rPr>
                <w:sz w:val="20"/>
                <w:szCs w:val="20"/>
                <w:color w:val="auto"/>
              </w:rPr>
            </w:pPr>
            <w:r>
              <w:rPr>
                <w:rFonts w:ascii="Arial" w:cs="Arial" w:eastAsia="Arial" w:hAnsi="Arial"/>
                <w:sz w:val="14"/>
                <w:szCs w:val="14"/>
                <w:color w:val="auto"/>
                <w:w w:val="85"/>
              </w:rPr>
              <w:t>$ 19.00</w:t>
            </w:r>
          </w:p>
        </w:tc>
        <w:tc>
          <w:tcPr>
            <w:tcW w:w="40" w:type="dxa"/>
            <w:vAlign w:val="bottom"/>
          </w:tcPr>
          <w:p>
            <w:pPr>
              <w:spacing w:after="0"/>
              <w:rPr>
                <w:sz w:val="24"/>
                <w:szCs w:val="24"/>
                <w:color w:val="auto"/>
              </w:rPr>
            </w:pPr>
          </w:p>
        </w:tc>
      </w:tr>
      <w:tr>
        <w:trPr>
          <w:trHeight w:val="175"/>
        </w:trPr>
        <w:tc>
          <w:tcPr>
            <w:tcW w:w="9540" w:type="dxa"/>
            <w:vAlign w:val="bottom"/>
          </w:tcPr>
          <w:p>
            <w:pPr>
              <w:ind w:left="360"/>
              <w:spacing w:after="0"/>
              <w:rPr>
                <w:sz w:val="20"/>
                <w:szCs w:val="20"/>
                <w:color w:val="auto"/>
              </w:rPr>
            </w:pPr>
            <w:r>
              <w:rPr>
                <w:rFonts w:ascii="Arial" w:cs="Arial" w:eastAsia="Arial" w:hAnsi="Arial"/>
                <w:sz w:val="14"/>
                <w:szCs w:val="14"/>
                <w:color w:val="auto"/>
              </w:rPr>
              <w:t>Pro forma net tangible book value per share as of September 28, 2006</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 (0.02)</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9540" w:type="dxa"/>
            <w:vAlign w:val="bottom"/>
          </w:tcPr>
          <w:p>
            <w:pPr>
              <w:ind w:left="360"/>
              <w:spacing w:after="0"/>
              <w:rPr>
                <w:sz w:val="20"/>
                <w:szCs w:val="20"/>
                <w:color w:val="auto"/>
              </w:rPr>
            </w:pPr>
            <w:r>
              <w:rPr>
                <w:rFonts w:ascii="Arial" w:cs="Arial" w:eastAsia="Arial" w:hAnsi="Arial"/>
                <w:sz w:val="14"/>
                <w:szCs w:val="14"/>
                <w:color w:val="auto"/>
              </w:rPr>
              <w:t>Decrease in pro forma net tangible book value per share attributable to this offering, the financing transaction and the reorganization</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 (6.24)</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63"/>
        </w:trPr>
        <w:tc>
          <w:tcPr>
            <w:tcW w:w="9540" w:type="dxa"/>
            <w:vAlign w:val="bottom"/>
          </w:tcPr>
          <w:p>
            <w:pPr>
              <w:spacing w:after="0"/>
              <w:rPr>
                <w:sz w:val="20"/>
                <w:szCs w:val="20"/>
                <w:color w:val="auto"/>
              </w:rPr>
            </w:pPr>
            <w:r>
              <w:rPr>
                <w:rFonts w:ascii="Arial" w:cs="Arial" w:eastAsia="Arial" w:hAnsi="Arial"/>
                <w:sz w:val="14"/>
                <w:szCs w:val="14"/>
                <w:color w:val="auto"/>
              </w:rPr>
              <w:t>Pro forma net tangible book value per share after the completion of this offering, the reorganization and the financing transaction</w:t>
            </w:r>
          </w:p>
        </w:tc>
        <w:tc>
          <w:tcPr>
            <w:tcW w:w="1900" w:type="dxa"/>
            <w:vAlign w:val="bottom"/>
            <w:gridSpan w:val="3"/>
          </w:tcPr>
          <w:p>
            <w:pPr>
              <w:ind w:left="1440"/>
              <w:spacing w:after="0"/>
              <w:rPr>
                <w:sz w:val="20"/>
                <w:szCs w:val="20"/>
                <w:color w:val="auto"/>
              </w:rPr>
            </w:pPr>
            <w:r>
              <w:rPr>
                <w:rFonts w:ascii="Arial" w:cs="Arial" w:eastAsia="Arial" w:hAnsi="Arial"/>
                <w:sz w:val="14"/>
                <w:szCs w:val="14"/>
                <w:color w:val="auto"/>
                <w:w w:val="91"/>
              </w:rPr>
              <w:t>$ (6.26)</w:t>
            </w:r>
          </w:p>
        </w:tc>
      </w:tr>
      <w:tr>
        <w:trPr>
          <w:trHeight w:val="20"/>
        </w:trPr>
        <w:tc>
          <w:tcPr>
            <w:tcW w:w="9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9540" w:type="dxa"/>
            <w:vAlign w:val="bottom"/>
          </w:tcPr>
          <w:p>
            <w:pPr>
              <w:spacing w:after="0"/>
              <w:rPr>
                <w:sz w:val="20"/>
                <w:szCs w:val="20"/>
                <w:color w:val="auto"/>
              </w:rPr>
            </w:pPr>
            <w:r>
              <w:rPr>
                <w:rFonts w:ascii="Arial" w:cs="Arial" w:eastAsia="Arial" w:hAnsi="Arial"/>
                <w:sz w:val="14"/>
                <w:szCs w:val="14"/>
                <w:color w:val="auto"/>
              </w:rPr>
              <w:t>Pro forma dilution per share to new investors</w:t>
            </w:r>
          </w:p>
        </w:tc>
        <w:tc>
          <w:tcPr>
            <w:tcW w:w="1860" w:type="dxa"/>
            <w:vAlign w:val="bottom"/>
            <w:gridSpan w:val="2"/>
          </w:tcPr>
          <w:p>
            <w:pPr>
              <w:ind w:left="1440"/>
              <w:spacing w:after="0"/>
              <w:rPr>
                <w:sz w:val="20"/>
                <w:szCs w:val="20"/>
                <w:color w:val="auto"/>
              </w:rPr>
            </w:pPr>
            <w:r>
              <w:rPr>
                <w:rFonts w:ascii="Arial" w:cs="Arial" w:eastAsia="Arial" w:hAnsi="Arial"/>
                <w:sz w:val="14"/>
                <w:szCs w:val="14"/>
                <w:color w:val="auto"/>
                <w:w w:val="85"/>
              </w:rPr>
              <w:t>$ 25.26</w:t>
            </w:r>
          </w:p>
        </w:tc>
        <w:tc>
          <w:tcPr>
            <w:tcW w:w="40" w:type="dxa"/>
            <w:vAlign w:val="bottom"/>
          </w:tcPr>
          <w:p>
            <w:pPr>
              <w:spacing w:after="0"/>
              <w:rPr>
                <w:sz w:val="22"/>
                <w:szCs w:val="22"/>
                <w:color w:val="auto"/>
              </w:rPr>
            </w:pPr>
          </w:p>
        </w:tc>
      </w:tr>
    </w:tbl>
    <w:p>
      <w:pPr>
        <w:spacing w:after="0" w:line="125" w:lineRule="exact"/>
        <w:rPr>
          <w:sz w:val="20"/>
          <w:szCs w:val="20"/>
          <w:color w:val="auto"/>
        </w:rPr>
      </w:pPr>
    </w:p>
    <w:p>
      <w:pPr>
        <w:ind w:right="120" w:firstLine="458"/>
        <w:spacing w:after="0" w:line="378" w:lineRule="auto"/>
        <w:rPr>
          <w:sz w:val="20"/>
          <w:szCs w:val="20"/>
          <w:color w:val="auto"/>
        </w:rPr>
      </w:pPr>
      <w:r>
        <w:rPr>
          <w:rFonts w:ascii="Arial" w:cs="Arial" w:eastAsia="Arial" w:hAnsi="Arial"/>
          <w:sz w:val="12"/>
          <w:szCs w:val="12"/>
          <w:color w:val="auto"/>
        </w:rPr>
        <w:t>If the underwriters’ over-allotment option is exercised in full, the pro forma negative net tangible book value per share of common stock after giving effect to this offering, the reorganization and the financing transaction would be approximately $(6.24) per share and the dilution in pro forma net tangible book value per share of common stock to new investors would be $(25.26) per share.</w:t>
      </w:r>
    </w:p>
    <w:p>
      <w:pPr>
        <w:spacing w:after="0" w:line="46"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The foregoing discussion and tables assume no exercise of any stock options or vesting of restricted common stock that will be outstanding immediately following this offering. As of the date of completion of this offering, we will have outstanding options to purchase 1,790,960 shares of our common stock and 358,977 shares of restricted common stock, including options and restricted shares NCM Inc. intends to grant upon the completion of this offering. If all of these options and the entire over-allotment option were exercised and all of these restricted shares vested, there would be further pro forma dilution to new investors of $0.44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190119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61" w:lineRule="exact"/>
        <w:rPr>
          <w:sz w:val="20"/>
          <w:szCs w:val="20"/>
          <w:color w:val="auto"/>
        </w:rPr>
      </w:pPr>
    </w:p>
    <w:p>
      <w:pPr>
        <w:ind w:left="220" w:right="140" w:hanging="149"/>
        <w:spacing w:after="0" w:line="231" w:lineRule="auto"/>
        <w:tabs>
          <w:tab w:leader="none" w:pos="2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A $1.00 increase in the initial public offering price per share would not impact the net tangible book value. A 10% increase in the number of shares of common stock would not have a meaningful impact on our net tangible book value as of September 28, 2006.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40"/>
          </w:cols>
          <w:pgMar w:left="220" w:top="399" w:right="2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firstLine="458"/>
        <w:spacing w:after="0" w:line="305" w:lineRule="auto"/>
        <w:rPr>
          <w:sz w:val="20"/>
          <w:szCs w:val="20"/>
          <w:color w:val="auto"/>
        </w:rPr>
      </w:pPr>
      <w:r>
        <w:rPr>
          <w:rFonts w:ascii="Arial" w:cs="Arial" w:eastAsia="Arial" w:hAnsi="Arial"/>
          <w:sz w:val="13"/>
          <w:szCs w:val="13"/>
          <w:color w:val="auto"/>
        </w:rPr>
        <w:t>The following table summarizes, on a pro forma basis as of September 28, 2006 the difference between the total cash consideration paid by our founding members for common stock, assuming the redemption of all membership units of NCM LLC in exchange for shares of our common stock in the manner described above, and the purchasers of common stock in the public offering, before deducting estimated underwriting discounts and commissions and estimated offering expenses. Restricted stock and options are not included in the following calculations.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00" w:type="dxa"/>
            <w:vAlign w:val="bottom"/>
          </w:tcPr>
          <w:p>
            <w:pPr>
              <w:spacing w:after="0"/>
              <w:rPr>
                <w:sz w:val="10"/>
                <w:szCs w:val="10"/>
                <w:color w:val="auto"/>
              </w:rPr>
            </w:pPr>
          </w:p>
        </w:tc>
        <w:tc>
          <w:tcPr>
            <w:tcW w:w="1720" w:type="dxa"/>
            <w:vAlign w:val="bottom"/>
            <w:gridSpan w:val="4"/>
            <w:vMerge w:val="restart"/>
          </w:tcPr>
          <w:p>
            <w:pPr>
              <w:jc w:val="right"/>
              <w:ind w:right="580"/>
              <w:spacing w:after="0"/>
              <w:rPr>
                <w:sz w:val="20"/>
                <w:szCs w:val="20"/>
                <w:color w:val="auto"/>
              </w:rPr>
            </w:pPr>
            <w:r>
              <w:rPr>
                <w:rFonts w:ascii="Arial" w:cs="Arial" w:eastAsia="Arial" w:hAnsi="Arial"/>
                <w:sz w:val="11"/>
                <w:szCs w:val="11"/>
                <w:b w:val="1"/>
                <w:bCs w:val="1"/>
                <w:color w:val="auto"/>
              </w:rPr>
              <w:t>Shares Purchased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vMerge w:val="restart"/>
          </w:tcPr>
          <w:p>
            <w:pPr>
              <w:ind w:left="160"/>
              <w:spacing w:after="0"/>
              <w:rPr>
                <w:sz w:val="20"/>
                <w:szCs w:val="20"/>
                <w:color w:val="auto"/>
              </w:rPr>
            </w:pPr>
            <w:r>
              <w:rPr>
                <w:rFonts w:ascii="Arial" w:cs="Arial" w:eastAsia="Arial" w:hAnsi="Arial"/>
                <w:sz w:val="11"/>
                <w:szCs w:val="11"/>
                <w:b w:val="1"/>
                <w:bCs w:val="1"/>
                <w:color w:val="auto"/>
              </w:rPr>
              <w:t>Total Consideration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66"/>
        </w:trPr>
        <w:tc>
          <w:tcPr>
            <w:tcW w:w="710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Price</w:t>
            </w:r>
          </w:p>
        </w:tc>
        <w:tc>
          <w:tcPr>
            <w:tcW w:w="0" w:type="dxa"/>
            <w:vAlign w:val="bottom"/>
          </w:tcPr>
          <w:p>
            <w:pPr>
              <w:spacing w:after="0"/>
              <w:rPr>
                <w:sz w:val="1"/>
                <w:szCs w:val="1"/>
                <w:color w:val="auto"/>
              </w:rPr>
            </w:pPr>
          </w:p>
        </w:tc>
      </w:tr>
      <w:tr>
        <w:trPr>
          <w:trHeight w:val="35"/>
        </w:trPr>
        <w:tc>
          <w:tcPr>
            <w:tcW w:w="710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7100" w:type="dxa"/>
            <w:vAlign w:val="bottom"/>
          </w:tcPr>
          <w:p>
            <w:pPr>
              <w:spacing w:after="0"/>
              <w:rPr>
                <w:sz w:val="12"/>
                <w:szCs w:val="12"/>
                <w:color w:val="auto"/>
              </w:rPr>
            </w:pPr>
          </w:p>
        </w:tc>
        <w:tc>
          <w:tcPr>
            <w:tcW w:w="700" w:type="dxa"/>
            <w:vAlign w:val="bottom"/>
          </w:tcPr>
          <w:p>
            <w:pPr>
              <w:jc w:val="right"/>
              <w:ind w:right="96"/>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9"/>
              </w:rPr>
              <w:t>Percent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1"/>
              </w:rPr>
              <w:t>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Percent</w:t>
            </w:r>
          </w:p>
        </w:tc>
        <w:tc>
          <w:tcPr>
            <w:tcW w:w="180" w:type="dxa"/>
            <w:vAlign w:val="bottom"/>
          </w:tcPr>
          <w:p>
            <w:pPr>
              <w:spacing w:after="0"/>
              <w:rPr>
                <w:sz w:val="12"/>
                <w:szCs w:val="12"/>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9"/>
              </w:rPr>
              <w:t>Per Share</w:t>
            </w:r>
          </w:p>
        </w:tc>
        <w:tc>
          <w:tcPr>
            <w:tcW w:w="0" w:type="dxa"/>
            <w:vAlign w:val="bottom"/>
          </w:tcPr>
          <w:p>
            <w:pPr>
              <w:spacing w:after="0"/>
              <w:rPr>
                <w:sz w:val="1"/>
                <w:szCs w:val="1"/>
                <w:color w:val="auto"/>
              </w:rPr>
            </w:pPr>
          </w:p>
        </w:tc>
      </w:tr>
      <w:tr>
        <w:trPr>
          <w:trHeight w:val="132"/>
        </w:trPr>
        <w:tc>
          <w:tcPr>
            <w:tcW w:w="7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9"/>
              </w:rPr>
              <w:t>(millions)</w:t>
            </w: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7100" w:type="dxa"/>
            <w:vAlign w:val="bottom"/>
          </w:tcPr>
          <w:p>
            <w:pPr>
              <w:spacing w:after="0"/>
              <w:rPr>
                <w:sz w:val="20"/>
                <w:szCs w:val="20"/>
                <w:color w:val="auto"/>
              </w:rPr>
            </w:pPr>
            <w:r>
              <w:rPr>
                <w:rFonts w:ascii="Arial" w:cs="Arial" w:eastAsia="Arial" w:hAnsi="Arial"/>
                <w:sz w:val="14"/>
                <w:szCs w:val="14"/>
                <w:color w:val="auto"/>
              </w:rPr>
              <w:t>Founding members</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55,850,951</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59.5%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(1,366.4)</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rPr>
              <w:t>NM</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20"/>
                <w:szCs w:val="20"/>
                <w:color w:val="auto"/>
              </w:rPr>
            </w:pPr>
            <w:r>
              <w:rPr>
                <w:rFonts w:ascii="Arial" w:cs="Arial" w:eastAsia="Arial" w:hAnsi="Arial"/>
                <w:sz w:val="14"/>
                <w:szCs w:val="14"/>
                <w:color w:val="auto"/>
              </w:rPr>
              <w:t>Purchasers of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38,000,000</w:t>
            </w:r>
          </w:p>
        </w:tc>
        <w:tc>
          <w:tcPr>
            <w:tcW w:w="3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40.5%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722.0</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93,850,951</w:t>
            </w:r>
          </w:p>
        </w:tc>
        <w:tc>
          <w:tcPr>
            <w:tcW w:w="3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(644.4)</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100.0%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77"/>
        </w:trPr>
        <w:tc>
          <w:tcPr>
            <w:tcW w:w="7100" w:type="dxa"/>
            <w:vAlign w:val="bottom"/>
          </w:tcPr>
          <w:p>
            <w:pPr>
              <w:ind w:left="20"/>
              <w:spacing w:after="0"/>
              <w:rPr>
                <w:sz w:val="20"/>
                <w:szCs w:val="20"/>
                <w:color w:val="auto"/>
              </w:rPr>
            </w:pPr>
            <w:r>
              <w:rPr>
                <w:rFonts w:ascii="Arial" w:cs="Arial" w:eastAsia="Arial" w:hAnsi="Arial"/>
                <w:sz w:val="14"/>
                <w:szCs w:val="14"/>
                <w:color w:val="auto"/>
              </w:rPr>
              <w:t>NM = not meaningful</w:t>
            </w:r>
          </w:p>
        </w:tc>
        <w:tc>
          <w:tcPr>
            <w:tcW w:w="7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If the underwriters’ option to purchase additional shares is exercised in full and assuming full redemption of NCM LLC membership units held by the founding members in exchange for shares of our common stock, the following will occur:</w:t>
      </w:r>
    </w:p>
    <w:p>
      <w:pPr>
        <w:spacing w:after="0" w:line="28" w:lineRule="exact"/>
        <w:rPr>
          <w:sz w:val="20"/>
          <w:szCs w:val="20"/>
          <w:color w:val="auto"/>
        </w:rPr>
      </w:pPr>
    </w:p>
    <w:p>
      <w:pPr>
        <w:ind w:left="780" w:hanging="240"/>
        <w:spacing w:after="0"/>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percentage of shares of common stock held by the founding members will decrease to approximately 55.2% of the total number of shares of common stock outstanding, and</w:t>
      </w:r>
    </w:p>
    <w:p>
      <w:pPr>
        <w:spacing w:after="0" w:line="90" w:lineRule="exact"/>
        <w:rPr>
          <w:rFonts w:ascii="Arial" w:cs="Arial" w:eastAsia="Arial" w:hAnsi="Arial"/>
          <w:sz w:val="13"/>
          <w:szCs w:val="13"/>
          <w:color w:val="auto"/>
        </w:rPr>
      </w:pPr>
    </w:p>
    <w:p>
      <w:pPr>
        <w:ind w:left="780" w:right="180" w:hanging="240"/>
        <w:spacing w:after="0" w:line="289" w:lineRule="auto"/>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number of shares of common stock held by purchasers of common stock will increase to 42,000,000 shares, or approximately 44.8% of the total number of shares of common stock outstanding after this offering.</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40"/>
          </w:cols>
          <w:pgMar w:left="220" w:top="399"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PRO FORMA FINANCIAL INFORMATION</w:t>
      </w:r>
    </w:p>
    <w:p>
      <w:pPr>
        <w:spacing w:after="0" w:line="149" w:lineRule="exact"/>
        <w:rPr>
          <w:sz w:val="20"/>
          <w:szCs w:val="20"/>
          <w:color w:val="auto"/>
        </w:rPr>
      </w:pPr>
    </w:p>
    <w:p>
      <w:pPr>
        <w:ind w:firstLine="458"/>
        <w:spacing w:after="0" w:line="284" w:lineRule="auto"/>
        <w:rPr>
          <w:sz w:val="20"/>
          <w:szCs w:val="20"/>
          <w:color w:val="auto"/>
        </w:rPr>
      </w:pPr>
      <w:r>
        <w:rPr>
          <w:rFonts w:ascii="Arial" w:cs="Arial" w:eastAsia="Arial" w:hAnsi="Arial"/>
          <w:sz w:val="13"/>
          <w:szCs w:val="13"/>
          <w:color w:val="auto"/>
        </w:rPr>
        <w:t>NCM LLC was formed on March 29, 2005, by AMC and Regal as a joint venture that combined the cinema advertising and meetings and events operations of Regal’s subsidiary, RCM, and the cinema advertising operations of AMC’s subsidiary, NCN. The contribution of the net assets by AMC and Regal was accounted for at historical costs. Under GAAP, RCM and NCN are considered to be the joint predecessors of NCM LLC. NCM LLC commenced operations on April 1, 2005. On July 15, 2005,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revenue from the sale of advertising for Cinemark’s screens are only reflected in NCM LLC’s unaudited historical statements of operations subsequent to January 1, 2006. On January 26, 2006, AMC acquired the Loews theatre circuit. The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inventory during the pre-feature show, in each case, for pre-existing contractual obligations that exist on May 31, 2008. In accordance with a Loews screen integration agreement between us and AMC, AMC will pay us an amount that approximates the EBITDA we would have generated if we were able to sell advertising in the Loews theatre chain on an exclusive basis. On January ,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 theatres. These Loews payments will be made on a quarterly basis in arrears until May 31, 2008, and, for accounting purposes, will be recorded in members’ equity and will not be reflected in NCM LLC’s statements of operations.</w:t>
      </w:r>
    </w:p>
    <w:p>
      <w:pPr>
        <w:spacing w:after="0" w:line="100" w:lineRule="exact"/>
        <w:rPr>
          <w:sz w:val="20"/>
          <w:szCs w:val="20"/>
          <w:color w:val="auto"/>
        </w:rPr>
      </w:pPr>
    </w:p>
    <w:p>
      <w:pPr>
        <w:ind w:right="60" w:firstLine="458"/>
        <w:spacing w:after="0" w:line="289" w:lineRule="auto"/>
        <w:rPr>
          <w:sz w:val="20"/>
          <w:szCs w:val="20"/>
          <w:color w:val="auto"/>
        </w:rPr>
      </w:pPr>
      <w:r>
        <w:rPr>
          <w:rFonts w:ascii="Arial" w:cs="Arial" w:eastAsia="Arial" w:hAnsi="Arial"/>
          <w:sz w:val="13"/>
          <w:szCs w:val="13"/>
          <w:color w:val="auto"/>
        </w:rPr>
        <w:t>The following (i) unaudited pro forma consolidated statements of operations for the year ended December 29, 2005, the three and nine months ended September 28, 2006, and (ii) the unaudited pro forma consolidated balance sheet at September 28, 2006, present the consolidated results of operations and financial position of NCM Inc. assuming the transactions discussed below had been completed and the material changes to contractual arrangements discussed below, which will occur in connection with the completion of the offering and related transactions described in this prospectus, had become effective as of December 31, 2004, with respect to the pro forma statements of operations and as of September 28, 2006, with respect to the pro forma balance sheet. The pro forma adjustments are based on available information and upon assumptions that management believes are reasonable in order to reflect, on a pro forma basis, the impact of the historical adjustments listed below and the transaction adjustments listed below on the historical financial information of NCM Inc. The adjustments as set forth below are described in detail in the notes to the unaudited pro forma consolidated statements of operations and the unaudited pro forma consolidated balance sheet and principally include the matters set forth below.</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contractual adjustments include adjustments to reflect:</w:t>
      </w:r>
    </w:p>
    <w:p>
      <w:pPr>
        <w:spacing w:after="0" w:line="79" w:lineRule="exact"/>
        <w:rPr>
          <w:sz w:val="20"/>
          <w:szCs w:val="20"/>
          <w:color w:val="auto"/>
        </w:rPr>
      </w:pPr>
    </w:p>
    <w:p>
      <w:pPr>
        <w:ind w:left="780" w:right="360" w:hanging="240"/>
        <w:spacing w:after="0" w:line="283"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terms of the exhibitor services agreements to be entered into in connection with the completion of this offering (as further described in “Certain Relationships and Related Party Transactions—Transactions with Founding Members—Exhibitor Services Agreements”), which are included herein due to the significant business and financial differences from our current contractual arrangements with our founding members and which will have ongoing material significance to our results of operations, as</w:t>
      </w:r>
    </w:p>
    <w:p>
      <w:pPr>
        <w:spacing w:after="0" w:line="1"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4"/>
          <w:szCs w:val="14"/>
          <w:color w:val="auto"/>
        </w:rPr>
        <w:t>compared to our historical results of operations, in that they (i) assign legacy contracts to NCM LLC,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399" w:right="21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right="20" w:firstLine="5"/>
        <w:spacing w:after="0" w:line="305" w:lineRule="auto"/>
        <w:tabs>
          <w:tab w:leader="none" w:pos="1009" w:val="left"/>
        </w:tabs>
        <w:numPr>
          <w:ilvl w:val="1"/>
          <w:numId w:val="29"/>
        </w:numPr>
        <w:rPr>
          <w:rFonts w:ascii="Arial" w:cs="Arial" w:eastAsia="Arial" w:hAnsi="Arial"/>
          <w:sz w:val="13"/>
          <w:szCs w:val="13"/>
          <w:color w:val="auto"/>
        </w:rPr>
      </w:pPr>
      <w:r>
        <w:rPr>
          <w:rFonts w:ascii="Arial" w:cs="Arial" w:eastAsia="Arial" w:hAnsi="Arial"/>
          <w:sz w:val="13"/>
          <w:szCs w:val="13"/>
          <w:color w:val="auto"/>
        </w:rPr>
        <w:t>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with their beverage concessionaires and (iv) change the circuit share expense to the theatre access fee, resulting in lower payments to our founding members;</w:t>
      </w:r>
    </w:p>
    <w:p>
      <w:pPr>
        <w:spacing w:after="0" w:line="31" w:lineRule="exact"/>
        <w:rPr>
          <w:rFonts w:ascii="Arial" w:cs="Arial" w:eastAsia="Arial" w:hAnsi="Arial"/>
          <w:sz w:val="13"/>
          <w:szCs w:val="13"/>
          <w:color w:val="auto"/>
        </w:rPr>
      </w:pPr>
    </w:p>
    <w:p>
      <w:pPr>
        <w:ind w:left="780" w:hanging="24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adjustments to income tax provisions to account for NCM LLC’s status as a limited liability company;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elimination of non-recurring restructuring charges at NCN relating to the formation of NCM LLC.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Legacy contracts are those advertising contracts entered into by RCM and NCN prior to the formation of NCM LLC.</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transaction adjustments result from:</w:t>
      </w:r>
    </w:p>
    <w:p>
      <w:pPr>
        <w:spacing w:after="0" w:line="79" w:lineRule="exact"/>
        <w:rPr>
          <w:sz w:val="20"/>
          <w:szCs w:val="20"/>
          <w:color w:val="auto"/>
        </w:rPr>
      </w:pPr>
    </w:p>
    <w:p>
      <w:pPr>
        <w:ind w:left="780" w:right="320" w:hanging="240"/>
        <w:spacing w:after="0" w:line="341" w:lineRule="auto"/>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completion of the non-cash recapitalization of NCM LLC pursuant to which (i) founding members of NCM LLC will receive one common membership unit and one preferred membership unit in exchange for each outstanding common membership unit and (ii) NCM LLC will split the number of outstanding common membership units so that a common membership unit can be acquired with the proceeds from the initial offering of one share of our common stock after underwriting discounts and commissions and offering expenses;</w:t>
      </w:r>
    </w:p>
    <w:p>
      <w:pPr>
        <w:spacing w:after="0" w:line="1" w:lineRule="exact"/>
        <w:rPr>
          <w:rFonts w:ascii="Arial" w:cs="Arial" w:eastAsia="Arial" w:hAnsi="Arial"/>
          <w:sz w:val="12"/>
          <w:szCs w:val="12"/>
          <w:color w:val="auto"/>
        </w:rPr>
      </w:pPr>
    </w:p>
    <w:p>
      <w:pPr>
        <w:ind w:left="780" w:hanging="240"/>
        <w:spacing w:after="0" w:line="289"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completion of the offering and the use of proceeds therefrom as set forth in this prospectus, including our acquisition of 40.5% of the common membership units of NCM LLC, which will be accounted for by our expected consolidation of NCM LLC, as discussed in Note 8 to the pro forma consolidated balance sheet; and</w:t>
      </w:r>
    </w:p>
    <w:p>
      <w:pPr>
        <w:spacing w:after="0" w:line="27" w:lineRule="exact"/>
        <w:rPr>
          <w:rFonts w:ascii="Arial" w:cs="Arial" w:eastAsia="Arial" w:hAnsi="Arial"/>
          <w:sz w:val="14"/>
          <w:szCs w:val="14"/>
          <w:color w:val="auto"/>
        </w:rPr>
      </w:pPr>
    </w:p>
    <w:p>
      <w:pPr>
        <w:ind w:left="780" w:right="260" w:hanging="240"/>
        <w:spacing w:after="0" w:line="289"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completion of the financing transaction, pursuant to which all the preferred membership units of NCM LLC will be redeemed from the proceeds of the term loan portion of a new senior secured credit facility.</w:t>
      </w:r>
    </w:p>
    <w:p>
      <w:pPr>
        <w:spacing w:after="0" w:line="93" w:lineRule="exact"/>
        <w:rPr>
          <w:sz w:val="20"/>
          <w:szCs w:val="20"/>
          <w:color w:val="auto"/>
        </w:rPr>
      </w:pPr>
    </w:p>
    <w:p>
      <w:pPr>
        <w:ind w:firstLine="458"/>
        <w:spacing w:after="0" w:line="305" w:lineRule="auto"/>
        <w:rPr>
          <w:sz w:val="20"/>
          <w:szCs w:val="20"/>
          <w:color w:val="auto"/>
        </w:rPr>
      </w:pPr>
      <w:r>
        <w:rPr>
          <w:rFonts w:ascii="Arial" w:cs="Arial" w:eastAsia="Arial" w:hAnsi="Arial"/>
          <w:sz w:val="13"/>
          <w:szCs w:val="13"/>
          <w:color w:val="auto"/>
        </w:rPr>
        <w:t>You should read this unaudited pro forma condensed consolidated financial information together with the other information contained in this prospectus, including “Corporate History and Reorganization,” “Financing Transaction,” “Management’s Discussion and Analysis of Financial Condition and Results of Operations,” our audited historical financial statements and the notes thereto included elsewhere in this prospectus, and our unaudited historical interim consolidated financial statements and the notes thereto included elsewhere in this prospectus.</w:t>
      </w:r>
    </w:p>
    <w:p>
      <w:pPr>
        <w:spacing w:after="0" w:line="86" w:lineRule="exact"/>
        <w:rPr>
          <w:sz w:val="20"/>
          <w:szCs w:val="20"/>
          <w:color w:val="auto"/>
        </w:rPr>
      </w:pPr>
    </w:p>
    <w:p>
      <w:pPr>
        <w:ind w:firstLine="458"/>
        <w:spacing w:after="0" w:line="316" w:lineRule="auto"/>
        <w:rPr>
          <w:sz w:val="20"/>
          <w:szCs w:val="20"/>
          <w:color w:val="auto"/>
        </w:rPr>
      </w:pPr>
      <w:r>
        <w:rPr>
          <w:rFonts w:ascii="Arial" w:cs="Arial" w:eastAsia="Arial" w:hAnsi="Arial"/>
          <w:sz w:val="12"/>
          <w:szCs w:val="12"/>
          <w:color w:val="auto"/>
        </w:rPr>
        <w:t>The unaudited pro forma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prospectus,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consolidated financial information should not be relied upon as being indicative of NCM Inc. or NCM LLC’s results of operations or financial condition had the contractual adjustments and the transaction adjustments been completed on December 31, 2004, with respect to the pro forma statements of operations and as of September 28, 2006, with respect to the pro forma balance sheet. The pro forma consolidated financial information also does not project the results of operations or financial position for any future period or date.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60"/>
          </w:cols>
          <w:pgMar w:left="220" w:top="399" w:right="3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Consolidated Statement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December 29, 2005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RCM</w:t>
            </w:r>
          </w:p>
        </w:tc>
        <w:tc>
          <w:tcPr>
            <w:tcW w:w="60" w:type="dxa"/>
            <w:vAlign w:val="bottom"/>
          </w:tcPr>
          <w:p>
            <w:pPr>
              <w:spacing w:after="0"/>
              <w:rPr>
                <w:sz w:val="10"/>
                <w:szCs w:val="10"/>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NCN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rPr>
              <w:t>NCM LLC</w:t>
            </w:r>
          </w:p>
        </w:tc>
        <w:tc>
          <w:tcPr>
            <w:tcW w:w="260" w:type="dxa"/>
            <w:vAlign w:val="bottom"/>
          </w:tcPr>
          <w:p>
            <w:pPr>
              <w:spacing w:after="0"/>
              <w:rPr>
                <w:sz w:val="10"/>
                <w:szCs w:val="10"/>
                <w:color w:val="auto"/>
              </w:rPr>
            </w:pPr>
          </w:p>
        </w:tc>
        <w:tc>
          <w:tcPr>
            <w:tcW w:w="840" w:type="dxa"/>
            <w:vAlign w:val="bottom"/>
            <w:gridSpan w:val="2"/>
          </w:tcPr>
          <w:p>
            <w:pPr>
              <w:jc w:val="center"/>
              <w:ind w:right="460"/>
              <w:spacing w:after="0" w:line="121"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68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3"/>
              </w:rPr>
              <w:t>Three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80" w:type="dxa"/>
            <w:vAlign w:val="bottom"/>
          </w:tcPr>
          <w:p>
            <w:pPr>
              <w:spacing w:after="0"/>
              <w:rPr>
                <w:sz w:val="10"/>
                <w:szCs w:val="10"/>
                <w:color w:val="auto"/>
              </w:rPr>
            </w:pPr>
          </w:p>
        </w:tc>
        <w:tc>
          <w:tcPr>
            <w:tcW w:w="900" w:type="dxa"/>
            <w:vAlign w:val="bottom"/>
            <w:gridSpan w:val="3"/>
          </w:tcPr>
          <w:p>
            <w:pPr>
              <w:jc w:val="center"/>
              <w:ind w:right="240"/>
              <w:spacing w:after="0" w:line="121" w:lineRule="exact"/>
              <w:rPr>
                <w:sz w:val="20"/>
                <w:szCs w:val="20"/>
                <w:color w:val="auto"/>
              </w:rPr>
            </w:pPr>
            <w:r>
              <w:rPr>
                <w:rFonts w:ascii="Arial" w:cs="Arial" w:eastAsia="Arial" w:hAnsi="Arial"/>
                <w:sz w:val="11"/>
                <w:szCs w:val="11"/>
                <w:b w:val="1"/>
                <w:bCs w:val="1"/>
                <w:color w:val="auto"/>
                <w:w w:val="93"/>
              </w:rPr>
              <w:t>Nine Months</w:t>
            </w:r>
          </w:p>
        </w:tc>
        <w:tc>
          <w:tcPr>
            <w:tcW w:w="260" w:type="dxa"/>
            <w:vAlign w:val="bottom"/>
          </w:tcPr>
          <w:p>
            <w:pPr>
              <w:spacing w:after="0"/>
              <w:rPr>
                <w:sz w:val="10"/>
                <w:szCs w:val="10"/>
                <w:color w:val="auto"/>
              </w:rPr>
            </w:pPr>
          </w:p>
        </w:tc>
        <w:tc>
          <w:tcPr>
            <w:tcW w:w="840" w:type="dxa"/>
            <w:vAlign w:val="bottom"/>
            <w:gridSpan w:val="2"/>
          </w:tcPr>
          <w:p>
            <w:pPr>
              <w:jc w:val="right"/>
              <w:ind w:right="46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8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1"/>
              </w:rPr>
              <w:t>Months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360"/>
              <w:spacing w:after="0"/>
              <w:rPr>
                <w:sz w:val="20"/>
                <w:szCs w:val="20"/>
                <w:color w:val="auto"/>
              </w:rPr>
            </w:pPr>
            <w:r>
              <w:rPr>
                <w:rFonts w:ascii="Arial" w:cs="Arial" w:eastAsia="Arial" w:hAnsi="Arial"/>
                <w:sz w:val="11"/>
                <w:szCs w:val="11"/>
                <w:b w:val="1"/>
                <w:bCs w:val="1"/>
                <w:color w:val="auto"/>
              </w:rPr>
              <w:t>NCM</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8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89"/>
              </w:rPr>
              <w:t>Ended</w:t>
            </w:r>
          </w:p>
        </w:tc>
        <w:tc>
          <w:tcPr>
            <w:tcW w:w="260" w:type="dxa"/>
            <w:vAlign w:val="bottom"/>
          </w:tcPr>
          <w:p>
            <w:pPr>
              <w:spacing w:after="0"/>
              <w:rPr>
                <w:sz w:val="9"/>
                <w:szCs w:val="9"/>
                <w:color w:val="auto"/>
              </w:rPr>
            </w:pPr>
          </w:p>
        </w:tc>
        <w:tc>
          <w:tcPr>
            <w:tcW w:w="840" w:type="dxa"/>
            <w:vAlign w:val="bottom"/>
            <w:gridSpan w:val="2"/>
          </w:tcPr>
          <w:p>
            <w:pPr>
              <w:jc w:val="center"/>
              <w:ind w:right="460"/>
              <w:spacing w:after="0" w:line="110"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9"/>
                <w:szCs w:val="9"/>
                <w:color w:val="auto"/>
              </w:rPr>
            </w:pPr>
          </w:p>
        </w:tc>
        <w:tc>
          <w:tcPr>
            <w:tcW w:w="68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December 29,</w:t>
            </w:r>
          </w:p>
        </w:tc>
        <w:tc>
          <w:tcPr>
            <w:tcW w:w="26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March 31,</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LLC</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w w:val="89"/>
              </w:rPr>
              <w:t>NCM Inc.*</w:t>
            </w:r>
          </w:p>
        </w:tc>
        <w:tc>
          <w:tcPr>
            <w:tcW w:w="0" w:type="dxa"/>
            <w:vAlign w:val="bottom"/>
          </w:tcPr>
          <w:p>
            <w:pPr>
              <w:spacing w:after="0"/>
              <w:rPr>
                <w:sz w:val="1"/>
                <w:szCs w:val="1"/>
                <w:color w:val="auto"/>
              </w:rPr>
            </w:pPr>
          </w:p>
        </w:tc>
      </w:tr>
      <w:tr>
        <w:trPr>
          <w:trHeight w:val="120"/>
        </w:trPr>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9"/>
              </w:rPr>
              <w:t>2005</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9"/>
              </w:rPr>
              <w:t>2005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Combined</w:t>
            </w:r>
          </w:p>
        </w:tc>
        <w:tc>
          <w:tcPr>
            <w:tcW w:w="220" w:type="dxa"/>
            <w:vAlign w:val="bottom"/>
          </w:tcPr>
          <w:p>
            <w:pPr>
              <w:spacing w:after="0"/>
              <w:rPr>
                <w:sz w:val="10"/>
                <w:szCs w:val="10"/>
                <w:color w:val="auto"/>
              </w:rPr>
            </w:pPr>
          </w:p>
        </w:tc>
        <w:tc>
          <w:tcPr>
            <w:tcW w:w="920" w:type="dxa"/>
            <w:vAlign w:val="bottom"/>
            <w:gridSpan w:val="3"/>
          </w:tcPr>
          <w:p>
            <w:pPr>
              <w:jc w:val="right"/>
              <w:ind w:right="340"/>
              <w:spacing w:after="0" w:line="121" w:lineRule="exact"/>
              <w:rPr>
                <w:sz w:val="20"/>
                <w:szCs w:val="20"/>
                <w:color w:val="auto"/>
              </w:rPr>
            </w:pPr>
            <w:r>
              <w:rPr>
                <w:rFonts w:ascii="Arial" w:cs="Arial" w:eastAsia="Arial" w:hAnsi="Arial"/>
                <w:sz w:val="11"/>
                <w:szCs w:val="11"/>
                <w:b w:val="1"/>
                <w:bCs w:val="1"/>
                <w:color w:val="auto"/>
                <w:w w:val="91"/>
              </w:rPr>
              <w:t>Contractual</w:t>
            </w:r>
          </w:p>
        </w:tc>
        <w:tc>
          <w:tcPr>
            <w:tcW w:w="18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NCM LLC</w:t>
            </w:r>
          </w:p>
        </w:tc>
        <w:tc>
          <w:tcPr>
            <w:tcW w:w="220" w:type="dxa"/>
            <w:vAlign w:val="bottom"/>
          </w:tcPr>
          <w:p>
            <w:pPr>
              <w:spacing w:after="0"/>
              <w:rPr>
                <w:sz w:val="10"/>
                <w:szCs w:val="10"/>
                <w:color w:val="auto"/>
              </w:rPr>
            </w:pPr>
          </w:p>
        </w:tc>
        <w:tc>
          <w:tcPr>
            <w:tcW w:w="840" w:type="dxa"/>
            <w:vAlign w:val="bottom"/>
            <w:gridSpan w:val="3"/>
          </w:tcPr>
          <w:p>
            <w:pPr>
              <w:jc w:val="right"/>
              <w:ind w:right="260"/>
              <w:spacing w:after="0" w:line="121" w:lineRule="exact"/>
              <w:rPr>
                <w:sz w:val="20"/>
                <w:szCs w:val="20"/>
                <w:color w:val="auto"/>
              </w:rPr>
            </w:pPr>
            <w:r>
              <w:rPr>
                <w:rFonts w:ascii="Arial" w:cs="Arial" w:eastAsia="Arial" w:hAnsi="Arial"/>
                <w:sz w:val="11"/>
                <w:szCs w:val="11"/>
                <w:b w:val="1"/>
                <w:bCs w:val="1"/>
                <w:color w:val="auto"/>
                <w:w w:val="89"/>
              </w:rPr>
              <w:t>Transaction</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b w:val="1"/>
                <w:bCs w:val="1"/>
                <w:color w:val="auto"/>
                <w:w w:val="83"/>
              </w:rPr>
              <w:t>Pro Forma</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91"/>
              </w:rPr>
              <w:t>Historical</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3"/>
              </w:rPr>
              <w:t>Historical</w:t>
            </w:r>
          </w:p>
        </w:tc>
        <w:tc>
          <w:tcPr>
            <w:tcW w:w="400" w:type="dxa"/>
            <w:vAlign w:val="bottom"/>
          </w:tcPr>
          <w:p>
            <w:pPr>
              <w:spacing w:after="0"/>
              <w:rPr>
                <w:sz w:val="12"/>
                <w:szCs w:val="12"/>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7"/>
              </w:rPr>
              <w:t>Historical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0"/>
                <w:szCs w:val="10"/>
                <w:b w:val="1"/>
                <w:bCs w:val="1"/>
                <w:color w:val="auto"/>
                <w:w w:val="93"/>
              </w:rPr>
              <w:t>Historical</w:t>
            </w:r>
            <w:r>
              <w:rPr>
                <w:rFonts w:ascii="Arial" w:cs="Arial" w:eastAsia="Arial" w:hAnsi="Arial"/>
                <w:sz w:val="16"/>
                <w:szCs w:val="16"/>
                <w:b w:val="1"/>
                <w:bCs w:val="1"/>
                <w:color w:val="auto"/>
                <w:w w:val="93"/>
                <w:vertAlign w:val="superscript"/>
              </w:rPr>
              <w:t>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Adjustments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0"/>
              </w:rPr>
              <w:t>Pro Forma</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Adjustments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74"/>
              </w:rPr>
              <w:t>As Adjusted</w:t>
            </w:r>
          </w:p>
        </w:tc>
        <w:tc>
          <w:tcPr>
            <w:tcW w:w="0" w:type="dxa"/>
            <w:vAlign w:val="bottom"/>
          </w:tcPr>
          <w:p>
            <w:pPr>
              <w:spacing w:after="0"/>
              <w:rPr>
                <w:sz w:val="1"/>
                <w:szCs w:val="1"/>
                <w:color w:val="auto"/>
              </w:rPr>
            </w:pPr>
          </w:p>
        </w:tc>
      </w:tr>
      <w:tr>
        <w:trPr>
          <w:trHeight w:val="132"/>
        </w:trPr>
        <w:tc>
          <w:tcPr>
            <w:tcW w:w="3880" w:type="dxa"/>
            <w:vAlign w:val="bottom"/>
            <w:vMerge w:val="restart"/>
          </w:tcPr>
          <w:p>
            <w:pPr>
              <w:spacing w:after="0"/>
              <w:rPr>
                <w:sz w:val="20"/>
                <w:szCs w:val="20"/>
                <w:color w:val="auto"/>
              </w:rPr>
            </w:pPr>
            <w:r>
              <w:rPr>
                <w:rFonts w:ascii="Arial" w:cs="Arial" w:eastAsia="Arial" w:hAnsi="Arial"/>
                <w:sz w:val="11"/>
                <w:szCs w:val="11"/>
                <w:color w:val="auto"/>
              </w:rPr>
              <w:t>Revenue: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7"/>
          </w:tcPr>
          <w:p>
            <w:pPr>
              <w:spacing w:after="0"/>
              <w:rPr>
                <w:sz w:val="20"/>
                <w:szCs w:val="20"/>
                <w:color w:val="auto"/>
              </w:rPr>
            </w:pPr>
            <w:r>
              <w:rPr>
                <w:rFonts w:ascii="Arial" w:cs="Arial" w:eastAsia="Arial" w:hAnsi="Arial"/>
                <w:sz w:val="11"/>
                <w:szCs w:val="11"/>
                <w:b w:val="1"/>
                <w:bCs w:val="1"/>
                <w:color w:val="auto"/>
                <w:w w:val="98"/>
              </w:rPr>
              <w:t>($ in millions, except per share data)</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88.0</w:t>
            </w:r>
            <w:r>
              <w:rPr>
                <w:rFonts w:ascii="Arial" w:cs="Arial" w:eastAsia="Arial" w:hAnsi="Arial"/>
                <w:sz w:val="18"/>
                <w:szCs w:val="18"/>
                <w:color w:val="auto"/>
                <w:vertAlign w:val="superscript"/>
              </w:rPr>
              <w:t>2</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880" w:type="dxa"/>
            <w:vAlign w:val="bottom"/>
          </w:tcPr>
          <w:p>
            <w:pPr>
              <w:ind w:left="360"/>
              <w:spacing w:after="0" w:line="115" w:lineRule="exact"/>
              <w:rPr>
                <w:sz w:val="20"/>
                <w:szCs w:val="20"/>
                <w:color w:val="auto"/>
              </w:rPr>
            </w:pPr>
            <w:r>
              <w:rPr>
                <w:rFonts w:ascii="Arial" w:cs="Arial" w:eastAsia="Arial" w:hAnsi="Arial"/>
                <w:sz w:val="11"/>
                <w:szCs w:val="11"/>
                <w:color w:val="auto"/>
              </w:rPr>
              <w:t>Advertising</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56.0</w:t>
            </w:r>
          </w:p>
        </w:tc>
        <w:tc>
          <w:tcPr>
            <w:tcW w:w="240" w:type="dxa"/>
            <w:vAlign w:val="bottom"/>
          </w:tcPr>
          <w:p>
            <w:pPr>
              <w:spacing w:after="0"/>
              <w:rPr>
                <w:sz w:val="9"/>
                <w:szCs w:val="9"/>
                <w:color w:val="auto"/>
              </w:rPr>
            </w:pP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15" w:lineRule="exact"/>
              <w:rPr>
                <w:sz w:val="20"/>
                <w:szCs w:val="20"/>
                <w:color w:val="auto"/>
              </w:rPr>
            </w:pPr>
            <w:r>
              <w:rPr>
                <w:rFonts w:ascii="Arial" w:cs="Arial" w:eastAsia="Arial" w:hAnsi="Arial"/>
                <w:sz w:val="11"/>
                <w:szCs w:val="11"/>
                <w:color w:val="auto"/>
              </w:rPr>
              <w:t>15.6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13.3</w:t>
            </w:r>
          </w:p>
        </w:tc>
        <w:tc>
          <w:tcPr>
            <w:tcW w:w="260" w:type="dxa"/>
            <w:vAlign w:val="bottom"/>
          </w:tcPr>
          <w:p>
            <w:pPr>
              <w:spacing w:after="0"/>
              <w:rPr>
                <w:sz w:val="9"/>
                <w:szCs w:val="9"/>
                <w:color w:val="auto"/>
              </w:rPr>
            </w:pPr>
          </w:p>
        </w:tc>
        <w:tc>
          <w:tcPr>
            <w:tcW w:w="300" w:type="dxa"/>
            <w:vAlign w:val="bottom"/>
            <w:gridSpan w:val="2"/>
          </w:tcPr>
          <w:p>
            <w:pPr>
              <w:ind w:left="200"/>
              <w:spacing w:after="0" w:line="115"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84.9</w:t>
            </w:r>
          </w:p>
        </w:tc>
        <w:tc>
          <w:tcPr>
            <w:tcW w:w="240" w:type="dxa"/>
            <w:vAlign w:val="bottom"/>
          </w:tcPr>
          <w:p>
            <w:pPr>
              <w:spacing w:after="0"/>
              <w:rPr>
                <w:sz w:val="9"/>
                <w:szCs w:val="9"/>
                <w:color w:val="auto"/>
              </w:rPr>
            </w:pPr>
          </w:p>
        </w:tc>
        <w:tc>
          <w:tcPr>
            <w:tcW w:w="4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w:t>
            </w:r>
          </w:p>
        </w:tc>
        <w:tc>
          <w:tcPr>
            <w:tcW w:w="720" w:type="dxa"/>
            <w:vAlign w:val="bottom"/>
            <w:gridSpan w:val="2"/>
            <w:vMerge w:val="continue"/>
          </w:tcPr>
          <w:p>
            <w:pPr>
              <w:spacing w:after="0"/>
              <w:rPr>
                <w:sz w:val="9"/>
                <w:szCs w:val="9"/>
                <w:color w:val="auto"/>
              </w:rPr>
            </w:pPr>
          </w:p>
        </w:tc>
        <w:tc>
          <w:tcPr>
            <w:tcW w:w="340" w:type="dxa"/>
            <w:vAlign w:val="bottom"/>
            <w:gridSpan w:val="2"/>
          </w:tcPr>
          <w:p>
            <w:pPr>
              <w:ind w:left="180"/>
              <w:spacing w:after="0" w:line="115"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207.4</w:t>
            </w:r>
          </w:p>
        </w:tc>
        <w:tc>
          <w:tcPr>
            <w:tcW w:w="4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300"/>
              <w:spacing w:after="0" w:line="115" w:lineRule="exact"/>
              <w:rPr>
                <w:sz w:val="20"/>
                <w:szCs w:val="20"/>
                <w:color w:val="auto"/>
              </w:rPr>
            </w:pPr>
            <w:r>
              <w:rPr>
                <w:rFonts w:ascii="Arial" w:cs="Arial" w:eastAsia="Arial" w:hAnsi="Arial"/>
                <w:sz w:val="11"/>
                <w:szCs w:val="11"/>
                <w:color w:val="auto"/>
              </w:rPr>
              <w:t>—</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207.4</w:t>
            </w:r>
          </w:p>
        </w:tc>
        <w:tc>
          <w:tcPr>
            <w:tcW w:w="0" w:type="dxa"/>
            <w:vAlign w:val="bottom"/>
          </w:tcPr>
          <w:p>
            <w:pPr>
              <w:spacing w:after="0"/>
              <w:rPr>
                <w:sz w:val="1"/>
                <w:szCs w:val="1"/>
                <w:color w:val="auto"/>
              </w:rPr>
            </w:pPr>
          </w:p>
        </w:tc>
      </w:tr>
      <w:tr>
        <w:trPr>
          <w:trHeight w:val="120"/>
        </w:trPr>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280"/>
              <w:spacing w:after="0" w:line="120" w:lineRule="exact"/>
              <w:rPr>
                <w:sz w:val="20"/>
                <w:szCs w:val="20"/>
                <w:color w:val="auto"/>
              </w:rPr>
            </w:pPr>
            <w:r>
              <w:rPr>
                <w:rFonts w:ascii="Arial" w:cs="Arial" w:eastAsia="Arial" w:hAnsi="Arial"/>
                <w:sz w:val="8"/>
                <w:szCs w:val="8"/>
                <w:color w:val="auto"/>
              </w:rPr>
              <w:t>34.5</w:t>
            </w:r>
            <w:r>
              <w:rPr>
                <w:rFonts w:ascii="Arial" w:cs="Arial" w:eastAsia="Arial" w:hAnsi="Arial"/>
                <w:sz w:val="13"/>
                <w:szCs w:val="13"/>
                <w:color w:val="auto"/>
                <w:vertAlign w:val="superscript"/>
              </w:rPr>
              <w:t>3</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360"/>
              <w:spacing w:after="0"/>
              <w:rPr>
                <w:sz w:val="20"/>
                <w:szCs w:val="20"/>
                <w:color w:val="auto"/>
              </w:rPr>
            </w:pPr>
            <w:r>
              <w:rPr>
                <w:rFonts w:ascii="Arial" w:cs="Arial" w:eastAsia="Arial" w:hAnsi="Arial"/>
                <w:sz w:val="11"/>
                <w:szCs w:val="11"/>
                <w:color w:val="auto"/>
              </w:rPr>
              <w:t>Administrative Fees—Members</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30.8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0"/>
                <w:szCs w:val="10"/>
                <w:color w:val="auto"/>
              </w:rPr>
              <w:t>(30.8)</w:t>
            </w:r>
            <w:r>
              <w:rPr>
                <w:rFonts w:ascii="Arial" w:cs="Arial" w:eastAsia="Arial" w:hAnsi="Arial"/>
                <w:sz w:val="17"/>
                <w:szCs w:val="17"/>
                <w:color w:val="auto"/>
                <w:vertAlign w:val="superscript"/>
              </w:rPr>
              <w:t>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Meetings and Events</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11.7</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2.1</w:t>
            </w:r>
          </w:p>
        </w:tc>
        <w:tc>
          <w:tcPr>
            <w:tcW w:w="60" w:type="dxa"/>
            <w:vAlign w:val="bottom"/>
          </w:tcPr>
          <w:p>
            <w:pPr>
              <w:spacing w:after="0"/>
              <w:rPr>
                <w:sz w:val="10"/>
                <w:szCs w:val="10"/>
                <w:color w:val="auto"/>
              </w:rPr>
            </w:pPr>
          </w:p>
        </w:tc>
        <w:tc>
          <w:tcPr>
            <w:tcW w:w="680" w:type="dxa"/>
            <w:vAlign w:val="bottom"/>
            <w:gridSpan w:val="2"/>
          </w:tcPr>
          <w:p>
            <w:pPr>
              <w:ind w:left="260"/>
              <w:spacing w:after="0" w:line="12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13.8</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13.8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127"/>
        </w:trPr>
        <w:tc>
          <w:tcPr>
            <w:tcW w:w="3880" w:type="dxa"/>
            <w:vAlign w:val="bottom"/>
          </w:tcPr>
          <w:p>
            <w:pPr>
              <w:ind w:left="360"/>
              <w:spacing w:after="0"/>
              <w:rPr>
                <w:sz w:val="20"/>
                <w:szCs w:val="20"/>
                <w:color w:val="auto"/>
              </w:rPr>
            </w:pPr>
            <w:r>
              <w:rPr>
                <w:rFonts w:ascii="Arial" w:cs="Arial" w:eastAsia="Arial" w:hAnsi="Arial"/>
                <w:sz w:val="11"/>
                <w:szCs w:val="11"/>
                <w:color w:val="auto"/>
              </w:rPr>
              <w:t>Other</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22"/>
        </w:trPr>
        <w:tc>
          <w:tcPr>
            <w:tcW w:w="3880" w:type="dxa"/>
            <w:vAlign w:val="bottom"/>
          </w:tcPr>
          <w:p>
            <w:pPr>
              <w:ind w:left="700"/>
              <w:spacing w:after="0" w:line="122" w:lineRule="exact"/>
              <w:rPr>
                <w:sz w:val="20"/>
                <w:szCs w:val="20"/>
                <w:color w:val="auto"/>
              </w:rPr>
            </w:pPr>
            <w:r>
              <w:rPr>
                <w:rFonts w:ascii="Arial" w:cs="Arial" w:eastAsia="Arial" w:hAnsi="Arial"/>
                <w:sz w:val="11"/>
                <w:szCs w:val="11"/>
                <w:color w:val="auto"/>
              </w:rPr>
              <w:t>TOTAL REVENUE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98.8</w:t>
            </w:r>
          </w:p>
        </w:tc>
        <w:tc>
          <w:tcPr>
            <w:tcW w:w="240" w:type="dxa"/>
            <w:vAlign w:val="bottom"/>
          </w:tcPr>
          <w:p>
            <w:pPr>
              <w:spacing w:after="0"/>
              <w:rPr>
                <w:sz w:val="10"/>
                <w:szCs w:val="10"/>
                <w:color w:val="auto"/>
              </w:rPr>
            </w:pP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22" w:lineRule="exact"/>
              <w:rPr>
                <w:sz w:val="20"/>
                <w:szCs w:val="20"/>
                <w:color w:val="auto"/>
              </w:rPr>
            </w:pPr>
            <w:r>
              <w:rPr>
                <w:rFonts w:ascii="Arial" w:cs="Arial" w:eastAsia="Arial" w:hAnsi="Arial"/>
                <w:sz w:val="11"/>
                <w:szCs w:val="11"/>
                <w:color w:val="auto"/>
              </w:rPr>
              <w:t>17.8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13.3</w:t>
            </w:r>
          </w:p>
        </w:tc>
        <w:tc>
          <w:tcPr>
            <w:tcW w:w="260" w:type="dxa"/>
            <w:vAlign w:val="bottom"/>
          </w:tcPr>
          <w:p>
            <w:pPr>
              <w:spacing w:after="0"/>
              <w:rPr>
                <w:sz w:val="10"/>
                <w:szCs w:val="10"/>
                <w:color w:val="auto"/>
              </w:rPr>
            </w:pPr>
          </w:p>
        </w:tc>
        <w:tc>
          <w:tcPr>
            <w:tcW w:w="30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129.9</w:t>
            </w:r>
          </w:p>
        </w:tc>
        <w:tc>
          <w:tcPr>
            <w:tcW w:w="240" w:type="dxa"/>
            <w:vAlign w:val="bottom"/>
          </w:tcPr>
          <w:p>
            <w:pPr>
              <w:spacing w:after="0"/>
              <w:rPr>
                <w:sz w:val="10"/>
                <w:szCs w:val="10"/>
                <w:color w:val="auto"/>
              </w:rPr>
            </w:pP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20"/>
              <w:spacing w:after="0" w:line="122" w:lineRule="exact"/>
              <w:rPr>
                <w:sz w:val="20"/>
                <w:szCs w:val="20"/>
                <w:color w:val="auto"/>
              </w:rPr>
            </w:pPr>
            <w:r>
              <w:rPr>
                <w:rFonts w:ascii="Arial" w:cs="Arial" w:eastAsia="Arial" w:hAnsi="Arial"/>
                <w:sz w:val="11"/>
                <w:szCs w:val="11"/>
                <w:color w:val="auto"/>
              </w:rPr>
              <w:t>91.7</w:t>
            </w:r>
          </w:p>
        </w:tc>
        <w:tc>
          <w:tcPr>
            <w:tcW w:w="3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221.6</w:t>
            </w: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0.0</w:t>
            </w:r>
          </w:p>
        </w:tc>
        <w:tc>
          <w:tcPr>
            <w:tcW w:w="240" w:type="dxa"/>
            <w:vAlign w:val="bottom"/>
          </w:tcPr>
          <w:p>
            <w:pPr>
              <w:spacing w:after="0"/>
              <w:rPr>
                <w:sz w:val="10"/>
                <w:szCs w:val="10"/>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221.6</w:t>
            </w:r>
          </w:p>
        </w:tc>
        <w:tc>
          <w:tcPr>
            <w:tcW w:w="0" w:type="dxa"/>
            <w:vAlign w:val="bottom"/>
          </w:tcPr>
          <w:p>
            <w:pPr>
              <w:spacing w:after="0"/>
              <w:rPr>
                <w:sz w:val="1"/>
                <w:szCs w:val="1"/>
                <w:color w:val="auto"/>
              </w:rPr>
            </w:pPr>
          </w:p>
        </w:tc>
      </w:tr>
      <w:tr>
        <w:trPr>
          <w:trHeight w:val="115"/>
        </w:trPr>
        <w:tc>
          <w:tcPr>
            <w:tcW w:w="3880" w:type="dxa"/>
            <w:vAlign w:val="bottom"/>
          </w:tcPr>
          <w:p>
            <w:pPr>
              <w:spacing w:after="0" w:line="115" w:lineRule="exact"/>
              <w:rPr>
                <w:sz w:val="20"/>
                <w:szCs w:val="20"/>
                <w:color w:val="auto"/>
              </w:rPr>
            </w:pPr>
            <w:r>
              <w:rPr>
                <w:rFonts w:ascii="Arial" w:cs="Arial" w:eastAsia="Arial" w:hAnsi="Arial"/>
                <w:sz w:val="11"/>
                <w:szCs w:val="11"/>
                <w:color w:val="auto"/>
              </w:rPr>
              <w:t>Expenses:</w:t>
            </w: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Advertising Operating Costs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6.3</w:t>
            </w:r>
          </w:p>
        </w:tc>
        <w:tc>
          <w:tcPr>
            <w:tcW w:w="240" w:type="dxa"/>
            <w:vAlign w:val="bottom"/>
          </w:tcPr>
          <w:p>
            <w:pPr>
              <w:spacing w:after="0"/>
              <w:rPr>
                <w:sz w:val="10"/>
                <w:szCs w:val="10"/>
                <w:color w:val="auto"/>
              </w:rPr>
            </w:pP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0.9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3.3</w:t>
            </w:r>
          </w:p>
        </w:tc>
        <w:tc>
          <w:tcPr>
            <w:tcW w:w="260" w:type="dxa"/>
            <w:vAlign w:val="bottom"/>
          </w:tcPr>
          <w:p>
            <w:pPr>
              <w:spacing w:after="0"/>
              <w:rPr>
                <w:sz w:val="10"/>
                <w:szCs w:val="10"/>
                <w:color w:val="auto"/>
              </w:rPr>
            </w:pPr>
          </w:p>
        </w:tc>
        <w:tc>
          <w:tcPr>
            <w:tcW w:w="300" w:type="dxa"/>
            <w:vAlign w:val="bottom"/>
            <w:gridSpan w:val="2"/>
          </w:tcPr>
          <w:p>
            <w:pPr>
              <w:ind w:left="200"/>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10.5</w:t>
            </w:r>
          </w:p>
        </w:tc>
        <w:tc>
          <w:tcPr>
            <w:tcW w:w="240" w:type="dxa"/>
            <w:vAlign w:val="bottom"/>
          </w:tcPr>
          <w:p>
            <w:pPr>
              <w:spacing w:after="0"/>
              <w:rPr>
                <w:sz w:val="10"/>
                <w:szCs w:val="10"/>
                <w:color w:val="auto"/>
              </w:rPr>
            </w:pPr>
          </w:p>
        </w:tc>
        <w:tc>
          <w:tcPr>
            <w:tcW w:w="420" w:type="dxa"/>
            <w:vAlign w:val="bottom"/>
            <w:gridSpan w:val="2"/>
          </w:tcPr>
          <w:p>
            <w:pPr>
              <w:ind w:left="220"/>
              <w:spacing w:after="0" w:line="121"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340" w:type="dxa"/>
            <w:vAlign w:val="bottom"/>
            <w:gridSpan w:val="2"/>
          </w:tcPr>
          <w:p>
            <w:pPr>
              <w:ind w:left="180"/>
              <w:spacing w:after="0" w:line="121"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10.5</w:t>
            </w:r>
          </w:p>
        </w:tc>
        <w:tc>
          <w:tcPr>
            <w:tcW w:w="420" w:type="dxa"/>
            <w:vAlign w:val="bottom"/>
            <w:gridSpan w:val="2"/>
          </w:tcPr>
          <w:p>
            <w:pPr>
              <w:ind w:left="220"/>
              <w:spacing w:after="0" w:line="121"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Meetings / Events Operating Costs</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5.4</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0.8</w:t>
            </w:r>
          </w:p>
        </w:tc>
        <w:tc>
          <w:tcPr>
            <w:tcW w:w="60" w:type="dxa"/>
            <w:vAlign w:val="bottom"/>
          </w:tcPr>
          <w:p>
            <w:pPr>
              <w:spacing w:after="0"/>
              <w:rPr>
                <w:sz w:val="10"/>
                <w:szCs w:val="10"/>
                <w:color w:val="auto"/>
              </w:rPr>
            </w:pPr>
          </w:p>
        </w:tc>
        <w:tc>
          <w:tcPr>
            <w:tcW w:w="680" w:type="dxa"/>
            <w:vAlign w:val="bottom"/>
            <w:gridSpan w:val="2"/>
          </w:tcPr>
          <w:p>
            <w:pPr>
              <w:ind w:left="260"/>
              <w:spacing w:after="0" w:line="12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6.2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6.2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15"/>
        </w:trPr>
        <w:tc>
          <w:tcPr>
            <w:tcW w:w="3880" w:type="dxa"/>
            <w:vAlign w:val="bottom"/>
          </w:tcPr>
          <w:p>
            <w:pPr>
              <w:ind w:left="360"/>
              <w:spacing w:after="0" w:line="115" w:lineRule="exact"/>
              <w:rPr>
                <w:sz w:val="20"/>
                <w:szCs w:val="20"/>
                <w:color w:val="auto"/>
              </w:rPr>
            </w:pPr>
            <w:r>
              <w:rPr>
                <w:rFonts w:ascii="Arial" w:cs="Arial" w:eastAsia="Arial" w:hAnsi="Arial"/>
                <w:sz w:val="11"/>
                <w:szCs w:val="11"/>
                <w:color w:val="auto"/>
              </w:rPr>
              <w:t>Network Costs</w:t>
            </w:r>
          </w:p>
        </w:tc>
        <w:tc>
          <w:tcPr>
            <w:tcW w:w="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9.2</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right"/>
              <w:ind w:right="400"/>
              <w:spacing w:after="0" w:line="115" w:lineRule="exact"/>
              <w:rPr>
                <w:sz w:val="20"/>
                <w:szCs w:val="20"/>
                <w:color w:val="auto"/>
              </w:rPr>
            </w:pPr>
            <w:r>
              <w:rPr>
                <w:rFonts w:ascii="Arial" w:cs="Arial" w:eastAsia="Arial" w:hAnsi="Arial"/>
                <w:sz w:val="11"/>
                <w:szCs w:val="11"/>
                <w:color w:val="auto"/>
              </w:rPr>
              <w:t>2.4</w:t>
            </w:r>
          </w:p>
        </w:tc>
        <w:tc>
          <w:tcPr>
            <w:tcW w:w="6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1.0</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12.6</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jc w:val="right"/>
              <w:ind w:right="380"/>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12.6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300"/>
              <w:spacing w:after="0" w:line="115"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Circuit Share / Theatre Access Fee—Members</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38.6</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2.4</w:t>
            </w: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4.6</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45.6</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280"/>
              <w:spacing w:after="0" w:line="120" w:lineRule="exact"/>
              <w:rPr>
                <w:sz w:val="20"/>
                <w:szCs w:val="20"/>
                <w:color w:val="auto"/>
              </w:rPr>
            </w:pPr>
            <w:r>
              <w:rPr>
                <w:rFonts w:ascii="Arial" w:cs="Arial" w:eastAsia="Arial" w:hAnsi="Arial"/>
                <w:sz w:val="8"/>
                <w:szCs w:val="8"/>
                <w:color w:val="auto"/>
              </w:rPr>
              <w:t>57.2</w:t>
            </w:r>
            <w:r>
              <w:rPr>
                <w:rFonts w:ascii="Arial" w:cs="Arial" w:eastAsia="Arial" w:hAnsi="Arial"/>
                <w:sz w:val="13"/>
                <w:szCs w:val="13"/>
                <w:color w:val="auto"/>
                <w:vertAlign w:val="superscript"/>
              </w:rPr>
              <w:t>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36.5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0"/>
                <w:szCs w:val="10"/>
                <w:color w:val="auto"/>
              </w:rPr>
              <w:t>(66.3)</w:t>
            </w:r>
            <w:r>
              <w:rPr>
                <w:rFonts w:ascii="Arial" w:cs="Arial" w:eastAsia="Arial" w:hAnsi="Arial"/>
                <w:sz w:val="17"/>
                <w:szCs w:val="17"/>
                <w:color w:val="auto"/>
                <w:vertAlign w:val="superscript"/>
              </w:rPr>
              <w:t>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Selling and Marketing</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24.9</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4.4</w:t>
            </w: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2.9</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32.2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32.2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32.2</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Administrative</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9.8</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3.4</w:t>
            </w: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1.6</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14.8</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14.8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Deferred Stock Compensation</w:t>
            </w:r>
          </w:p>
        </w:tc>
        <w:tc>
          <w:tcPr>
            <w:tcW w:w="60" w:type="dxa"/>
            <w:vAlign w:val="bottom"/>
          </w:tcPr>
          <w:p>
            <w:pPr>
              <w:spacing w:after="0"/>
              <w:rPr>
                <w:sz w:val="10"/>
                <w:szCs w:val="10"/>
                <w:color w:val="auto"/>
              </w:rPr>
            </w:pPr>
          </w:p>
        </w:tc>
        <w:tc>
          <w:tcPr>
            <w:tcW w:w="8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0.3</w:t>
            </w:r>
          </w:p>
        </w:tc>
        <w:tc>
          <w:tcPr>
            <w:tcW w:w="60" w:type="dxa"/>
            <w:vAlign w:val="bottom"/>
          </w:tcPr>
          <w:p>
            <w:pPr>
              <w:spacing w:after="0"/>
              <w:rPr>
                <w:sz w:val="10"/>
                <w:szCs w:val="10"/>
                <w:color w:val="auto"/>
              </w:rPr>
            </w:pPr>
          </w:p>
        </w:tc>
        <w:tc>
          <w:tcPr>
            <w:tcW w:w="680" w:type="dxa"/>
            <w:vAlign w:val="bottom"/>
            <w:gridSpan w:val="2"/>
          </w:tcPr>
          <w:p>
            <w:pPr>
              <w:ind w:left="260"/>
              <w:spacing w:after="0" w:line="12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0.3</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0.3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15"/>
        </w:trPr>
        <w:tc>
          <w:tcPr>
            <w:tcW w:w="3880" w:type="dxa"/>
            <w:vAlign w:val="bottom"/>
          </w:tcPr>
          <w:p>
            <w:pPr>
              <w:ind w:left="360"/>
              <w:spacing w:after="0" w:line="115" w:lineRule="exact"/>
              <w:rPr>
                <w:sz w:val="20"/>
                <w:szCs w:val="20"/>
                <w:color w:val="auto"/>
              </w:rPr>
            </w:pPr>
            <w:r>
              <w:rPr>
                <w:rFonts w:ascii="Arial" w:cs="Arial" w:eastAsia="Arial" w:hAnsi="Arial"/>
                <w:sz w:val="11"/>
                <w:szCs w:val="11"/>
                <w:color w:val="auto"/>
              </w:rPr>
              <w:t>Severance Plan Costs</w:t>
            </w:r>
          </w:p>
        </w:tc>
        <w:tc>
          <w:tcPr>
            <w:tcW w:w="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8.5</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right"/>
              <w:ind w:right="460"/>
              <w:spacing w:after="0" w:line="11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gridSpan w:val="2"/>
          </w:tcPr>
          <w:p>
            <w:pPr>
              <w:ind w:left="260"/>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8.5</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jc w:val="right"/>
              <w:ind w:right="380"/>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300"/>
              <w:spacing w:after="0" w:line="115"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48"/>
        </w:trPr>
        <w:tc>
          <w:tcPr>
            <w:tcW w:w="3880" w:type="dxa"/>
            <w:vAlign w:val="bottom"/>
          </w:tcPr>
          <w:p>
            <w:pPr>
              <w:ind w:left="360"/>
              <w:spacing w:after="0"/>
              <w:rPr>
                <w:sz w:val="20"/>
                <w:szCs w:val="20"/>
                <w:color w:val="auto"/>
              </w:rPr>
            </w:pPr>
            <w:r>
              <w:rPr>
                <w:rFonts w:ascii="Arial" w:cs="Arial" w:eastAsia="Arial" w:hAnsi="Arial"/>
                <w:sz w:val="11"/>
                <w:szCs w:val="11"/>
                <w:color w:val="auto"/>
              </w:rPr>
              <w:t>Restructuring Charge</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0"/>
                <w:szCs w:val="10"/>
                <w:color w:val="auto"/>
              </w:rPr>
              <w:t>(0.8)</w:t>
            </w:r>
            <w:r>
              <w:rPr>
                <w:rFonts w:ascii="Arial" w:cs="Arial" w:eastAsia="Arial" w:hAnsi="Arial"/>
                <w:sz w:val="17"/>
                <w:szCs w:val="17"/>
                <w:color w:val="auto"/>
                <w:vertAlign w:val="superscript"/>
              </w:rPr>
              <w:t>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3880" w:type="dxa"/>
            <w:vAlign w:val="bottom"/>
          </w:tcPr>
          <w:p>
            <w:pPr>
              <w:ind w:left="360"/>
              <w:spacing w:after="0"/>
              <w:rPr>
                <w:sz w:val="20"/>
                <w:szCs w:val="20"/>
                <w:color w:val="auto"/>
              </w:rPr>
            </w:pPr>
            <w:r>
              <w:rPr>
                <w:rFonts w:ascii="Arial" w:cs="Arial" w:eastAsia="Arial" w:hAnsi="Arial"/>
                <w:sz w:val="11"/>
                <w:szCs w:val="11"/>
                <w:color w:val="auto"/>
              </w:rPr>
              <w:t>Depreciation and Amortization</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2"/>
        </w:trPr>
        <w:tc>
          <w:tcPr>
            <w:tcW w:w="3880" w:type="dxa"/>
            <w:vAlign w:val="bottom"/>
          </w:tcPr>
          <w:p>
            <w:pPr>
              <w:ind w:left="700"/>
              <w:spacing w:after="0" w:line="122" w:lineRule="exact"/>
              <w:rPr>
                <w:sz w:val="20"/>
                <w:szCs w:val="20"/>
                <w:color w:val="auto"/>
              </w:rPr>
            </w:pPr>
            <w:r>
              <w:rPr>
                <w:rFonts w:ascii="Arial" w:cs="Arial" w:eastAsia="Arial" w:hAnsi="Arial"/>
                <w:sz w:val="11"/>
                <w:szCs w:val="11"/>
                <w:color w:val="auto"/>
              </w:rPr>
              <w:t>TOTAL EXPENSES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105.7</w:t>
            </w:r>
          </w:p>
        </w:tc>
        <w:tc>
          <w:tcPr>
            <w:tcW w:w="240" w:type="dxa"/>
            <w:vAlign w:val="bottom"/>
          </w:tcPr>
          <w:p>
            <w:pPr>
              <w:spacing w:after="0"/>
              <w:rPr>
                <w:sz w:val="10"/>
                <w:szCs w:val="10"/>
                <w:color w:val="auto"/>
              </w:rPr>
            </w:pP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22" w:lineRule="exact"/>
              <w:rPr>
                <w:sz w:val="20"/>
                <w:szCs w:val="20"/>
                <w:color w:val="auto"/>
              </w:rPr>
            </w:pPr>
            <w:r>
              <w:rPr>
                <w:rFonts w:ascii="Arial" w:cs="Arial" w:eastAsia="Arial" w:hAnsi="Arial"/>
                <w:sz w:val="11"/>
                <w:szCs w:val="11"/>
                <w:color w:val="auto"/>
              </w:rPr>
              <w:t>15.0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15.1</w:t>
            </w:r>
          </w:p>
        </w:tc>
        <w:tc>
          <w:tcPr>
            <w:tcW w:w="260" w:type="dxa"/>
            <w:vAlign w:val="bottom"/>
          </w:tcPr>
          <w:p>
            <w:pPr>
              <w:spacing w:after="0"/>
              <w:rPr>
                <w:sz w:val="10"/>
                <w:szCs w:val="10"/>
                <w:color w:val="auto"/>
              </w:rPr>
            </w:pPr>
          </w:p>
        </w:tc>
        <w:tc>
          <w:tcPr>
            <w:tcW w:w="30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135.8</w:t>
            </w:r>
          </w:p>
        </w:tc>
        <w:tc>
          <w:tcPr>
            <w:tcW w:w="240" w:type="dxa"/>
            <w:vAlign w:val="bottom"/>
          </w:tcPr>
          <w:p>
            <w:pPr>
              <w:spacing w:after="0"/>
              <w:rPr>
                <w:sz w:val="10"/>
                <w:szCs w:val="10"/>
                <w:color w:val="auto"/>
              </w:rPr>
            </w:pP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(9.9)</w:t>
            </w:r>
          </w:p>
        </w:tc>
        <w:tc>
          <w:tcPr>
            <w:tcW w:w="3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125.9</w:t>
            </w: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0.0</w:t>
            </w:r>
          </w:p>
        </w:tc>
        <w:tc>
          <w:tcPr>
            <w:tcW w:w="240" w:type="dxa"/>
            <w:vAlign w:val="bottom"/>
          </w:tcPr>
          <w:p>
            <w:pPr>
              <w:spacing w:after="0"/>
              <w:rPr>
                <w:sz w:val="10"/>
                <w:szCs w:val="10"/>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125.9</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1"/>
                <w:szCs w:val="11"/>
                <w:color w:val="auto"/>
              </w:rPr>
              <w:t>Operating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80" w:type="dxa"/>
            <w:vAlign w:val="bottom"/>
            <w:vMerge w:val="continue"/>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(6.9)</w:t>
            </w: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(1.8)</w:t>
            </w:r>
          </w:p>
        </w:tc>
        <w:tc>
          <w:tcPr>
            <w:tcW w:w="30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(5.9)</w:t>
            </w:r>
          </w:p>
        </w:tc>
        <w:tc>
          <w:tcPr>
            <w:tcW w:w="4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1"/>
                <w:szCs w:val="11"/>
                <w:color w:val="auto"/>
              </w:rPr>
              <w:t>101.6</w:t>
            </w:r>
          </w:p>
        </w:tc>
        <w:tc>
          <w:tcPr>
            <w:tcW w:w="3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95.7</w:t>
            </w:r>
          </w:p>
        </w:tc>
        <w:tc>
          <w:tcPr>
            <w:tcW w:w="4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0.0</w:t>
            </w:r>
          </w:p>
        </w:tc>
        <w:tc>
          <w:tcPr>
            <w:tcW w:w="240" w:type="dxa"/>
            <w:vAlign w:val="bottom"/>
          </w:tcPr>
          <w:p>
            <w:pPr>
              <w:spacing w:after="0"/>
              <w:rPr>
                <w:sz w:val="11"/>
                <w:szCs w:val="11"/>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95.7</w:t>
            </w:r>
          </w:p>
        </w:tc>
        <w:tc>
          <w:tcPr>
            <w:tcW w:w="0" w:type="dxa"/>
            <w:vAlign w:val="bottom"/>
          </w:tcPr>
          <w:p>
            <w:pPr>
              <w:spacing w:after="0"/>
              <w:rPr>
                <w:sz w:val="1"/>
                <w:szCs w:val="1"/>
                <w:color w:val="auto"/>
              </w:rPr>
            </w:pPr>
          </w:p>
        </w:tc>
      </w:tr>
      <w:tr>
        <w:trPr>
          <w:trHeight w:val="294"/>
        </w:trPr>
        <w:tc>
          <w:tcPr>
            <w:tcW w:w="3880" w:type="dxa"/>
            <w:vAlign w:val="bottom"/>
          </w:tcPr>
          <w:p>
            <w:pPr>
              <w:spacing w:after="0"/>
              <w:rPr>
                <w:sz w:val="20"/>
                <w:szCs w:val="20"/>
                <w:color w:val="auto"/>
              </w:rPr>
            </w:pPr>
            <w:r>
              <w:rPr>
                <w:rFonts w:ascii="Arial" w:cs="Arial" w:eastAsia="Arial" w:hAnsi="Arial"/>
                <w:sz w:val="11"/>
                <w:szCs w:val="11"/>
                <w:color w:val="auto"/>
              </w:rPr>
              <w:t>Interest Expense</w:t>
            </w:r>
          </w:p>
        </w:tc>
        <w:tc>
          <w:tcPr>
            <w:tcW w:w="6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64.5</w:t>
            </w:r>
            <w:r>
              <w:rPr>
                <w:rFonts w:ascii="Arial" w:cs="Arial" w:eastAsia="Arial" w:hAnsi="Arial"/>
                <w:sz w:val="18"/>
                <w:szCs w:val="18"/>
                <w:color w:val="auto"/>
                <w:vertAlign w:val="superscript"/>
              </w:rPr>
              <w:t>7</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64.5</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Arial" w:cs="Arial" w:eastAsia="Arial" w:hAnsi="Arial"/>
                <w:sz w:val="11"/>
                <w:szCs w:val="11"/>
                <w:color w:val="auto"/>
              </w:rPr>
              <w:t>Minority Interest</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0"/>
                <w:szCs w:val="10"/>
                <w:color w:val="auto"/>
              </w:rPr>
              <w:t>18.6</w:t>
            </w:r>
            <w:r>
              <w:rPr>
                <w:rFonts w:ascii="Arial" w:cs="Arial" w:eastAsia="Arial" w:hAnsi="Arial"/>
                <w:sz w:val="17"/>
                <w:szCs w:val="17"/>
                <w:color w:val="auto"/>
                <w:vertAlign w:val="superscript"/>
              </w:rPr>
              <w:t>8</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w:t>
            </w:r>
          </w:p>
        </w:tc>
        <w:tc>
          <w:tcPr>
            <w:tcW w:w="0" w:type="dxa"/>
            <w:vAlign w:val="bottom"/>
          </w:tcPr>
          <w:p>
            <w:pPr>
              <w:spacing w:after="0"/>
              <w:rPr>
                <w:sz w:val="1"/>
                <w:szCs w:val="1"/>
                <w:color w:val="auto"/>
              </w:rPr>
            </w:pPr>
          </w:p>
        </w:tc>
      </w:tr>
      <w:tr>
        <w:trPr>
          <w:trHeight w:val="132"/>
        </w:trPr>
        <w:tc>
          <w:tcPr>
            <w:tcW w:w="3880" w:type="dxa"/>
            <w:vAlign w:val="bottom"/>
          </w:tcPr>
          <w:p>
            <w:pPr>
              <w:spacing w:after="0"/>
              <w:rPr>
                <w:sz w:val="20"/>
                <w:szCs w:val="20"/>
                <w:color w:val="auto"/>
              </w:rPr>
            </w:pPr>
            <w:r>
              <w:rPr>
                <w:rFonts w:ascii="Arial" w:cs="Arial" w:eastAsia="Arial" w:hAnsi="Arial"/>
                <w:sz w:val="11"/>
                <w:szCs w:val="11"/>
                <w:color w:val="auto"/>
              </w:rPr>
              <w:t>Income / (Loss) Before Income Taxes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(6.9)</w:t>
            </w: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(1.8)</w:t>
            </w:r>
          </w:p>
        </w:tc>
        <w:tc>
          <w:tcPr>
            <w:tcW w:w="30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(5.9)</w:t>
            </w:r>
          </w:p>
        </w:tc>
        <w:tc>
          <w:tcPr>
            <w:tcW w:w="4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1"/>
                <w:szCs w:val="11"/>
                <w:color w:val="auto"/>
              </w:rPr>
              <w:t>101.6</w:t>
            </w:r>
          </w:p>
        </w:tc>
        <w:tc>
          <w:tcPr>
            <w:tcW w:w="3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95.7</w:t>
            </w:r>
          </w:p>
        </w:tc>
        <w:tc>
          <w:tcPr>
            <w:tcW w:w="4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(83.1)</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1"/>
                <w:szCs w:val="11"/>
                <w:color w:val="auto"/>
              </w:rPr>
              <w:t>Income Taxes</w:t>
            </w:r>
          </w:p>
        </w:tc>
        <w:tc>
          <w:tcPr>
            <w:tcW w:w="60" w:type="dxa"/>
            <w:vAlign w:val="bottom"/>
          </w:tcPr>
          <w:p>
            <w:pPr>
              <w:spacing w:after="0"/>
              <w:rPr>
                <w:sz w:val="19"/>
                <w:szCs w:val="19"/>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(0.3)</w:t>
            </w:r>
            <w:r>
              <w:rPr>
                <w:rFonts w:ascii="Arial" w:cs="Arial" w:eastAsia="Arial" w:hAnsi="Arial"/>
                <w:sz w:val="18"/>
                <w:szCs w:val="18"/>
                <w:color w:val="auto"/>
                <w:vertAlign w:val="superscript"/>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5.1</w:t>
            </w:r>
            <w:r>
              <w:rPr>
                <w:rFonts w:ascii="Arial" w:cs="Arial" w:eastAsia="Arial" w:hAnsi="Arial"/>
                <w:sz w:val="18"/>
                <w:szCs w:val="18"/>
                <w:color w:val="auto"/>
                <w:vertAlign w:val="superscript"/>
              </w:rPr>
              <w:t>9</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700"/>
              <w:spacing w:after="0"/>
              <w:rPr>
                <w:sz w:val="20"/>
                <w:szCs w:val="20"/>
                <w:color w:val="auto"/>
              </w:rPr>
            </w:pPr>
            <w:r>
              <w:rPr>
                <w:rFonts w:ascii="Arial" w:cs="Arial" w:eastAsia="Arial" w:hAnsi="Arial"/>
                <w:sz w:val="11"/>
                <w:szCs w:val="11"/>
                <w:color w:val="auto"/>
              </w:rPr>
              <w:t>NET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80" w:type="dxa"/>
            <w:vAlign w:val="bottom"/>
            <w:vMerge w:val="continue"/>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(6.9)</w:t>
            </w: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22" w:lineRule="exact"/>
              <w:rPr>
                <w:sz w:val="20"/>
                <w:szCs w:val="20"/>
                <w:color w:val="auto"/>
              </w:rPr>
            </w:pPr>
            <w:r>
              <w:rPr>
                <w:rFonts w:ascii="Arial" w:cs="Arial" w:eastAsia="Arial" w:hAnsi="Arial"/>
                <w:sz w:val="11"/>
                <w:szCs w:val="11"/>
                <w:color w:val="auto"/>
              </w:rPr>
              <w:t>1.7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(1.0)</w:t>
            </w:r>
          </w:p>
        </w:tc>
        <w:tc>
          <w:tcPr>
            <w:tcW w:w="30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(6.2)</w:t>
            </w: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20"/>
              <w:spacing w:after="0" w:line="122" w:lineRule="exact"/>
              <w:rPr>
                <w:sz w:val="20"/>
                <w:szCs w:val="20"/>
                <w:color w:val="auto"/>
              </w:rPr>
            </w:pPr>
            <w:r>
              <w:rPr>
                <w:rFonts w:ascii="Arial" w:cs="Arial" w:eastAsia="Arial" w:hAnsi="Arial"/>
                <w:sz w:val="11"/>
                <w:szCs w:val="11"/>
                <w:color w:val="auto"/>
              </w:rPr>
              <w:t>101.9</w:t>
            </w:r>
          </w:p>
        </w:tc>
        <w:tc>
          <w:tcPr>
            <w:tcW w:w="3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95.7</w:t>
            </w: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(88.2)</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700"/>
              <w:spacing w:after="0"/>
              <w:rPr>
                <w:sz w:val="20"/>
                <w:szCs w:val="20"/>
                <w:color w:val="auto"/>
              </w:rPr>
            </w:pPr>
            <w:r>
              <w:rPr>
                <w:rFonts w:ascii="Arial" w:cs="Arial" w:eastAsia="Arial" w:hAnsi="Arial"/>
                <w:sz w:val="11"/>
                <w:szCs w:val="11"/>
                <w:color w:val="auto"/>
              </w:rPr>
              <w:t>EARNINGS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0.20</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36"/>
        </w:trPr>
        <w:tc>
          <w:tcPr>
            <w:tcW w:w="3880" w:type="dxa"/>
            <w:vAlign w:val="bottom"/>
          </w:tcPr>
          <w:p>
            <w:pPr>
              <w:ind w:left="1060"/>
              <w:spacing w:after="0"/>
              <w:rPr>
                <w:sz w:val="20"/>
                <w:szCs w:val="20"/>
                <w:color w:val="auto"/>
              </w:rPr>
            </w:pPr>
            <w:r>
              <w:rPr>
                <w:rFonts w:ascii="Arial" w:cs="Arial" w:eastAsia="Arial" w:hAnsi="Arial"/>
                <w:sz w:val="11"/>
                <w:szCs w:val="11"/>
                <w:color w:val="auto"/>
              </w:rPr>
              <w:t>Basic</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1060"/>
              <w:spacing w:after="0"/>
              <w:rPr>
                <w:sz w:val="20"/>
                <w:szCs w:val="20"/>
                <w:color w:val="auto"/>
              </w:rPr>
            </w:pPr>
            <w:r>
              <w:rPr>
                <w:rFonts w:ascii="Arial" w:cs="Arial" w:eastAsia="Arial" w:hAnsi="Arial"/>
                <w:sz w:val="11"/>
                <w:szCs w:val="11"/>
                <w:color w:val="auto"/>
              </w:rPr>
              <w:t>Diluted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48" w:lineRule="exact"/>
              <w:rPr>
                <w:sz w:val="20"/>
                <w:szCs w:val="20"/>
                <w:color w:val="auto"/>
              </w:rPr>
            </w:pPr>
            <w:r>
              <w:rPr>
                <w:rFonts w:ascii="Arial" w:cs="Arial" w:eastAsia="Arial" w:hAnsi="Arial"/>
                <w:sz w:val="10"/>
                <w:szCs w:val="10"/>
                <w:color w:val="auto"/>
              </w:rPr>
              <w:t>0.20</w:t>
            </w:r>
            <w:r>
              <w:rPr>
                <w:rFonts w:ascii="Arial" w:cs="Arial" w:eastAsia="Arial" w:hAnsi="Arial"/>
                <w:sz w:val="17"/>
                <w:szCs w:val="17"/>
                <w:color w:val="auto"/>
                <w:vertAlign w:val="superscript"/>
              </w:rPr>
              <w:t>11</w:t>
            </w:r>
          </w:p>
        </w:tc>
        <w:tc>
          <w:tcPr>
            <w:tcW w:w="0" w:type="dxa"/>
            <w:vAlign w:val="bottom"/>
          </w:tcPr>
          <w:p>
            <w:pPr>
              <w:spacing w:after="0"/>
              <w:rPr>
                <w:sz w:val="1"/>
                <w:szCs w:val="1"/>
                <w:color w:val="auto"/>
              </w:rPr>
            </w:pPr>
          </w:p>
        </w:tc>
      </w:tr>
      <w:tr>
        <w:trPr>
          <w:trHeight w:val="120"/>
        </w:trPr>
        <w:tc>
          <w:tcPr>
            <w:tcW w:w="3880" w:type="dxa"/>
            <w:vAlign w:val="bottom"/>
          </w:tcPr>
          <w:p>
            <w:pPr>
              <w:ind w:left="700"/>
              <w:spacing w:after="0" w:line="121" w:lineRule="exact"/>
              <w:rPr>
                <w:sz w:val="20"/>
                <w:szCs w:val="20"/>
                <w:color w:val="auto"/>
              </w:rPr>
            </w:pPr>
            <w:r>
              <w:rPr>
                <w:rFonts w:ascii="Arial" w:cs="Arial" w:eastAsia="Arial" w:hAnsi="Arial"/>
                <w:sz w:val="11"/>
                <w:szCs w:val="11"/>
                <w:color w:val="auto"/>
              </w:rPr>
              <w:t>WEIGHTED AVERAGE SHARES OUTSTANDING:</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80" w:type="dxa"/>
            <w:vAlign w:val="bottom"/>
          </w:tcPr>
          <w:p>
            <w:pPr>
              <w:ind w:left="1060"/>
              <w:spacing w:after="0" w:line="121" w:lineRule="exact"/>
              <w:rPr>
                <w:sz w:val="20"/>
                <w:szCs w:val="20"/>
                <w:color w:val="auto"/>
              </w:rPr>
            </w:pPr>
            <w:r>
              <w:rPr>
                <w:rFonts w:ascii="Arial" w:cs="Arial" w:eastAsia="Arial" w:hAnsi="Arial"/>
                <w:sz w:val="11"/>
                <w:szCs w:val="11"/>
                <w:color w:val="auto"/>
              </w:rPr>
              <w:t>Basic</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w w:val="87"/>
              </w:rPr>
              <w:t>38,000,000</w:t>
            </w:r>
          </w:p>
        </w:tc>
        <w:tc>
          <w:tcPr>
            <w:tcW w:w="0" w:type="dxa"/>
            <w:vAlign w:val="bottom"/>
          </w:tcPr>
          <w:p>
            <w:pPr>
              <w:spacing w:after="0"/>
              <w:rPr>
                <w:sz w:val="1"/>
                <w:szCs w:val="1"/>
                <w:color w:val="auto"/>
              </w:rPr>
            </w:pPr>
          </w:p>
        </w:tc>
      </w:tr>
      <w:tr>
        <w:trPr>
          <w:trHeight w:val="132"/>
        </w:trPr>
        <w:tc>
          <w:tcPr>
            <w:tcW w:w="3880" w:type="dxa"/>
            <w:vAlign w:val="bottom"/>
          </w:tcPr>
          <w:p>
            <w:pPr>
              <w:ind w:left="1060"/>
              <w:spacing w:after="0"/>
              <w:rPr>
                <w:sz w:val="20"/>
                <w:szCs w:val="20"/>
                <w:color w:val="auto"/>
              </w:rPr>
            </w:pPr>
            <w:r>
              <w:rPr>
                <w:rFonts w:ascii="Arial" w:cs="Arial" w:eastAsia="Arial" w:hAnsi="Arial"/>
                <w:sz w:val="11"/>
                <w:szCs w:val="11"/>
                <w:color w:val="auto"/>
              </w:rPr>
              <w:t>Diluted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7"/>
              </w:rPr>
              <w:t>93,850,951</w:t>
            </w:r>
          </w:p>
        </w:tc>
        <w:tc>
          <w:tcPr>
            <w:tcW w:w="0" w:type="dxa"/>
            <w:vAlign w:val="bottom"/>
          </w:tcPr>
          <w:p>
            <w:pPr>
              <w:spacing w:after="0"/>
              <w:rPr>
                <w:sz w:val="1"/>
                <w:szCs w:val="1"/>
                <w:color w:val="auto"/>
              </w:rPr>
            </w:pPr>
          </w:p>
        </w:tc>
      </w:tr>
    </w:tbl>
    <w:p>
      <w:pPr>
        <w:ind w:left="5660" w:right="3820" w:hanging="5614"/>
        <w:spacing w:after="0" w:line="451" w:lineRule="auto"/>
        <w:tabs>
          <w:tab w:leader="none" w:pos="223"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As a newly formed entity, NCM Inc. will have no results of operations until the completion of the transaction contemplated hereby. </w:t>
      </w:r>
      <w:r>
        <w:rPr>
          <w:rFonts w:ascii="Arial" w:cs="Arial" w:eastAsia="Arial" w:hAnsi="Arial"/>
          <w:sz w:val="14"/>
          <w:szCs w:val="14"/>
          <w:color w:val="auto"/>
        </w:rPr>
        <w:t>37</w:t>
      </w:r>
    </w:p>
    <w:p>
      <w:pPr>
        <w:sectPr>
          <w:pgSz w:w="11900" w:h="16838" w:orient="portrait"/>
          <w:cols w:equalWidth="0" w:num="1">
            <w:col w:w="11460"/>
          </w:cols>
          <w:pgMar w:left="220" w:top="399" w:right="2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Consolidated Statement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 Ended September 28,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NCM LLC</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500" w:type="dxa"/>
            <w:vAlign w:val="bottom"/>
          </w:tcPr>
          <w:p>
            <w:pPr>
              <w:spacing w:after="0"/>
              <w:rPr>
                <w:sz w:val="10"/>
                <w:szCs w:val="10"/>
                <w:color w:val="auto"/>
              </w:rPr>
            </w:pPr>
          </w:p>
        </w:tc>
        <w:tc>
          <w:tcPr>
            <w:tcW w:w="10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Three Months</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89"/>
              </w:rPr>
              <w:t>Ended</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500" w:type="dxa"/>
            <w:vAlign w:val="bottom"/>
          </w:tcPr>
          <w:p>
            <w:pPr>
              <w:spacing w:after="0"/>
              <w:rPr>
                <w:sz w:val="10"/>
                <w:szCs w:val="10"/>
                <w:color w:val="auto"/>
              </w:rPr>
            </w:pPr>
          </w:p>
        </w:tc>
        <w:tc>
          <w:tcPr>
            <w:tcW w:w="10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NCM Inc.*</w:t>
            </w:r>
          </w:p>
        </w:tc>
        <w:tc>
          <w:tcPr>
            <w:tcW w:w="0" w:type="dxa"/>
            <w:vAlign w:val="bottom"/>
          </w:tcPr>
          <w:p>
            <w:pPr>
              <w:spacing w:after="0"/>
              <w:rPr>
                <w:sz w:val="1"/>
                <w:szCs w:val="1"/>
                <w:color w:val="auto"/>
              </w:rPr>
            </w:pPr>
          </w:p>
        </w:tc>
      </w:tr>
      <w:tr>
        <w:trPr>
          <w:trHeight w:val="120"/>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2006</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Contractual</w:t>
            </w:r>
          </w:p>
        </w:tc>
        <w:tc>
          <w:tcPr>
            <w:tcW w:w="600" w:type="dxa"/>
            <w:vAlign w:val="bottom"/>
          </w:tcPr>
          <w:p>
            <w:pPr>
              <w:spacing w:after="0"/>
              <w:rPr>
                <w:sz w:val="10"/>
                <w:szCs w:val="10"/>
                <w:color w:val="auto"/>
              </w:rPr>
            </w:pPr>
          </w:p>
        </w:tc>
        <w:tc>
          <w:tcPr>
            <w:tcW w:w="11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NCM LLC</w:t>
            </w:r>
          </w:p>
        </w:tc>
        <w:tc>
          <w:tcPr>
            <w:tcW w:w="20" w:type="dxa"/>
            <w:vAlign w:val="bottom"/>
          </w:tcPr>
          <w:p>
            <w:pPr>
              <w:spacing w:after="0"/>
              <w:rPr>
                <w:sz w:val="10"/>
                <w:szCs w:val="10"/>
                <w:color w:val="auto"/>
              </w:rPr>
            </w:pPr>
          </w:p>
        </w:tc>
        <w:tc>
          <w:tcPr>
            <w:tcW w:w="1060" w:type="dxa"/>
            <w:vAlign w:val="bottom"/>
            <w:gridSpan w:val="3"/>
          </w:tcPr>
          <w:p>
            <w:pPr>
              <w:jc w:val="right"/>
              <w:ind w:right="480"/>
              <w:spacing w:after="0" w:line="121" w:lineRule="exact"/>
              <w:rPr>
                <w:sz w:val="20"/>
                <w:szCs w:val="20"/>
                <w:color w:val="auto"/>
              </w:rPr>
            </w:pPr>
            <w:r>
              <w:rPr>
                <w:rFonts w:ascii="Arial" w:cs="Arial" w:eastAsia="Arial" w:hAnsi="Arial"/>
                <w:sz w:val="11"/>
                <w:szCs w:val="11"/>
                <w:b w:val="1"/>
                <w:bCs w:val="1"/>
                <w:color w:val="auto"/>
                <w:w w:val="89"/>
              </w:rPr>
              <w:t>Transaction</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1"/>
              </w:rPr>
              <w:t>Historical</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w w:val="86"/>
              </w:rPr>
              <w:t>Adjustments</w:t>
            </w:r>
          </w:p>
        </w:tc>
        <w:tc>
          <w:tcPr>
            <w:tcW w:w="14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79"/>
              </w:rPr>
              <w:t>($ in millions,</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w w:val="90"/>
              </w:rPr>
              <w:t>Pro Forma</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Adjustments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w w:val="96"/>
              </w:rPr>
              <w:t>As Adjusted</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50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w w:val="87"/>
              </w:rPr>
              <w:t>except per share data)</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54.9</w:t>
            </w:r>
          </w:p>
        </w:tc>
        <w:tc>
          <w:tcPr>
            <w:tcW w:w="380" w:type="dxa"/>
            <w:vAlign w:val="bottom"/>
          </w:tcPr>
          <w:p>
            <w:pPr>
              <w:spacing w:after="0"/>
              <w:rPr>
                <w:sz w:val="15"/>
                <w:szCs w:val="15"/>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75" w:lineRule="exact"/>
              <w:rPr>
                <w:sz w:val="20"/>
                <w:szCs w:val="20"/>
                <w:color w:val="auto"/>
              </w:rPr>
            </w:pPr>
            <w:r>
              <w:rPr>
                <w:rFonts w:ascii="Arial" w:cs="Arial" w:eastAsia="Arial" w:hAnsi="Arial"/>
                <w:sz w:val="14"/>
                <w:szCs w:val="14"/>
                <w:color w:val="auto"/>
              </w:rPr>
              <w:t xml:space="preserve">2.5 </w:t>
            </w:r>
            <w:r>
              <w:rPr>
                <w:rFonts w:ascii="Arial" w:cs="Arial" w:eastAsia="Arial" w:hAnsi="Arial"/>
                <w:sz w:val="18"/>
                <w:szCs w:val="18"/>
                <w:color w:val="auto"/>
                <w:vertAlign w:val="superscript"/>
              </w:rPr>
              <w:t>2</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68.9</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60"/>
              <w:spacing w:after="0" w:line="175" w:lineRule="exact"/>
              <w:rPr>
                <w:sz w:val="20"/>
                <w:szCs w:val="20"/>
                <w:color w:val="auto"/>
              </w:rPr>
            </w:pPr>
            <w:r>
              <w:rPr>
                <w:rFonts w:ascii="Arial" w:cs="Arial" w:eastAsia="Arial" w:hAnsi="Arial"/>
                <w:sz w:val="14"/>
                <w:szCs w:val="14"/>
                <w:color w:val="auto"/>
              </w:rPr>
              <w:t xml:space="preserve">11.5 </w:t>
            </w:r>
            <w:r>
              <w:rPr>
                <w:rFonts w:ascii="Arial" w:cs="Arial" w:eastAsia="Arial" w:hAnsi="Arial"/>
                <w:sz w:val="18"/>
                <w:szCs w:val="18"/>
                <w:color w:val="auto"/>
                <w:vertAlign w:val="superscript"/>
              </w:rPr>
              <w:t>3</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Administrative Fees—Members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0.8</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40"/>
              <w:spacing w:after="0" w:line="175" w:lineRule="exact"/>
              <w:rPr>
                <w:sz w:val="20"/>
                <w:szCs w:val="20"/>
                <w:color w:val="auto"/>
              </w:rPr>
            </w:pPr>
            <w:r>
              <w:rPr>
                <w:rFonts w:ascii="Arial" w:cs="Arial" w:eastAsia="Arial" w:hAnsi="Arial"/>
                <w:sz w:val="14"/>
                <w:szCs w:val="14"/>
                <w:color w:val="auto"/>
              </w:rPr>
              <w:t>(0.8)</w:t>
            </w:r>
            <w:r>
              <w:rPr>
                <w:rFonts w:ascii="Arial" w:cs="Arial" w:eastAsia="Arial" w:hAnsi="Arial"/>
                <w:sz w:val="18"/>
                <w:szCs w:val="18"/>
                <w:color w:val="auto"/>
                <w:vertAlign w:val="superscript"/>
              </w:rPr>
              <w:t>2</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4.8</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1"/>
        </w:trPr>
        <w:tc>
          <w:tcPr>
            <w:tcW w:w="5500" w:type="dxa"/>
            <w:vAlign w:val="bottom"/>
          </w:tcPr>
          <w:p>
            <w:pPr>
              <w:ind w:left="360"/>
              <w:spacing w:after="0"/>
              <w:rPr>
                <w:sz w:val="20"/>
                <w:szCs w:val="20"/>
                <w:color w:val="auto"/>
              </w:rPr>
            </w:pPr>
            <w:r>
              <w:rPr>
                <w:rFonts w:ascii="Arial" w:cs="Arial" w:eastAsia="Arial" w:hAnsi="Arial"/>
                <w:sz w:val="14"/>
                <w:szCs w:val="14"/>
                <w:color w:val="auto"/>
              </w:rPr>
              <w:t>Other</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7"/>
        </w:trPr>
        <w:tc>
          <w:tcPr>
            <w:tcW w:w="5500" w:type="dxa"/>
            <w:vAlign w:val="bottom"/>
          </w:tcPr>
          <w:p>
            <w:pPr>
              <w:ind w:left="700"/>
              <w:spacing w:after="0"/>
              <w:rPr>
                <w:sz w:val="20"/>
                <w:szCs w:val="20"/>
                <w:color w:val="auto"/>
              </w:rPr>
            </w:pPr>
            <w:r>
              <w:rPr>
                <w:rFonts w:ascii="Arial" w:cs="Arial" w:eastAsia="Arial" w:hAnsi="Arial"/>
                <w:sz w:val="14"/>
                <w:szCs w:val="14"/>
                <w:color w:val="auto"/>
              </w:rPr>
              <w:t>TOTAL REVENUE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60.7</w:t>
            </w:r>
          </w:p>
        </w:tc>
        <w:tc>
          <w:tcPr>
            <w:tcW w:w="380" w:type="dxa"/>
            <w:vAlign w:val="bottom"/>
          </w:tcPr>
          <w:p>
            <w:pPr>
              <w:spacing w:after="0"/>
              <w:rPr>
                <w:sz w:val="15"/>
                <w:szCs w:val="15"/>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13.2</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73.9</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0.0</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20"/>
                <w:szCs w:val="20"/>
                <w:color w:val="auto"/>
              </w:rPr>
            </w:pPr>
            <w:r>
              <w:rPr>
                <w:rFonts w:ascii="Arial" w:cs="Arial" w:eastAsia="Arial" w:hAnsi="Arial"/>
                <w:sz w:val="14"/>
                <w:szCs w:val="14"/>
                <w:color w:val="auto"/>
              </w:rPr>
              <w:t>Expenses:</w:t>
            </w: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5"/>
                <w:szCs w:val="15"/>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2.2</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Meetings / Events Operating Costs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3.5</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Circuit Share / Theatre Access Fee—Members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38.0</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60"/>
              <w:spacing w:after="0" w:line="175" w:lineRule="exact"/>
              <w:rPr>
                <w:sz w:val="20"/>
                <w:szCs w:val="20"/>
                <w:color w:val="auto"/>
              </w:rPr>
            </w:pPr>
            <w:r>
              <w:rPr>
                <w:rFonts w:ascii="Arial" w:cs="Arial" w:eastAsia="Arial" w:hAnsi="Arial"/>
                <w:sz w:val="14"/>
                <w:szCs w:val="14"/>
                <w:color w:val="auto"/>
              </w:rPr>
              <w:t xml:space="preserve">1.7 </w:t>
            </w:r>
            <w:r>
              <w:rPr>
                <w:rFonts w:ascii="Arial" w:cs="Arial" w:eastAsia="Arial" w:hAnsi="Arial"/>
                <w:sz w:val="18"/>
                <w:szCs w:val="18"/>
                <w:color w:val="auto"/>
                <w:vertAlign w:val="superscript"/>
              </w:rPr>
              <w:t>2</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40"/>
              <w:spacing w:after="0" w:line="175" w:lineRule="exact"/>
              <w:rPr>
                <w:sz w:val="20"/>
                <w:szCs w:val="20"/>
                <w:color w:val="auto"/>
              </w:rPr>
            </w:pPr>
            <w:r>
              <w:rPr>
                <w:rFonts w:ascii="Arial" w:cs="Arial" w:eastAsia="Arial" w:hAnsi="Arial"/>
                <w:sz w:val="14"/>
                <w:szCs w:val="14"/>
                <w:color w:val="auto"/>
              </w:rPr>
              <w:t>(28.1)</w:t>
            </w:r>
            <w:r>
              <w:rPr>
                <w:rFonts w:ascii="Arial" w:cs="Arial" w:eastAsia="Arial" w:hAnsi="Arial"/>
                <w:sz w:val="18"/>
                <w:szCs w:val="18"/>
                <w:color w:val="auto"/>
                <w:vertAlign w:val="superscript"/>
              </w:rPr>
              <w:t>4</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Selling and Marketing</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9.6</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Administrative</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340"/>
              <w:spacing w:after="0" w:line="175" w:lineRule="exact"/>
              <w:rPr>
                <w:sz w:val="20"/>
                <w:szCs w:val="20"/>
                <w:color w:val="auto"/>
              </w:rPr>
            </w:pPr>
            <w:r>
              <w:rPr>
                <w:rFonts w:ascii="Arial" w:cs="Arial" w:eastAsia="Arial" w:hAnsi="Arial"/>
                <w:sz w:val="14"/>
                <w:szCs w:val="14"/>
                <w:color w:val="auto"/>
              </w:rPr>
              <w:t xml:space="preserve">0.3 </w:t>
            </w:r>
            <w:r>
              <w:rPr>
                <w:rFonts w:ascii="Arial" w:cs="Arial" w:eastAsia="Arial" w:hAnsi="Arial"/>
                <w:sz w:val="18"/>
                <w:szCs w:val="18"/>
                <w:color w:val="auto"/>
                <w:vertAlign w:val="superscript"/>
              </w:rPr>
              <w:t>10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Severance Plan Costs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0.7</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0.7</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5500" w:type="dxa"/>
            <w:vAlign w:val="bottom"/>
          </w:tcPr>
          <w:p>
            <w:pPr>
              <w:ind w:left="360"/>
              <w:spacing w:after="0"/>
              <w:rPr>
                <w:sz w:val="20"/>
                <w:szCs w:val="20"/>
                <w:color w:val="auto"/>
              </w:rPr>
            </w:pPr>
            <w:r>
              <w:rPr>
                <w:rFonts w:ascii="Arial" w:cs="Arial" w:eastAsia="Arial" w:hAnsi="Arial"/>
                <w:sz w:val="14"/>
                <w:szCs w:val="14"/>
                <w:color w:val="auto"/>
              </w:rPr>
              <w:t>Other</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7"/>
        </w:trPr>
        <w:tc>
          <w:tcPr>
            <w:tcW w:w="5500" w:type="dxa"/>
            <w:vAlign w:val="bottom"/>
          </w:tcPr>
          <w:p>
            <w:pPr>
              <w:ind w:left="700"/>
              <w:spacing w:after="0"/>
              <w:rPr>
                <w:sz w:val="20"/>
                <w:szCs w:val="20"/>
                <w:color w:val="auto"/>
              </w:rPr>
            </w:pPr>
            <w:r>
              <w:rPr>
                <w:rFonts w:ascii="Arial" w:cs="Arial" w:eastAsia="Arial" w:hAnsi="Arial"/>
                <w:sz w:val="14"/>
                <w:szCs w:val="14"/>
                <w:color w:val="auto"/>
              </w:rPr>
              <w:t>TOTAL EXPENSES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61.1</w:t>
            </w:r>
          </w:p>
        </w:tc>
        <w:tc>
          <w:tcPr>
            <w:tcW w:w="380" w:type="dxa"/>
            <w:vAlign w:val="bottom"/>
          </w:tcPr>
          <w:p>
            <w:pPr>
              <w:spacing w:after="0"/>
              <w:rPr>
                <w:sz w:val="15"/>
                <w:szCs w:val="15"/>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34.7</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0.3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Operating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(0.4)</w:t>
            </w: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39.6</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39.2</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(0.3)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62"/>
        </w:trPr>
        <w:tc>
          <w:tcPr>
            <w:tcW w:w="5500" w:type="dxa"/>
            <w:vAlign w:val="bottom"/>
          </w:tcPr>
          <w:p>
            <w:pPr>
              <w:spacing w:after="0"/>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0.2</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15.9</w:t>
            </w:r>
            <w:r>
              <w:rPr>
                <w:rFonts w:ascii="Arial" w:cs="Arial" w:eastAsia="Arial" w:hAnsi="Arial"/>
                <w:sz w:val="9"/>
                <w:szCs w:val="9"/>
                <w:color w:val="auto"/>
              </w:rPr>
              <w:t>7</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62"/>
        </w:trPr>
        <w:tc>
          <w:tcPr>
            <w:tcW w:w="5500" w:type="dxa"/>
            <w:vAlign w:val="bottom"/>
          </w:tcPr>
          <w:p>
            <w:pPr>
              <w:spacing w:after="0"/>
              <w:rPr>
                <w:sz w:val="20"/>
                <w:szCs w:val="20"/>
                <w:color w:val="auto"/>
              </w:rPr>
            </w:pPr>
            <w:r>
              <w:rPr>
                <w:rFonts w:ascii="Arial" w:cs="Arial" w:eastAsia="Arial" w:hAnsi="Arial"/>
                <w:sz w:val="14"/>
                <w:szCs w:val="14"/>
                <w:color w:val="auto"/>
              </w:rPr>
              <w:t>Minority Interest</w:t>
            </w:r>
          </w:p>
        </w:tc>
        <w:tc>
          <w:tcPr>
            <w:tcW w:w="6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13.6</w:t>
            </w:r>
            <w:r>
              <w:rPr>
                <w:rFonts w:ascii="Arial" w:cs="Arial" w:eastAsia="Arial" w:hAnsi="Arial"/>
                <w:sz w:val="9"/>
                <w:szCs w:val="9"/>
                <w:color w:val="auto"/>
              </w:rPr>
              <w:t>8</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Income / (Loss) Before Income Taxes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(0.6)</w:t>
            </w: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39.6</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39.0</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(29.8)</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62"/>
        </w:trPr>
        <w:tc>
          <w:tcPr>
            <w:tcW w:w="5500" w:type="dxa"/>
            <w:vAlign w:val="bottom"/>
          </w:tcPr>
          <w:p>
            <w:pPr>
              <w:spacing w:after="0"/>
              <w:rPr>
                <w:sz w:val="20"/>
                <w:szCs w:val="20"/>
                <w:color w:val="auto"/>
              </w:rPr>
            </w:pPr>
            <w:r>
              <w:rPr>
                <w:rFonts w:ascii="Arial" w:cs="Arial" w:eastAsia="Arial" w:hAnsi="Arial"/>
                <w:sz w:val="14"/>
                <w:szCs w:val="14"/>
                <w:color w:val="auto"/>
              </w:rPr>
              <w:t>Income Taxes</w:t>
            </w:r>
          </w:p>
        </w:tc>
        <w:tc>
          <w:tcPr>
            <w:tcW w:w="6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3.7</w:t>
            </w:r>
            <w:r>
              <w:rPr>
                <w:rFonts w:ascii="Arial" w:cs="Arial" w:eastAsia="Arial" w:hAnsi="Arial"/>
                <w:sz w:val="9"/>
                <w:szCs w:val="9"/>
                <w:color w:val="auto"/>
              </w:rPr>
              <w:t>9</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700"/>
              <w:spacing w:after="0"/>
              <w:rPr>
                <w:sz w:val="20"/>
                <w:szCs w:val="20"/>
                <w:color w:val="auto"/>
              </w:rPr>
            </w:pPr>
            <w:r>
              <w:rPr>
                <w:rFonts w:ascii="Arial" w:cs="Arial" w:eastAsia="Arial" w:hAnsi="Arial"/>
                <w:sz w:val="14"/>
                <w:szCs w:val="14"/>
                <w:color w:val="auto"/>
              </w:rPr>
              <w:t>NET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(0.6)</w:t>
            </w: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39.6</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39.0</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(33.5)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700"/>
              <w:spacing w:after="0"/>
              <w:rPr>
                <w:sz w:val="20"/>
                <w:szCs w:val="20"/>
                <w:color w:val="auto"/>
              </w:rPr>
            </w:pPr>
            <w:r>
              <w:rPr>
                <w:rFonts w:ascii="Arial" w:cs="Arial" w:eastAsia="Arial" w:hAnsi="Arial"/>
                <w:sz w:val="14"/>
                <w:szCs w:val="14"/>
                <w:color w:val="auto"/>
              </w:rPr>
              <w:t>EARNINGS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1060"/>
              <w:spacing w:after="0"/>
              <w:rPr>
                <w:sz w:val="20"/>
                <w:szCs w:val="20"/>
                <w:color w:val="auto"/>
              </w:rPr>
            </w:pPr>
            <w:r>
              <w:rPr>
                <w:rFonts w:ascii="Arial" w:cs="Arial" w:eastAsia="Arial" w:hAnsi="Arial"/>
                <w:sz w:val="14"/>
                <w:szCs w:val="14"/>
                <w:color w:val="auto"/>
              </w:rPr>
              <w:t>Basic</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4"/>
                <w:szCs w:val="14"/>
                <w:color w:val="auto"/>
              </w:rPr>
              <w:t>0.15</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75"/>
        </w:trPr>
        <w:tc>
          <w:tcPr>
            <w:tcW w:w="5500" w:type="dxa"/>
            <w:vAlign w:val="bottom"/>
          </w:tcPr>
          <w:p>
            <w:pPr>
              <w:ind w:left="106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4"/>
                <w:szCs w:val="14"/>
                <w:color w:val="auto"/>
              </w:rPr>
              <w:t>0.15</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75"/>
        </w:trPr>
        <w:tc>
          <w:tcPr>
            <w:tcW w:w="5500" w:type="dxa"/>
            <w:vAlign w:val="bottom"/>
          </w:tcPr>
          <w:p>
            <w:pPr>
              <w:ind w:left="700"/>
              <w:spacing w:after="0"/>
              <w:rPr>
                <w:sz w:val="20"/>
                <w:szCs w:val="20"/>
                <w:color w:val="auto"/>
              </w:rPr>
            </w:pPr>
            <w:r>
              <w:rPr>
                <w:rFonts w:ascii="Arial" w:cs="Arial" w:eastAsia="Arial" w:hAnsi="Arial"/>
                <w:sz w:val="14"/>
                <w:szCs w:val="14"/>
                <w:color w:val="auto"/>
              </w:rPr>
              <w:t>WEIGHTED AVERAGE SHARES OUTSTANDING:</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1060"/>
              <w:spacing w:after="0"/>
              <w:rPr>
                <w:sz w:val="20"/>
                <w:szCs w:val="20"/>
                <w:color w:val="auto"/>
              </w:rPr>
            </w:pPr>
            <w:r>
              <w:rPr>
                <w:rFonts w:ascii="Arial" w:cs="Arial" w:eastAsia="Arial" w:hAnsi="Arial"/>
                <w:sz w:val="14"/>
                <w:szCs w:val="14"/>
                <w:color w:val="auto"/>
              </w:rPr>
              <w:t>Basic</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38,000,000</w:t>
            </w:r>
          </w:p>
        </w:tc>
        <w:tc>
          <w:tcPr>
            <w:tcW w:w="0" w:type="dxa"/>
            <w:vAlign w:val="bottom"/>
          </w:tcPr>
          <w:p>
            <w:pPr>
              <w:spacing w:after="0"/>
              <w:rPr>
                <w:sz w:val="1"/>
                <w:szCs w:val="1"/>
                <w:color w:val="auto"/>
              </w:rPr>
            </w:pPr>
          </w:p>
        </w:tc>
      </w:tr>
      <w:tr>
        <w:trPr>
          <w:trHeight w:val="181"/>
        </w:trPr>
        <w:tc>
          <w:tcPr>
            <w:tcW w:w="5500" w:type="dxa"/>
            <w:vAlign w:val="bottom"/>
          </w:tcPr>
          <w:p>
            <w:pPr>
              <w:ind w:left="106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94,035,383</w:t>
            </w:r>
          </w:p>
        </w:tc>
        <w:tc>
          <w:tcPr>
            <w:tcW w:w="0" w:type="dxa"/>
            <w:vAlign w:val="bottom"/>
          </w:tcPr>
          <w:p>
            <w:pPr>
              <w:spacing w:after="0"/>
              <w:rPr>
                <w:sz w:val="1"/>
                <w:szCs w:val="1"/>
                <w:color w:val="auto"/>
              </w:rPr>
            </w:pPr>
          </w:p>
        </w:tc>
      </w:tr>
    </w:tbl>
    <w:p>
      <w:pPr>
        <w:ind w:left="5660" w:right="3820" w:hanging="5614"/>
        <w:spacing w:after="0" w:line="460" w:lineRule="auto"/>
        <w:tabs>
          <w:tab w:leader="none" w:pos="223"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As a newly formed entity, NCM Inc. will have no results of operations until the completion of the transaction contemplated hereby. </w:t>
      </w:r>
      <w:r>
        <w:rPr>
          <w:rFonts w:ascii="Arial" w:cs="Arial" w:eastAsia="Arial" w:hAnsi="Arial"/>
          <w:sz w:val="14"/>
          <w:szCs w:val="14"/>
          <w:color w:val="auto"/>
        </w:rPr>
        <w:t>38</w:t>
      </w:r>
    </w:p>
    <w:p>
      <w:pPr>
        <w:sectPr>
          <w:pgSz w:w="11900" w:h="16838" w:orient="portrait"/>
          <w:cols w:equalWidth="0" w:num="1">
            <w:col w:w="11460"/>
          </w:cols>
          <w:pgMar w:left="220" w:top="399" w:right="21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Consolidated Statement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28,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right="920"/>
              <w:spacing w:after="0"/>
              <w:rPr>
                <w:sz w:val="20"/>
                <w:szCs w:val="20"/>
                <w:color w:val="auto"/>
              </w:rPr>
            </w:pPr>
            <w:r>
              <w:rPr>
                <w:rFonts w:ascii="Arial" w:cs="Arial" w:eastAsia="Arial" w:hAnsi="Arial"/>
                <w:sz w:val="11"/>
                <w:szCs w:val="11"/>
                <w:b w:val="1"/>
                <w:bCs w:val="1"/>
                <w:color w:val="auto"/>
              </w:rPr>
              <w:t>NCM LLC</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right="920"/>
              <w:spacing w:after="0" w:line="121" w:lineRule="exact"/>
              <w:rPr>
                <w:sz w:val="20"/>
                <w:szCs w:val="20"/>
                <w:color w:val="auto"/>
              </w:rPr>
            </w:pPr>
            <w:r>
              <w:rPr>
                <w:rFonts w:ascii="Arial" w:cs="Arial" w:eastAsia="Arial" w:hAnsi="Arial"/>
                <w:sz w:val="11"/>
                <w:szCs w:val="11"/>
                <w:b w:val="1"/>
                <w:bCs w:val="1"/>
                <w:color w:val="auto"/>
                <w:w w:val="90"/>
              </w:rPr>
              <w:t>Nine Months</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right="920"/>
              <w:spacing w:after="0" w:line="121" w:lineRule="exact"/>
              <w:rPr>
                <w:sz w:val="20"/>
                <w:szCs w:val="20"/>
                <w:color w:val="auto"/>
              </w:rPr>
            </w:pPr>
            <w:r>
              <w:rPr>
                <w:rFonts w:ascii="Arial" w:cs="Arial" w:eastAsia="Arial" w:hAnsi="Arial"/>
                <w:sz w:val="11"/>
                <w:szCs w:val="11"/>
                <w:b w:val="1"/>
                <w:bCs w:val="1"/>
                <w:color w:val="auto"/>
                <w:w w:val="95"/>
              </w:rPr>
              <w:t>Ended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NCM Inc.*</w:t>
            </w: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7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September 28, 2006</w:t>
            </w:r>
          </w:p>
        </w:tc>
        <w:tc>
          <w:tcPr>
            <w:tcW w:w="7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Contractual</w:t>
            </w:r>
          </w:p>
        </w:tc>
        <w:tc>
          <w:tcPr>
            <w:tcW w:w="740" w:type="dxa"/>
            <w:vAlign w:val="bottom"/>
          </w:tcPr>
          <w:p>
            <w:pPr>
              <w:spacing w:after="0"/>
              <w:rPr>
                <w:sz w:val="10"/>
                <w:szCs w:val="10"/>
                <w:color w:val="auto"/>
              </w:rPr>
            </w:pPr>
          </w:p>
        </w:tc>
        <w:tc>
          <w:tcPr>
            <w:tcW w:w="12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NCM LLC</w:t>
            </w:r>
          </w:p>
        </w:tc>
        <w:tc>
          <w:tcPr>
            <w:tcW w:w="10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jc w:val="center"/>
              <w:ind w:right="920"/>
              <w:spacing w:after="0"/>
              <w:rPr>
                <w:sz w:val="20"/>
                <w:szCs w:val="20"/>
                <w:color w:val="auto"/>
              </w:rPr>
            </w:pPr>
            <w:r>
              <w:rPr>
                <w:rFonts w:ascii="Arial" w:cs="Arial" w:eastAsia="Arial" w:hAnsi="Arial"/>
                <w:sz w:val="11"/>
                <w:szCs w:val="11"/>
                <w:b w:val="1"/>
                <w:bCs w:val="1"/>
                <w:color w:val="auto"/>
                <w:w w:val="95"/>
              </w:rPr>
              <w:t>Historical</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Adjustments</w:t>
            </w:r>
          </w:p>
        </w:tc>
        <w:tc>
          <w:tcPr>
            <w:tcW w:w="740" w:type="dxa"/>
            <w:vAlign w:val="bottom"/>
          </w:tcPr>
          <w:p>
            <w:pPr>
              <w:spacing w:after="0"/>
              <w:rPr>
                <w:sz w:val="12"/>
                <w:szCs w:val="12"/>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Pro Forma</w:t>
            </w: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Adjustments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w w:val="96"/>
              </w:rPr>
              <w:t>As Adjusted</w:t>
            </w:r>
          </w:p>
        </w:tc>
        <w:tc>
          <w:tcPr>
            <w:tcW w:w="0" w:type="dxa"/>
            <w:vAlign w:val="bottom"/>
          </w:tcPr>
          <w:p>
            <w:pPr>
              <w:spacing w:after="0"/>
              <w:rPr>
                <w:sz w:val="1"/>
                <w:szCs w:val="1"/>
                <w:color w:val="auto"/>
              </w:rPr>
            </w:pPr>
          </w:p>
        </w:tc>
      </w:tr>
      <w:tr>
        <w:trPr>
          <w:trHeight w:val="132"/>
        </w:trPr>
        <w:tc>
          <w:tcPr>
            <w:tcW w:w="488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9"/>
              </w:rPr>
              <w:t>($ in millions,</w:t>
            </w: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w w:val="90"/>
              </w:rPr>
              <w:t>except per</w:t>
            </w:r>
          </w:p>
        </w:tc>
        <w:tc>
          <w:tcPr>
            <w:tcW w:w="740" w:type="dxa"/>
            <w:vAlign w:val="bottom"/>
          </w:tcPr>
          <w:p>
            <w:pPr>
              <w:spacing w:after="0" w:line="122" w:lineRule="exact"/>
              <w:rPr>
                <w:sz w:val="20"/>
                <w:szCs w:val="20"/>
                <w:color w:val="auto"/>
              </w:rPr>
            </w:pPr>
            <w:r>
              <w:rPr>
                <w:rFonts w:ascii="Arial" w:cs="Arial" w:eastAsia="Arial" w:hAnsi="Arial"/>
                <w:sz w:val="11"/>
                <w:szCs w:val="11"/>
                <w:b w:val="1"/>
                <w:bCs w:val="1"/>
                <w:color w:val="auto"/>
              </w:rPr>
              <w:t>share data)</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128.2</w:t>
            </w:r>
          </w:p>
        </w:tc>
        <w:tc>
          <w:tcPr>
            <w:tcW w:w="7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4"/>
                <w:szCs w:val="14"/>
                <w:color w:val="auto"/>
              </w:rPr>
              <w:t xml:space="preserve">13.4 </w:t>
            </w:r>
            <w:r>
              <w:rPr>
                <w:rFonts w:ascii="Arial" w:cs="Arial" w:eastAsia="Arial" w:hAnsi="Arial"/>
                <w:sz w:val="18"/>
                <w:szCs w:val="18"/>
                <w:color w:val="auto"/>
                <w:vertAlign w:val="superscript"/>
              </w:rPr>
              <w:t>2</w:t>
            </w: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175.4</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4"/>
                <w:szCs w:val="14"/>
                <w:color w:val="auto"/>
              </w:rPr>
              <w:t xml:space="preserve">33.8 </w:t>
            </w:r>
            <w:r>
              <w:rPr>
                <w:rFonts w:ascii="Arial" w:cs="Arial" w:eastAsia="Arial" w:hAnsi="Arial"/>
                <w:sz w:val="18"/>
                <w:szCs w:val="18"/>
                <w:color w:val="auto"/>
                <w:vertAlign w:val="superscript"/>
              </w:rPr>
              <w:t>3</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Administrative Fees—Members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4.3</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spacing w:after="0" w:line="175" w:lineRule="exact"/>
              <w:rPr>
                <w:sz w:val="20"/>
                <w:szCs w:val="20"/>
                <w:color w:val="auto"/>
              </w:rPr>
            </w:pPr>
            <w:r>
              <w:rPr>
                <w:rFonts w:ascii="Arial" w:cs="Arial" w:eastAsia="Arial" w:hAnsi="Arial"/>
                <w:sz w:val="14"/>
                <w:szCs w:val="14"/>
                <w:color w:val="auto"/>
              </w:rPr>
              <w:t>(4.3)</w:t>
            </w:r>
            <w:r>
              <w:rPr>
                <w:rFonts w:ascii="Arial" w:cs="Arial" w:eastAsia="Arial" w:hAnsi="Arial"/>
                <w:sz w:val="18"/>
                <w:szCs w:val="18"/>
                <w:color w:val="auto"/>
                <w:vertAlign w:val="superscript"/>
              </w:rPr>
              <w:t>2</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12.5</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1"/>
        </w:trPr>
        <w:tc>
          <w:tcPr>
            <w:tcW w:w="4880" w:type="dxa"/>
            <w:vAlign w:val="bottom"/>
          </w:tcPr>
          <w:p>
            <w:pPr>
              <w:ind w:left="3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0.2</w:t>
            </w: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7"/>
        </w:trPr>
        <w:tc>
          <w:tcPr>
            <w:tcW w:w="4880" w:type="dxa"/>
            <w:vAlign w:val="bottom"/>
          </w:tcPr>
          <w:p>
            <w:pPr>
              <w:ind w:left="700"/>
              <w:spacing w:after="0"/>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145.2</w:t>
            </w:r>
          </w:p>
        </w:tc>
        <w:tc>
          <w:tcPr>
            <w:tcW w:w="7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5"/>
                <w:szCs w:val="15"/>
                <w:color w:val="auto"/>
              </w:rPr>
            </w:pP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188.1</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20"/>
                <w:szCs w:val="20"/>
                <w:color w:val="auto"/>
              </w:rPr>
            </w:pPr>
            <w:r>
              <w:rPr>
                <w:rFonts w:ascii="Arial" w:cs="Arial" w:eastAsia="Arial" w:hAnsi="Arial"/>
                <w:sz w:val="14"/>
                <w:szCs w:val="14"/>
                <w:color w:val="auto"/>
              </w:rPr>
              <w:t>Expenses:</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6.0</w:t>
            </w:r>
          </w:p>
        </w:tc>
        <w:tc>
          <w:tcPr>
            <w:tcW w:w="7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Meetings / Events Operating Costs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Circuit Share / Theatre Access Fee—Members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88.6</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4"/>
                <w:szCs w:val="14"/>
                <w:color w:val="auto"/>
              </w:rPr>
              <w:t xml:space="preserve">9.1 </w:t>
            </w:r>
            <w:r>
              <w:rPr>
                <w:rFonts w:ascii="Arial" w:cs="Arial" w:eastAsia="Arial" w:hAnsi="Arial"/>
                <w:sz w:val="18"/>
                <w:szCs w:val="18"/>
                <w:color w:val="auto"/>
                <w:vertAlign w:val="superscript"/>
              </w:rPr>
              <w:t>2</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35.1</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(62.6)</w:t>
            </w:r>
            <w:r>
              <w:rPr>
                <w:rFonts w:ascii="Arial" w:cs="Arial" w:eastAsia="Arial" w:hAnsi="Arial"/>
                <w:sz w:val="18"/>
                <w:szCs w:val="18"/>
                <w:color w:val="auto"/>
                <w:vertAlign w:val="superscript"/>
              </w:rPr>
              <w:t>4</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880" w:type="dxa"/>
            <w:vAlign w:val="bottom"/>
          </w:tcPr>
          <w:p>
            <w:pPr>
              <w:ind w:left="360"/>
              <w:spacing w:after="0"/>
              <w:rPr>
                <w:sz w:val="20"/>
                <w:szCs w:val="20"/>
                <w:color w:val="auto"/>
              </w:rPr>
            </w:pPr>
            <w:r>
              <w:rPr>
                <w:rFonts w:ascii="Arial" w:cs="Arial" w:eastAsia="Arial" w:hAnsi="Arial"/>
                <w:sz w:val="14"/>
                <w:szCs w:val="14"/>
                <w:color w:val="auto"/>
              </w:rPr>
              <w:t>Selling and Marketing</w:t>
            </w:r>
          </w:p>
        </w:tc>
        <w:tc>
          <w:tcPr>
            <w:tcW w:w="1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27.9</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27.9</w:t>
            </w:r>
          </w:p>
        </w:tc>
        <w:tc>
          <w:tcPr>
            <w:tcW w:w="180" w:type="dxa"/>
            <w:vAlign w:val="bottom"/>
          </w:tcPr>
          <w:p>
            <w:pPr>
              <w:spacing w:after="0"/>
              <w:rPr>
                <w:sz w:val="16"/>
                <w:szCs w:val="16"/>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Administrative</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11.4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11.4</w:t>
            </w:r>
          </w:p>
        </w:tc>
        <w:tc>
          <w:tcPr>
            <w:tcW w:w="1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0.6</w:t>
            </w:r>
            <w:r>
              <w:rPr>
                <w:rFonts w:ascii="Arial" w:cs="Arial" w:eastAsia="Arial" w:hAnsi="Arial"/>
                <w:sz w:val="9"/>
                <w:szCs w:val="9"/>
                <w:color w:val="auto"/>
              </w:rPr>
              <w:t>10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Severance Plan Costs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1"/>
        </w:trPr>
        <w:tc>
          <w:tcPr>
            <w:tcW w:w="4880" w:type="dxa"/>
            <w:vAlign w:val="bottom"/>
          </w:tcPr>
          <w:p>
            <w:pPr>
              <w:ind w:left="3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7"/>
        </w:trPr>
        <w:tc>
          <w:tcPr>
            <w:tcW w:w="4880" w:type="dxa"/>
            <w:vAlign w:val="bottom"/>
          </w:tcPr>
          <w:p>
            <w:pPr>
              <w:ind w:left="700"/>
              <w:spacing w:after="0"/>
              <w:rPr>
                <w:sz w:val="20"/>
                <w:szCs w:val="20"/>
                <w:color w:val="auto"/>
              </w:rPr>
            </w:pPr>
            <w:r>
              <w:rPr>
                <w:rFonts w:ascii="Arial" w:cs="Arial" w:eastAsia="Arial" w:hAnsi="Arial"/>
                <w:sz w:val="14"/>
                <w:szCs w:val="14"/>
                <w:color w:val="auto"/>
              </w:rPr>
              <w:t>TOTAL EXPENSES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156.1</w:t>
            </w:r>
          </w:p>
        </w:tc>
        <w:tc>
          <w:tcPr>
            <w:tcW w:w="7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(53.5)</w:t>
            </w: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102.6</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0.6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80" w:type="dxa"/>
            <w:vAlign w:val="bottom"/>
            <w:vMerge w:val="continue"/>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rPr>
              <w:t>(10.9)</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5"/>
                <w:szCs w:val="15"/>
                <w:color w:val="auto"/>
              </w:rPr>
            </w:pP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85.5</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(0.6)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48.1</w:t>
            </w:r>
            <w:r>
              <w:rPr>
                <w:rFonts w:ascii="Arial" w:cs="Arial" w:eastAsia="Arial" w:hAnsi="Arial"/>
                <w:sz w:val="18"/>
                <w:szCs w:val="18"/>
                <w:color w:val="auto"/>
                <w:vertAlign w:val="superscript"/>
              </w:rPr>
              <w:t>7</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02"/>
        </w:trPr>
        <w:tc>
          <w:tcPr>
            <w:tcW w:w="4880" w:type="dxa"/>
            <w:vAlign w:val="bottom"/>
          </w:tcPr>
          <w:p>
            <w:pPr>
              <w:spacing w:after="0"/>
              <w:rPr>
                <w:sz w:val="20"/>
                <w:szCs w:val="20"/>
                <w:color w:val="auto"/>
              </w:rPr>
            </w:pPr>
            <w:r>
              <w:rPr>
                <w:rFonts w:ascii="Arial" w:cs="Arial" w:eastAsia="Arial" w:hAnsi="Arial"/>
                <w:sz w:val="14"/>
                <w:szCs w:val="14"/>
                <w:color w:val="auto"/>
              </w:rPr>
              <w:t>Minority Interest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color w:val="auto"/>
              </w:rPr>
              <w:t>21.7</w:t>
            </w:r>
            <w:r>
              <w:rPr>
                <w:rFonts w:ascii="Arial" w:cs="Arial" w:eastAsia="Arial" w:hAnsi="Arial"/>
                <w:sz w:val="18"/>
                <w:szCs w:val="18"/>
                <w:color w:val="auto"/>
                <w:vertAlign w:val="superscript"/>
              </w:rPr>
              <w:t>8</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20"/>
                <w:szCs w:val="20"/>
                <w:color w:val="auto"/>
              </w:rPr>
            </w:pPr>
            <w:r>
              <w:rPr>
                <w:rFonts w:ascii="Arial" w:cs="Arial" w:eastAsia="Arial" w:hAnsi="Arial"/>
                <w:sz w:val="14"/>
                <w:szCs w:val="14"/>
                <w:color w:val="auto"/>
              </w:rPr>
              <w:t>Income / (Loss) Before Income Taxes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5"/>
                <w:szCs w:val="15"/>
                <w:color w:val="auto"/>
              </w:rPr>
            </w:pP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85.2</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(70.4)</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0"/>
                <w:szCs w:val="20"/>
                <w:color w:val="auto"/>
              </w:rPr>
            </w:pPr>
            <w:r>
              <w:rPr>
                <w:rFonts w:ascii="Arial" w:cs="Arial" w:eastAsia="Arial" w:hAnsi="Arial"/>
                <w:sz w:val="14"/>
                <w:szCs w:val="14"/>
                <w:color w:val="auto"/>
              </w:rPr>
              <w:t>Income Taxes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r>
              <w:rPr>
                <w:rFonts w:ascii="Arial" w:cs="Arial" w:eastAsia="Arial" w:hAnsi="Arial"/>
                <w:sz w:val="18"/>
                <w:szCs w:val="18"/>
                <w:color w:val="auto"/>
                <w:vertAlign w:val="superscript"/>
              </w:rPr>
              <w:t>9</w:t>
            </w: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5"/>
        </w:trPr>
        <w:tc>
          <w:tcPr>
            <w:tcW w:w="4880" w:type="dxa"/>
            <w:vAlign w:val="bottom"/>
          </w:tcPr>
          <w:p>
            <w:pPr>
              <w:ind w:left="70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5"/>
                <w:szCs w:val="15"/>
                <w:color w:val="auto"/>
              </w:rPr>
            </w:pP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85.2</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(76.3)</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700"/>
              <w:spacing w:after="0"/>
              <w:rPr>
                <w:sz w:val="20"/>
                <w:szCs w:val="20"/>
                <w:color w:val="auto"/>
              </w:rPr>
            </w:pPr>
            <w:r>
              <w:rPr>
                <w:rFonts w:ascii="Arial" w:cs="Arial" w:eastAsia="Arial" w:hAnsi="Arial"/>
                <w:sz w:val="14"/>
                <w:szCs w:val="14"/>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10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4"/>
                <w:szCs w:val="14"/>
                <w:color w:val="auto"/>
              </w:rPr>
              <w:t>0.23</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75"/>
        </w:trPr>
        <w:tc>
          <w:tcPr>
            <w:tcW w:w="4880" w:type="dxa"/>
            <w:vAlign w:val="bottom"/>
          </w:tcPr>
          <w:p>
            <w:pPr>
              <w:ind w:left="10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4"/>
                <w:szCs w:val="14"/>
                <w:color w:val="auto"/>
              </w:rPr>
              <w:t>0.23</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75"/>
        </w:trPr>
        <w:tc>
          <w:tcPr>
            <w:tcW w:w="4880" w:type="dxa"/>
            <w:vAlign w:val="bottom"/>
          </w:tcPr>
          <w:p>
            <w:pPr>
              <w:ind w:left="700"/>
              <w:spacing w:after="0"/>
              <w:rPr>
                <w:sz w:val="20"/>
                <w:szCs w:val="20"/>
                <w:color w:val="auto"/>
              </w:rPr>
            </w:pPr>
            <w:r>
              <w:rPr>
                <w:rFonts w:ascii="Arial" w:cs="Arial" w:eastAsia="Arial" w:hAnsi="Arial"/>
                <w:sz w:val="14"/>
                <w:szCs w:val="14"/>
                <w:color w:val="auto"/>
              </w:rPr>
              <w:t>WEIGHTED AVERAGE SHARES OUTSTANDING:</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10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38,000,000</w:t>
            </w:r>
          </w:p>
        </w:tc>
        <w:tc>
          <w:tcPr>
            <w:tcW w:w="0" w:type="dxa"/>
            <w:vAlign w:val="bottom"/>
          </w:tcPr>
          <w:p>
            <w:pPr>
              <w:spacing w:after="0"/>
              <w:rPr>
                <w:sz w:val="1"/>
                <w:szCs w:val="1"/>
                <w:color w:val="auto"/>
              </w:rPr>
            </w:pPr>
          </w:p>
        </w:tc>
      </w:tr>
      <w:tr>
        <w:trPr>
          <w:trHeight w:val="181"/>
        </w:trPr>
        <w:tc>
          <w:tcPr>
            <w:tcW w:w="4880" w:type="dxa"/>
            <w:vAlign w:val="bottom"/>
          </w:tcPr>
          <w:p>
            <w:pPr>
              <w:ind w:left="10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93,971,088</w:t>
            </w:r>
          </w:p>
        </w:tc>
        <w:tc>
          <w:tcPr>
            <w:tcW w:w="0" w:type="dxa"/>
            <w:vAlign w:val="bottom"/>
          </w:tcPr>
          <w:p>
            <w:pPr>
              <w:spacing w:after="0"/>
              <w:rPr>
                <w:sz w:val="1"/>
                <w:szCs w:val="1"/>
                <w:color w:val="auto"/>
              </w:rPr>
            </w:pPr>
          </w:p>
        </w:tc>
      </w:tr>
    </w:tbl>
    <w:p>
      <w:pPr>
        <w:ind w:left="5660" w:right="3820" w:hanging="5614"/>
        <w:spacing w:after="0" w:line="460" w:lineRule="auto"/>
        <w:tabs>
          <w:tab w:leader="none" w:pos="223"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As a newly formed entity, NCM Inc. will have no results of operations until the completion of the transaction contemplated hereby. </w:t>
      </w:r>
      <w:r>
        <w:rPr>
          <w:rFonts w:ascii="Arial" w:cs="Arial" w:eastAsia="Arial" w:hAnsi="Arial"/>
          <w:sz w:val="14"/>
          <w:szCs w:val="14"/>
          <w:color w:val="auto"/>
        </w:rPr>
        <w:t>39</w:t>
      </w:r>
    </w:p>
    <w:p>
      <w:pPr>
        <w:sectPr>
          <w:pgSz w:w="11900" w:h="16838" w:orient="portrait"/>
          <w:cols w:equalWidth="0" w:num="1">
            <w:col w:w="11460"/>
          </w:cols>
          <w:pgMar w:left="220" w:top="399"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the Unaudited Pro Forma Consolidated Statements of Operations:</w:t>
      </w:r>
    </w:p>
    <w:p>
      <w:pPr>
        <w:spacing w:after="0" w:line="79" w:lineRule="exact"/>
        <w:rPr>
          <w:sz w:val="20"/>
          <w:szCs w:val="20"/>
          <w:color w:val="auto"/>
        </w:rPr>
      </w:pPr>
    </w:p>
    <w:p>
      <w:pPr>
        <w:ind w:left="440" w:right="420" w:hanging="321"/>
        <w:spacing w:after="0" w:line="289"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historical operating results for NCM LLC for the nine months ended December 29, 2005, and the historical operating results of RCM and NCN for the three months ended March 31, 2005.</w:t>
      </w:r>
    </w:p>
    <w:p>
      <w:pPr>
        <w:spacing w:after="0" w:line="27" w:lineRule="exact"/>
        <w:rPr>
          <w:rFonts w:ascii="Arial" w:cs="Arial" w:eastAsia="Arial" w:hAnsi="Arial"/>
          <w:sz w:val="14"/>
          <w:szCs w:val="14"/>
          <w:color w:val="auto"/>
        </w:rPr>
      </w:pPr>
    </w:p>
    <w:p>
      <w:pPr>
        <w:ind w:left="440" w:right="80" w:hanging="321"/>
        <w:spacing w:after="0" w:line="287"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increase to advertising revenue to reflect the pro forma assignment from the founding members to NCM LLC of all legacy advertising contracts in accordance with the exhibitor services agreements to be entered into in connection with the completion of the offering, based on the actual revenue generated from those legacy contracts ($88.0 million for the nine months ended December 29, 2005, and $11.5 million and $33.8 million for the quarter and nine months ended September 28, 2006, respectively), the reversal of the related legacy contract administrative fees historically recorded by NCM LLC ($30.8 million for the nine months ended December 29, 2005, and $0.8 million and $4.3 million for the quarter and nine months ended September 28, 2006, respectively), and the increase in circuit share expense resulting from the increased advertising revenue, computed at 65% for 2005 and 68% for 2006 as a percentage of legacy contract revenue ($88.0 million for the nine months ended December 29, 2005, and $11.5 million and $33.8 million for the quarter and nine months ended September 28, 2006, respectively). Legacy advertising contracts are those contracts signed by RCM and NCN prior to the formation of NCM LLC. The pro forma impact of the exhibitor services agreements on circuit share expense is included in the pro forma adjustment described in Note 4 below.</w:t>
      </w:r>
    </w:p>
    <w:p>
      <w:pPr>
        <w:spacing w:after="0" w:line="34" w:lineRule="exact"/>
        <w:rPr>
          <w:rFonts w:ascii="Arial" w:cs="Arial" w:eastAsia="Arial" w:hAnsi="Arial"/>
          <w:sz w:val="13"/>
          <w:szCs w:val="13"/>
          <w:color w:val="auto"/>
        </w:rPr>
      </w:pPr>
    </w:p>
    <w:p>
      <w:pPr>
        <w:ind w:left="440" w:right="40" w:hanging="321"/>
        <w:spacing w:after="0" w:line="266"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pro forma effect of the revenue from the sale of additional theatre advertising inventory to the founding members, in accordance with the exhibitor services agreements to be entered into in connection with the completion of the offering, in order for the founding members to fulfill their beverage concessionaire agreement on-screen advertising commitments. Inventory used to fulfill advertising commitments under the founding members’ beverage concessionaire agreements had been retained by the founding members under our prior contractual arrangements with our founding members, but will be made available to NCM LLC under the exhibitor services agreements. This inventory will be sold to the founding members at a 30 second CPM equivalent, as set forth in the exhibitor services agreements, for the 90 seconds used, and the pro forma adjustment is computed by multiplying the historical founding member attendance by such CPM equivalent.</w:t>
      </w:r>
    </w:p>
    <w:p>
      <w:pPr>
        <w:spacing w:after="0" w:line="44" w:lineRule="exact"/>
        <w:rPr>
          <w:rFonts w:ascii="Arial" w:cs="Arial" w:eastAsia="Arial" w:hAnsi="Arial"/>
          <w:sz w:val="14"/>
          <w:szCs w:val="14"/>
          <w:color w:val="auto"/>
        </w:rPr>
      </w:pPr>
    </w:p>
    <w:p>
      <w:pPr>
        <w:ind w:left="440" w:hanging="321"/>
        <w:spacing w:after="0" w:line="293"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change in circuit share payments pursuant to the exhibitor services agreements to be entered into in connection with the completion of the offering. Under the terms of our prior contracts with our founding members, the circuit share payments were based on varying percentages of advertising revenue. Under the modified exhibitor services agreements, the theatre access fee payments will initially be based on $0.07 per attendee and $800 per year per digital screen. The pro forma adjustment was computed on the basis of the pro forma levels of founding member attendance (395.2 million for the year ended December 29, 2005 and 131.8 million and 384.4 million for the three and nine months ended September 28, 2006 respectively) and average numbers of founding member digital screens (8,101 for the year ended December 29, 2005 and 10,777 and 10,525 for the three and nine months ended September 28, 2006).</w:t>
      </w:r>
    </w:p>
    <w:p>
      <w:pPr>
        <w:spacing w:after="0" w:line="27" w:lineRule="exact"/>
        <w:rPr>
          <w:rFonts w:ascii="Arial" w:cs="Arial" w:eastAsia="Arial" w:hAnsi="Arial"/>
          <w:sz w:val="13"/>
          <w:szCs w:val="13"/>
          <w:color w:val="auto"/>
        </w:rPr>
      </w:pPr>
    </w:p>
    <w:p>
      <w:pPr>
        <w:ind w:left="440" w:right="180" w:hanging="321"/>
        <w:spacing w:after="0" w:line="289"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elimination of the income tax provision of RCM and NCN related to their status as “C” corporations. Had they been part of NCM LLC during that period, they would not have recorded any income tax expense or benefit.</w:t>
      </w:r>
    </w:p>
    <w:p>
      <w:pPr>
        <w:spacing w:after="0" w:line="27" w:lineRule="exact"/>
        <w:rPr>
          <w:rFonts w:ascii="Arial" w:cs="Arial" w:eastAsia="Arial" w:hAnsi="Arial"/>
          <w:sz w:val="14"/>
          <w:szCs w:val="14"/>
          <w:color w:val="auto"/>
        </w:rPr>
      </w:pPr>
    </w:p>
    <w:p>
      <w:pPr>
        <w:ind w:left="440" w:hanging="321"/>
        <w:spacing w:after="0"/>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elimination of non-recurring restructuring charges incurred by NCN in connection with the formation of NCM LLC.</w:t>
      </w:r>
    </w:p>
    <w:p>
      <w:pPr>
        <w:spacing w:after="0" w:line="79" w:lineRule="exact"/>
        <w:rPr>
          <w:rFonts w:ascii="Arial" w:cs="Arial" w:eastAsia="Arial" w:hAnsi="Arial"/>
          <w:sz w:val="14"/>
          <w:szCs w:val="14"/>
          <w:color w:val="auto"/>
        </w:rPr>
      </w:pPr>
    </w:p>
    <w:p>
      <w:pPr>
        <w:jc w:val="both"/>
        <w:ind w:left="440" w:right="80" w:hanging="321"/>
        <w:spacing w:after="0" w:line="297"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interest expense, including amortization of an estimated $14.5 million of deferred financing fees, over the term of the loan related to the incurrence of an assumed $735.0 million of indebtedness under a new senior secured credit facility. Interest expense also includes the impact of an interest rate hedge agreement covering 50% of the outstanding balance on the term loan. The interest rate applicable to the term loan is assumed to be LIBOR plus 175 basis points and the fixed rate on the hedge agreement is assumed to be LIBOR plus 40 basis points. If applicable interest rate margins were to increase by 0.125%, our annual interest cost would increase by $0.45 million net of the impact of the hedge agreement. For further</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40"/>
          </w:cols>
          <w:pgMar w:left="220" w:top="399" w:right="23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right="320"/>
        <w:spacing w:after="0" w:line="289" w:lineRule="auto"/>
        <w:rPr>
          <w:sz w:val="20"/>
          <w:szCs w:val="20"/>
          <w:color w:val="auto"/>
        </w:rPr>
      </w:pPr>
      <w:r>
        <w:rPr>
          <w:rFonts w:ascii="Arial" w:cs="Arial" w:eastAsia="Arial" w:hAnsi="Arial"/>
          <w:sz w:val="14"/>
          <w:szCs w:val="14"/>
          <w:color w:val="auto"/>
        </w:rPr>
        <w:t>discussion of the new senior secured credit facility, please see “Financing Transaction.” In addition, this adjustment includes interest expense related to the accretion of the discount on the liability to our founders under the Tax Receivable Agreement—see footnote 9 to the Unaudited Pro Forma Consolidated Balance Sheet.</w:t>
      </w:r>
    </w:p>
    <w:p>
      <w:pPr>
        <w:spacing w:after="0" w:line="38" w:lineRule="exact"/>
        <w:rPr>
          <w:sz w:val="20"/>
          <w:szCs w:val="20"/>
          <w:color w:val="auto"/>
        </w:rPr>
      </w:pPr>
    </w:p>
    <w:p>
      <w:pPr>
        <w:ind w:left="440" w:right="40" w:hanging="321"/>
        <w:spacing w:after="0" w:line="289"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adjustments to reflect minority interest expense resulting from the founding members’ ownership of approximately 59.5% of the NCM LLC common membership units outstanding immediately after this offering.</w:t>
      </w:r>
    </w:p>
    <w:p>
      <w:pPr>
        <w:spacing w:after="0" w:line="27" w:lineRule="exact"/>
        <w:rPr>
          <w:rFonts w:ascii="Arial" w:cs="Arial" w:eastAsia="Arial" w:hAnsi="Arial"/>
          <w:sz w:val="14"/>
          <w:szCs w:val="14"/>
          <w:color w:val="auto"/>
        </w:rPr>
      </w:pPr>
    </w:p>
    <w:p>
      <w:pPr>
        <w:ind w:left="440" w:hanging="321"/>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adjustments necessary to reflect federal and state income taxes on the income allocated from NCM LLC to NCM Inc. The assumed tax rate is 40.0%.</w:t>
      </w:r>
    </w:p>
    <w:p>
      <w:pPr>
        <w:spacing w:after="0" w:line="79" w:lineRule="exact"/>
        <w:rPr>
          <w:rFonts w:ascii="Arial" w:cs="Arial" w:eastAsia="Arial" w:hAnsi="Arial"/>
          <w:sz w:val="14"/>
          <w:szCs w:val="14"/>
          <w:color w:val="auto"/>
        </w:rPr>
      </w:pPr>
    </w:p>
    <w:p>
      <w:pPr>
        <w:ind w:left="440" w:hanging="392"/>
        <w:spacing w:after="0" w:line="293"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incremental pro forma costs related to the replacement of options to acquire common membership units of NCM LLC with options to acquire shares of common stock of NCM Inc. and the issuance of additional option shares and restricted stock as described in “Compensation Discussion and Analysis—Substitution of NCM LLC Options and Restricted Units.” The additional equity based awards and, to a minor degree, the replacement options (which are accounted for as a modification under SFAS No. 123, “Share Based Payment”) will result in incremental compensation charges as compared to historic amounts. The restricted stock compensation is based on the estimated fair value of the options, computed using the Black-Scholes option pricing model. All equity awards are subject to vesting provisions, and compensation expense is recognized over the vesting period.</w:t>
      </w:r>
    </w:p>
    <w:p>
      <w:pPr>
        <w:spacing w:after="0" w:line="27" w:lineRule="exact"/>
        <w:rPr>
          <w:rFonts w:ascii="Arial" w:cs="Arial" w:eastAsia="Arial" w:hAnsi="Arial"/>
          <w:sz w:val="13"/>
          <w:szCs w:val="13"/>
          <w:color w:val="auto"/>
        </w:rPr>
      </w:pPr>
    </w:p>
    <w:p>
      <w:pPr>
        <w:ind w:left="440" w:right="280" w:hanging="386"/>
        <w:spacing w:after="0" w:line="297"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Basic earnings per share is calculated on the assumption that the estimated IPO shares of 38,000,000 plus the 358,977 shares of restricted stock to be issued are outstanding over the entire period. Diluted earnings per share is calculated assuming that (a) the unit option shares, as converted as described in “Compensation Discussion and Analysis—Substitution of NCM LLC Options and Restricted Units”, are outstanding during periods corresponding to their original issuance date (after application of the treasury stock method), and (b) our founding members redeem all of their current NCM LLC common membership units in exchange for an aggregate of 55,850,951 shares of common stock.</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00"/>
          </w:cols>
          <w:pgMar w:left="220" w:top="399" w:right="27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Consolidated Balance Sheet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28, 2006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NCM LLC</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w w:val="92"/>
              </w:rPr>
              <w:t>Transaction Adjustments</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5"/>
              <w:spacing w:after="0" w:line="100" w:lineRule="exact"/>
              <w:rPr>
                <w:sz w:val="20"/>
                <w:szCs w:val="20"/>
                <w:color w:val="auto"/>
              </w:rPr>
            </w:pPr>
            <w:r>
              <w:rPr>
                <w:rFonts w:ascii="Arial" w:cs="Arial" w:eastAsia="Arial" w:hAnsi="Arial"/>
                <w:sz w:val="11"/>
                <w:szCs w:val="11"/>
                <w:b w:val="1"/>
                <w:bCs w:val="1"/>
                <w:color w:val="auto"/>
                <w:w w:val="91"/>
              </w:rPr>
              <w:t>Historical</w:t>
            </w: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5"/>
              <w:spacing w:after="0" w:line="121" w:lineRule="exact"/>
              <w:rPr>
                <w:sz w:val="20"/>
                <w:szCs w:val="20"/>
                <w:color w:val="auto"/>
              </w:rPr>
            </w:pPr>
            <w:r>
              <w:rPr>
                <w:rFonts w:ascii="Arial" w:cs="Arial" w:eastAsia="Arial" w:hAnsi="Arial"/>
                <w:sz w:val="11"/>
                <w:szCs w:val="11"/>
                <w:b w:val="1"/>
                <w:bCs w:val="1"/>
                <w:color w:val="auto"/>
                <w:w w:val="87"/>
              </w:rPr>
              <w:t>As of</w:t>
            </w: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Debt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gridSpan w:val="3"/>
          </w:tcPr>
          <w:p>
            <w:pPr>
              <w:jc w:val="right"/>
              <w:ind w:right="100"/>
              <w:spacing w:after="0" w:line="121" w:lineRule="exact"/>
              <w:rPr>
                <w:sz w:val="20"/>
                <w:szCs w:val="20"/>
                <w:color w:val="auto"/>
              </w:rPr>
            </w:pPr>
            <w:r>
              <w:rPr>
                <w:rFonts w:ascii="Arial" w:cs="Arial" w:eastAsia="Arial" w:hAnsi="Arial"/>
                <w:sz w:val="11"/>
                <w:szCs w:val="11"/>
                <w:b w:val="1"/>
                <w:bCs w:val="1"/>
                <w:color w:val="auto"/>
              </w:rPr>
              <w:t>NCM Inc.</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480" w:type="dxa"/>
            <w:vAlign w:val="bottom"/>
          </w:tcPr>
          <w:p>
            <w:pPr>
              <w:spacing w:after="0"/>
              <w:rPr>
                <w:sz w:val="10"/>
                <w:szCs w:val="10"/>
                <w:color w:val="auto"/>
              </w:rPr>
            </w:pPr>
          </w:p>
        </w:tc>
        <w:tc>
          <w:tcPr>
            <w:tcW w:w="540" w:type="dxa"/>
            <w:vAlign w:val="bottom"/>
          </w:tcPr>
          <w:p>
            <w:pPr>
              <w:spacing w:after="0" w:line="121" w:lineRule="exact"/>
              <w:rPr>
                <w:sz w:val="20"/>
                <w:szCs w:val="20"/>
                <w:color w:val="auto"/>
              </w:rPr>
            </w:pPr>
            <w:r>
              <w:rPr>
                <w:rFonts w:ascii="Arial" w:cs="Arial" w:eastAsia="Arial" w:hAnsi="Arial"/>
                <w:sz w:val="11"/>
                <w:szCs w:val="11"/>
                <w:b w:val="1"/>
                <w:bCs w:val="1"/>
                <w:color w:val="auto"/>
              </w:rPr>
              <w:t>Historical</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25"/>
              <w:spacing w:after="0" w:line="121" w:lineRule="exact"/>
              <w:rPr>
                <w:sz w:val="20"/>
                <w:szCs w:val="20"/>
                <w:color w:val="auto"/>
              </w:rPr>
            </w:pPr>
            <w:r>
              <w:rPr>
                <w:rFonts w:ascii="Arial" w:cs="Arial" w:eastAsia="Arial" w:hAnsi="Arial"/>
                <w:sz w:val="11"/>
                <w:szCs w:val="11"/>
                <w:b w:val="1"/>
                <w:bCs w:val="1"/>
                <w:color w:val="auto"/>
                <w:w w:val="76"/>
              </w:rPr>
              <w:t>Pro</w:t>
            </w:r>
          </w:p>
        </w:tc>
        <w:tc>
          <w:tcPr>
            <w:tcW w:w="480" w:type="dxa"/>
            <w:vAlign w:val="bottom"/>
          </w:tcPr>
          <w:p>
            <w:pPr>
              <w:spacing w:after="0"/>
              <w:rPr>
                <w:sz w:val="10"/>
                <w:szCs w:val="10"/>
                <w:color w:val="auto"/>
              </w:rPr>
            </w:pPr>
          </w:p>
        </w:tc>
        <w:tc>
          <w:tcPr>
            <w:tcW w:w="50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1"/>
              </w:rPr>
              <w:t>and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560"/>
              <w:spacing w:after="0" w:line="121" w:lineRule="exact"/>
              <w:rPr>
                <w:sz w:val="20"/>
                <w:szCs w:val="20"/>
                <w:color w:val="auto"/>
              </w:rPr>
            </w:pPr>
            <w:r>
              <w:rPr>
                <w:rFonts w:ascii="Arial" w:cs="Arial" w:eastAsia="Arial" w:hAnsi="Arial"/>
                <w:sz w:val="11"/>
                <w:szCs w:val="11"/>
                <w:b w:val="1"/>
                <w:bCs w:val="1"/>
                <w:color w:val="auto"/>
                <w:w w:val="77"/>
              </w:rPr>
              <w:t>Use of</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w w:val="97"/>
              </w:rPr>
              <w:t>NCM Inc.</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5"/>
              <w:spacing w:after="0"/>
              <w:rPr>
                <w:sz w:val="20"/>
                <w:szCs w:val="20"/>
                <w:color w:val="auto"/>
              </w:rPr>
            </w:pPr>
            <w:r>
              <w:rPr>
                <w:rFonts w:ascii="Arial" w:cs="Arial" w:eastAsia="Arial" w:hAnsi="Arial"/>
                <w:sz w:val="11"/>
                <w:szCs w:val="11"/>
                <w:b w:val="1"/>
                <w:bCs w:val="1"/>
                <w:color w:val="auto"/>
                <w:w w:val="89"/>
              </w:rPr>
              <w:t>2006</w:t>
            </w:r>
          </w:p>
        </w:tc>
        <w:tc>
          <w:tcPr>
            <w:tcW w:w="48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w w:val="77"/>
              </w:rPr>
              <w:t>Adjustments</w:t>
            </w:r>
          </w:p>
        </w:tc>
        <w:tc>
          <w:tcPr>
            <w:tcW w:w="4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 in</w:t>
            </w:r>
          </w:p>
        </w:tc>
        <w:tc>
          <w:tcPr>
            <w:tcW w:w="320" w:type="dxa"/>
            <w:vAlign w:val="bottom"/>
            <w:gridSpan w:val="2"/>
          </w:tcPr>
          <w:p>
            <w:pPr>
              <w:spacing w:after="0"/>
              <w:rPr>
                <w:sz w:val="20"/>
                <w:szCs w:val="20"/>
                <w:color w:val="auto"/>
              </w:rPr>
            </w:pPr>
            <w:r>
              <w:rPr>
                <w:rFonts w:ascii="Arial" w:cs="Arial" w:eastAsia="Arial" w:hAnsi="Arial"/>
                <w:sz w:val="11"/>
                <w:szCs w:val="11"/>
                <w:b w:val="1"/>
                <w:bCs w:val="1"/>
                <w:color w:val="auto"/>
                <w:w w:val="89"/>
              </w:rPr>
              <w:t>Forma</w:t>
            </w:r>
          </w:p>
        </w:tc>
        <w:tc>
          <w:tcPr>
            <w:tcW w:w="480" w:type="dxa"/>
            <w:vAlign w:val="bottom"/>
          </w:tcPr>
          <w:p>
            <w:pPr>
              <w:spacing w:after="0"/>
              <w:rPr>
                <w:sz w:val="12"/>
                <w:szCs w:val="12"/>
                <w:color w:val="auto"/>
              </w:rPr>
            </w:pP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3"/>
              </w:rPr>
              <w:t>Equity</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tcPr>
          <w:p>
            <w:pPr>
              <w:ind w:left="20"/>
              <w:spacing w:after="0"/>
              <w:rPr>
                <w:sz w:val="20"/>
                <w:szCs w:val="20"/>
                <w:color w:val="auto"/>
              </w:rPr>
            </w:pPr>
            <w:r>
              <w:rPr>
                <w:rFonts w:ascii="Arial" w:cs="Arial" w:eastAsia="Arial" w:hAnsi="Arial"/>
                <w:sz w:val="11"/>
                <w:szCs w:val="11"/>
                <w:b w:val="1"/>
                <w:bCs w:val="1"/>
                <w:color w:val="auto"/>
                <w:w w:val="80"/>
              </w:rPr>
              <w:t>Proceeds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Elimination</w:t>
            </w: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w w:val="93"/>
              </w:rPr>
              <w:t>As Adjusted</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200" w:type="dxa"/>
            <w:vAlign w:val="bottom"/>
            <w:vMerge w:val="restart"/>
          </w:tcPr>
          <w:p>
            <w:pPr>
              <w:spacing w:after="0"/>
              <w:rPr>
                <w:sz w:val="20"/>
                <w:szCs w:val="20"/>
                <w:color w:val="auto"/>
              </w:rPr>
            </w:pPr>
            <w:r>
              <w:rPr>
                <w:rFonts w:ascii="Arial" w:cs="Arial" w:eastAsia="Arial" w:hAnsi="Arial"/>
                <w:sz w:val="11"/>
                <w:szCs w:val="11"/>
                <w:color w:val="auto"/>
              </w:rPr>
              <w:t>Cash and Cash Equivalents</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gridSpan w:val="2"/>
          </w:tcPr>
          <w:p>
            <w:pPr>
              <w:spacing w:after="0"/>
              <w:rPr>
                <w:sz w:val="20"/>
                <w:szCs w:val="20"/>
                <w:color w:val="auto"/>
              </w:rPr>
            </w:pPr>
            <w:r>
              <w:rPr>
                <w:rFonts w:ascii="Arial" w:cs="Arial" w:eastAsia="Arial" w:hAnsi="Arial"/>
                <w:sz w:val="10"/>
                <w:szCs w:val="10"/>
                <w:b w:val="1"/>
                <w:bCs w:val="1"/>
                <w:color w:val="auto"/>
                <w:w w:val="72"/>
              </w:rPr>
              <w:t>millions)</w:t>
            </w:r>
          </w:p>
        </w:tc>
        <w:tc>
          <w:tcPr>
            <w:tcW w:w="48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 xml:space="preserve">674.3 </w:t>
            </w:r>
            <w:r>
              <w:rPr>
                <w:rFonts w:ascii="Arial" w:cs="Arial" w:eastAsia="Arial" w:hAnsi="Arial"/>
                <w:sz w:val="18"/>
                <w:szCs w:val="18"/>
                <w:color w:val="auto"/>
                <w:vertAlign w:val="superscript"/>
              </w:rPr>
              <w:t>2</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1"/>
                <w:szCs w:val="11"/>
                <w:color w:val="auto"/>
              </w:rPr>
              <w:t>(674.3)</w:t>
            </w:r>
            <w:r>
              <w:rPr>
                <w:rFonts w:ascii="Arial" w:cs="Arial" w:eastAsia="Arial" w:hAnsi="Arial"/>
                <w:sz w:val="18"/>
                <w:szCs w:val="18"/>
                <w:color w:val="auto"/>
                <w:vertAlign w:val="superscript"/>
              </w:rPr>
              <w:t>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0" w:type="dxa"/>
            <w:vAlign w:val="bottom"/>
            <w:vMerge w:val="continue"/>
          </w:tcPr>
          <w:p>
            <w:pPr>
              <w:spacing w:after="0"/>
              <w:rPr>
                <w:sz w:val="9"/>
                <w:szCs w:val="9"/>
                <w:color w:val="auto"/>
              </w:rPr>
            </w:pPr>
          </w:p>
        </w:tc>
        <w:tc>
          <w:tcPr>
            <w:tcW w:w="180" w:type="dxa"/>
            <w:vAlign w:val="bottom"/>
          </w:tcPr>
          <w:p>
            <w:pPr>
              <w:spacing w:after="0" w:line="115" w:lineRule="exact"/>
              <w:rPr>
                <w:sz w:val="20"/>
                <w:szCs w:val="20"/>
                <w:color w:val="auto"/>
              </w:rPr>
            </w:pPr>
            <w:r>
              <w:rPr>
                <w:rFonts w:ascii="Arial" w:cs="Arial" w:eastAsia="Arial" w:hAnsi="Arial"/>
                <w:sz w:val="11"/>
                <w:szCs w:val="11"/>
                <w:color w:val="auto"/>
              </w:rPr>
              <w:t>$</w:t>
            </w:r>
          </w:p>
        </w:tc>
        <w:tc>
          <w:tcPr>
            <w:tcW w:w="300" w:type="dxa"/>
            <w:vAlign w:val="bottom"/>
          </w:tcPr>
          <w:p>
            <w:pPr>
              <w:ind w:left="140"/>
              <w:spacing w:after="0" w:line="115" w:lineRule="exact"/>
              <w:rPr>
                <w:sz w:val="20"/>
                <w:szCs w:val="20"/>
                <w:color w:val="auto"/>
              </w:rPr>
            </w:pPr>
            <w:r>
              <w:rPr>
                <w:rFonts w:ascii="Arial" w:cs="Arial" w:eastAsia="Arial" w:hAnsi="Arial"/>
                <w:sz w:val="11"/>
                <w:szCs w:val="11"/>
                <w:color w:val="auto"/>
              </w:rPr>
              <w:t>—</w:t>
            </w:r>
          </w:p>
        </w:tc>
        <w:tc>
          <w:tcPr>
            <w:tcW w:w="480" w:type="dxa"/>
            <w:vAlign w:val="bottom"/>
            <w:gridSpan w:val="2"/>
          </w:tcPr>
          <w:p>
            <w:pPr>
              <w:ind w:left="400"/>
              <w:spacing w:after="0" w:line="115"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4.6</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540" w:type="dxa"/>
            <w:vAlign w:val="bottom"/>
          </w:tcPr>
          <w:p>
            <w:pPr>
              <w:ind w:left="360"/>
              <w:spacing w:after="0" w:line="115" w:lineRule="exact"/>
              <w:rPr>
                <w:sz w:val="20"/>
                <w:szCs w:val="20"/>
                <w:color w:val="auto"/>
              </w:rPr>
            </w:pPr>
            <w:r>
              <w:rPr>
                <w:rFonts w:ascii="Arial" w:cs="Arial" w:eastAsia="Arial" w:hAnsi="Arial"/>
                <w:sz w:val="11"/>
                <w:szCs w:val="11"/>
                <w:color w:val="auto"/>
              </w:rPr>
              <w:t>—</w:t>
            </w:r>
          </w:p>
        </w:tc>
        <w:tc>
          <w:tcPr>
            <w:tcW w:w="480" w:type="dxa"/>
            <w:vAlign w:val="bottom"/>
            <w:gridSpan w:val="2"/>
          </w:tcPr>
          <w:p>
            <w:pPr>
              <w:ind w:left="400"/>
              <w:spacing w:after="0" w:line="115" w:lineRule="exact"/>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line="115" w:lineRule="exact"/>
              <w:rPr>
                <w:sz w:val="20"/>
                <w:szCs w:val="20"/>
                <w:color w:val="auto"/>
              </w:rPr>
            </w:pPr>
            <w:r>
              <w:rPr>
                <w:rFonts w:ascii="Arial" w:cs="Arial" w:eastAsia="Arial" w:hAnsi="Arial"/>
                <w:sz w:val="11"/>
                <w:szCs w:val="11"/>
                <w:color w:val="auto"/>
              </w:rPr>
              <w:t>4.6</w:t>
            </w: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5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line="115"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15" w:lineRule="exact"/>
              <w:rPr>
                <w:sz w:val="20"/>
                <w:szCs w:val="20"/>
                <w:color w:val="auto"/>
              </w:rPr>
            </w:pPr>
            <w:r>
              <w:rPr>
                <w:rFonts w:ascii="Arial" w:cs="Arial" w:eastAsia="Arial" w:hAnsi="Arial"/>
                <w:sz w:val="11"/>
                <w:szCs w:val="11"/>
                <w:color w:val="auto"/>
              </w:rPr>
              <w:t>4.6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100"/>
              <w:spacing w:after="0" w:line="120" w:lineRule="exact"/>
              <w:rPr>
                <w:sz w:val="20"/>
                <w:szCs w:val="20"/>
                <w:color w:val="auto"/>
              </w:rPr>
            </w:pPr>
            <w:r>
              <w:rPr>
                <w:rFonts w:ascii="Arial" w:cs="Arial" w:eastAsia="Arial" w:hAnsi="Arial"/>
                <w:sz w:val="8"/>
                <w:szCs w:val="8"/>
                <w:color w:val="auto"/>
              </w:rPr>
              <w:t xml:space="preserve">674.3 </w:t>
            </w:r>
            <w:r>
              <w:rPr>
                <w:rFonts w:ascii="Arial" w:cs="Arial" w:eastAsia="Arial" w:hAnsi="Arial"/>
                <w:sz w:val="13"/>
                <w:szCs w:val="13"/>
                <w:color w:val="auto"/>
                <w:vertAlign w:val="superscript"/>
              </w:rPr>
              <w:t>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0"/>
                <w:szCs w:val="10"/>
                <w:color w:val="auto"/>
              </w:rPr>
              <w:t xml:space="preserve">720.5 </w:t>
            </w:r>
            <w:r>
              <w:rPr>
                <w:rFonts w:ascii="Arial" w:cs="Arial" w:eastAsia="Arial" w:hAnsi="Arial"/>
                <w:sz w:val="16"/>
                <w:szCs w:val="16"/>
                <w:color w:val="auto"/>
                <w:vertAlign w:val="superscript"/>
              </w:rPr>
              <w:t>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0"/>
                <w:szCs w:val="10"/>
                <w:color w:val="auto"/>
              </w:rPr>
              <w:t>(686.3)</w:t>
            </w:r>
            <w:r>
              <w:rPr>
                <w:rFonts w:ascii="Arial" w:cs="Arial" w:eastAsia="Arial" w:hAnsi="Arial"/>
                <w:sz w:val="16"/>
                <w:szCs w:val="16"/>
                <w:color w:val="auto"/>
                <w:vertAlign w:val="superscript"/>
              </w:rPr>
              <w:t>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200" w:type="dxa"/>
            <w:vAlign w:val="bottom"/>
            <w:vMerge w:val="restart"/>
          </w:tcPr>
          <w:p>
            <w:pPr>
              <w:spacing w:after="0"/>
              <w:rPr>
                <w:sz w:val="20"/>
                <w:szCs w:val="20"/>
                <w:color w:val="auto"/>
              </w:rPr>
            </w:pPr>
            <w:r>
              <w:rPr>
                <w:rFonts w:ascii="Arial" w:cs="Arial" w:eastAsia="Arial" w:hAnsi="Arial"/>
                <w:sz w:val="11"/>
                <w:szCs w:val="11"/>
                <w:color w:val="auto"/>
              </w:rPr>
              <w:t>Receivables, Net</w:t>
            </w:r>
          </w:p>
        </w:tc>
        <w:tc>
          <w:tcPr>
            <w:tcW w:w="180" w:type="dxa"/>
            <w:vAlign w:val="bottom"/>
          </w:tcPr>
          <w:p>
            <w:pPr>
              <w:spacing w:after="0"/>
              <w:rPr>
                <w:sz w:val="20"/>
                <w:szCs w:val="20"/>
                <w:color w:val="auto"/>
              </w:rPr>
            </w:pPr>
          </w:p>
        </w:tc>
        <w:tc>
          <w:tcPr>
            <w:tcW w:w="300" w:type="dxa"/>
            <w:vAlign w:val="bottom"/>
            <w:vMerge w:val="restart"/>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51.9</w:t>
            </w:r>
          </w:p>
        </w:tc>
        <w:tc>
          <w:tcPr>
            <w:tcW w:w="480" w:type="dxa"/>
            <w:vAlign w:val="bottom"/>
          </w:tcPr>
          <w:p>
            <w:pPr>
              <w:spacing w:after="0"/>
              <w:rPr>
                <w:sz w:val="20"/>
                <w:szCs w:val="20"/>
                <w:color w:val="auto"/>
              </w:rPr>
            </w:pPr>
          </w:p>
        </w:tc>
        <w:tc>
          <w:tcPr>
            <w:tcW w:w="54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Arial" w:cs="Arial" w:eastAsia="Arial" w:hAnsi="Arial"/>
                <w:sz w:val="11"/>
                <w:szCs w:val="11"/>
                <w:color w:val="auto"/>
              </w:rPr>
              <w:t>51.9</w:t>
            </w:r>
          </w:p>
        </w:tc>
        <w:tc>
          <w:tcPr>
            <w:tcW w:w="480" w:type="dxa"/>
            <w:vAlign w:val="bottom"/>
          </w:tcPr>
          <w:p>
            <w:pPr>
              <w:spacing w:after="0"/>
              <w:rPr>
                <w:sz w:val="20"/>
                <w:szCs w:val="20"/>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(708.5)</w:t>
            </w:r>
            <w:r>
              <w:rPr>
                <w:rFonts w:ascii="Arial" w:cs="Arial" w:eastAsia="Arial" w:hAnsi="Arial"/>
                <w:sz w:val="18"/>
                <w:szCs w:val="18"/>
                <w:color w:val="auto"/>
                <w:vertAlign w:val="superscript"/>
              </w:rPr>
              <w:t>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51.9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2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4200" w:type="dxa"/>
            <w:vAlign w:val="bottom"/>
          </w:tcPr>
          <w:p>
            <w:pPr>
              <w:spacing w:after="0"/>
              <w:rPr>
                <w:sz w:val="20"/>
                <w:szCs w:val="20"/>
                <w:color w:val="auto"/>
              </w:rPr>
            </w:pPr>
            <w:r>
              <w:rPr>
                <w:rFonts w:ascii="Arial" w:cs="Arial" w:eastAsia="Arial" w:hAnsi="Arial"/>
                <w:sz w:val="11"/>
                <w:szCs w:val="11"/>
                <w:color w:val="auto"/>
              </w:rPr>
              <w:t>Other Current Assets</w:t>
            </w: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480" w:type="dxa"/>
            <w:vAlign w:val="bottom"/>
          </w:tcPr>
          <w:p>
            <w:pPr>
              <w:spacing w:after="0"/>
              <w:rPr>
                <w:sz w:val="11"/>
                <w:szCs w:val="11"/>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480" w:type="dxa"/>
            <w:vAlign w:val="bottom"/>
          </w:tcPr>
          <w:p>
            <w:pPr>
              <w:spacing w:after="0"/>
              <w:rPr>
                <w:sz w:val="11"/>
                <w:szCs w:val="11"/>
                <w:color w:val="auto"/>
              </w:rPr>
            </w:pP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00" w:type="dxa"/>
            <w:vAlign w:val="bottom"/>
          </w:tcPr>
          <w:p>
            <w:pPr>
              <w:ind w:left="360"/>
              <w:spacing w:after="0"/>
              <w:rPr>
                <w:sz w:val="20"/>
                <w:szCs w:val="20"/>
                <w:color w:val="auto"/>
              </w:rPr>
            </w:pPr>
            <w:r>
              <w:rPr>
                <w:rFonts w:ascii="Arial" w:cs="Arial" w:eastAsia="Arial" w:hAnsi="Arial"/>
                <w:sz w:val="11"/>
                <w:szCs w:val="11"/>
                <w:color w:val="auto"/>
              </w:rPr>
              <w:t>Total Current Assets</w:t>
            </w:r>
          </w:p>
        </w:tc>
        <w:tc>
          <w:tcPr>
            <w:tcW w:w="180" w:type="dxa"/>
            <w:vAlign w:val="bottom"/>
          </w:tcPr>
          <w:p>
            <w:pPr>
              <w:spacing w:after="0"/>
              <w:rPr>
                <w:sz w:val="11"/>
                <w:szCs w:val="1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57.6</w:t>
            </w:r>
          </w:p>
        </w:tc>
        <w:tc>
          <w:tcPr>
            <w:tcW w:w="480" w:type="dxa"/>
            <w:vAlign w:val="bottom"/>
          </w:tcPr>
          <w:p>
            <w:pPr>
              <w:spacing w:after="0"/>
              <w:rPr>
                <w:sz w:val="11"/>
                <w:szCs w:val="11"/>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57.6</w:t>
            </w:r>
          </w:p>
        </w:tc>
        <w:tc>
          <w:tcPr>
            <w:tcW w:w="4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w w:val="81"/>
              </w:rPr>
              <w:t>1,394.8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1"/>
                <w:szCs w:val="11"/>
                <w:color w:val="auto"/>
                <w:w w:val="92"/>
              </w:rPr>
              <w:t>(1394.8)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20"/>
                <w:szCs w:val="20"/>
                <w:color w:val="auto"/>
              </w:rPr>
            </w:pPr>
            <w:r>
              <w:rPr>
                <w:rFonts w:ascii="Arial" w:cs="Arial" w:eastAsia="Arial" w:hAnsi="Arial"/>
                <w:sz w:val="11"/>
                <w:szCs w:val="11"/>
                <w:color w:val="auto"/>
              </w:rPr>
              <w:t>Property and Equipment, Net</w:t>
            </w:r>
          </w:p>
        </w:tc>
        <w:tc>
          <w:tcPr>
            <w:tcW w:w="180" w:type="dxa"/>
            <w:vAlign w:val="bottom"/>
          </w:tcPr>
          <w:p>
            <w:pPr>
              <w:spacing w:after="0"/>
              <w:rPr>
                <w:sz w:val="16"/>
                <w:szCs w:val="16"/>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w:t>
            </w:r>
          </w:p>
        </w:tc>
        <w:tc>
          <w:tcPr>
            <w:tcW w:w="48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11.6</w:t>
            </w:r>
          </w:p>
        </w:tc>
        <w:tc>
          <w:tcPr>
            <w:tcW w:w="48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color w:val="auto"/>
              </w:rPr>
              <w:t xml:space="preserve">674.3 </w:t>
            </w:r>
            <w:r>
              <w:rPr>
                <w:rFonts w:ascii="Arial" w:cs="Arial" w:eastAsia="Arial" w:hAnsi="Arial"/>
                <w:sz w:val="18"/>
                <w:szCs w:val="18"/>
                <w:color w:val="auto"/>
                <w:vertAlign w:val="superscript"/>
              </w:rPr>
              <w:t>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1"/>
                <w:szCs w:val="11"/>
                <w:color w:val="auto"/>
              </w:rPr>
              <w:t>(674.3)</w:t>
            </w:r>
            <w:r>
              <w:rPr>
                <w:rFonts w:ascii="Arial" w:cs="Arial" w:eastAsia="Arial" w:hAnsi="Arial"/>
                <w:sz w:val="18"/>
                <w:szCs w:val="18"/>
                <w:color w:val="auto"/>
                <w:vertAlign w:val="superscript"/>
              </w:rPr>
              <w:t>8</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200" w:type="dxa"/>
            <w:vAlign w:val="bottom"/>
          </w:tcPr>
          <w:p>
            <w:pPr>
              <w:spacing w:after="0"/>
              <w:rPr>
                <w:sz w:val="20"/>
                <w:szCs w:val="20"/>
                <w:color w:val="auto"/>
              </w:rPr>
            </w:pPr>
            <w:r>
              <w:rPr>
                <w:rFonts w:ascii="Arial" w:cs="Arial" w:eastAsia="Arial" w:hAnsi="Arial"/>
                <w:sz w:val="11"/>
                <w:szCs w:val="11"/>
                <w:color w:val="auto"/>
              </w:rPr>
              <w:t>Investment in NCM LLC</w:t>
            </w:r>
          </w:p>
        </w:tc>
        <w:tc>
          <w:tcPr>
            <w:tcW w:w="180" w:type="dxa"/>
            <w:vAlign w:val="bottom"/>
          </w:tcPr>
          <w:p>
            <w:pPr>
              <w:spacing w:after="0"/>
              <w:rPr>
                <w:sz w:val="11"/>
                <w:szCs w:val="1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20"/>
                <w:szCs w:val="20"/>
                <w:color w:val="auto"/>
              </w:rPr>
            </w:pPr>
            <w:r>
              <w:rPr>
                <w:rFonts w:ascii="Arial" w:cs="Arial" w:eastAsia="Arial" w:hAnsi="Arial"/>
                <w:sz w:val="11"/>
                <w:szCs w:val="11"/>
                <w:color w:val="auto"/>
              </w:rPr>
              <w:t>Other Assets</w:t>
            </w:r>
          </w:p>
        </w:tc>
        <w:tc>
          <w:tcPr>
            <w:tcW w:w="18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w:t>
            </w:r>
          </w:p>
        </w:tc>
        <w:tc>
          <w:tcPr>
            <w:tcW w:w="480" w:type="dxa"/>
            <w:vAlign w:val="bottom"/>
          </w:tcPr>
          <w:p>
            <w:pPr>
              <w:spacing w:after="0"/>
              <w:rPr>
                <w:sz w:val="12"/>
                <w:szCs w:val="12"/>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3.0</w:t>
            </w:r>
          </w:p>
        </w:tc>
        <w:tc>
          <w:tcPr>
            <w:tcW w:w="480" w:type="dxa"/>
            <w:vAlign w:val="bottom"/>
          </w:tcPr>
          <w:p>
            <w:pPr>
              <w:spacing w:after="0"/>
              <w:rPr>
                <w:sz w:val="12"/>
                <w:szCs w:val="12"/>
                <w:color w:val="auto"/>
              </w:rPr>
            </w:pPr>
          </w:p>
        </w:tc>
        <w:tc>
          <w:tcPr>
            <w:tcW w:w="500" w:type="dxa"/>
            <w:vAlign w:val="bottom"/>
            <w:gridSpan w:val="2"/>
          </w:tcPr>
          <w:p>
            <w:pPr>
              <w:jc w:val="right"/>
              <w:ind w:right="60"/>
              <w:spacing w:after="0" w:line="142" w:lineRule="exact"/>
              <w:rPr>
                <w:sz w:val="20"/>
                <w:szCs w:val="20"/>
                <w:color w:val="auto"/>
              </w:rPr>
            </w:pPr>
            <w:r>
              <w:rPr>
                <w:rFonts w:ascii="Arial" w:cs="Arial" w:eastAsia="Arial" w:hAnsi="Arial"/>
                <w:sz w:val="10"/>
                <w:szCs w:val="10"/>
                <w:color w:val="auto"/>
              </w:rPr>
              <w:t xml:space="preserve">14.5 </w:t>
            </w:r>
            <w:r>
              <w:rPr>
                <w:rFonts w:ascii="Arial" w:cs="Arial" w:eastAsia="Arial" w:hAnsi="Arial"/>
                <w:sz w:val="16"/>
                <w:szCs w:val="16"/>
                <w:color w:val="auto"/>
                <w:vertAlign w:val="superscript"/>
              </w:rPr>
              <w:t>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0"/>
                <w:szCs w:val="10"/>
                <w:color w:val="auto"/>
              </w:rPr>
              <w:t>(2.3)</w:t>
            </w:r>
            <w:r>
              <w:rPr>
                <w:rFonts w:ascii="Arial" w:cs="Arial" w:eastAsia="Arial" w:hAnsi="Arial"/>
                <w:sz w:val="16"/>
                <w:szCs w:val="16"/>
                <w:color w:val="auto"/>
                <w:vertAlign w:val="superscript"/>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20"/>
                <w:szCs w:val="20"/>
                <w:color w:val="auto"/>
              </w:rPr>
            </w:pPr>
            <w:r>
              <w:rPr>
                <w:rFonts w:ascii="Arial" w:cs="Arial" w:eastAsia="Arial" w:hAnsi="Arial"/>
                <w:sz w:val="11"/>
                <w:szCs w:val="11"/>
                <w:color w:val="auto"/>
              </w:rPr>
              <w:t>Deferred Tax Assets</w:t>
            </w:r>
          </w:p>
        </w:tc>
        <w:tc>
          <w:tcPr>
            <w:tcW w:w="180" w:type="dxa"/>
            <w:vAlign w:val="bottom"/>
          </w:tcPr>
          <w:p>
            <w:pPr>
              <w:spacing w:after="0"/>
              <w:rPr>
                <w:sz w:val="11"/>
                <w:szCs w:val="1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9"/>
                <w:szCs w:val="9"/>
                <w:color w:val="auto"/>
              </w:rPr>
              <w:t xml:space="preserve">223.7 </w:t>
            </w:r>
            <w:r>
              <w:rPr>
                <w:rFonts w:ascii="Arial" w:cs="Arial" w:eastAsia="Arial" w:hAnsi="Arial"/>
                <w:sz w:val="15"/>
                <w:szCs w:val="15"/>
                <w:color w:val="auto"/>
                <w:vertAlign w:val="superscript"/>
              </w:rPr>
              <w:t>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700"/>
              <w:spacing w:after="0"/>
              <w:rPr>
                <w:sz w:val="20"/>
                <w:szCs w:val="20"/>
                <w:color w:val="auto"/>
              </w:rPr>
            </w:pPr>
            <w:r>
              <w:rPr>
                <w:rFonts w:ascii="Arial" w:cs="Arial" w:eastAsia="Arial" w:hAnsi="Arial"/>
                <w:sz w:val="11"/>
                <w:szCs w:val="11"/>
                <w:color w:val="auto"/>
              </w:rPr>
              <w:t>TOTAL ASSETS</w:t>
            </w: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00" w:type="dxa"/>
            <w:vAlign w:val="bottom"/>
            <w:vMerge w:val="continue"/>
          </w:tcPr>
          <w:p>
            <w:pPr>
              <w:spacing w:after="0"/>
              <w:rPr>
                <w:sz w:val="10"/>
                <w:szCs w:val="10"/>
                <w:color w:val="auto"/>
              </w:rPr>
            </w:pPr>
          </w:p>
        </w:tc>
        <w:tc>
          <w:tcPr>
            <w:tcW w:w="18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ind w:left="14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72.2</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54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ind w:left="400"/>
              <w:spacing w:after="0" w:line="122" w:lineRule="exact"/>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72.2</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w w:val="89"/>
              </w:rPr>
              <w:t>1409.3</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440"/>
              <w:spacing w:after="0" w:line="122" w:lineRule="exact"/>
              <w:rPr>
                <w:sz w:val="20"/>
                <w:szCs w:val="20"/>
                <w:color w:val="auto"/>
              </w:rPr>
            </w:pPr>
            <w:r>
              <w:rPr>
                <w:rFonts w:ascii="Arial" w:cs="Arial" w:eastAsia="Arial" w:hAnsi="Arial"/>
                <w:sz w:val="11"/>
                <w:szCs w:val="11"/>
                <w:color w:val="auto"/>
              </w:rPr>
              <w:t>(499.1)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460"/>
              <w:spacing w:after="0" w:line="122" w:lineRule="exact"/>
              <w:rPr>
                <w:sz w:val="20"/>
                <w:szCs w:val="20"/>
                <w:color w:val="auto"/>
              </w:rPr>
            </w:pPr>
            <w:r>
              <w:rPr>
                <w:rFonts w:ascii="Arial" w:cs="Arial" w:eastAsia="Arial" w:hAnsi="Arial"/>
                <w:sz w:val="11"/>
                <w:szCs w:val="11"/>
                <w:color w:val="auto"/>
              </w:rPr>
              <w:t>(674.3)</w:t>
            </w:r>
          </w:p>
        </w:tc>
        <w:tc>
          <w:tcPr>
            <w:tcW w:w="1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308.1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1"/>
                <w:szCs w:val="11"/>
                <w:color w:val="auto"/>
              </w:rPr>
              <w:t>Accounts Payable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200" w:type="dxa"/>
            <w:vAlign w:val="bottom"/>
            <w:vMerge w:val="continue"/>
          </w:tcPr>
          <w:p>
            <w:pPr>
              <w:spacing w:after="0"/>
              <w:rPr>
                <w:sz w:val="8"/>
                <w:szCs w:val="8"/>
                <w:color w:val="auto"/>
              </w:rPr>
            </w:pPr>
          </w:p>
        </w:tc>
        <w:tc>
          <w:tcPr>
            <w:tcW w:w="180" w:type="dxa"/>
            <w:vAlign w:val="bottom"/>
          </w:tcPr>
          <w:p>
            <w:pPr>
              <w:spacing w:after="0" w:line="97" w:lineRule="exact"/>
              <w:rPr>
                <w:sz w:val="20"/>
                <w:szCs w:val="20"/>
                <w:color w:val="auto"/>
              </w:rPr>
            </w:pPr>
            <w:r>
              <w:rPr>
                <w:rFonts w:ascii="Arial" w:cs="Arial" w:eastAsia="Arial" w:hAnsi="Arial"/>
                <w:sz w:val="11"/>
                <w:szCs w:val="11"/>
                <w:color w:val="auto"/>
              </w:rPr>
              <w:t>$</w:t>
            </w:r>
          </w:p>
        </w:tc>
        <w:tc>
          <w:tcPr>
            <w:tcW w:w="300" w:type="dxa"/>
            <w:vAlign w:val="bottom"/>
          </w:tcPr>
          <w:p>
            <w:pPr>
              <w:ind w:left="140"/>
              <w:spacing w:after="0" w:line="97" w:lineRule="exact"/>
              <w:rPr>
                <w:sz w:val="20"/>
                <w:szCs w:val="20"/>
                <w:color w:val="auto"/>
              </w:rPr>
            </w:pPr>
            <w:r>
              <w:rPr>
                <w:rFonts w:ascii="Arial" w:cs="Arial" w:eastAsia="Arial" w:hAnsi="Arial"/>
                <w:sz w:val="11"/>
                <w:szCs w:val="11"/>
                <w:color w:val="auto"/>
              </w:rPr>
              <w:t>—</w:t>
            </w:r>
          </w:p>
        </w:tc>
        <w:tc>
          <w:tcPr>
            <w:tcW w:w="480" w:type="dxa"/>
            <w:vAlign w:val="bottom"/>
            <w:gridSpan w:val="2"/>
          </w:tcPr>
          <w:p>
            <w:pPr>
              <w:ind w:left="400"/>
              <w:spacing w:after="0" w:line="97"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line="97" w:lineRule="exact"/>
              <w:rPr>
                <w:sz w:val="20"/>
                <w:szCs w:val="20"/>
                <w:color w:val="auto"/>
              </w:rPr>
            </w:pPr>
            <w:r>
              <w:rPr>
                <w:rFonts w:ascii="Arial" w:cs="Arial" w:eastAsia="Arial" w:hAnsi="Arial"/>
                <w:sz w:val="11"/>
                <w:szCs w:val="11"/>
                <w:color w:val="auto"/>
              </w:rPr>
              <w:t>5.0</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540" w:type="dxa"/>
            <w:vAlign w:val="bottom"/>
          </w:tcPr>
          <w:p>
            <w:pPr>
              <w:ind w:left="360"/>
              <w:spacing w:after="0" w:line="97" w:lineRule="exact"/>
              <w:rPr>
                <w:sz w:val="20"/>
                <w:szCs w:val="20"/>
                <w:color w:val="auto"/>
              </w:rPr>
            </w:pPr>
            <w:r>
              <w:rPr>
                <w:rFonts w:ascii="Arial" w:cs="Arial" w:eastAsia="Arial" w:hAnsi="Arial"/>
                <w:sz w:val="11"/>
                <w:szCs w:val="11"/>
                <w:color w:val="auto"/>
              </w:rPr>
              <w:t>—</w:t>
            </w:r>
          </w:p>
        </w:tc>
        <w:tc>
          <w:tcPr>
            <w:tcW w:w="480" w:type="dxa"/>
            <w:vAlign w:val="bottom"/>
            <w:gridSpan w:val="2"/>
          </w:tcPr>
          <w:p>
            <w:pPr>
              <w:ind w:left="400"/>
              <w:spacing w:after="0" w:line="97" w:lineRule="exact"/>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line="97" w:lineRule="exact"/>
              <w:rPr>
                <w:sz w:val="20"/>
                <w:szCs w:val="20"/>
                <w:color w:val="auto"/>
              </w:rPr>
            </w:pPr>
            <w:r>
              <w:rPr>
                <w:rFonts w:ascii="Arial" w:cs="Arial" w:eastAsia="Arial" w:hAnsi="Arial"/>
                <w:sz w:val="11"/>
                <w:szCs w:val="11"/>
                <w:color w:val="auto"/>
              </w:rPr>
              <w:t>5.0</w:t>
            </w:r>
          </w:p>
        </w:tc>
        <w:tc>
          <w:tcPr>
            <w:tcW w:w="48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40"/>
              <w:spacing w:after="0" w:line="97"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line="97"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97" w:lineRule="exact"/>
              <w:rPr>
                <w:sz w:val="20"/>
                <w:szCs w:val="20"/>
                <w:color w:val="auto"/>
              </w:rPr>
            </w:pPr>
            <w:r>
              <w:rPr>
                <w:rFonts w:ascii="Arial" w:cs="Arial" w:eastAsia="Arial" w:hAnsi="Arial"/>
                <w:sz w:val="11"/>
                <w:szCs w:val="11"/>
                <w:color w:val="auto"/>
              </w:rPr>
              <w:t>5.0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200" w:type="dxa"/>
            <w:vAlign w:val="bottom"/>
          </w:tcPr>
          <w:p>
            <w:pPr>
              <w:spacing w:after="0" w:line="121" w:lineRule="exact"/>
              <w:rPr>
                <w:sz w:val="20"/>
                <w:szCs w:val="20"/>
                <w:color w:val="auto"/>
              </w:rPr>
            </w:pPr>
            <w:r>
              <w:rPr>
                <w:rFonts w:ascii="Arial" w:cs="Arial" w:eastAsia="Arial" w:hAnsi="Arial"/>
                <w:sz w:val="11"/>
                <w:szCs w:val="11"/>
                <w:color w:val="auto"/>
              </w:rPr>
              <w:t>Amounts Due to Members</w:t>
            </w:r>
          </w:p>
        </w:tc>
        <w:tc>
          <w:tcPr>
            <w:tcW w:w="180" w:type="dxa"/>
            <w:vAlign w:val="bottom"/>
          </w:tcPr>
          <w:p>
            <w:pPr>
              <w:spacing w:after="0"/>
              <w:rPr>
                <w:sz w:val="10"/>
                <w:szCs w:val="10"/>
                <w:color w:val="auto"/>
              </w:rPr>
            </w:pPr>
          </w:p>
        </w:tc>
        <w:tc>
          <w:tcPr>
            <w:tcW w:w="300" w:type="dxa"/>
            <w:vAlign w:val="bottom"/>
          </w:tcPr>
          <w:p>
            <w:pPr>
              <w:ind w:left="140"/>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43.8</w:t>
            </w:r>
          </w:p>
        </w:tc>
        <w:tc>
          <w:tcPr>
            <w:tcW w:w="480" w:type="dxa"/>
            <w:vAlign w:val="bottom"/>
          </w:tcPr>
          <w:p>
            <w:pPr>
              <w:spacing w:after="0"/>
              <w:rPr>
                <w:sz w:val="10"/>
                <w:szCs w:val="10"/>
                <w:color w:val="auto"/>
              </w:rPr>
            </w:pPr>
          </w:p>
        </w:tc>
        <w:tc>
          <w:tcPr>
            <w:tcW w:w="540" w:type="dxa"/>
            <w:vAlign w:val="bottom"/>
          </w:tcPr>
          <w:p>
            <w:pPr>
              <w:ind w:left="360"/>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43.8</w:t>
            </w:r>
          </w:p>
        </w:tc>
        <w:tc>
          <w:tcPr>
            <w:tcW w:w="480" w:type="dxa"/>
            <w:vAlign w:val="bottom"/>
          </w:tcPr>
          <w:p>
            <w:pPr>
              <w:spacing w:after="0"/>
              <w:rPr>
                <w:sz w:val="10"/>
                <w:szCs w:val="10"/>
                <w:color w:val="auto"/>
              </w:rPr>
            </w:pPr>
          </w:p>
        </w:tc>
        <w:tc>
          <w:tcPr>
            <w:tcW w:w="500" w:type="dxa"/>
            <w:vAlign w:val="bottom"/>
            <w:gridSpan w:val="2"/>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43.8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200" w:type="dxa"/>
            <w:vAlign w:val="bottom"/>
          </w:tcPr>
          <w:p>
            <w:pPr>
              <w:spacing w:after="0" w:line="121" w:lineRule="exact"/>
              <w:rPr>
                <w:sz w:val="20"/>
                <w:szCs w:val="20"/>
                <w:color w:val="auto"/>
              </w:rPr>
            </w:pPr>
            <w:r>
              <w:rPr>
                <w:rFonts w:ascii="Arial" w:cs="Arial" w:eastAsia="Arial" w:hAnsi="Arial"/>
                <w:sz w:val="11"/>
                <w:szCs w:val="11"/>
                <w:color w:val="auto"/>
              </w:rPr>
              <w:t>Accrued Expenses</w:t>
            </w:r>
          </w:p>
        </w:tc>
        <w:tc>
          <w:tcPr>
            <w:tcW w:w="180" w:type="dxa"/>
            <w:vAlign w:val="bottom"/>
          </w:tcPr>
          <w:p>
            <w:pPr>
              <w:spacing w:after="0"/>
              <w:rPr>
                <w:sz w:val="10"/>
                <w:szCs w:val="10"/>
                <w:color w:val="auto"/>
              </w:rPr>
            </w:pPr>
          </w:p>
        </w:tc>
        <w:tc>
          <w:tcPr>
            <w:tcW w:w="300" w:type="dxa"/>
            <w:vAlign w:val="bottom"/>
          </w:tcPr>
          <w:p>
            <w:pPr>
              <w:ind w:left="140"/>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8.0</w:t>
            </w:r>
          </w:p>
        </w:tc>
        <w:tc>
          <w:tcPr>
            <w:tcW w:w="480" w:type="dxa"/>
            <w:vAlign w:val="bottom"/>
          </w:tcPr>
          <w:p>
            <w:pPr>
              <w:spacing w:after="0"/>
              <w:rPr>
                <w:sz w:val="10"/>
                <w:szCs w:val="10"/>
                <w:color w:val="auto"/>
              </w:rPr>
            </w:pPr>
          </w:p>
        </w:tc>
        <w:tc>
          <w:tcPr>
            <w:tcW w:w="540" w:type="dxa"/>
            <w:vAlign w:val="bottom"/>
          </w:tcPr>
          <w:p>
            <w:pPr>
              <w:ind w:left="360"/>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8.0</w:t>
            </w:r>
          </w:p>
        </w:tc>
        <w:tc>
          <w:tcPr>
            <w:tcW w:w="480" w:type="dxa"/>
            <w:vAlign w:val="bottom"/>
          </w:tcPr>
          <w:p>
            <w:pPr>
              <w:spacing w:after="0"/>
              <w:rPr>
                <w:sz w:val="10"/>
                <w:szCs w:val="10"/>
                <w:color w:val="auto"/>
              </w:rPr>
            </w:pPr>
          </w:p>
        </w:tc>
        <w:tc>
          <w:tcPr>
            <w:tcW w:w="500" w:type="dxa"/>
            <w:vAlign w:val="bottom"/>
            <w:gridSpan w:val="2"/>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200" w:type="dxa"/>
            <w:vAlign w:val="bottom"/>
          </w:tcPr>
          <w:p>
            <w:pPr>
              <w:spacing w:after="0"/>
              <w:rPr>
                <w:sz w:val="20"/>
                <w:szCs w:val="20"/>
                <w:color w:val="auto"/>
              </w:rPr>
            </w:pPr>
            <w:r>
              <w:rPr>
                <w:rFonts w:ascii="Arial" w:cs="Arial" w:eastAsia="Arial" w:hAnsi="Arial"/>
                <w:sz w:val="11"/>
                <w:szCs w:val="11"/>
                <w:color w:val="auto"/>
              </w:rPr>
              <w:t>Deferred Revenue</w:t>
            </w: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480" w:type="dxa"/>
            <w:vAlign w:val="bottom"/>
          </w:tcPr>
          <w:p>
            <w:pPr>
              <w:spacing w:after="0"/>
              <w:rPr>
                <w:sz w:val="11"/>
                <w:szCs w:val="11"/>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480" w:type="dxa"/>
            <w:vAlign w:val="bottom"/>
          </w:tcPr>
          <w:p>
            <w:pPr>
              <w:spacing w:after="0"/>
              <w:rPr>
                <w:sz w:val="11"/>
                <w:szCs w:val="11"/>
                <w:color w:val="auto"/>
              </w:rPr>
            </w:pP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00" w:type="dxa"/>
            <w:vAlign w:val="bottom"/>
          </w:tcPr>
          <w:p>
            <w:pPr>
              <w:ind w:left="360"/>
              <w:spacing w:after="0"/>
              <w:rPr>
                <w:sz w:val="20"/>
                <w:szCs w:val="20"/>
                <w:color w:val="auto"/>
              </w:rPr>
            </w:pPr>
            <w:r>
              <w:rPr>
                <w:rFonts w:ascii="Arial" w:cs="Arial" w:eastAsia="Arial" w:hAnsi="Arial"/>
                <w:sz w:val="11"/>
                <w:szCs w:val="11"/>
                <w:color w:val="auto"/>
              </w:rPr>
              <w:t>Total Current Liabilities</w:t>
            </w:r>
          </w:p>
        </w:tc>
        <w:tc>
          <w:tcPr>
            <w:tcW w:w="180" w:type="dxa"/>
            <w:vAlign w:val="bottom"/>
          </w:tcPr>
          <w:p>
            <w:pPr>
              <w:spacing w:after="0"/>
              <w:rPr>
                <w:sz w:val="11"/>
                <w:szCs w:val="1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59.0</w:t>
            </w:r>
          </w:p>
        </w:tc>
        <w:tc>
          <w:tcPr>
            <w:tcW w:w="480" w:type="dxa"/>
            <w:vAlign w:val="bottom"/>
          </w:tcPr>
          <w:p>
            <w:pPr>
              <w:spacing w:after="0"/>
              <w:rPr>
                <w:sz w:val="11"/>
                <w:szCs w:val="11"/>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59.0</w:t>
            </w:r>
          </w:p>
        </w:tc>
        <w:tc>
          <w:tcPr>
            <w:tcW w:w="480" w:type="dxa"/>
            <w:vAlign w:val="bottom"/>
          </w:tcPr>
          <w:p>
            <w:pPr>
              <w:spacing w:after="0"/>
              <w:rPr>
                <w:sz w:val="11"/>
                <w:szCs w:val="1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4200" w:type="dxa"/>
            <w:vAlign w:val="bottom"/>
          </w:tcPr>
          <w:p>
            <w:pPr>
              <w:spacing w:after="0"/>
              <w:rPr>
                <w:sz w:val="20"/>
                <w:szCs w:val="20"/>
                <w:color w:val="auto"/>
              </w:rPr>
            </w:pPr>
            <w:r>
              <w:rPr>
                <w:rFonts w:ascii="Arial" w:cs="Arial" w:eastAsia="Arial" w:hAnsi="Arial"/>
                <w:sz w:val="11"/>
                <w:szCs w:val="11"/>
                <w:color w:val="auto"/>
              </w:rPr>
              <w:t>Long-term Borrowings</w:t>
            </w:r>
          </w:p>
        </w:tc>
        <w:tc>
          <w:tcPr>
            <w:tcW w:w="18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w:t>
            </w:r>
          </w:p>
        </w:tc>
        <w:tc>
          <w:tcPr>
            <w:tcW w:w="48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10.0</w:t>
            </w:r>
          </w:p>
        </w:tc>
        <w:tc>
          <w:tcPr>
            <w:tcW w:w="48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 xml:space="preserve">735.0 </w:t>
            </w:r>
            <w:r>
              <w:rPr>
                <w:rFonts w:ascii="Arial" w:cs="Arial" w:eastAsia="Arial" w:hAnsi="Arial"/>
                <w:sz w:val="18"/>
                <w:szCs w:val="18"/>
                <w:color w:val="auto"/>
                <w:vertAlign w:val="superscript"/>
              </w:rPr>
              <w:t>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(10.0)</w:t>
            </w:r>
            <w:r>
              <w:rPr>
                <w:rFonts w:ascii="Arial" w:cs="Arial" w:eastAsia="Arial" w:hAnsi="Arial"/>
                <w:sz w:val="18"/>
                <w:szCs w:val="18"/>
                <w:color w:val="auto"/>
                <w:vertAlign w:val="superscript"/>
              </w:rPr>
              <w:t>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735.0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20"/>
                <w:szCs w:val="20"/>
                <w:color w:val="auto"/>
              </w:rPr>
            </w:pPr>
            <w:r>
              <w:rPr>
                <w:rFonts w:ascii="Arial" w:cs="Arial" w:eastAsia="Arial" w:hAnsi="Arial"/>
                <w:sz w:val="11"/>
                <w:szCs w:val="11"/>
                <w:color w:val="auto"/>
              </w:rPr>
              <w:t>Other Liabilities</w:t>
            </w:r>
          </w:p>
        </w:tc>
        <w:tc>
          <w:tcPr>
            <w:tcW w:w="18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w:t>
            </w:r>
          </w:p>
        </w:tc>
        <w:tc>
          <w:tcPr>
            <w:tcW w:w="480" w:type="dxa"/>
            <w:vAlign w:val="bottom"/>
          </w:tcPr>
          <w:p>
            <w:pPr>
              <w:spacing w:after="0"/>
              <w:rPr>
                <w:sz w:val="12"/>
                <w:szCs w:val="12"/>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1.1</w:t>
            </w:r>
          </w:p>
        </w:tc>
        <w:tc>
          <w:tcPr>
            <w:tcW w:w="480" w:type="dxa"/>
            <w:vAlign w:val="bottom"/>
          </w:tcPr>
          <w:p>
            <w:pPr>
              <w:spacing w:after="0"/>
              <w:rPr>
                <w:sz w:val="12"/>
                <w:szCs w:val="12"/>
                <w:color w:val="auto"/>
              </w:rPr>
            </w:pPr>
          </w:p>
        </w:tc>
        <w:tc>
          <w:tcPr>
            <w:tcW w:w="500" w:type="dxa"/>
            <w:vAlign w:val="bottom"/>
            <w:gridSpan w:val="2"/>
          </w:tcPr>
          <w:p>
            <w:pPr>
              <w:jc w:val="right"/>
              <w:ind w:right="100"/>
              <w:spacing w:after="0" w:line="148" w:lineRule="exact"/>
              <w:rPr>
                <w:sz w:val="20"/>
                <w:szCs w:val="20"/>
                <w:color w:val="auto"/>
              </w:rPr>
            </w:pPr>
            <w:r>
              <w:rPr>
                <w:rFonts w:ascii="Arial" w:cs="Arial" w:eastAsia="Arial" w:hAnsi="Arial"/>
                <w:sz w:val="10"/>
                <w:szCs w:val="10"/>
                <w:color w:val="auto"/>
              </w:rPr>
              <w:t>(1.1)</w:t>
            </w:r>
            <w:r>
              <w:rPr>
                <w:rFonts w:ascii="Arial" w:cs="Arial" w:eastAsia="Arial" w:hAnsi="Arial"/>
                <w:sz w:val="17"/>
                <w:szCs w:val="17"/>
                <w:color w:val="auto"/>
                <w:vertAlign w:val="superscript"/>
              </w:rPr>
              <w:t>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1"/>
                <w:szCs w:val="11"/>
                <w:color w:val="auto"/>
              </w:rPr>
              <w:t xml:space="preserve">88.7 </w:t>
            </w:r>
            <w:r>
              <w:rPr>
                <w:rFonts w:ascii="Arial" w:cs="Arial" w:eastAsia="Arial" w:hAnsi="Arial"/>
                <w:sz w:val="18"/>
                <w:szCs w:val="18"/>
                <w:color w:val="auto"/>
                <w:vertAlign w:val="superscript"/>
              </w:rPr>
              <w:t>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4200" w:type="dxa"/>
            <w:vAlign w:val="bottom"/>
          </w:tcPr>
          <w:p>
            <w:pPr>
              <w:spacing w:after="0"/>
              <w:rPr>
                <w:sz w:val="20"/>
                <w:szCs w:val="20"/>
                <w:color w:val="auto"/>
              </w:rPr>
            </w:pPr>
            <w:r>
              <w:rPr>
                <w:rFonts w:ascii="Arial" w:cs="Arial" w:eastAsia="Arial" w:hAnsi="Arial"/>
                <w:sz w:val="11"/>
                <w:szCs w:val="11"/>
                <w:color w:val="auto"/>
              </w:rPr>
              <w:t>Tax Payable to Members</w:t>
            </w:r>
          </w:p>
        </w:tc>
        <w:tc>
          <w:tcPr>
            <w:tcW w:w="180" w:type="dxa"/>
            <w:vAlign w:val="bottom"/>
          </w:tcPr>
          <w:p>
            <w:pPr>
              <w:spacing w:after="0"/>
              <w:rPr>
                <w:sz w:val="11"/>
                <w:szCs w:val="1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00" w:type="dxa"/>
            <w:vAlign w:val="bottom"/>
          </w:tcPr>
          <w:p>
            <w:pPr>
              <w:ind w:left="360"/>
              <w:spacing w:after="0" w:line="122" w:lineRule="exact"/>
              <w:rPr>
                <w:sz w:val="20"/>
                <w:szCs w:val="20"/>
                <w:color w:val="auto"/>
              </w:rPr>
            </w:pPr>
            <w:r>
              <w:rPr>
                <w:rFonts w:ascii="Arial" w:cs="Arial" w:eastAsia="Arial" w:hAnsi="Arial"/>
                <w:sz w:val="11"/>
                <w:szCs w:val="11"/>
                <w:color w:val="auto"/>
              </w:rPr>
              <w:t>Total Liabilities</w:t>
            </w:r>
          </w:p>
        </w:tc>
        <w:tc>
          <w:tcPr>
            <w:tcW w:w="18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ind w:left="14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70.1</w:t>
            </w:r>
          </w:p>
        </w:tc>
        <w:tc>
          <w:tcPr>
            <w:tcW w:w="480" w:type="dxa"/>
            <w:vAlign w:val="bottom"/>
          </w:tcPr>
          <w:p>
            <w:pPr>
              <w:spacing w:after="0"/>
              <w:rPr>
                <w:sz w:val="10"/>
                <w:szCs w:val="10"/>
                <w:color w:val="auto"/>
              </w:rPr>
            </w:pPr>
          </w:p>
        </w:tc>
        <w:tc>
          <w:tcPr>
            <w:tcW w:w="540" w:type="dxa"/>
            <w:vAlign w:val="bottom"/>
            <w:tcBorders>
              <w:top w:val="single" w:sz="8" w:color="auto"/>
              <w:bottom w:val="single" w:sz="8" w:color="auto"/>
            </w:tcBorders>
          </w:tcPr>
          <w:p>
            <w:pPr>
              <w:ind w:left="36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70.1</w:t>
            </w:r>
          </w:p>
        </w:tc>
        <w:tc>
          <w:tcPr>
            <w:tcW w:w="48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733.9</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78.7</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882.7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0" w:type="dxa"/>
            <w:vAlign w:val="bottom"/>
          </w:tcPr>
          <w:p>
            <w:pPr>
              <w:spacing w:after="0" w:line="115" w:lineRule="exact"/>
              <w:rPr>
                <w:sz w:val="20"/>
                <w:szCs w:val="20"/>
                <w:color w:val="auto"/>
              </w:rPr>
            </w:pPr>
            <w:r>
              <w:rPr>
                <w:rFonts w:ascii="Arial" w:cs="Arial" w:eastAsia="Arial" w:hAnsi="Arial"/>
                <w:sz w:val="11"/>
                <w:szCs w:val="11"/>
                <w:color w:val="auto"/>
              </w:rPr>
              <w:t>Stockholder’s Equity / (Deficit)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(10.1)</w:t>
            </w:r>
            <w:r>
              <w:rPr>
                <w:rFonts w:ascii="Arial" w:cs="Arial" w:eastAsia="Arial" w:hAnsi="Arial"/>
                <w:sz w:val="18"/>
                <w:szCs w:val="18"/>
                <w:color w:val="auto"/>
                <w:vertAlign w:val="superscript"/>
              </w:rPr>
              <w:t>1</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1"/>
                <w:szCs w:val="11"/>
                <w:color w:val="auto"/>
              </w:rPr>
              <w:t>(686.3)</w:t>
            </w:r>
            <w:r>
              <w:rPr>
                <w:rFonts w:ascii="Arial" w:cs="Arial" w:eastAsia="Arial" w:hAnsi="Arial"/>
                <w:sz w:val="18"/>
                <w:szCs w:val="18"/>
                <w:color w:val="auto"/>
                <w:vertAlign w:val="superscript"/>
              </w:rPr>
              <w:t>6</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1"/>
                <w:szCs w:val="11"/>
                <w:color w:val="auto"/>
              </w:rPr>
              <w:t>20.0</w:t>
            </w:r>
            <w:r>
              <w:rPr>
                <w:rFonts w:ascii="Arial" w:cs="Arial" w:eastAsia="Arial" w:hAnsi="Arial"/>
                <w:sz w:val="18"/>
                <w:szCs w:val="18"/>
                <w:color w:val="auto"/>
                <w:vertAlign w:val="superscript"/>
              </w:rPr>
              <w:t>8</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200" w:type="dxa"/>
            <w:vAlign w:val="bottom"/>
          </w:tcPr>
          <w:p>
            <w:pPr>
              <w:ind w:left="360"/>
              <w:spacing w:after="0"/>
              <w:rPr>
                <w:sz w:val="20"/>
                <w:szCs w:val="20"/>
                <w:color w:val="auto"/>
              </w:rPr>
            </w:pPr>
            <w:r>
              <w:rPr>
                <w:rFonts w:ascii="Arial" w:cs="Arial" w:eastAsia="Arial" w:hAnsi="Arial"/>
                <w:sz w:val="11"/>
                <w:szCs w:val="11"/>
                <w:color w:val="auto"/>
              </w:rPr>
              <w:t>Members’ Capital—Common Units</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w:t>
            </w:r>
          </w:p>
        </w:tc>
        <w:tc>
          <w:tcPr>
            <w:tcW w:w="480" w:type="dxa"/>
            <w:vAlign w:val="bottom"/>
          </w:tcPr>
          <w:p>
            <w:pPr>
              <w:spacing w:after="0"/>
              <w:rPr>
                <w:sz w:val="11"/>
                <w:szCs w:val="11"/>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2.1</w:t>
            </w:r>
          </w:p>
        </w:tc>
        <w:tc>
          <w:tcPr>
            <w:tcW w:w="4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100"/>
              <w:spacing w:after="0" w:line="120" w:lineRule="exact"/>
              <w:rPr>
                <w:sz w:val="20"/>
                <w:szCs w:val="20"/>
                <w:color w:val="auto"/>
              </w:rPr>
            </w:pPr>
            <w:r>
              <w:rPr>
                <w:rFonts w:ascii="Arial" w:cs="Arial" w:eastAsia="Arial" w:hAnsi="Arial"/>
                <w:sz w:val="8"/>
                <w:szCs w:val="8"/>
                <w:color w:val="auto"/>
              </w:rPr>
              <w:t xml:space="preserve">674.3 </w:t>
            </w:r>
            <w:r>
              <w:rPr>
                <w:rFonts w:ascii="Arial" w:cs="Arial" w:eastAsia="Arial" w:hAnsi="Arial"/>
                <w:sz w:val="13"/>
                <w:szCs w:val="13"/>
                <w:color w:val="auto"/>
                <w:vertAlign w:val="superscript"/>
              </w:rPr>
              <w:t>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360"/>
              <w:spacing w:after="0"/>
              <w:rPr>
                <w:sz w:val="20"/>
                <w:szCs w:val="20"/>
                <w:color w:val="auto"/>
              </w:rPr>
            </w:pPr>
            <w:r>
              <w:rPr>
                <w:rFonts w:ascii="Arial" w:cs="Arial" w:eastAsia="Arial" w:hAnsi="Arial"/>
                <w:sz w:val="11"/>
                <w:szCs w:val="11"/>
                <w:color w:val="auto"/>
              </w:rPr>
              <w:t>Members’ Capital—Preferred Units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 xml:space="preserve">10.1 </w:t>
            </w:r>
            <w:r>
              <w:rPr>
                <w:rFonts w:ascii="Arial" w:cs="Arial" w:eastAsia="Arial" w:hAnsi="Arial"/>
                <w:sz w:val="18"/>
                <w:szCs w:val="18"/>
                <w:color w:val="auto"/>
                <w:vertAlign w:val="superscript"/>
              </w:rPr>
              <w:t>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(10.1)</w:t>
            </w:r>
            <w:r>
              <w:rPr>
                <w:rFonts w:ascii="Arial" w:cs="Arial" w:eastAsia="Arial" w:hAnsi="Arial"/>
                <w:sz w:val="18"/>
                <w:szCs w:val="18"/>
                <w:color w:val="auto"/>
                <w:vertAlign w:val="superscript"/>
              </w:rPr>
              <w:t>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2"/>
        </w:trPr>
        <w:tc>
          <w:tcPr>
            <w:tcW w:w="4200" w:type="dxa"/>
            <w:vAlign w:val="bottom"/>
          </w:tcPr>
          <w:p>
            <w:pPr>
              <w:ind w:left="360"/>
              <w:spacing w:after="0"/>
              <w:rPr>
                <w:sz w:val="20"/>
                <w:szCs w:val="20"/>
                <w:color w:val="auto"/>
              </w:rPr>
            </w:pPr>
            <w:r>
              <w:rPr>
                <w:rFonts w:ascii="Arial" w:cs="Arial" w:eastAsia="Arial" w:hAnsi="Arial"/>
                <w:sz w:val="11"/>
                <w:szCs w:val="11"/>
                <w:color w:val="auto"/>
              </w:rPr>
              <w:t>Common Stock</w:t>
            </w:r>
          </w:p>
        </w:tc>
        <w:tc>
          <w:tcPr>
            <w:tcW w:w="180" w:type="dxa"/>
            <w:vAlign w:val="bottom"/>
          </w:tcPr>
          <w:p>
            <w:pPr>
              <w:spacing w:after="0"/>
              <w:rPr>
                <w:sz w:val="22"/>
                <w:szCs w:val="22"/>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2"/>
                <w:szCs w:val="22"/>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 xml:space="preserve">0.4 </w:t>
            </w:r>
            <w:r>
              <w:rPr>
                <w:rFonts w:ascii="Arial" w:cs="Arial" w:eastAsia="Arial" w:hAnsi="Arial"/>
                <w:sz w:val="18"/>
                <w:szCs w:val="18"/>
                <w:color w:val="auto"/>
                <w:vertAlign w:val="superscript"/>
              </w:rPr>
              <w:t>2</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rPr>
                <w:sz w:val="20"/>
                <w:szCs w:val="20"/>
                <w:color w:val="auto"/>
              </w:rPr>
            </w:pPr>
            <w:r>
              <w:rPr>
                <w:rFonts w:ascii="Arial" w:cs="Arial" w:eastAsia="Arial" w:hAnsi="Arial"/>
                <w:sz w:val="11"/>
                <w:szCs w:val="11"/>
                <w:color w:val="auto"/>
              </w:rPr>
              <w:t>Additional Paid-in Capital</w:t>
            </w:r>
          </w:p>
        </w:tc>
        <w:tc>
          <w:tcPr>
            <w:tcW w:w="18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4"/>
                <w:szCs w:val="14"/>
                <w:color w:val="auto"/>
              </w:rPr>
            </w:pPr>
          </w:p>
        </w:tc>
        <w:tc>
          <w:tcPr>
            <w:tcW w:w="500" w:type="dxa"/>
            <w:vAlign w:val="bottom"/>
            <w:gridSpan w:val="2"/>
          </w:tcPr>
          <w:p>
            <w:pPr>
              <w:jc w:val="right"/>
              <w:ind w:right="100"/>
              <w:spacing w:after="0" w:line="168" w:lineRule="exact"/>
              <w:rPr>
                <w:sz w:val="20"/>
                <w:szCs w:val="20"/>
                <w:color w:val="auto"/>
              </w:rPr>
            </w:pPr>
            <w:r>
              <w:rPr>
                <w:rFonts w:ascii="Arial" w:cs="Arial" w:eastAsia="Arial" w:hAnsi="Arial"/>
                <w:sz w:val="11"/>
                <w:szCs w:val="11"/>
                <w:color w:val="auto"/>
              </w:rPr>
              <w:t xml:space="preserve">673.9 </w:t>
            </w:r>
            <w:r>
              <w:rPr>
                <w:rFonts w:ascii="Arial" w:cs="Arial" w:eastAsia="Arial" w:hAnsi="Arial"/>
                <w:sz w:val="18"/>
                <w:szCs w:val="18"/>
                <w:color w:val="auto"/>
                <w:vertAlign w:val="superscript"/>
              </w:rPr>
              <w:t>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00"/>
              <w:spacing w:after="0" w:line="168" w:lineRule="exact"/>
              <w:rPr>
                <w:sz w:val="20"/>
                <w:szCs w:val="20"/>
                <w:color w:val="auto"/>
              </w:rPr>
            </w:pPr>
            <w:r>
              <w:rPr>
                <w:rFonts w:ascii="Arial" w:cs="Arial" w:eastAsia="Arial" w:hAnsi="Arial"/>
                <w:sz w:val="11"/>
                <w:szCs w:val="11"/>
                <w:color w:val="auto"/>
              </w:rPr>
              <w:t xml:space="preserve">135.0 </w:t>
            </w:r>
            <w:r>
              <w:rPr>
                <w:rFonts w:ascii="Arial" w:cs="Arial" w:eastAsia="Arial" w:hAnsi="Arial"/>
                <w:sz w:val="18"/>
                <w:szCs w:val="18"/>
                <w:color w:val="auto"/>
                <w:vertAlign w:val="superscript"/>
              </w:rPr>
              <w:t>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00"/>
              <w:spacing w:after="0" w:line="168" w:lineRule="exact"/>
              <w:rPr>
                <w:sz w:val="20"/>
                <w:szCs w:val="20"/>
                <w:color w:val="auto"/>
              </w:rPr>
            </w:pPr>
            <w:r>
              <w:rPr>
                <w:rFonts w:ascii="Arial" w:cs="Arial" w:eastAsia="Arial" w:hAnsi="Arial"/>
                <w:sz w:val="11"/>
                <w:szCs w:val="11"/>
                <w:color w:val="auto"/>
              </w:rPr>
              <w:t>690.5</w:t>
            </w:r>
            <w:r>
              <w:rPr>
                <w:rFonts w:ascii="Arial" w:cs="Arial" w:eastAsia="Arial" w:hAnsi="Arial"/>
                <w:sz w:val="18"/>
                <w:szCs w:val="18"/>
                <w:color w:val="auto"/>
                <w:vertAlign w:val="superscript"/>
              </w:rPr>
              <w:t>8</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809.8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0"/>
                <w:szCs w:val="10"/>
                <w:color w:val="auto"/>
              </w:rPr>
              <w:t xml:space="preserve">1.1 </w:t>
            </w:r>
            <w:r>
              <w:rPr>
                <w:rFonts w:ascii="Arial" w:cs="Arial" w:eastAsia="Arial" w:hAnsi="Arial"/>
                <w:sz w:val="16"/>
                <w:szCs w:val="16"/>
                <w:color w:val="auto"/>
                <w:vertAlign w:val="superscript"/>
              </w:rPr>
              <w:t>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0"/>
                <w:szCs w:val="10"/>
                <w:color w:val="auto"/>
              </w:rPr>
              <w:t>(2.3)</w:t>
            </w:r>
            <w:r>
              <w:rPr>
                <w:rFonts w:ascii="Arial" w:cs="Arial" w:eastAsia="Arial" w:hAnsi="Arial"/>
                <w:sz w:val="16"/>
                <w:szCs w:val="16"/>
                <w:color w:val="auto"/>
                <w:vertAlign w:val="superscript"/>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00" w:type="dxa"/>
            <w:vAlign w:val="bottom"/>
            <w:vMerge w:val="restart"/>
          </w:tcPr>
          <w:p>
            <w:pPr>
              <w:ind w:left="360"/>
              <w:spacing w:after="0"/>
              <w:rPr>
                <w:sz w:val="20"/>
                <w:szCs w:val="20"/>
                <w:color w:val="auto"/>
              </w:rPr>
            </w:pPr>
            <w:r>
              <w:rPr>
                <w:rFonts w:ascii="Arial" w:cs="Arial" w:eastAsia="Arial" w:hAnsi="Arial"/>
                <w:sz w:val="11"/>
                <w:szCs w:val="11"/>
                <w:color w:val="auto"/>
              </w:rPr>
              <w:t>Minority Interest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0"/>
              <w:spacing w:after="0" w:line="170" w:lineRule="exact"/>
              <w:rPr>
                <w:sz w:val="20"/>
                <w:szCs w:val="20"/>
                <w:color w:val="auto"/>
              </w:rPr>
            </w:pPr>
            <w:r>
              <w:rPr>
                <w:rFonts w:ascii="Arial" w:cs="Arial" w:eastAsia="Arial" w:hAnsi="Arial"/>
                <w:sz w:val="11"/>
                <w:szCs w:val="11"/>
                <w:color w:val="auto"/>
              </w:rPr>
              <w:t>(688.4)</w:t>
            </w:r>
            <w:r>
              <w:rPr>
                <w:rFonts w:ascii="Arial" w:cs="Arial" w:eastAsia="Arial" w:hAnsi="Arial"/>
                <w:sz w:val="18"/>
                <w:szCs w:val="18"/>
                <w:color w:val="auto"/>
                <w:vertAlign w:val="superscript"/>
              </w:rPr>
              <w:t>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1"/>
                <w:szCs w:val="11"/>
                <w:color w:val="auto"/>
                <w:w w:val="94"/>
              </w:rPr>
              <w:t>(1,384.8)</w:t>
            </w:r>
            <w:r>
              <w:rPr>
                <w:rFonts w:ascii="Arial" w:cs="Arial" w:eastAsia="Arial" w:hAnsi="Arial"/>
                <w:sz w:val="18"/>
                <w:szCs w:val="18"/>
                <w:color w:val="auto"/>
                <w:w w:val="94"/>
                <w:vertAlign w:val="superscript"/>
              </w:rPr>
              <w:t>8</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(1,384.8)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200" w:type="dxa"/>
            <w:vAlign w:val="bottom"/>
          </w:tcPr>
          <w:p>
            <w:pPr>
              <w:ind w:left="360"/>
              <w:spacing w:after="0"/>
              <w:rPr>
                <w:sz w:val="20"/>
                <w:szCs w:val="20"/>
                <w:color w:val="auto"/>
              </w:rPr>
            </w:pPr>
            <w:r>
              <w:rPr>
                <w:rFonts w:ascii="Arial" w:cs="Arial" w:eastAsia="Arial" w:hAnsi="Arial"/>
                <w:sz w:val="11"/>
                <w:szCs w:val="11"/>
                <w:color w:val="auto"/>
              </w:rPr>
              <w:t>Members’ / Stockholder’s Equity / (Deficit)</w:t>
            </w:r>
          </w:p>
        </w:tc>
        <w:tc>
          <w:tcPr>
            <w:tcW w:w="180" w:type="dxa"/>
            <w:vAlign w:val="bottom"/>
          </w:tcPr>
          <w:p>
            <w:pPr>
              <w:spacing w:after="0"/>
              <w:rPr>
                <w:sz w:val="21"/>
                <w:szCs w:val="2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w:t>
            </w:r>
          </w:p>
        </w:tc>
        <w:tc>
          <w:tcPr>
            <w:tcW w:w="480" w:type="dxa"/>
            <w:vAlign w:val="bottom"/>
          </w:tcPr>
          <w:p>
            <w:pPr>
              <w:spacing w:after="0"/>
              <w:rPr>
                <w:sz w:val="21"/>
                <w:szCs w:val="21"/>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2.1</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675.4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1"/>
                <w:szCs w:val="11"/>
                <w:color w:val="auto"/>
              </w:rPr>
              <w:t>(577.8)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1"/>
                <w:szCs w:val="11"/>
                <w:color w:val="auto"/>
              </w:rPr>
              <w:t>(674.3)</w:t>
            </w:r>
          </w:p>
        </w:tc>
        <w:tc>
          <w:tcPr>
            <w:tcW w:w="1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(574.6)</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700"/>
              <w:spacing w:after="0"/>
              <w:rPr>
                <w:sz w:val="20"/>
                <w:szCs w:val="20"/>
                <w:color w:val="auto"/>
              </w:rPr>
            </w:pPr>
            <w:r>
              <w:rPr>
                <w:rFonts w:ascii="Arial" w:cs="Arial" w:eastAsia="Arial" w:hAnsi="Arial"/>
                <w:sz w:val="11"/>
                <w:szCs w:val="11"/>
                <w:color w:val="auto"/>
              </w:rPr>
              <w:t>TOTAL LIABILITIES AND DEFICIT</w:t>
            </w: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00" w:type="dxa"/>
            <w:vAlign w:val="bottom"/>
            <w:vMerge w:val="continue"/>
          </w:tcPr>
          <w:p>
            <w:pPr>
              <w:spacing w:after="0"/>
              <w:rPr>
                <w:sz w:val="10"/>
                <w:szCs w:val="10"/>
                <w:color w:val="auto"/>
              </w:rPr>
            </w:pPr>
          </w:p>
        </w:tc>
        <w:tc>
          <w:tcPr>
            <w:tcW w:w="18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ind w:left="14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72.2</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54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ind w:left="400"/>
              <w:spacing w:after="0" w:line="122" w:lineRule="exact"/>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72.2</w:t>
            </w:r>
          </w:p>
        </w:tc>
        <w:tc>
          <w:tcPr>
            <w:tcW w:w="480" w:type="dxa"/>
            <w:vAlign w:val="bottom"/>
          </w:tcPr>
          <w:p>
            <w:pPr>
              <w:jc w:val="right"/>
              <w:spacing w:after="0" w:line="122" w:lineRule="exact"/>
              <w:rPr>
                <w:sz w:val="20"/>
                <w:szCs w:val="20"/>
                <w:color w:val="auto"/>
              </w:rPr>
            </w:pPr>
            <w:r>
              <w:rPr>
                <w:rFonts w:ascii="Arial" w:cs="Arial" w:eastAsia="Arial" w:hAnsi="Arial"/>
                <w:sz w:val="11"/>
                <w:szCs w:val="11"/>
                <w:u w:val="single" w:color="auto"/>
                <w:color w:val="auto"/>
              </w:rPr>
              <w:t>$</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w w:val="81"/>
              </w:rPr>
              <w:t>1,409.3</w:t>
            </w:r>
          </w:p>
        </w:tc>
        <w:tc>
          <w:tcPr>
            <w:tcW w:w="180" w:type="dxa"/>
            <w:vAlign w:val="bottom"/>
          </w:tcPr>
          <w:p>
            <w:pPr>
              <w:spacing w:after="0"/>
              <w:rPr>
                <w:sz w:val="10"/>
                <w:szCs w:val="10"/>
                <w:color w:val="auto"/>
              </w:rPr>
            </w:pPr>
          </w:p>
        </w:tc>
        <w:tc>
          <w:tcPr>
            <w:tcW w:w="440" w:type="dxa"/>
            <w:vAlign w:val="bottom"/>
            <w:gridSpan w:val="2"/>
          </w:tcPr>
          <w:p>
            <w:pPr>
              <w:ind w:left="360"/>
              <w:spacing w:after="0" w:line="122" w:lineRule="exact"/>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440"/>
              <w:spacing w:after="0" w:line="122" w:lineRule="exact"/>
              <w:rPr>
                <w:sz w:val="20"/>
                <w:szCs w:val="20"/>
                <w:color w:val="auto"/>
              </w:rPr>
            </w:pPr>
            <w:r>
              <w:rPr>
                <w:rFonts w:ascii="Arial" w:cs="Arial" w:eastAsia="Arial" w:hAnsi="Arial"/>
                <w:sz w:val="11"/>
                <w:szCs w:val="11"/>
                <w:color w:val="auto"/>
              </w:rPr>
              <w:t>(499.1)</w:t>
            </w:r>
          </w:p>
        </w:tc>
        <w:tc>
          <w:tcPr>
            <w:tcW w:w="1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460"/>
              <w:spacing w:after="0" w:line="122" w:lineRule="exact"/>
              <w:rPr>
                <w:sz w:val="20"/>
                <w:szCs w:val="20"/>
                <w:color w:val="auto"/>
              </w:rPr>
            </w:pPr>
            <w:r>
              <w:rPr>
                <w:rFonts w:ascii="Arial" w:cs="Arial" w:eastAsia="Arial" w:hAnsi="Arial"/>
                <w:sz w:val="11"/>
                <w:szCs w:val="11"/>
                <w:color w:val="auto"/>
              </w:rPr>
              <w:t>(674.3)</w:t>
            </w:r>
          </w:p>
        </w:tc>
        <w:tc>
          <w:tcPr>
            <w:tcW w:w="1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308.1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399"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Notes to the Unaudited Pro Forma Consolidated Balance Sheet:</w:t>
      </w:r>
    </w:p>
    <w:p>
      <w:pPr>
        <w:spacing w:after="0" w:line="79" w:lineRule="exact"/>
        <w:rPr>
          <w:sz w:val="20"/>
          <w:szCs w:val="20"/>
          <w:color w:val="auto"/>
        </w:rPr>
      </w:pPr>
    </w:p>
    <w:p>
      <w:pPr>
        <w:ind w:left="440" w:right="40" w:hanging="321"/>
        <w:spacing w:after="0" w:line="305"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the adjustments to reflect the recapitalization of NCM LLC pursuant to which (i) existing members of NCM LLC will receive one common membership unit and one preferred membership unit in exchange for each outstanding common membership unit and (ii) NCM LLC will split the number of outstanding common membership units so that a common membership unit can be acquired with the proceeds from the initial offering of one share of our common stock after underwriting discounts and commissions and offering expenses.</w:t>
      </w:r>
    </w:p>
    <w:p>
      <w:pPr>
        <w:spacing w:after="0" w:line="20" w:lineRule="exact"/>
        <w:rPr>
          <w:rFonts w:ascii="Arial" w:cs="Arial" w:eastAsia="Arial" w:hAnsi="Arial"/>
          <w:sz w:val="13"/>
          <w:szCs w:val="13"/>
          <w:color w:val="auto"/>
        </w:rPr>
      </w:pPr>
    </w:p>
    <w:p>
      <w:pPr>
        <w:ind w:left="440" w:right="100" w:hanging="321"/>
        <w:spacing w:after="0" w:line="275"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adjustments to reflect the net proceeds of this offering. The offering will result in (i) an increase in stockholder’s equity of $674.3 million from the issuance of common stock at the estimated public offering price of $19.00 (the midpoint of the range set forth on the cover page of this prospectus), after deducting estimated underwriting discounts and commissions and estimated offering expenses of $8.0 million, $2.3 million of which had been incurred through September 28, 2006.</w:t>
      </w:r>
    </w:p>
    <w:p>
      <w:pPr>
        <w:spacing w:after="0" w:line="36" w:lineRule="exact"/>
        <w:rPr>
          <w:rFonts w:ascii="Arial" w:cs="Arial" w:eastAsia="Arial" w:hAnsi="Arial"/>
          <w:sz w:val="14"/>
          <w:szCs w:val="14"/>
          <w:color w:val="auto"/>
        </w:rPr>
      </w:pPr>
    </w:p>
    <w:p>
      <w:pPr>
        <w:ind w:left="440" w:right="100" w:hanging="321"/>
        <w:spacing w:after="0" w:line="330"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adjustments related to the new senior secured credit facility under which NCM LLC will incur indebtedness (assumed to be $725.0 million on the new term loan facility and $10.0 million on the revolving credit facility, a total of $735.0 million), after deducting deferred financing fees of $14.5 million. For further discussion, see “Financing Transaction.”</w:t>
      </w:r>
    </w:p>
    <w:p>
      <w:pPr>
        <w:spacing w:after="0" w:line="4" w:lineRule="exact"/>
        <w:rPr>
          <w:rFonts w:ascii="Arial" w:cs="Arial" w:eastAsia="Arial" w:hAnsi="Arial"/>
          <w:sz w:val="13"/>
          <w:szCs w:val="13"/>
          <w:color w:val="auto"/>
        </w:rPr>
      </w:pPr>
    </w:p>
    <w:p>
      <w:pPr>
        <w:jc w:val="both"/>
        <w:ind w:left="440" w:hanging="321"/>
        <w:spacing w:after="0" w:line="305"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the reclassification of the liability under NCM LLC’s unit option plan to additional paid-in capital for the replacement of the currently outstanding unit options with NCM Inc. stock options, which options are expected to qualify for equity accounting. The existing unit option plan contains provisions that, under certain circumstances, would require NCM LLC to redeem the intrinsic value of the options for cash. The substituted options for the common stock of NCM Inc. will not include terms that would allow the holders to redeem their options for cash.</w:t>
      </w:r>
    </w:p>
    <w:p>
      <w:pPr>
        <w:spacing w:after="0" w:line="20" w:lineRule="exact"/>
        <w:rPr>
          <w:rFonts w:ascii="Arial" w:cs="Arial" w:eastAsia="Arial" w:hAnsi="Arial"/>
          <w:sz w:val="13"/>
          <w:szCs w:val="13"/>
          <w:color w:val="auto"/>
        </w:rPr>
      </w:pPr>
    </w:p>
    <w:p>
      <w:pPr>
        <w:ind w:left="440" w:hanging="321"/>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an investment of $674.3 million to acquire a 40.5% interest in NCM LLC.</w:t>
      </w:r>
    </w:p>
    <w:p>
      <w:pPr>
        <w:spacing w:after="0" w:line="79" w:lineRule="exact"/>
        <w:rPr>
          <w:rFonts w:ascii="Arial" w:cs="Arial" w:eastAsia="Arial" w:hAnsi="Arial"/>
          <w:sz w:val="14"/>
          <w:szCs w:val="14"/>
          <w:color w:val="auto"/>
        </w:rPr>
      </w:pPr>
    </w:p>
    <w:p>
      <w:pPr>
        <w:jc w:val="both"/>
        <w:ind w:left="440" w:right="360" w:hanging="321"/>
        <w:spacing w:after="0" w:line="270"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payment of $686.3 million from NCM LLC to the founding members ($674.3 million of which will come from the proceeds NCM LLC receives from NCM Inc. and $12.0 million of which will come from the new term loan facility) in connection with the modification of the exhibitor services agreements, which will be accounted for as a special distribution because the acquisition of intangibles (such as contractual rights) from the founding members must be recorded as a distribution to the extent the payment exceeds the founding members’ historical cost of intangibles.</w:t>
      </w:r>
    </w:p>
    <w:p>
      <w:pPr>
        <w:spacing w:after="0" w:line="40" w:lineRule="exact"/>
        <w:rPr>
          <w:rFonts w:ascii="Arial" w:cs="Arial" w:eastAsia="Arial" w:hAnsi="Arial"/>
          <w:sz w:val="14"/>
          <w:szCs w:val="14"/>
          <w:color w:val="auto"/>
        </w:rPr>
      </w:pPr>
    </w:p>
    <w:p>
      <w:pPr>
        <w:ind w:left="440" w:right="420" w:hanging="321"/>
        <w:spacing w:after="0" w:line="289"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With the proceeds from the senior secured credit facility, NCM LLC will repay $10.0 million outstanding as of September 28, 2006, under its existing credit facility and redeem all of the preferred membership units of the founding members in NCM LLC for an aggregate price of $698.5 million.</w:t>
      </w:r>
    </w:p>
    <w:p>
      <w:pPr>
        <w:spacing w:after="0" w:line="27" w:lineRule="exact"/>
        <w:rPr>
          <w:rFonts w:ascii="Arial" w:cs="Arial" w:eastAsia="Arial" w:hAnsi="Arial"/>
          <w:sz w:val="14"/>
          <w:szCs w:val="14"/>
          <w:color w:val="auto"/>
        </w:rPr>
      </w:pPr>
    </w:p>
    <w:p>
      <w:pPr>
        <w:ind w:left="440" w:hanging="321"/>
        <w:spacing w:after="0" w:line="287"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adjustments related to the expected consolidation of NCM LLC by NCM Inc., including the classification of the minority interest of NCM LLC as a reduction in NCM Inc.’s additional paid-in-capital. NCM LLC will have negative members’ equity because (i) the redemption of all of the preferred membership units will be for an amount in excess of total book value of members’ equity prior to the redemption and (ii) the payment of the net proceeds from the sale of membership units by NCM LLC to the founding members in connection with the modification of the exhibitor services agreements, which will be treated as a distribution. NCM Inc., as managing member of NCM LLC, expects to consolidate NCM LLC under the provisions of EITF Consensus 04-5. We expect that NCM Inc. will consolidate NCM LLC. EITF Consensus 04-5 provides that a managing member is presumed to control, and therefore should consolidate, a limited liability company that is not a variable interest entity under FASB Interpretation No. 46(R). The presumption of control can be overcome if the other members can cause the liquidation of the limited liability company, remove the managing member without cause, or if the other members have substantive participating rights in decisions affecting the entity’s ordinary course of business. The non-managing members will not have the ability to cause liquidation or to remove NCM Inc. as manager without cause.</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20" w:top="399" w:right="25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line="293" w:lineRule="auto"/>
        <w:rPr>
          <w:sz w:val="20"/>
          <w:szCs w:val="20"/>
          <w:color w:val="auto"/>
        </w:rPr>
      </w:pPr>
      <w:r>
        <w:rPr>
          <w:rFonts w:ascii="Arial" w:cs="Arial" w:eastAsia="Arial" w:hAnsi="Arial"/>
          <w:sz w:val="13"/>
          <w:szCs w:val="13"/>
          <w:color w:val="auto"/>
        </w:rPr>
        <w:t>We have assessed the various matters that would require a supermajority vote of the board of NCM Inc. and have concluded that these rights are “protective rights” under EITF Consensus 04-5, given that they address matters that are not expected to be addressed in directing and carrying out NCM LLC’s current business activities. The minority interest will be included in stockholder’s deficit because negative minority interest cannot be recorded as an asset. Should a circumstance arise under which the founding members become entitled to approve specific actions of NCM LLC as described under “Corporate History and Reorganization—Corporate Governance Matters”, our consolidation policy would need to be re-evaluated and it is probable NCM Inc. would no longer consolidate NCM LLC and instead would apply the equity method of accounting for its interest in NCM LLC.</w:t>
      </w:r>
    </w:p>
    <w:p>
      <w:pPr>
        <w:spacing w:after="0" w:line="38" w:lineRule="exact"/>
        <w:rPr>
          <w:sz w:val="20"/>
          <w:szCs w:val="20"/>
          <w:color w:val="auto"/>
        </w:rPr>
      </w:pPr>
    </w:p>
    <w:p>
      <w:pPr>
        <w:ind w:left="440" w:hanging="321"/>
        <w:spacing w:after="0" w:line="290" w:lineRule="auto"/>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a result of the distributions made to the founding members in connection with the redemption of all of the preferred units and the payments made to the founding members in connection with the modification of the exhibitor services agreements, assets that are amortizable for federal income tax purposes, but not recognized under GAAP, will be created. NCM Inc. and the founding members will enter into a tax receivable agreement (see “Certain Relationships and Related Party Transactions—Transactions with Founding Members—Tax Receivable Agreement”) under which NCM Inc. will effectively make cash payments to the founding members in amounts equal to 90% of NCM Inc.’s actual tax benefit realized as a result of this amortization. NCM Inc. will record a deferred tax asset equal to the future tax benefits of the tax amortization, estimated at $223.7 million and a credit to a long-term payable of $201.3 million, which has been reflected at its discounted value of $88.7 million and a credit to additional paid-in capital estimated at $135.0 million.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40"/>
          </w:cols>
          <w:pgMar w:left="220" w:top="399" w:right="2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60" w:right="3620" w:firstLine="3176"/>
        <w:spacing w:after="0" w:line="459" w:lineRule="auto"/>
        <w:rPr>
          <w:sz w:val="20"/>
          <w:szCs w:val="20"/>
          <w:color w:val="auto"/>
        </w:rPr>
      </w:pPr>
      <w:r>
        <w:rPr>
          <w:rFonts w:ascii="Arial" w:cs="Arial" w:eastAsia="Arial" w:hAnsi="Arial"/>
          <w:sz w:val="14"/>
          <w:szCs w:val="14"/>
          <w:b w:val="1"/>
          <w:bCs w:val="1"/>
          <w:color w:val="auto"/>
        </w:rPr>
        <w:t xml:space="preserve">SELECTED HISTORICAL FINANCIAL AND OPERATING DATA </w:t>
      </w:r>
      <w:r>
        <w:rPr>
          <w:rFonts w:ascii="Arial" w:cs="Arial" w:eastAsia="Arial" w:hAnsi="Arial"/>
          <w:sz w:val="14"/>
          <w:szCs w:val="14"/>
          <w:color w:val="auto"/>
        </w:rPr>
        <w:t>The following table sets forth our historical selected financial and operating data for the periods indicated.</w:t>
      </w:r>
    </w:p>
    <w:p>
      <w:pPr>
        <w:ind w:right="240" w:firstLine="458"/>
        <w:spacing w:after="0" w:line="275" w:lineRule="auto"/>
        <w:rPr>
          <w:sz w:val="20"/>
          <w:szCs w:val="20"/>
          <w:color w:val="auto"/>
        </w:rPr>
      </w:pPr>
      <w:r>
        <w:rPr>
          <w:rFonts w:ascii="Arial" w:cs="Arial" w:eastAsia="Arial" w:hAnsi="Arial"/>
          <w:sz w:val="14"/>
          <w:szCs w:val="14"/>
          <w:color w:val="auto"/>
        </w:rPr>
        <w:t>The selected financial and operating data should be read together with the other information contained in this prospectus, including “Corporate History and Reorganization,” “Financing Transaction,” “Management’s Discussion and Analysis of Financial Condition and Results of Operations,” the audited historical financial statements and the notes thereto included elsewhere in this prospectus, and the unaudited historical interim consolidated financial statements and the notes thereto included elsewhere in this prospectus.</w:t>
      </w:r>
    </w:p>
    <w:p>
      <w:pPr>
        <w:spacing w:after="0" w:line="102" w:lineRule="exact"/>
        <w:rPr>
          <w:sz w:val="20"/>
          <w:szCs w:val="20"/>
          <w:color w:val="auto"/>
        </w:rPr>
      </w:pPr>
    </w:p>
    <w:p>
      <w:pPr>
        <w:ind w:right="20" w:firstLine="458"/>
        <w:spacing w:after="0" w:line="284" w:lineRule="auto"/>
        <w:rPr>
          <w:sz w:val="20"/>
          <w:szCs w:val="20"/>
          <w:color w:val="auto"/>
        </w:rPr>
      </w:pPr>
      <w:r>
        <w:rPr>
          <w:rFonts w:ascii="Arial" w:cs="Arial" w:eastAsia="Arial" w:hAnsi="Arial"/>
          <w:sz w:val="13"/>
          <w:szCs w:val="13"/>
          <w:color w:val="auto"/>
        </w:rPr>
        <w:t>The statement of operations data for the nine months ended September 28, 2006, and the balance sheet data as of September 28, 2006, were derived from the audited financial statements of NCM LLC included elsewhere in this prospectus. The statement of operations data for the nine months and three months ended September 29, 2005 and the three months ended September 28, 2006 were derived from unaudited financial statements of NCM LLC included elsewhere in this prospectus. The statement of operations data for the nine months ended December 29, 2005 and September 28, 2006, and the balance sheet data as of December 29, 2005, were derived from the audited financial statements of NCM LLC included elsewhere in this prospectus. The statement of operations data for RCM for the three months ended March 31, 2005, and the years ended December 30, 2004, and January 1, 2004, and the balance sheet data as of December 30, 2004, were derived from the audited financial statements of RCM, which are included elsewhere in this prospectus. The statement of operations data for the period ended December 26, 2002 and the balance sheet data as of December 26, 2002, January 1, 2004 and March 31, 2005 were derived from the unaudited financial statements of RCM, which are not included in this prospectus. The balance sheet of NCN as of April 1, 2005 and the statement of operations data for NCN for the 14 weeks ended March 31, 2005 and the 38 weeks from April 2, 2004 through December 23, 2004 and the 53 weeks ended April 1, 2004, were derived from the audited financial statements of NCN, which are included elsewhere in this prospectus. The statement of operations data for the 53 weeks ended April 3, 2003 were derived from the unaudited financial statements of NCN, which are not included in this prospectus. We do not present results for the nine months ended September 28, 2006, on a comparative basis to the nine months ended September 29, 2005, due to the first quarter of 2005 not including any advertising inventory for the Cinemark screens and due to differences in the structure of circuit share expense, both of which limit comparability of revenue and expenses for such reporting periods. RCM was formed in April 2002 and therefore there is no information for RCM for time periods prior to 2002. We have included results for our joint predecessor NCN for comparable periods of time to those presented for our joint predecessor RCM. As a newly formed, nominally capitalized entity, we have had no operations to date and, therefore, the information below is presented only for NCM LLC and its predecessor companies.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These historical financial statements do not reflect what our results of operations and financial position would have been had we been a stand-alone, public company for the periods presented.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Specifically, our historical results of operations do not give effect to the matters set forth below:</w:t>
      </w:r>
    </w:p>
    <w:p>
      <w:pPr>
        <w:spacing w:after="0" w:line="74" w:lineRule="exact"/>
        <w:rPr>
          <w:sz w:val="20"/>
          <w:szCs w:val="20"/>
          <w:color w:val="auto"/>
        </w:rPr>
      </w:pPr>
    </w:p>
    <w:p>
      <w:pPr>
        <w:ind w:left="780" w:hanging="240"/>
        <w:spacing w:after="0" w:line="266" w:lineRule="auto"/>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terms of our exhibitor services agreements, which differ from our prior contractual arrangements with our founding members and will have on going material significance to our results of operations, (i) assign legacy contracts to NCM LLC, (ii) 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exhibitor services agreements as further described in “Certain Relationships and Related Party Transactions—Transactions with Founding Members—Exhibitor Services Agreements”);</w:t>
      </w:r>
    </w:p>
    <w:p>
      <w:pPr>
        <w:spacing w:after="0" w:line="44" w:lineRule="exact"/>
        <w:rPr>
          <w:rFonts w:ascii="Arial" w:cs="Arial" w:eastAsia="Arial" w:hAnsi="Arial"/>
          <w:sz w:val="14"/>
          <w:szCs w:val="14"/>
          <w:color w:val="auto"/>
        </w:rPr>
      </w:pPr>
    </w:p>
    <w:p>
      <w:pPr>
        <w:ind w:left="780" w:hanging="240"/>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adjustments to income tax provisions to account for our status as a taxable entity with an ownership interest in NCM LLC;</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40"/>
          </w:cols>
          <w:pgMar w:left="220" w:top="399" w:right="23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elimination of non-recurring restructuring charges at NCN relating to the formation of NCM LLC;</w:t>
      </w:r>
    </w:p>
    <w:p>
      <w:pPr>
        <w:spacing w:after="0" w:line="79"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completion of the non-cash recapitalization of NCM LLC pursuant to which existing members of NCM LLC will receive one common membership unit and one preferred membership unit in exchange for each outstanding common membership unit;</w:t>
      </w:r>
    </w:p>
    <w:p>
      <w:pPr>
        <w:spacing w:after="0" w:line="27"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completion of the financing transaction, pursuant to which the preferred membership units to be issued to the founding members in a non-cash recapitalization of NCM LLC will be redeemed from the proceeds of a term loan that is part of our new senior secured credit facility;</w:t>
      </w:r>
    </w:p>
    <w:p>
      <w:pPr>
        <w:spacing w:after="0" w:line="27" w:lineRule="exact"/>
        <w:rPr>
          <w:rFonts w:ascii="Arial" w:cs="Arial" w:eastAsia="Arial" w:hAnsi="Arial"/>
          <w:sz w:val="14"/>
          <w:szCs w:val="14"/>
          <w:color w:val="auto"/>
        </w:rPr>
      </w:pPr>
    </w:p>
    <w:p>
      <w:pPr>
        <w:ind w:left="780" w:right="60" w:hanging="240"/>
        <w:spacing w:after="0" w:line="289"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completion of the offering and the use of proceeds therefrom as set forth in this prospectus, including our acquisition of 40.5% of the common membership units in NCM LLC, which will be accounted for by our expected consolidation of NCM LLC; and</w:t>
      </w:r>
    </w:p>
    <w:p>
      <w:pPr>
        <w:spacing w:after="0" w:line="27" w:lineRule="exact"/>
        <w:rPr>
          <w:rFonts w:ascii="Arial" w:cs="Arial" w:eastAsia="Arial" w:hAnsi="Arial"/>
          <w:sz w:val="14"/>
          <w:szCs w:val="14"/>
          <w:color w:val="auto"/>
        </w:rPr>
      </w:pPr>
    </w:p>
    <w:p>
      <w:pPr>
        <w:ind w:left="780" w:right="640" w:hanging="240"/>
        <w:spacing w:after="0" w:line="289"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payment by NCM LLC of all of the proceeds it receives from us to our founding members for their agreeing to modify our payment obligations under our exhibitor services agreements.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20" w:top="399" w:right="25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360"/>
          </w:cols>
          <w:pgMar w:left="220" w:top="3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20"/>
        <w:spacing w:after="0" w:line="377" w:lineRule="auto"/>
        <w:rPr>
          <w:sz w:val="20"/>
          <w:szCs w:val="20"/>
          <w:color w:val="auto"/>
        </w:rPr>
      </w:pPr>
      <w:r>
        <w:rPr>
          <w:rFonts w:ascii="Arial" w:cs="Arial" w:eastAsia="Arial" w:hAnsi="Arial"/>
          <w:sz w:val="11"/>
          <w:szCs w:val="11"/>
          <w:b w:val="1"/>
          <w:bCs w:val="1"/>
          <w:color w:val="auto"/>
        </w:rPr>
        <w:t xml:space="preserve">Result of Operations Data </w:t>
      </w:r>
      <w:r>
        <w:rPr>
          <w:rFonts w:ascii="Arial" w:cs="Arial" w:eastAsia="Arial" w:hAnsi="Arial"/>
          <w:sz w:val="11"/>
          <w:szCs w:val="11"/>
          <w:color w:val="auto"/>
        </w:rPr>
        <w:t>Revenue:</w:t>
      </w:r>
    </w:p>
    <w:p>
      <w:pPr>
        <w:ind w:left="180"/>
        <w:spacing w:after="0"/>
        <w:rPr>
          <w:sz w:val="20"/>
          <w:szCs w:val="20"/>
          <w:color w:val="auto"/>
        </w:rPr>
      </w:pPr>
      <w:r>
        <w:rPr>
          <w:rFonts w:ascii="Arial" w:cs="Arial" w:eastAsia="Arial" w:hAnsi="Arial"/>
          <w:sz w:val="11"/>
          <w:szCs w:val="11"/>
          <w:color w:val="auto"/>
        </w:rPr>
        <w:t>Advertising</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Administrative Fees—</w:t>
      </w:r>
    </w:p>
    <w:p>
      <w:pPr>
        <w:ind w:left="360"/>
        <w:spacing w:after="0" w:line="231" w:lineRule="auto"/>
        <w:rPr>
          <w:sz w:val="20"/>
          <w:szCs w:val="20"/>
          <w:color w:val="auto"/>
        </w:rPr>
      </w:pPr>
      <w:r>
        <w:rPr>
          <w:rFonts w:ascii="Arial" w:cs="Arial" w:eastAsia="Arial" w:hAnsi="Arial"/>
          <w:sz w:val="11"/>
          <w:szCs w:val="11"/>
          <w:color w:val="auto"/>
        </w:rPr>
        <w:t>Members</w:t>
      </w:r>
    </w:p>
    <w:p>
      <w:pPr>
        <w:ind w:left="180"/>
        <w:spacing w:after="0"/>
        <w:rPr>
          <w:sz w:val="20"/>
          <w:szCs w:val="20"/>
          <w:color w:val="auto"/>
        </w:rPr>
      </w:pPr>
      <w:r>
        <w:rPr>
          <w:rFonts w:ascii="Arial" w:cs="Arial" w:eastAsia="Arial" w:hAnsi="Arial"/>
          <w:sz w:val="11"/>
          <w:szCs w:val="11"/>
          <w:color w:val="auto"/>
        </w:rPr>
        <w:t>Meetings and Events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REVENUE</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Expenses: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Advertising Operating Costs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Meetings/Events Operating</w:t>
      </w:r>
    </w:p>
    <w:p>
      <w:pPr>
        <w:ind w:left="360"/>
        <w:spacing w:after="0" w:line="231" w:lineRule="auto"/>
        <w:rPr>
          <w:sz w:val="20"/>
          <w:szCs w:val="20"/>
          <w:color w:val="auto"/>
        </w:rPr>
      </w:pPr>
      <w:r>
        <w:rPr>
          <w:rFonts w:ascii="Arial" w:cs="Arial" w:eastAsia="Arial" w:hAnsi="Arial"/>
          <w:sz w:val="11"/>
          <w:szCs w:val="11"/>
          <w:color w:val="auto"/>
        </w:rPr>
        <w:t>Costs</w:t>
      </w:r>
    </w:p>
    <w:p>
      <w:pPr>
        <w:ind w:left="180"/>
        <w:spacing w:after="0"/>
        <w:rPr>
          <w:sz w:val="20"/>
          <w:szCs w:val="20"/>
          <w:color w:val="auto"/>
        </w:rPr>
      </w:pPr>
      <w:r>
        <w:rPr>
          <w:rFonts w:ascii="Arial" w:cs="Arial" w:eastAsia="Arial" w:hAnsi="Arial"/>
          <w:sz w:val="11"/>
          <w:szCs w:val="11"/>
          <w:color w:val="auto"/>
        </w:rPr>
        <w:t>Network Costs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Circuit Share/Theatre Access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1"/>
          <w:szCs w:val="11"/>
          <w:color w:val="auto"/>
        </w:rPr>
        <w:t>Fee—Members</w:t>
      </w:r>
    </w:p>
    <w:p>
      <w:pPr>
        <w:ind w:left="180"/>
        <w:spacing w:after="0"/>
        <w:rPr>
          <w:sz w:val="20"/>
          <w:szCs w:val="20"/>
          <w:color w:val="auto"/>
        </w:rPr>
      </w:pPr>
      <w:r>
        <w:rPr>
          <w:rFonts w:ascii="Arial" w:cs="Arial" w:eastAsia="Arial" w:hAnsi="Arial"/>
          <w:sz w:val="11"/>
          <w:szCs w:val="11"/>
          <w:color w:val="auto"/>
        </w:rPr>
        <w:t>Selling and Marketing</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Administrative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Deferred Stock Compensation</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Severance Plan Costs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Depreciation and Amortization</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EXPENSES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Operating Income/ (Loss)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Interest Expense, Net</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Income/(Loss) Before Income</w:t>
      </w:r>
    </w:p>
    <w:p>
      <w:pPr>
        <w:jc w:val="center"/>
        <w:ind w:right="920"/>
        <w:spacing w:after="0" w:line="231" w:lineRule="auto"/>
        <w:rPr>
          <w:sz w:val="20"/>
          <w:szCs w:val="20"/>
          <w:color w:val="auto"/>
        </w:rPr>
      </w:pPr>
      <w:r>
        <w:rPr>
          <w:rFonts w:ascii="Arial" w:cs="Arial" w:eastAsia="Arial" w:hAnsi="Arial"/>
          <w:sz w:val="11"/>
          <w:szCs w:val="11"/>
          <w:color w:val="auto"/>
        </w:rPr>
        <w:t>Taxes</w:t>
      </w:r>
    </w:p>
    <w:p>
      <w:pPr>
        <w:jc w:val="center"/>
        <w:ind w:right="920"/>
        <w:spacing w:after="0"/>
        <w:rPr>
          <w:sz w:val="20"/>
          <w:szCs w:val="20"/>
          <w:color w:val="auto"/>
        </w:rPr>
      </w:pPr>
      <w:r>
        <w:rPr>
          <w:rFonts w:ascii="Arial" w:cs="Arial" w:eastAsia="Arial" w:hAnsi="Arial"/>
          <w:sz w:val="9"/>
          <w:szCs w:val="9"/>
          <w:color w:val="auto"/>
        </w:rPr>
        <w:t>Income Taxes</w:t>
      </w:r>
    </w:p>
    <w:p>
      <w:pPr>
        <w:spacing w:after="0" w:line="107" w:lineRule="exact"/>
        <w:rPr>
          <w:sz w:val="20"/>
          <w:szCs w:val="20"/>
          <w:color w:val="auto"/>
        </w:rPr>
      </w:pPr>
    </w:p>
    <w:p>
      <w:pPr>
        <w:ind w:right="140" w:firstLine="350"/>
        <w:spacing w:after="0" w:line="548" w:lineRule="auto"/>
        <w:rPr>
          <w:sz w:val="20"/>
          <w:szCs w:val="20"/>
          <w:color w:val="auto"/>
        </w:rPr>
      </w:pPr>
      <w:r>
        <w:rPr>
          <w:rFonts w:ascii="Arial" w:cs="Arial" w:eastAsia="Arial" w:hAnsi="Arial"/>
          <w:sz w:val="10"/>
          <w:szCs w:val="10"/>
          <w:color w:val="auto"/>
        </w:rPr>
        <w:t xml:space="preserve">NET INCOME (LOSS) </w:t>
      </w:r>
      <w:r>
        <w:rPr>
          <w:rFonts w:ascii="Arial" w:cs="Arial" w:eastAsia="Arial" w:hAnsi="Arial"/>
          <w:sz w:val="10"/>
          <w:szCs w:val="10"/>
          <w:b w:val="1"/>
          <w:bCs w:val="1"/>
          <w:color w:val="auto"/>
        </w:rPr>
        <w:t>Other Financial Data</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EBITDA(1)</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Adjusted EBITDA(1)</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Adjusted EBITDA Margin(1)</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Capital Expenditures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600" w:type="dxa"/>
            <w:vAlign w:val="bottom"/>
            <w:tcBorders>
              <w:right w:val="single" w:sz="8" w:color="auto"/>
            </w:tcBorders>
            <w:gridSpan w:val="12"/>
          </w:tcPr>
          <w:p>
            <w:pPr>
              <w:jc w:val="right"/>
              <w:ind w:right="380"/>
              <w:spacing w:after="0"/>
              <w:rPr>
                <w:sz w:val="20"/>
                <w:szCs w:val="20"/>
                <w:color w:val="auto"/>
              </w:rPr>
            </w:pPr>
            <w:r>
              <w:rPr>
                <w:rFonts w:ascii="Arial" w:cs="Arial" w:eastAsia="Arial" w:hAnsi="Arial"/>
                <w:sz w:val="11"/>
                <w:szCs w:val="11"/>
                <w:b w:val="1"/>
                <w:bCs w:val="1"/>
                <w:color w:val="auto"/>
                <w:w w:val="93"/>
              </w:rPr>
              <w:t>Predecessor—National Cinema Network, Inc.</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right w:val="single" w:sz="8" w:color="auto"/>
            </w:tcBorders>
            <w:gridSpan w:val="12"/>
          </w:tcPr>
          <w:p>
            <w:pPr>
              <w:jc w:val="right"/>
              <w:ind w:right="580"/>
              <w:spacing w:after="0"/>
              <w:rPr>
                <w:sz w:val="20"/>
                <w:szCs w:val="20"/>
                <w:color w:val="auto"/>
              </w:rPr>
            </w:pPr>
            <w:r>
              <w:rPr>
                <w:rFonts w:ascii="Arial" w:cs="Arial" w:eastAsia="Arial" w:hAnsi="Arial"/>
                <w:sz w:val="11"/>
                <w:szCs w:val="11"/>
                <w:b w:val="1"/>
                <w:bCs w:val="1"/>
                <w:color w:val="auto"/>
                <w:w w:val="97"/>
              </w:rPr>
              <w:t>Predecessor—Regal CineMedia Corporation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7"/>
          </w:tcPr>
          <w:p>
            <w:pPr>
              <w:ind w:left="420"/>
              <w:spacing w:after="0"/>
              <w:rPr>
                <w:sz w:val="20"/>
                <w:szCs w:val="20"/>
                <w:color w:val="auto"/>
              </w:rPr>
            </w:pPr>
            <w:r>
              <w:rPr>
                <w:rFonts w:ascii="Arial" w:cs="Arial" w:eastAsia="Arial" w:hAnsi="Arial"/>
                <w:sz w:val="11"/>
                <w:szCs w:val="11"/>
                <w:b w:val="1"/>
                <w:bCs w:val="1"/>
                <w:color w:val="auto"/>
                <w:w w:val="94"/>
              </w:rPr>
              <w:t>National CineMedia, LLC</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00"/>
        </w:trPr>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3"/>
          </w:tcPr>
          <w:p>
            <w:pPr>
              <w:jc w:val="center"/>
              <w:ind w:right="160"/>
              <w:spacing w:after="0" w:line="101" w:lineRule="exact"/>
              <w:rPr>
                <w:sz w:val="20"/>
                <w:szCs w:val="20"/>
                <w:color w:val="auto"/>
              </w:rPr>
            </w:pPr>
            <w:r>
              <w:rPr>
                <w:rFonts w:ascii="Arial" w:cs="Arial" w:eastAsia="Arial" w:hAnsi="Arial"/>
                <w:sz w:val="11"/>
                <w:szCs w:val="11"/>
                <w:b w:val="1"/>
                <w:bCs w:val="1"/>
                <w:color w:val="auto"/>
                <w:w w:val="92"/>
              </w:rPr>
              <w:t>Thirty-eight</w:t>
            </w: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ind w:right="5"/>
              <w:spacing w:after="0" w:line="101" w:lineRule="exact"/>
              <w:rPr>
                <w:sz w:val="20"/>
                <w:szCs w:val="20"/>
                <w:color w:val="auto"/>
              </w:rPr>
            </w:pPr>
            <w:r>
              <w:rPr>
                <w:rFonts w:ascii="Arial" w:cs="Arial" w:eastAsia="Arial" w:hAnsi="Arial"/>
                <w:sz w:val="11"/>
                <w:szCs w:val="11"/>
                <w:b w:val="1"/>
                <w:bCs w:val="1"/>
                <w:color w:val="auto"/>
                <w:w w:val="89"/>
              </w:rPr>
              <w:t>Fourteen</w:t>
            </w:r>
          </w:p>
        </w:tc>
        <w:tc>
          <w:tcPr>
            <w:tcW w:w="2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center"/>
              <w:ind w:right="5"/>
              <w:spacing w:after="0" w:line="101" w:lineRule="exact"/>
              <w:rPr>
                <w:sz w:val="20"/>
                <w:szCs w:val="20"/>
                <w:color w:val="auto"/>
              </w:rPr>
            </w:pPr>
            <w:r>
              <w:rPr>
                <w:rFonts w:ascii="Arial" w:cs="Arial" w:eastAsia="Arial" w:hAnsi="Arial"/>
                <w:sz w:val="11"/>
                <w:szCs w:val="11"/>
                <w:b w:val="1"/>
                <w:bCs w:val="1"/>
                <w:color w:val="auto"/>
                <w:w w:val="93"/>
              </w:rPr>
              <w:t>Three</w:t>
            </w:r>
          </w:p>
        </w:tc>
        <w:tc>
          <w:tcPr>
            <w:tcW w:w="2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w w:val="92"/>
              </w:rPr>
              <w:t>Nine</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w w:val="84"/>
              </w:rPr>
              <w:t>Six</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w w:val="92"/>
              </w:rPr>
              <w:t>Nine</w:t>
            </w: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320"/>
              <w:spacing w:after="0" w:line="101"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ind w:right="65"/>
              <w:spacing w:after="0" w:line="10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8"/>
                <w:szCs w:val="8"/>
                <w:color w:val="auto"/>
              </w:rPr>
            </w:pPr>
          </w:p>
        </w:tc>
      </w:tr>
      <w:tr>
        <w:trPr>
          <w:trHeight w:val="120"/>
        </w:trPr>
        <w:tc>
          <w:tcPr>
            <w:tcW w:w="60" w:type="dxa"/>
            <w:vAlign w:val="bottom"/>
          </w:tcPr>
          <w:p>
            <w:pPr>
              <w:spacing w:after="0"/>
              <w:rPr>
                <w:sz w:val="10"/>
                <w:szCs w:val="10"/>
                <w:color w:val="auto"/>
              </w:rPr>
            </w:pPr>
          </w:p>
        </w:tc>
        <w:tc>
          <w:tcPr>
            <w:tcW w:w="420" w:type="dxa"/>
            <w:vAlign w:val="bottom"/>
            <w:gridSpan w:val="2"/>
          </w:tcPr>
          <w:p>
            <w:pPr>
              <w:jc w:val="right"/>
              <w:ind w:right="180"/>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4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2"/>
              </w:rPr>
              <w:t>Year</w:t>
            </w:r>
          </w:p>
        </w:tc>
        <w:tc>
          <w:tcPr>
            <w:tcW w:w="40" w:type="dxa"/>
            <w:vAlign w:val="bottom"/>
          </w:tcPr>
          <w:p>
            <w:pPr>
              <w:spacing w:after="0"/>
              <w:rPr>
                <w:sz w:val="10"/>
                <w:szCs w:val="10"/>
                <w:color w:val="auto"/>
              </w:rPr>
            </w:pPr>
          </w:p>
        </w:tc>
        <w:tc>
          <w:tcPr>
            <w:tcW w:w="80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90"/>
              </w:rPr>
              <w:t>Week Period</w:t>
            </w:r>
          </w:p>
        </w:tc>
        <w:tc>
          <w:tcPr>
            <w:tcW w:w="820" w:type="dxa"/>
            <w:vAlign w:val="bottom"/>
            <w:tcBorders>
              <w:right w:val="single" w:sz="8" w:color="auto"/>
            </w:tcBorders>
            <w:gridSpan w:val="3"/>
          </w:tcPr>
          <w:p>
            <w:pPr>
              <w:ind w:left="20"/>
              <w:spacing w:after="0" w:line="121" w:lineRule="exact"/>
              <w:rPr>
                <w:sz w:val="20"/>
                <w:szCs w:val="20"/>
                <w:color w:val="auto"/>
              </w:rPr>
            </w:pPr>
            <w:r>
              <w:rPr>
                <w:rFonts w:ascii="Arial" w:cs="Arial" w:eastAsia="Arial" w:hAnsi="Arial"/>
                <w:sz w:val="11"/>
                <w:szCs w:val="11"/>
                <w:b w:val="1"/>
                <w:bCs w:val="1"/>
                <w:color w:val="auto"/>
              </w:rPr>
              <w:t>Week Period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7"/>
              </w:rPr>
              <w:t>Period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2"/>
              </w:rPr>
              <w:t>Year</w:t>
            </w:r>
          </w:p>
        </w:tc>
        <w:tc>
          <w:tcPr>
            <w:tcW w:w="180" w:type="dxa"/>
            <w:vAlign w:val="bottom"/>
          </w:tcPr>
          <w:p>
            <w:pPr>
              <w:spacing w:after="0"/>
              <w:rPr>
                <w:sz w:val="10"/>
                <w:szCs w:val="10"/>
                <w:color w:val="auto"/>
              </w:rPr>
            </w:pPr>
          </w:p>
        </w:tc>
        <w:tc>
          <w:tcPr>
            <w:tcW w:w="6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Year</w:t>
            </w:r>
          </w:p>
        </w:tc>
        <w:tc>
          <w:tcPr>
            <w:tcW w:w="100" w:type="dxa"/>
            <w:vAlign w:val="bottom"/>
          </w:tcPr>
          <w:p>
            <w:pPr>
              <w:spacing w:after="0"/>
              <w:rPr>
                <w:sz w:val="10"/>
                <w:szCs w:val="10"/>
                <w:color w:val="auto"/>
              </w:rPr>
            </w:pPr>
          </w:p>
        </w:tc>
        <w:tc>
          <w:tcPr>
            <w:tcW w:w="680" w:type="dxa"/>
            <w:vAlign w:val="bottom"/>
            <w:tcBorders>
              <w:right w:val="single" w:sz="8" w:color="auto"/>
            </w:tcBorders>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1"/>
              </w:rPr>
              <w:t>Months</w:t>
            </w:r>
          </w:p>
        </w:tc>
        <w:tc>
          <w:tcPr>
            <w:tcW w:w="160" w:type="dxa"/>
            <w:vAlign w:val="bottom"/>
          </w:tcPr>
          <w:p>
            <w:pPr>
              <w:spacing w:after="0"/>
              <w:rPr>
                <w:sz w:val="10"/>
                <w:szCs w:val="10"/>
                <w:color w:val="auto"/>
              </w:rPr>
            </w:pPr>
          </w:p>
        </w:tc>
        <w:tc>
          <w:tcPr>
            <w:tcW w:w="66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64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1"/>
              </w:rPr>
              <w:t>Months</w:t>
            </w:r>
          </w:p>
        </w:tc>
      </w:tr>
      <w:tr>
        <w:trPr>
          <w:trHeight w:val="120"/>
        </w:trPr>
        <w:tc>
          <w:tcPr>
            <w:tcW w:w="48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Ended</w:t>
            </w:r>
          </w:p>
        </w:tc>
        <w:tc>
          <w:tcPr>
            <w:tcW w:w="100" w:type="dxa"/>
            <w:vAlign w:val="bottom"/>
          </w:tcPr>
          <w:p>
            <w:pPr>
              <w:spacing w:after="0"/>
              <w:rPr>
                <w:sz w:val="10"/>
                <w:szCs w:val="10"/>
                <w:color w:val="auto"/>
              </w:rPr>
            </w:pPr>
          </w:p>
        </w:tc>
        <w:tc>
          <w:tcPr>
            <w:tcW w:w="4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77"/>
              </w:rPr>
              <w:t>Ended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760" w:type="dxa"/>
            <w:vAlign w:val="bottom"/>
            <w:tcBorders>
              <w:right w:val="single" w:sz="8" w:color="auto"/>
            </w:tcBorders>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10"/>
                <w:szCs w:val="10"/>
                <w:color w:val="auto"/>
              </w:rPr>
            </w:pPr>
          </w:p>
        </w:tc>
        <w:tc>
          <w:tcPr>
            <w:tcW w:w="600" w:type="dxa"/>
            <w:vAlign w:val="bottom"/>
            <w:gridSpan w:val="2"/>
          </w:tcPr>
          <w:p>
            <w:pPr>
              <w:jc w:val="right"/>
              <w:ind w:right="300"/>
              <w:spacing w:after="0" w:line="121" w:lineRule="exact"/>
              <w:rPr>
                <w:sz w:val="20"/>
                <w:szCs w:val="20"/>
                <w:color w:val="auto"/>
              </w:rPr>
            </w:pPr>
            <w:r>
              <w:rPr>
                <w:rFonts w:ascii="Arial" w:cs="Arial" w:eastAsia="Arial" w:hAnsi="Arial"/>
                <w:sz w:val="11"/>
                <w:szCs w:val="11"/>
                <w:b w:val="1"/>
                <w:bCs w:val="1"/>
                <w:color w:val="auto"/>
                <w:w w:val="83"/>
              </w:rPr>
              <w:t>Ended</w:t>
            </w:r>
          </w:p>
        </w:tc>
        <w:tc>
          <w:tcPr>
            <w:tcW w:w="100" w:type="dxa"/>
            <w:vAlign w:val="bottom"/>
          </w:tcPr>
          <w:p>
            <w:pPr>
              <w:spacing w:after="0"/>
              <w:rPr>
                <w:sz w:val="10"/>
                <w:szCs w:val="10"/>
                <w:color w:val="auto"/>
              </w:rPr>
            </w:pPr>
          </w:p>
        </w:tc>
        <w:tc>
          <w:tcPr>
            <w:tcW w:w="680" w:type="dxa"/>
            <w:vAlign w:val="bottom"/>
            <w:tcBorders>
              <w:right w:val="single" w:sz="8" w:color="auto"/>
            </w:tcBorders>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160" w:type="dxa"/>
            <w:vAlign w:val="bottom"/>
          </w:tcPr>
          <w:p>
            <w:pPr>
              <w:spacing w:after="0"/>
              <w:rPr>
                <w:sz w:val="10"/>
                <w:szCs w:val="10"/>
                <w:color w:val="auto"/>
              </w:rPr>
            </w:pPr>
          </w:p>
        </w:tc>
        <w:tc>
          <w:tcPr>
            <w:tcW w:w="66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64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5"/>
              </w:rPr>
              <w:t>Ended</w:t>
            </w:r>
          </w:p>
        </w:tc>
      </w:tr>
      <w:tr>
        <w:trPr>
          <w:trHeight w:val="120"/>
        </w:trPr>
        <w:tc>
          <w:tcPr>
            <w:tcW w:w="4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April 3,</w:t>
            </w:r>
          </w:p>
        </w:tc>
        <w:tc>
          <w:tcPr>
            <w:tcW w:w="100" w:type="dxa"/>
            <w:vAlign w:val="bottom"/>
          </w:tcPr>
          <w:p>
            <w:pPr>
              <w:spacing w:after="0"/>
              <w:rPr>
                <w:sz w:val="10"/>
                <w:szCs w:val="10"/>
                <w:color w:val="auto"/>
              </w:rPr>
            </w:pPr>
          </w:p>
        </w:tc>
        <w:tc>
          <w:tcPr>
            <w:tcW w:w="4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April 1,</w:t>
            </w:r>
          </w:p>
        </w:tc>
        <w:tc>
          <w:tcPr>
            <w:tcW w:w="40" w:type="dxa"/>
            <w:vAlign w:val="bottom"/>
          </w:tcPr>
          <w:p>
            <w:pPr>
              <w:spacing w:after="0"/>
              <w:rPr>
                <w:sz w:val="10"/>
                <w:szCs w:val="10"/>
                <w:color w:val="auto"/>
              </w:rPr>
            </w:pP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23,</w:t>
            </w:r>
          </w:p>
        </w:tc>
        <w:tc>
          <w:tcPr>
            <w:tcW w:w="60" w:type="dxa"/>
            <w:vAlign w:val="bottom"/>
          </w:tcPr>
          <w:p>
            <w:pPr>
              <w:spacing w:after="0"/>
              <w:rPr>
                <w:sz w:val="10"/>
                <w:szCs w:val="10"/>
                <w:color w:val="auto"/>
              </w:rPr>
            </w:pPr>
          </w:p>
        </w:tc>
        <w:tc>
          <w:tcPr>
            <w:tcW w:w="760" w:type="dxa"/>
            <w:vAlign w:val="bottom"/>
            <w:tcBorders>
              <w:right w:val="single" w:sz="8" w:color="auto"/>
            </w:tcBorders>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0"/>
              </w:rPr>
              <w:t>March 31,</w:t>
            </w:r>
          </w:p>
        </w:tc>
        <w:tc>
          <w:tcPr>
            <w:tcW w:w="6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7"/>
              </w:rPr>
              <w:t>December 26,</w:t>
            </w:r>
          </w:p>
        </w:tc>
        <w:tc>
          <w:tcPr>
            <w:tcW w:w="40" w:type="dxa"/>
            <w:vAlign w:val="bottom"/>
          </w:tcPr>
          <w:p>
            <w:pPr>
              <w:spacing w:after="0"/>
              <w:rPr>
                <w:sz w:val="10"/>
                <w:szCs w:val="10"/>
                <w:color w:val="auto"/>
              </w:rPr>
            </w:pPr>
          </w:p>
        </w:tc>
        <w:tc>
          <w:tcPr>
            <w:tcW w:w="6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January 1,</w:t>
            </w: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30,</w:t>
            </w:r>
          </w:p>
        </w:tc>
        <w:tc>
          <w:tcPr>
            <w:tcW w:w="100" w:type="dxa"/>
            <w:vAlign w:val="bottom"/>
          </w:tcPr>
          <w:p>
            <w:pPr>
              <w:spacing w:after="0"/>
              <w:rPr>
                <w:sz w:val="10"/>
                <w:szCs w:val="10"/>
                <w:color w:val="auto"/>
              </w:rPr>
            </w:pPr>
          </w:p>
        </w:tc>
        <w:tc>
          <w:tcPr>
            <w:tcW w:w="680" w:type="dxa"/>
            <w:vAlign w:val="bottom"/>
            <w:tcBorders>
              <w:right w:val="single" w:sz="8" w:color="auto"/>
            </w:tcBorders>
            <w:gridSpan w:val="2"/>
          </w:tcPr>
          <w:p>
            <w:pPr>
              <w:spacing w:after="0" w:line="121" w:lineRule="exact"/>
              <w:rPr>
                <w:sz w:val="20"/>
                <w:szCs w:val="20"/>
                <w:color w:val="auto"/>
              </w:rPr>
            </w:pPr>
            <w:r>
              <w:rPr>
                <w:rFonts w:ascii="Arial" w:cs="Arial" w:eastAsia="Arial" w:hAnsi="Arial"/>
                <w:sz w:val="11"/>
                <w:szCs w:val="11"/>
                <w:b w:val="1"/>
                <w:bCs w:val="1"/>
                <w:color w:val="auto"/>
              </w:rPr>
              <w:t>March 31,</w:t>
            </w:r>
          </w:p>
        </w:tc>
        <w:tc>
          <w:tcPr>
            <w:tcW w:w="6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4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29,</w:t>
            </w:r>
          </w:p>
        </w:tc>
        <w:tc>
          <w:tcPr>
            <w:tcW w:w="4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29,</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8"/>
              </w:rPr>
              <w:t>September 28,</w:t>
            </w:r>
          </w:p>
        </w:tc>
      </w:tr>
      <w:tr>
        <w:trPr>
          <w:trHeight w:val="142"/>
        </w:trPr>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w w:val="89"/>
              </w:rPr>
              <w:t>2003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2004</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2005</w:t>
            </w:r>
          </w:p>
        </w:tc>
        <w:tc>
          <w:tcPr>
            <w:tcW w:w="2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2004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2005</w:t>
            </w: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05"/>
              <w:spacing w:after="0"/>
              <w:rPr>
                <w:sz w:val="20"/>
                <w:szCs w:val="20"/>
                <w:color w:val="auto"/>
              </w:rPr>
            </w:pPr>
            <w:r>
              <w:rPr>
                <w:rFonts w:ascii="Arial" w:cs="Arial" w:eastAsia="Arial" w:hAnsi="Arial"/>
                <w:sz w:val="11"/>
                <w:szCs w:val="11"/>
                <w:b w:val="1"/>
                <w:bCs w:val="1"/>
                <w:color w:val="auto"/>
                <w:w w:val="89"/>
              </w:rPr>
              <w:t>2005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2006</w:t>
            </w:r>
          </w:p>
        </w:tc>
        <w:tc>
          <w:tcPr>
            <w:tcW w:w="80" w:type="dxa"/>
            <w:vAlign w:val="bottom"/>
          </w:tcPr>
          <w:p>
            <w:pPr>
              <w:spacing w:after="0"/>
              <w:rPr>
                <w:sz w:val="12"/>
                <w:szCs w:val="12"/>
                <w:color w:val="auto"/>
              </w:rPr>
            </w:pPr>
          </w:p>
        </w:tc>
      </w:tr>
      <w:tr>
        <w:trPr>
          <w:trHeight w:val="188"/>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1"/>
              </w:rPr>
              <w:t>($</w:t>
            </w:r>
          </w:p>
        </w:tc>
        <w:tc>
          <w:tcPr>
            <w:tcW w:w="3860" w:type="dxa"/>
            <w:vAlign w:val="bottom"/>
            <w:gridSpan w:val="17"/>
          </w:tcPr>
          <w:p>
            <w:pPr>
              <w:ind w:left="20"/>
              <w:spacing w:after="0"/>
              <w:rPr>
                <w:sz w:val="20"/>
                <w:szCs w:val="20"/>
                <w:color w:val="auto"/>
              </w:rPr>
            </w:pPr>
            <w:r>
              <w:rPr>
                <w:rFonts w:ascii="Arial" w:cs="Arial" w:eastAsia="Arial" w:hAnsi="Arial"/>
                <w:sz w:val="11"/>
                <w:szCs w:val="11"/>
                <w:b w:val="1"/>
                <w:bCs w:val="1"/>
                <w:color w:val="auto"/>
                <w:w w:val="89"/>
              </w:rPr>
              <w:t>in millions, except total advertising contract value per founding member attendee)</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00"/>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68.9</w:t>
            </w:r>
          </w:p>
        </w:tc>
        <w:tc>
          <w:tcPr>
            <w:tcW w:w="12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12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56.5</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15.5</w:t>
            </w:r>
          </w:p>
        </w:tc>
        <w:tc>
          <w:tcPr>
            <w:tcW w:w="1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21.8</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65.2</w:t>
            </w:r>
          </w:p>
        </w:tc>
        <w:tc>
          <w:tcPr>
            <w:tcW w:w="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15.6</w:t>
            </w: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56.0</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24.8</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128.2</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15.8</w:t>
            </w:r>
          </w:p>
        </w:tc>
        <w:tc>
          <w:tcPr>
            <w:tcW w:w="1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54.9</w:t>
            </w:r>
          </w:p>
        </w:tc>
      </w:tr>
      <w:tr>
        <w:trPr>
          <w:trHeight w:val="240"/>
        </w:trPr>
        <w:tc>
          <w:tcPr>
            <w:tcW w:w="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0.8</w:t>
            </w:r>
          </w:p>
        </w:tc>
      </w:tr>
      <w:tr>
        <w:trPr>
          <w:trHeight w:val="197"/>
        </w:trPr>
        <w:tc>
          <w:tcPr>
            <w:tcW w:w="6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4.8</w:t>
            </w:r>
          </w:p>
        </w:tc>
      </w:tr>
      <w:tr>
        <w:trPr>
          <w:trHeight w:val="187"/>
        </w:trPr>
        <w:tc>
          <w:tcPr>
            <w:tcW w:w="60" w:type="dxa"/>
            <w:vAlign w:val="bottom"/>
          </w:tcPr>
          <w:p>
            <w:pPr>
              <w:spacing w:after="0"/>
              <w:rPr>
                <w:sz w:val="16"/>
                <w:szCs w:val="16"/>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0.1</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0.3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0.2</w:t>
            </w: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56.5</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24.5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95.3</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17.8</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98.8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54.1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60.7</w:t>
            </w: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5"/>
        </w:trPr>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17.9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11.3</w:t>
            </w:r>
          </w:p>
        </w:tc>
        <w:tc>
          <w:tcPr>
            <w:tcW w:w="60" w:type="dxa"/>
            <w:vAlign w:val="bottom"/>
          </w:tcPr>
          <w:p>
            <w:pPr>
              <w:spacing w:after="0"/>
              <w:rPr>
                <w:sz w:val="24"/>
                <w:szCs w:val="24"/>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3.5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0.9</w:t>
            </w: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6.3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r>
      <w:tr>
        <w:trPr>
          <w:trHeight w:val="240"/>
        </w:trPr>
        <w:tc>
          <w:tcPr>
            <w:tcW w:w="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5.4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1.5</w:t>
            </w: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2.3</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9.2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5.7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3.5</w:t>
            </w:r>
          </w:p>
        </w:tc>
      </w:tr>
      <w:tr>
        <w:trPr>
          <w:trHeight w:val="240"/>
        </w:trPr>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18.6</w:t>
            </w:r>
          </w:p>
        </w:tc>
        <w:tc>
          <w:tcPr>
            <w:tcW w:w="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w:t>
            </w: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38.6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16.8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38.0</w:t>
            </w: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4.4</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15.1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9.6</w:t>
            </w: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6.1</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9.8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6.2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11.4</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4.1</w:t>
            </w:r>
          </w:p>
        </w:tc>
      </w:tr>
      <w:tr>
        <w:trPr>
          <w:trHeight w:val="197"/>
        </w:trPr>
        <w:tc>
          <w:tcPr>
            <w:tcW w:w="6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0.3</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97"/>
        </w:trPr>
        <w:tc>
          <w:tcPr>
            <w:tcW w:w="6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8.5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0.9</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0.4</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1.1</w:t>
            </w:r>
          </w:p>
        </w:tc>
      </w:tr>
      <w:tr>
        <w:trPr>
          <w:trHeight w:val="187"/>
        </w:trPr>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66.6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49.2</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17.0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61.4</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15.0</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105.7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58.1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61.1</w:t>
            </w: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33.9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(10.9)</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(0.4)</w:t>
            </w:r>
          </w:p>
        </w:tc>
      </w:tr>
      <w:tr>
        <w:trPr>
          <w:trHeight w:val="187"/>
        </w:trPr>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6"/>
                <w:szCs w:val="16"/>
                <w:color w:val="auto"/>
              </w:rPr>
            </w:pPr>
          </w:p>
        </w:tc>
      </w:tr>
      <w:tr>
        <w:trPr>
          <w:trHeight w:val="252"/>
        </w:trPr>
        <w:tc>
          <w:tcPr>
            <w:tcW w:w="6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21"/>
                <w:szCs w:val="21"/>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33.9</w:t>
            </w: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2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w:t>
            </w:r>
          </w:p>
        </w:tc>
        <w:tc>
          <w:tcPr>
            <w:tcW w:w="1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(0.6)</w:t>
            </w:r>
          </w:p>
        </w:tc>
      </w:tr>
      <w:tr>
        <w:trPr>
          <w:trHeight w:val="187"/>
        </w:trPr>
        <w:tc>
          <w:tcPr>
            <w:tcW w:w="6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3.0</w:t>
            </w:r>
          </w:p>
        </w:tc>
        <w:tc>
          <w:tcPr>
            <w:tcW w:w="6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(0.6)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(0.4)</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4.3</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(0.9)</w:t>
            </w:r>
          </w:p>
        </w:tc>
        <w:tc>
          <w:tcPr>
            <w:tcW w:w="1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(2.1)</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12.9</w:t>
            </w:r>
          </w:p>
        </w:tc>
        <w:tc>
          <w:tcPr>
            <w:tcW w:w="1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20.6</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1.7</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(6.9)</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(4.0)</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w:t>
            </w: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(0.6)</w:t>
            </w: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4"/>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8.2</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(0.5)</w:t>
            </w:r>
          </w:p>
        </w:tc>
        <w:tc>
          <w:tcPr>
            <w:tcW w:w="1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(3.0)</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22.2</w:t>
            </w:r>
          </w:p>
        </w:tc>
        <w:tc>
          <w:tcPr>
            <w:tcW w:w="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34.9</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3.2</w:t>
            </w: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(3.9)</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(2.1)</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(7.5)</w:t>
            </w: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(0.9)</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r>
      <w:tr>
        <w:trPr>
          <w:trHeight w:val="197"/>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8.2</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36.3</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3.5</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4.6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4.0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r>
      <w:tr>
        <w:trPr>
          <w:trHeight w:val="197"/>
        </w:trPr>
        <w:tc>
          <w:tcPr>
            <w:tcW w:w="6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14.5%</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NM</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NM</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32.6%</w:t>
            </w:r>
          </w:p>
        </w:tc>
        <w:tc>
          <w:tcPr>
            <w:tcW w:w="1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38.1%</w:t>
            </w:r>
          </w:p>
        </w:tc>
        <w:tc>
          <w:tcPr>
            <w:tcW w:w="10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19.7%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7.4%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NM</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3.6%</w:t>
            </w:r>
          </w:p>
        </w:tc>
      </w:tr>
      <w:tr>
        <w:trPr>
          <w:trHeight w:val="187"/>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2.6</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2.7</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5.9</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3.1</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1.9</w:t>
            </w:r>
          </w:p>
        </w:tc>
      </w:tr>
    </w:tbl>
    <w:p>
      <w:pPr>
        <w:spacing w:after="0" w:line="113" w:lineRule="exact"/>
        <w:rPr>
          <w:sz w:val="20"/>
          <w:szCs w:val="20"/>
          <w:color w:val="auto"/>
        </w:rPr>
      </w:pPr>
    </w:p>
    <w:p>
      <w:pPr>
        <w:sectPr>
          <w:pgSz w:w="11900" w:h="16838" w:orient="portrait"/>
          <w:cols w:equalWidth="0" w:num="2">
            <w:col w:w="1540" w:space="60"/>
            <w:col w:w="9760"/>
          </w:cols>
          <w:pgMar w:left="220" w:top="399" w:right="319" w:bottom="1440" w:gutter="0" w:footer="0" w:header="0"/>
          <w:type w:val="continuous"/>
        </w:sectPr>
      </w:pPr>
    </w:p>
    <w:p>
      <w:pPr>
        <w:jc w:val="center"/>
        <w:ind w:right="-9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360"/>
          </w:cols>
          <w:pgMar w:left="220" w:top="399" w:right="319" w:bottom="1440" w:gutter="0" w:footer="0" w:header="0"/>
          <w:type w:val="continuous"/>
        </w:sectPr>
      </w:pPr>
    </w:p>
    <w:bookmarkStart w:id="51" w:name="page52"/>
    <w:bookmarkEnd w:id="5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Operating Data</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Founding Member Screens at Period End(2)</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auto"/>
        </w:rPr>
        <w:t>Total Screens at Period</w:t>
      </w:r>
    </w:p>
    <w:p>
      <w:pPr>
        <w:ind w:left="180"/>
        <w:spacing w:after="0" w:line="231" w:lineRule="auto"/>
        <w:rPr>
          <w:sz w:val="20"/>
          <w:szCs w:val="20"/>
          <w:color w:val="auto"/>
        </w:rPr>
      </w:pPr>
      <w:r>
        <w:rPr>
          <w:rFonts w:ascii="Arial" w:cs="Arial" w:eastAsia="Arial" w:hAnsi="Arial"/>
          <w:sz w:val="11"/>
          <w:szCs w:val="11"/>
          <w:color w:val="auto"/>
        </w:rPr>
        <w:t>End(3)</w:t>
      </w:r>
    </w:p>
    <w:p>
      <w:pPr>
        <w:spacing w:after="0" w:line="228" w:lineRule="auto"/>
        <w:rPr>
          <w:sz w:val="20"/>
          <w:szCs w:val="20"/>
          <w:color w:val="auto"/>
        </w:rPr>
      </w:pPr>
      <w:r>
        <w:rPr>
          <w:rFonts w:ascii="Arial" w:cs="Arial" w:eastAsia="Arial" w:hAnsi="Arial"/>
          <w:sz w:val="11"/>
          <w:szCs w:val="11"/>
          <w:color w:val="auto"/>
        </w:rPr>
        <w:t>Digital Screens at Period</w:t>
      </w:r>
    </w:p>
    <w:p>
      <w:pPr>
        <w:ind w:left="180"/>
        <w:spacing w:after="0" w:line="228" w:lineRule="auto"/>
        <w:rPr>
          <w:sz w:val="20"/>
          <w:szCs w:val="20"/>
          <w:color w:val="auto"/>
        </w:rPr>
      </w:pPr>
      <w:r>
        <w:rPr>
          <w:rFonts w:ascii="Arial" w:cs="Arial" w:eastAsia="Arial" w:hAnsi="Arial"/>
          <w:sz w:val="11"/>
          <w:szCs w:val="11"/>
          <w:color w:val="auto"/>
        </w:rPr>
        <w:t>End(4)</w:t>
      </w:r>
    </w:p>
    <w:p>
      <w:pPr>
        <w:spacing w:after="0"/>
        <w:rPr>
          <w:sz w:val="20"/>
          <w:szCs w:val="20"/>
          <w:color w:val="auto"/>
        </w:rPr>
      </w:pPr>
      <w:r>
        <w:rPr>
          <w:rFonts w:ascii="Arial" w:cs="Arial" w:eastAsia="Arial" w:hAnsi="Arial"/>
          <w:sz w:val="11"/>
          <w:szCs w:val="11"/>
          <w:color w:val="auto"/>
        </w:rPr>
        <w:t>Total Advertising Contract Value</w:t>
      </w:r>
    </w:p>
    <w:p>
      <w:pPr>
        <w:spacing w:after="0" w:line="62" w:lineRule="exact"/>
        <w:rPr>
          <w:sz w:val="20"/>
          <w:szCs w:val="20"/>
          <w:color w:val="auto"/>
        </w:rPr>
      </w:pPr>
    </w:p>
    <w:p>
      <w:pPr>
        <w:ind w:left="180" w:right="100" w:hanging="174"/>
        <w:spacing w:after="0" w:line="235" w:lineRule="auto"/>
        <w:rPr>
          <w:sz w:val="20"/>
          <w:szCs w:val="20"/>
          <w:color w:val="auto"/>
        </w:rPr>
      </w:pPr>
      <w:r>
        <w:rPr>
          <w:rFonts w:ascii="Arial" w:cs="Arial" w:eastAsia="Arial" w:hAnsi="Arial"/>
          <w:sz w:val="11"/>
          <w:szCs w:val="11"/>
          <w:color w:val="auto"/>
        </w:rPr>
        <w:t>Founding Member Attendance for Period (in millions)(5)</w:t>
      </w:r>
    </w:p>
    <w:p>
      <w:pPr>
        <w:spacing w:after="0" w:line="1" w:lineRule="exact"/>
        <w:rPr>
          <w:sz w:val="20"/>
          <w:szCs w:val="20"/>
          <w:color w:val="auto"/>
        </w:rPr>
      </w:pPr>
    </w:p>
    <w:p>
      <w:pPr>
        <w:ind w:left="180" w:hanging="174"/>
        <w:spacing w:after="0" w:line="236" w:lineRule="auto"/>
        <w:rPr>
          <w:sz w:val="20"/>
          <w:szCs w:val="20"/>
          <w:color w:val="auto"/>
        </w:rPr>
      </w:pPr>
      <w:r>
        <w:rPr>
          <w:rFonts w:ascii="Arial" w:cs="Arial" w:eastAsia="Arial" w:hAnsi="Arial"/>
          <w:sz w:val="11"/>
          <w:szCs w:val="11"/>
          <w:color w:val="auto"/>
        </w:rPr>
        <w:t>Total Advertising Contract Value per Founding Member Attendee(6)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Balance Sheet Data</w:t>
      </w:r>
    </w:p>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Receivables, Net</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Property and Equipment, Net</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Total Assets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Borrowings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Members’/Stockholder’s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420" w:type="dxa"/>
            <w:vAlign w:val="bottom"/>
            <w:tcBorders>
              <w:right w:val="single" w:sz="8" w:color="auto"/>
            </w:tcBorders>
            <w:gridSpan w:val="16"/>
          </w:tcPr>
          <w:p>
            <w:pPr>
              <w:jc w:val="right"/>
              <w:ind w:right="280"/>
              <w:spacing w:after="0"/>
              <w:rPr>
                <w:sz w:val="20"/>
                <w:szCs w:val="20"/>
                <w:color w:val="auto"/>
              </w:rPr>
            </w:pPr>
            <w:r>
              <w:rPr>
                <w:rFonts w:ascii="Arial" w:cs="Arial" w:eastAsia="Arial" w:hAnsi="Arial"/>
                <w:sz w:val="11"/>
                <w:szCs w:val="11"/>
                <w:b w:val="1"/>
                <w:bCs w:val="1"/>
                <w:color w:val="auto"/>
                <w:w w:val="90"/>
              </w:rPr>
              <w:t>Predecessor—National Cinema Network, Inc.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gridSpan w:val="15"/>
          </w:tcPr>
          <w:p>
            <w:pPr>
              <w:ind w:left="100"/>
              <w:spacing w:after="0"/>
              <w:rPr>
                <w:sz w:val="20"/>
                <w:szCs w:val="20"/>
                <w:color w:val="auto"/>
              </w:rPr>
            </w:pPr>
            <w:r>
              <w:rPr>
                <w:rFonts w:ascii="Arial" w:cs="Arial" w:eastAsia="Arial" w:hAnsi="Arial"/>
                <w:sz w:val="11"/>
                <w:szCs w:val="11"/>
                <w:b w:val="1"/>
                <w:bCs w:val="1"/>
                <w:color w:val="auto"/>
                <w:w w:val="98"/>
              </w:rPr>
              <w:t>Predecessor—Regal CineMedia Corporation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2"/>
          </w:tcPr>
          <w:p>
            <w:pPr>
              <w:jc w:val="center"/>
              <w:ind w:right="280"/>
              <w:spacing w:after="0"/>
              <w:rPr>
                <w:sz w:val="20"/>
                <w:szCs w:val="20"/>
                <w:color w:val="auto"/>
              </w:rPr>
            </w:pPr>
            <w:r>
              <w:rPr>
                <w:rFonts w:ascii="Arial" w:cs="Arial" w:eastAsia="Arial" w:hAnsi="Arial"/>
                <w:sz w:val="11"/>
                <w:szCs w:val="11"/>
                <w:b w:val="1"/>
                <w:bCs w:val="1"/>
                <w:color w:val="auto"/>
                <w:w w:val="96"/>
              </w:rPr>
              <w:t>National CineMedia, LLC</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4"/>
          </w:tcPr>
          <w:p>
            <w:pPr>
              <w:jc w:val="center"/>
              <w:ind w:right="40"/>
              <w:spacing w:after="0" w:line="101" w:lineRule="exact"/>
              <w:rPr>
                <w:sz w:val="20"/>
                <w:szCs w:val="20"/>
                <w:color w:val="auto"/>
              </w:rPr>
            </w:pPr>
            <w:r>
              <w:rPr>
                <w:rFonts w:ascii="Arial" w:cs="Arial" w:eastAsia="Arial" w:hAnsi="Arial"/>
                <w:sz w:val="11"/>
                <w:szCs w:val="11"/>
                <w:b w:val="1"/>
                <w:bCs w:val="1"/>
                <w:color w:val="auto"/>
                <w:w w:val="95"/>
              </w:rPr>
              <w:t>Thirty-eight</w:t>
            </w: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4"/>
          </w:tcPr>
          <w:p>
            <w:pPr>
              <w:jc w:val="center"/>
              <w:spacing w:after="0" w:line="101" w:lineRule="exact"/>
              <w:rPr>
                <w:sz w:val="20"/>
                <w:szCs w:val="20"/>
                <w:color w:val="auto"/>
              </w:rPr>
            </w:pPr>
            <w:r>
              <w:rPr>
                <w:rFonts w:ascii="Arial" w:cs="Arial" w:eastAsia="Arial" w:hAnsi="Arial"/>
                <w:sz w:val="11"/>
                <w:szCs w:val="11"/>
                <w:b w:val="1"/>
                <w:bCs w:val="1"/>
                <w:color w:val="auto"/>
                <w:w w:val="89"/>
              </w:rPr>
              <w:t>Fourteen</w:t>
            </w:r>
          </w:p>
        </w:tc>
        <w:tc>
          <w:tcPr>
            <w:tcW w:w="1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2"/>
          </w:tcPr>
          <w:p>
            <w:pPr>
              <w:jc w:val="center"/>
              <w:ind w:right="20"/>
              <w:spacing w:after="0" w:line="101" w:lineRule="exact"/>
              <w:rPr>
                <w:sz w:val="20"/>
                <w:szCs w:val="20"/>
                <w:color w:val="auto"/>
              </w:rPr>
            </w:pPr>
            <w:r>
              <w:rPr>
                <w:rFonts w:ascii="Arial" w:cs="Arial" w:eastAsia="Arial" w:hAnsi="Arial"/>
                <w:sz w:val="11"/>
                <w:szCs w:val="11"/>
                <w:b w:val="1"/>
                <w:bCs w:val="1"/>
                <w:color w:val="auto"/>
                <w:w w:val="93"/>
              </w:rPr>
              <w:t>Three</w:t>
            </w: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3"/>
          </w:tcPr>
          <w:p>
            <w:pPr>
              <w:jc w:val="center"/>
              <w:ind w:right="240"/>
              <w:spacing w:after="0" w:line="101" w:lineRule="exact"/>
              <w:rPr>
                <w:sz w:val="20"/>
                <w:szCs w:val="20"/>
                <w:color w:val="auto"/>
              </w:rPr>
            </w:pPr>
            <w:r>
              <w:rPr>
                <w:rFonts w:ascii="Arial" w:cs="Arial" w:eastAsia="Arial" w:hAnsi="Arial"/>
                <w:sz w:val="11"/>
                <w:szCs w:val="11"/>
                <w:b w:val="1"/>
                <w:bCs w:val="1"/>
                <w:color w:val="auto"/>
                <w:w w:val="92"/>
              </w:rPr>
              <w:t>Nine</w:t>
            </w: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gridSpan w:val="2"/>
          </w:tcPr>
          <w:p>
            <w:pPr>
              <w:jc w:val="center"/>
              <w:ind w:right="185"/>
              <w:spacing w:after="0" w:line="101" w:lineRule="exact"/>
              <w:rPr>
                <w:sz w:val="20"/>
                <w:szCs w:val="20"/>
                <w:color w:val="auto"/>
              </w:rPr>
            </w:pPr>
            <w:r>
              <w:rPr>
                <w:rFonts w:ascii="Arial" w:cs="Arial" w:eastAsia="Arial" w:hAnsi="Arial"/>
                <w:sz w:val="11"/>
                <w:szCs w:val="11"/>
                <w:b w:val="1"/>
                <w:bCs w:val="1"/>
                <w:color w:val="auto"/>
                <w:w w:val="84"/>
              </w:rPr>
              <w:t>Six</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4"/>
          </w:tcPr>
          <w:p>
            <w:pPr>
              <w:jc w:val="center"/>
              <w:ind w:right="160"/>
              <w:spacing w:after="0" w:line="101" w:lineRule="exact"/>
              <w:rPr>
                <w:sz w:val="20"/>
                <w:szCs w:val="20"/>
                <w:color w:val="auto"/>
              </w:rPr>
            </w:pPr>
            <w:r>
              <w:rPr>
                <w:rFonts w:ascii="Arial" w:cs="Arial" w:eastAsia="Arial" w:hAnsi="Arial"/>
                <w:sz w:val="11"/>
                <w:szCs w:val="11"/>
                <w:b w:val="1"/>
                <w:bCs w:val="1"/>
                <w:color w:val="auto"/>
                <w:w w:val="92"/>
              </w:rPr>
              <w:t>Nine</w:t>
            </w: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center"/>
              <w:spacing w:after="0" w:line="10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ind w:right="145"/>
              <w:spacing w:after="0" w:line="101" w:lineRule="exact"/>
              <w:rPr>
                <w:sz w:val="20"/>
                <w:szCs w:val="20"/>
                <w:color w:val="auto"/>
              </w:rPr>
            </w:pPr>
            <w:r>
              <w:rPr>
                <w:rFonts w:ascii="Arial" w:cs="Arial" w:eastAsia="Arial" w:hAnsi="Arial"/>
                <w:sz w:val="11"/>
                <w:szCs w:val="11"/>
                <w:b w:val="1"/>
                <w:bCs w:val="1"/>
                <w:color w:val="auto"/>
                <w:w w:val="93"/>
              </w:rPr>
              <w:t>Three</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700" w:type="dxa"/>
            <w:vAlign w:val="bottom"/>
            <w:gridSpan w:val="4"/>
          </w:tcPr>
          <w:p>
            <w:pPr>
              <w:jc w:val="center"/>
              <w:ind w:right="60"/>
              <w:spacing w:after="0" w:line="121" w:lineRule="exact"/>
              <w:rPr>
                <w:sz w:val="20"/>
                <w:szCs w:val="20"/>
                <w:color w:val="auto"/>
              </w:rPr>
            </w:pPr>
            <w:r>
              <w:rPr>
                <w:rFonts w:ascii="Arial" w:cs="Arial" w:eastAsia="Arial" w:hAnsi="Arial"/>
                <w:sz w:val="11"/>
                <w:szCs w:val="11"/>
                <w:b w:val="1"/>
                <w:bCs w:val="1"/>
                <w:color w:val="auto"/>
                <w:w w:val="90"/>
              </w:rPr>
              <w:t>Week Period</w:t>
            </w:r>
          </w:p>
        </w:tc>
        <w:tc>
          <w:tcPr>
            <w:tcW w:w="40" w:type="dxa"/>
            <w:vAlign w:val="bottom"/>
          </w:tcPr>
          <w:p>
            <w:pPr>
              <w:spacing w:after="0"/>
              <w:rPr>
                <w:sz w:val="10"/>
                <w:szCs w:val="10"/>
                <w:color w:val="auto"/>
              </w:rPr>
            </w:pPr>
          </w:p>
        </w:tc>
        <w:tc>
          <w:tcPr>
            <w:tcW w:w="820" w:type="dxa"/>
            <w:vAlign w:val="bottom"/>
            <w:tcBorders>
              <w:right w:val="single" w:sz="8" w:color="auto"/>
            </w:tcBorders>
            <w:gridSpan w:val="6"/>
          </w:tcPr>
          <w:p>
            <w:pPr>
              <w:jc w:val="center"/>
              <w:ind w:right="200"/>
              <w:spacing w:after="0" w:line="121" w:lineRule="exact"/>
              <w:rPr>
                <w:sz w:val="20"/>
                <w:szCs w:val="20"/>
                <w:color w:val="auto"/>
              </w:rPr>
            </w:pPr>
            <w:r>
              <w:rPr>
                <w:rFonts w:ascii="Arial" w:cs="Arial" w:eastAsia="Arial" w:hAnsi="Arial"/>
                <w:sz w:val="11"/>
                <w:szCs w:val="11"/>
                <w:b w:val="1"/>
                <w:bCs w:val="1"/>
                <w:color w:val="auto"/>
                <w:w w:val="87"/>
              </w:rPr>
              <w:t>Week Period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7"/>
              </w:rPr>
              <w:t>Period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3"/>
              </w:rPr>
              <w:t>Year</w:t>
            </w:r>
          </w:p>
        </w:tc>
        <w:tc>
          <w:tcPr>
            <w:tcW w:w="80" w:type="dxa"/>
            <w:vAlign w:val="bottom"/>
          </w:tcPr>
          <w:p>
            <w:pPr>
              <w:spacing w:after="0"/>
              <w:rPr>
                <w:sz w:val="10"/>
                <w:szCs w:val="10"/>
                <w:color w:val="auto"/>
              </w:rPr>
            </w:pPr>
          </w:p>
        </w:tc>
        <w:tc>
          <w:tcPr>
            <w:tcW w:w="580" w:type="dxa"/>
            <w:vAlign w:val="bottom"/>
            <w:gridSpan w:val="3"/>
          </w:tcPr>
          <w:p>
            <w:pPr>
              <w:jc w:val="center"/>
              <w:ind w:right="25"/>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91"/>
              </w:rPr>
              <w:t>Months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66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4"/>
          </w:tcPr>
          <w:p>
            <w:pPr>
              <w:jc w:val="center"/>
              <w:ind w:right="160"/>
              <w:spacing w:after="0" w:line="121"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145"/>
              <w:spacing w:after="0" w:line="121" w:lineRule="exact"/>
              <w:rPr>
                <w:sz w:val="20"/>
                <w:szCs w:val="20"/>
                <w:color w:val="auto"/>
              </w:rPr>
            </w:pPr>
            <w:r>
              <w:rPr>
                <w:rFonts w:ascii="Arial" w:cs="Arial" w:eastAsia="Arial" w:hAnsi="Arial"/>
                <w:sz w:val="11"/>
                <w:szCs w:val="11"/>
                <w:b w:val="1"/>
                <w:bCs w:val="1"/>
                <w:color w:val="auto"/>
                <w:w w:val="91"/>
              </w:rPr>
              <w:t>Months</w:t>
            </w:r>
          </w:p>
        </w:tc>
        <w:tc>
          <w:tcPr>
            <w:tcW w:w="0" w:type="dxa"/>
            <w:vAlign w:val="bottom"/>
          </w:tcPr>
          <w:p>
            <w:pPr>
              <w:spacing w:after="0"/>
              <w:rPr>
                <w:sz w:val="1"/>
                <w:szCs w:val="1"/>
                <w:color w:val="auto"/>
              </w:rPr>
            </w:pPr>
          </w:p>
        </w:tc>
      </w:tr>
      <w:tr>
        <w:trPr>
          <w:trHeight w:val="120"/>
        </w:trPr>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820" w:type="dxa"/>
            <w:vAlign w:val="bottom"/>
            <w:tcBorders>
              <w:right w:val="single" w:sz="8" w:color="auto"/>
            </w:tcBorders>
            <w:gridSpan w:val="6"/>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20" w:type="dxa"/>
            <w:vAlign w:val="bottom"/>
          </w:tcPr>
          <w:p>
            <w:pPr>
              <w:spacing w:after="0"/>
              <w:rPr>
                <w:sz w:val="10"/>
                <w:szCs w:val="10"/>
                <w:color w:val="auto"/>
              </w:rPr>
            </w:pPr>
          </w:p>
        </w:tc>
        <w:tc>
          <w:tcPr>
            <w:tcW w:w="600" w:type="dxa"/>
            <w:vAlign w:val="bottom"/>
            <w:gridSpan w:val="4"/>
          </w:tcPr>
          <w:p>
            <w:pPr>
              <w:jc w:val="center"/>
              <w:ind w:right="80"/>
              <w:spacing w:after="0" w:line="121" w:lineRule="exact"/>
              <w:rPr>
                <w:sz w:val="20"/>
                <w:szCs w:val="20"/>
                <w:color w:val="auto"/>
              </w:rPr>
            </w:pPr>
            <w:r>
              <w:rPr>
                <w:rFonts w:ascii="Arial" w:cs="Arial" w:eastAsia="Arial" w:hAnsi="Arial"/>
                <w:sz w:val="11"/>
                <w:szCs w:val="11"/>
                <w:b w:val="1"/>
                <w:bCs w:val="1"/>
                <w:color w:val="auto"/>
                <w:w w:val="95"/>
              </w:rPr>
              <w:t>Ended</w:t>
            </w:r>
          </w:p>
        </w:tc>
        <w:tc>
          <w:tcPr>
            <w:tcW w:w="80" w:type="dxa"/>
            <w:vAlign w:val="bottom"/>
          </w:tcPr>
          <w:p>
            <w:pPr>
              <w:spacing w:after="0"/>
              <w:rPr>
                <w:sz w:val="10"/>
                <w:szCs w:val="10"/>
                <w:color w:val="auto"/>
              </w:rPr>
            </w:pPr>
          </w:p>
        </w:tc>
        <w:tc>
          <w:tcPr>
            <w:tcW w:w="580" w:type="dxa"/>
            <w:vAlign w:val="bottom"/>
            <w:gridSpan w:val="3"/>
          </w:tcPr>
          <w:p>
            <w:pPr>
              <w:jc w:val="center"/>
              <w:ind w:right="25"/>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89"/>
              </w:rPr>
              <w:t>Ended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6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4"/>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145"/>
              <w:spacing w:after="0" w:line="121" w:lineRule="exact"/>
              <w:rPr>
                <w:sz w:val="20"/>
                <w:szCs w:val="20"/>
                <w:color w:val="auto"/>
              </w:rPr>
            </w:pPr>
            <w:r>
              <w:rPr>
                <w:rFonts w:ascii="Arial" w:cs="Arial" w:eastAsia="Arial" w:hAnsi="Arial"/>
                <w:sz w:val="11"/>
                <w:szCs w:val="11"/>
                <w:b w:val="1"/>
                <w:bCs w:val="1"/>
                <w:color w:val="auto"/>
                <w:w w:val="95"/>
              </w:rPr>
              <w:t>Ended</w:t>
            </w:r>
          </w:p>
        </w:tc>
        <w:tc>
          <w:tcPr>
            <w:tcW w:w="0" w:type="dxa"/>
            <w:vAlign w:val="bottom"/>
          </w:tcPr>
          <w:p>
            <w:pPr>
              <w:spacing w:after="0"/>
              <w:rPr>
                <w:sz w:val="1"/>
                <w:szCs w:val="1"/>
                <w:color w:val="auto"/>
              </w:rPr>
            </w:pPr>
          </w:p>
        </w:tc>
      </w:tr>
      <w:tr>
        <w:trPr>
          <w:trHeight w:val="120"/>
        </w:trPr>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6"/>
              </w:rPr>
              <w:t>April 3,</w:t>
            </w:r>
          </w:p>
        </w:tc>
        <w:tc>
          <w:tcPr>
            <w:tcW w:w="100" w:type="dxa"/>
            <w:vAlign w:val="bottom"/>
          </w:tcPr>
          <w:p>
            <w:pPr>
              <w:spacing w:after="0"/>
              <w:rPr>
                <w:sz w:val="10"/>
                <w:szCs w:val="10"/>
                <w:color w:val="auto"/>
              </w:rPr>
            </w:pPr>
          </w:p>
        </w:tc>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6"/>
              </w:rPr>
              <w:t>April 1,</w:t>
            </w:r>
          </w:p>
        </w:tc>
        <w:tc>
          <w:tcPr>
            <w:tcW w:w="100" w:type="dxa"/>
            <w:vAlign w:val="bottom"/>
          </w:tcPr>
          <w:p>
            <w:pPr>
              <w:spacing w:after="0"/>
              <w:rPr>
                <w:sz w:val="10"/>
                <w:szCs w:val="10"/>
                <w:color w:val="auto"/>
              </w:rPr>
            </w:pPr>
          </w:p>
        </w:tc>
        <w:tc>
          <w:tcPr>
            <w:tcW w:w="70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December 23,</w:t>
            </w:r>
          </w:p>
        </w:tc>
        <w:tc>
          <w:tcPr>
            <w:tcW w:w="40" w:type="dxa"/>
            <w:vAlign w:val="bottom"/>
          </w:tcPr>
          <w:p>
            <w:pPr>
              <w:spacing w:after="0"/>
              <w:rPr>
                <w:sz w:val="10"/>
                <w:szCs w:val="10"/>
                <w:color w:val="auto"/>
              </w:rPr>
            </w:pPr>
          </w:p>
        </w:tc>
        <w:tc>
          <w:tcPr>
            <w:tcW w:w="820" w:type="dxa"/>
            <w:vAlign w:val="bottom"/>
            <w:tcBorders>
              <w:right w:val="single" w:sz="8" w:color="auto"/>
            </w:tcBorders>
            <w:gridSpan w:val="6"/>
          </w:tcPr>
          <w:p>
            <w:pPr>
              <w:jc w:val="center"/>
              <w:ind w:right="200"/>
              <w:spacing w:after="0" w:line="121"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720" w:type="dxa"/>
            <w:vAlign w:val="bottom"/>
            <w:gridSpan w:val="4"/>
          </w:tcPr>
          <w:p>
            <w:pPr>
              <w:jc w:val="center"/>
              <w:ind w:right="80"/>
              <w:spacing w:after="0" w:line="121" w:lineRule="exact"/>
              <w:rPr>
                <w:sz w:val="20"/>
                <w:szCs w:val="20"/>
                <w:color w:val="auto"/>
              </w:rPr>
            </w:pPr>
            <w:r>
              <w:rPr>
                <w:rFonts w:ascii="Arial" w:cs="Arial" w:eastAsia="Arial" w:hAnsi="Arial"/>
                <w:sz w:val="11"/>
                <w:szCs w:val="11"/>
                <w:b w:val="1"/>
                <w:bCs w:val="1"/>
                <w:color w:val="auto"/>
                <w:w w:val="89"/>
              </w:rPr>
              <w:t>December 26,</w:t>
            </w:r>
          </w:p>
        </w:tc>
        <w:tc>
          <w:tcPr>
            <w:tcW w:w="20" w:type="dxa"/>
            <w:vAlign w:val="bottom"/>
          </w:tcPr>
          <w:p>
            <w:pPr>
              <w:spacing w:after="0"/>
              <w:rPr>
                <w:sz w:val="10"/>
                <w:szCs w:val="10"/>
                <w:color w:val="auto"/>
              </w:rPr>
            </w:pPr>
          </w:p>
        </w:tc>
        <w:tc>
          <w:tcPr>
            <w:tcW w:w="600" w:type="dxa"/>
            <w:vAlign w:val="bottom"/>
            <w:gridSpan w:val="4"/>
          </w:tcPr>
          <w:p>
            <w:pPr>
              <w:jc w:val="center"/>
              <w:ind w:right="80"/>
              <w:spacing w:after="0" w:line="121" w:lineRule="exact"/>
              <w:rPr>
                <w:sz w:val="20"/>
                <w:szCs w:val="20"/>
                <w:color w:val="auto"/>
              </w:rPr>
            </w:pPr>
            <w:r>
              <w:rPr>
                <w:rFonts w:ascii="Arial" w:cs="Arial" w:eastAsia="Arial" w:hAnsi="Arial"/>
                <w:sz w:val="11"/>
                <w:szCs w:val="11"/>
                <w:b w:val="1"/>
                <w:bCs w:val="1"/>
                <w:color w:val="auto"/>
                <w:w w:val="88"/>
              </w:rPr>
              <w:t>January 1,</w:t>
            </w:r>
          </w:p>
        </w:tc>
        <w:tc>
          <w:tcPr>
            <w:tcW w:w="66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w w:val="86"/>
              </w:rPr>
              <w:t>December 30,</w:t>
            </w:r>
          </w:p>
        </w:tc>
        <w:tc>
          <w:tcPr>
            <w:tcW w:w="100" w:type="dxa"/>
            <w:vAlign w:val="bottom"/>
          </w:tcPr>
          <w:p>
            <w:pPr>
              <w:spacing w:after="0"/>
              <w:rPr>
                <w:sz w:val="10"/>
                <w:szCs w:val="10"/>
                <w:color w:val="auto"/>
              </w:rPr>
            </w:pPr>
          </w:p>
        </w:tc>
        <w:tc>
          <w:tcPr>
            <w:tcW w:w="580" w:type="dxa"/>
            <w:vAlign w:val="bottom"/>
            <w:gridSpan w:val="6"/>
          </w:tcPr>
          <w:p>
            <w:pPr>
              <w:jc w:val="center"/>
              <w:ind w:right="100"/>
              <w:spacing w:after="0" w:line="121"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December 29,</w:t>
            </w:r>
          </w:p>
        </w:tc>
        <w:tc>
          <w:tcPr>
            <w:tcW w:w="60" w:type="dxa"/>
            <w:vAlign w:val="bottom"/>
          </w:tcPr>
          <w:p>
            <w:pPr>
              <w:spacing w:after="0"/>
              <w:rPr>
                <w:sz w:val="10"/>
                <w:szCs w:val="10"/>
                <w:color w:val="auto"/>
              </w:rPr>
            </w:pPr>
          </w:p>
        </w:tc>
        <w:tc>
          <w:tcPr>
            <w:tcW w:w="66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87"/>
              </w:rPr>
              <w:t>September 29,</w:t>
            </w:r>
          </w:p>
        </w:tc>
        <w:tc>
          <w:tcPr>
            <w:tcW w:w="100" w:type="dxa"/>
            <w:vAlign w:val="bottom"/>
          </w:tcPr>
          <w:p>
            <w:pPr>
              <w:spacing w:after="0"/>
              <w:rPr>
                <w:sz w:val="10"/>
                <w:szCs w:val="10"/>
                <w:color w:val="auto"/>
              </w:rPr>
            </w:pPr>
          </w:p>
        </w:tc>
        <w:tc>
          <w:tcPr>
            <w:tcW w:w="700" w:type="dxa"/>
            <w:vAlign w:val="bottom"/>
            <w:gridSpan w:val="6"/>
          </w:tcPr>
          <w:p>
            <w:pPr>
              <w:jc w:val="center"/>
              <w:ind w:right="40"/>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60" w:type="dxa"/>
            <w:vAlign w:val="bottom"/>
          </w:tcPr>
          <w:p>
            <w:pPr>
              <w:spacing w:after="0"/>
              <w:rPr>
                <w:sz w:val="10"/>
                <w:szCs w:val="10"/>
                <w:color w:val="auto"/>
              </w:rPr>
            </w:pPr>
          </w:p>
        </w:tc>
        <w:tc>
          <w:tcPr>
            <w:tcW w:w="720" w:type="dxa"/>
            <w:vAlign w:val="bottom"/>
            <w:gridSpan w:val="6"/>
          </w:tcPr>
          <w:p>
            <w:pPr>
              <w:spacing w:after="0" w:line="121" w:lineRule="exact"/>
              <w:rPr>
                <w:sz w:val="20"/>
                <w:szCs w:val="20"/>
                <w:color w:val="auto"/>
              </w:rPr>
            </w:pPr>
            <w:r>
              <w:rPr>
                <w:rFonts w:ascii="Arial" w:cs="Arial" w:eastAsia="Arial" w:hAnsi="Arial"/>
                <w:sz w:val="11"/>
                <w:szCs w:val="11"/>
                <w:b w:val="1"/>
                <w:bCs w:val="1"/>
                <w:color w:val="auto"/>
                <w:w w:val="93"/>
              </w:rPr>
              <w:t>September 29,</w:t>
            </w:r>
          </w:p>
        </w:tc>
        <w:tc>
          <w:tcPr>
            <w:tcW w:w="40" w:type="dxa"/>
            <w:vAlign w:val="bottom"/>
          </w:tcPr>
          <w:p>
            <w:pPr>
              <w:spacing w:after="0"/>
              <w:rPr>
                <w:sz w:val="10"/>
                <w:szCs w:val="10"/>
                <w:color w:val="auto"/>
              </w:rPr>
            </w:pPr>
          </w:p>
        </w:tc>
        <w:tc>
          <w:tcPr>
            <w:tcW w:w="760" w:type="dxa"/>
            <w:vAlign w:val="bottom"/>
            <w:gridSpan w:val="2"/>
          </w:tcPr>
          <w:p>
            <w:pPr>
              <w:jc w:val="center"/>
              <w:ind w:right="25"/>
              <w:spacing w:after="0" w:line="121" w:lineRule="exact"/>
              <w:rPr>
                <w:sz w:val="20"/>
                <w:szCs w:val="20"/>
                <w:color w:val="auto"/>
              </w:rPr>
            </w:pPr>
            <w:r>
              <w:rPr>
                <w:rFonts w:ascii="Arial" w:cs="Arial" w:eastAsia="Arial" w:hAnsi="Arial"/>
                <w:sz w:val="11"/>
                <w:szCs w:val="11"/>
                <w:b w:val="1"/>
                <w:bCs w:val="1"/>
                <w:color w:val="auto"/>
                <w:w w:val="90"/>
              </w:rPr>
              <w:t>September 28,</w:t>
            </w: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2003</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2004</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gridSpan w:val="3"/>
          </w:tcPr>
          <w:p>
            <w:pPr>
              <w:jc w:val="center"/>
              <w:ind w:left="105"/>
              <w:spacing w:after="0"/>
              <w:rPr>
                <w:sz w:val="20"/>
                <w:szCs w:val="20"/>
                <w:color w:val="auto"/>
              </w:rPr>
            </w:pPr>
            <w:r>
              <w:rPr>
                <w:rFonts w:ascii="Arial" w:cs="Arial" w:eastAsia="Arial" w:hAnsi="Arial"/>
                <w:sz w:val="11"/>
                <w:szCs w:val="11"/>
                <w:b w:val="1"/>
                <w:bCs w:val="1"/>
                <w:color w:val="auto"/>
                <w:w w:val="89"/>
              </w:rPr>
              <w:t>2005</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1"/>
              </w:rPr>
              <w:t>2004</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center"/>
              <w:ind w:right="25"/>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w w:val="89"/>
              </w:rPr>
              <w:t>2005</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1"/>
                <w:szCs w:val="11"/>
                <w:b w:val="1"/>
                <w:bCs w:val="1"/>
                <w:color w:val="auto"/>
                <w:w w:val="89"/>
              </w:rPr>
              <w:t>2005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2006</w:t>
            </w: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89"/>
              </w:rPr>
              <w:t>2005</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1"/>
              </w:rPr>
              <w:t>2006</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gridSpan w:val="29"/>
          </w:tcPr>
          <w:p>
            <w:pPr>
              <w:ind w:left="20"/>
              <w:spacing w:after="0"/>
              <w:rPr>
                <w:sz w:val="20"/>
                <w:szCs w:val="20"/>
                <w:color w:val="auto"/>
              </w:rPr>
            </w:pPr>
            <w:r>
              <w:rPr>
                <w:rFonts w:ascii="Arial" w:cs="Arial" w:eastAsia="Arial" w:hAnsi="Arial"/>
                <w:sz w:val="11"/>
                <w:szCs w:val="11"/>
                <w:b w:val="1"/>
                <w:bCs w:val="1"/>
                <w:color w:val="auto"/>
                <w:w w:val="90"/>
              </w:rPr>
              <w:t>($ in millions, except advertising contract value per founding member attendee)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3,152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3,168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3,170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w w:val="94"/>
              </w:rPr>
              <w:t>3,144</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5,663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6,045</w:t>
            </w:r>
          </w:p>
        </w:tc>
        <w:tc>
          <w:tcPr>
            <w:tcW w:w="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6,273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6,258</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9,696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9,693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12,039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9,693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12,039</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7,711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7,297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5,026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w w:val="94"/>
              </w:rPr>
              <w:t>5,001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6,045</w:t>
            </w:r>
          </w:p>
        </w:tc>
        <w:tc>
          <w:tcPr>
            <w:tcW w:w="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6,565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6,550</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10,766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10,763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12,973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10,673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12,973</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1,173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2,523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w w:val="94"/>
              </w:rPr>
              <w:t>2,523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4,584</w:t>
            </w:r>
          </w:p>
        </w:tc>
        <w:tc>
          <w:tcPr>
            <w:tcW w:w="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5,303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5,674</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8,713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8,426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11,077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8,426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11,077</w:t>
            </w:r>
          </w:p>
        </w:tc>
        <w:tc>
          <w:tcPr>
            <w:tcW w:w="0" w:type="dxa"/>
            <w:vAlign w:val="bottom"/>
          </w:tcPr>
          <w:p>
            <w:pPr>
              <w:spacing w:after="0"/>
              <w:rPr>
                <w:sz w:val="1"/>
                <w:szCs w:val="1"/>
                <w:color w:val="auto"/>
              </w:rPr>
            </w:pPr>
          </w:p>
        </w:tc>
      </w:tr>
      <w:tr>
        <w:trPr>
          <w:trHeight w:val="197"/>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68.9</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22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56.5</w:t>
            </w:r>
          </w:p>
        </w:tc>
        <w:tc>
          <w:tcPr>
            <w:tcW w:w="30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rPr>
              <w:t>15.5</w:t>
            </w:r>
          </w:p>
        </w:tc>
        <w:tc>
          <w:tcPr>
            <w:tcW w:w="120" w:type="dxa"/>
            <w:vAlign w:val="bottom"/>
            <w:tcBorders>
              <w:right w:val="single" w:sz="8" w:color="auto"/>
            </w:tcBorders>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21.8</w:t>
            </w:r>
          </w:p>
        </w:tc>
        <w:tc>
          <w:tcPr>
            <w:tcW w:w="80" w:type="dxa"/>
            <w:vAlign w:val="bottom"/>
          </w:tcPr>
          <w:p>
            <w:pPr>
              <w:spacing w:after="0"/>
              <w:rPr>
                <w:sz w:val="17"/>
                <w:szCs w:val="17"/>
                <w:color w:val="auto"/>
              </w:rPr>
            </w:pPr>
          </w:p>
        </w:tc>
        <w:tc>
          <w:tcPr>
            <w:tcW w:w="140" w:type="dxa"/>
            <w:vAlign w:val="bottom"/>
            <w:gridSpan w:val="2"/>
          </w:tcPr>
          <w:p>
            <w:pPr>
              <w:jc w:val="right"/>
              <w:ind w:right="5"/>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7"/>
                <w:szCs w:val="17"/>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65.2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83.6</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gridSpan w:val="2"/>
          </w:tcPr>
          <w:p>
            <w:pPr>
              <w:jc w:val="right"/>
              <w:ind w:right="85"/>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144.0</w:t>
            </w:r>
          </w:p>
        </w:tc>
        <w:tc>
          <w:tcPr>
            <w:tcW w:w="300" w:type="dxa"/>
            <w:vAlign w:val="bottom"/>
            <w:gridSpan w:val="2"/>
          </w:tcPr>
          <w:p>
            <w:pPr>
              <w:jc w:val="right"/>
              <w:ind w:right="145"/>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91.1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141.6</w:t>
            </w:r>
          </w:p>
        </w:tc>
        <w:tc>
          <w:tcPr>
            <w:tcW w:w="1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45.5</w:t>
            </w:r>
          </w:p>
        </w:tc>
        <w:tc>
          <w:tcPr>
            <w:tcW w:w="16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57.4</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118.5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rPr>
              <w:t>41.5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265.6</w:t>
            </w:r>
          </w:p>
        </w:tc>
        <w:tc>
          <w:tcPr>
            <w:tcW w:w="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253.8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58.6</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299.3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197.9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384.4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98.1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131.8</w:t>
            </w:r>
          </w:p>
        </w:tc>
        <w:tc>
          <w:tcPr>
            <w:tcW w:w="0" w:type="dxa"/>
            <w:vAlign w:val="bottom"/>
          </w:tcPr>
          <w:p>
            <w:pPr>
              <w:spacing w:after="0"/>
              <w:rPr>
                <w:sz w:val="1"/>
                <w:szCs w:val="1"/>
                <w:color w:val="auto"/>
              </w:rPr>
            </w:pPr>
          </w:p>
        </w:tc>
      </w:tr>
      <w:tr>
        <w:trPr>
          <w:trHeight w:val="230"/>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0.41</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0.43</w:t>
            </w:r>
          </w:p>
        </w:tc>
        <w:tc>
          <w:tcPr>
            <w:tcW w:w="22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0.48</w:t>
            </w:r>
          </w:p>
        </w:tc>
        <w:tc>
          <w:tcPr>
            <w:tcW w:w="30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0"/>
                <w:szCs w:val="20"/>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rPr>
              <w:t>0.37</w:t>
            </w:r>
          </w:p>
        </w:tc>
        <w:tc>
          <w:tcPr>
            <w:tcW w:w="120" w:type="dxa"/>
            <w:vAlign w:val="bottom"/>
            <w:tcBorders>
              <w:right w:val="single" w:sz="8" w:color="auto"/>
            </w:tcBorders>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0.10</w:t>
            </w:r>
          </w:p>
        </w:tc>
        <w:tc>
          <w:tcPr>
            <w:tcW w:w="80" w:type="dxa"/>
            <w:vAlign w:val="bottom"/>
          </w:tcPr>
          <w:p>
            <w:pPr>
              <w:spacing w:after="0"/>
              <w:rPr>
                <w:sz w:val="20"/>
                <w:szCs w:val="20"/>
                <w:color w:val="auto"/>
              </w:rPr>
            </w:pPr>
          </w:p>
        </w:tc>
        <w:tc>
          <w:tcPr>
            <w:tcW w:w="140" w:type="dxa"/>
            <w:vAlign w:val="bottom"/>
            <w:gridSpan w:val="2"/>
          </w:tcPr>
          <w:p>
            <w:pPr>
              <w:jc w:val="right"/>
              <w:ind w:right="5"/>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0.25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0.33</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0.27</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85"/>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0.48</w:t>
            </w:r>
          </w:p>
        </w:tc>
        <w:tc>
          <w:tcPr>
            <w:tcW w:w="300" w:type="dxa"/>
            <w:vAlign w:val="bottom"/>
            <w:gridSpan w:val="2"/>
          </w:tcPr>
          <w:p>
            <w:pPr>
              <w:jc w:val="right"/>
              <w:ind w:right="145"/>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0.46</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0"/>
                <w:szCs w:val="20"/>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0.37</w:t>
            </w:r>
          </w:p>
        </w:tc>
        <w:tc>
          <w:tcPr>
            <w:tcW w:w="1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0.46</w:t>
            </w:r>
          </w:p>
        </w:tc>
        <w:tc>
          <w:tcPr>
            <w:tcW w:w="16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0.44</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16"/>
            <w:vMerge w:val="restart"/>
          </w:tcPr>
          <w:p>
            <w:pPr>
              <w:ind w:left="20"/>
              <w:spacing w:after="0"/>
              <w:rPr>
                <w:sz w:val="20"/>
                <w:szCs w:val="20"/>
                <w:color w:val="auto"/>
              </w:rPr>
            </w:pPr>
            <w:r>
              <w:rPr>
                <w:rFonts w:ascii="Arial" w:cs="Arial" w:eastAsia="Arial" w:hAnsi="Arial"/>
                <w:sz w:val="11"/>
                <w:szCs w:val="11"/>
                <w:b w:val="1"/>
                <w:bCs w:val="1"/>
                <w:color w:val="auto"/>
                <w:w w:val="93"/>
              </w:rPr>
              <w:t>Predecessor—National Cinema Network, Inc.</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17"/>
            <w:vMerge w:val="restart"/>
          </w:tcPr>
          <w:p>
            <w:pPr>
              <w:jc w:val="right"/>
              <w:ind w:right="65"/>
              <w:spacing w:after="0"/>
              <w:rPr>
                <w:sz w:val="20"/>
                <w:szCs w:val="20"/>
                <w:color w:val="auto"/>
              </w:rPr>
            </w:pPr>
            <w:r>
              <w:rPr>
                <w:rFonts w:ascii="Arial" w:cs="Arial" w:eastAsia="Arial" w:hAnsi="Arial"/>
                <w:sz w:val="11"/>
                <w:szCs w:val="11"/>
                <w:b w:val="1"/>
                <w:bCs w:val="1"/>
                <w:color w:val="auto"/>
                <w:w w:val="92"/>
              </w:rPr>
              <w:t>Predecessor—Regal CineMedia Corporation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10"/>
            <w:vMerge w:val="restart"/>
          </w:tcPr>
          <w:p>
            <w:pPr>
              <w:jc w:val="right"/>
              <w:ind w:right="265"/>
              <w:spacing w:after="0"/>
              <w:rPr>
                <w:sz w:val="20"/>
                <w:szCs w:val="20"/>
                <w:color w:val="auto"/>
              </w:rPr>
            </w:pPr>
            <w:r>
              <w:rPr>
                <w:rFonts w:ascii="Arial" w:cs="Arial" w:eastAsia="Arial" w:hAnsi="Arial"/>
                <w:sz w:val="11"/>
                <w:szCs w:val="11"/>
                <w:b w:val="1"/>
                <w:bCs w:val="1"/>
                <w:color w:val="auto"/>
                <w:w w:val="96"/>
              </w:rPr>
              <w:t>National CineMedia, LLC</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16"/>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17"/>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140"/>
              <w:spacing w:after="0" w:line="100" w:lineRule="exact"/>
              <w:rPr>
                <w:sz w:val="20"/>
                <w:szCs w:val="20"/>
                <w:color w:val="auto"/>
              </w:rPr>
            </w:pPr>
            <w:r>
              <w:rPr>
                <w:rFonts w:ascii="Arial" w:cs="Arial" w:eastAsia="Arial" w:hAnsi="Arial"/>
                <w:sz w:val="11"/>
                <w:szCs w:val="11"/>
                <w:b w:val="1"/>
                <w:bCs w:val="1"/>
                <w:color w:val="auto"/>
                <w:w w:val="79"/>
              </w:rPr>
              <w:t>As of</w:t>
            </w:r>
          </w:p>
        </w:tc>
        <w:tc>
          <w:tcPr>
            <w:tcW w:w="120" w:type="dxa"/>
            <w:vAlign w:val="bottom"/>
          </w:tcPr>
          <w:p>
            <w:pPr>
              <w:spacing w:after="0"/>
              <w:rPr>
                <w:sz w:val="8"/>
                <w:szCs w:val="8"/>
                <w:color w:val="auto"/>
              </w:rPr>
            </w:pPr>
          </w:p>
        </w:tc>
        <w:tc>
          <w:tcPr>
            <w:tcW w:w="360" w:type="dxa"/>
            <w:vAlign w:val="bottom"/>
            <w:gridSpan w:val="3"/>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60"/>
              <w:spacing w:after="0" w:line="100" w:lineRule="exact"/>
              <w:rPr>
                <w:sz w:val="20"/>
                <w:szCs w:val="20"/>
                <w:color w:val="auto"/>
              </w:rPr>
            </w:pPr>
            <w:r>
              <w:rPr>
                <w:rFonts w:ascii="Arial" w:cs="Arial" w:eastAsia="Arial" w:hAnsi="Arial"/>
                <w:sz w:val="11"/>
                <w:szCs w:val="11"/>
                <w:b w:val="1"/>
                <w:bCs w:val="1"/>
                <w:color w:val="auto"/>
                <w:w w:val="87"/>
              </w:rPr>
              <w:t>As of</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87"/>
              </w:rPr>
              <w:t>As of</w:t>
            </w:r>
          </w:p>
        </w:tc>
        <w:tc>
          <w:tcPr>
            <w:tcW w:w="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5"/>
          </w:tcPr>
          <w:p>
            <w:pPr>
              <w:jc w:val="center"/>
              <w:ind w:right="140"/>
              <w:spacing w:after="0" w:line="100" w:lineRule="exact"/>
              <w:rPr>
                <w:sz w:val="20"/>
                <w:szCs w:val="20"/>
                <w:color w:val="auto"/>
              </w:rPr>
            </w:pPr>
            <w:r>
              <w:rPr>
                <w:rFonts w:ascii="Arial" w:cs="Arial" w:eastAsia="Arial" w:hAnsi="Arial"/>
                <w:sz w:val="11"/>
                <w:szCs w:val="11"/>
                <w:b w:val="1"/>
                <w:bCs w:val="1"/>
                <w:color w:val="auto"/>
                <w:w w:val="87"/>
              </w:rPr>
              <w:t>As of</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3"/>
          </w:tcPr>
          <w:p>
            <w:pPr>
              <w:jc w:val="right"/>
              <w:ind w:right="85"/>
              <w:spacing w:after="0" w:line="100" w:lineRule="exact"/>
              <w:rPr>
                <w:sz w:val="20"/>
                <w:szCs w:val="20"/>
                <w:color w:val="auto"/>
              </w:rPr>
            </w:pPr>
            <w:r>
              <w:rPr>
                <w:rFonts w:ascii="Arial" w:cs="Arial" w:eastAsia="Arial" w:hAnsi="Arial"/>
                <w:sz w:val="11"/>
                <w:szCs w:val="11"/>
                <w:b w:val="1"/>
                <w:bCs w:val="1"/>
                <w:color w:val="auto"/>
                <w:w w:val="79"/>
              </w:rPr>
              <w:t>As of</w:t>
            </w:r>
          </w:p>
        </w:tc>
        <w:tc>
          <w:tcPr>
            <w:tcW w:w="140" w:type="dxa"/>
            <w:vAlign w:val="bottom"/>
          </w:tcPr>
          <w:p>
            <w:pPr>
              <w:spacing w:after="0"/>
              <w:rPr>
                <w:sz w:val="8"/>
                <w:szCs w:val="8"/>
                <w:color w:val="auto"/>
              </w:rPr>
            </w:pPr>
          </w:p>
        </w:tc>
        <w:tc>
          <w:tcPr>
            <w:tcW w:w="660" w:type="dxa"/>
            <w:vAlign w:val="bottom"/>
            <w:gridSpan w:val="4"/>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140" w:type="dxa"/>
            <w:vAlign w:val="bottom"/>
          </w:tcPr>
          <w:p>
            <w:pPr>
              <w:spacing w:after="0"/>
              <w:rPr>
                <w:sz w:val="8"/>
                <w:szCs w:val="8"/>
                <w:color w:val="auto"/>
              </w:rPr>
            </w:pPr>
          </w:p>
        </w:tc>
        <w:tc>
          <w:tcPr>
            <w:tcW w:w="480" w:type="dxa"/>
            <w:vAlign w:val="bottom"/>
            <w:gridSpan w:val="3"/>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3"/>
          </w:tcPr>
          <w:p>
            <w:pPr>
              <w:spacing w:after="0" w:line="100" w:lineRule="exact"/>
              <w:rPr>
                <w:sz w:val="20"/>
                <w:szCs w:val="20"/>
                <w:color w:val="auto"/>
              </w:rPr>
            </w:pPr>
            <w:r>
              <w:rPr>
                <w:rFonts w:ascii="Arial" w:cs="Arial" w:eastAsia="Arial" w:hAnsi="Arial"/>
                <w:sz w:val="11"/>
                <w:szCs w:val="11"/>
                <w:b w:val="1"/>
                <w:bCs w:val="1"/>
                <w:color w:val="auto"/>
              </w:rPr>
              <w:t>As of</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center"/>
              <w:ind w:right="265"/>
              <w:spacing w:after="0" w:line="100" w:lineRule="exact"/>
              <w:rPr>
                <w:sz w:val="20"/>
                <w:szCs w:val="20"/>
                <w:color w:val="auto"/>
              </w:rPr>
            </w:pPr>
            <w:r>
              <w:rPr>
                <w:rFonts w:ascii="Arial" w:cs="Arial" w:eastAsia="Arial" w:hAnsi="Arial"/>
                <w:sz w:val="11"/>
                <w:szCs w:val="11"/>
                <w:b w:val="1"/>
                <w:bCs w:val="1"/>
                <w:color w:val="auto"/>
                <w:w w:val="87"/>
              </w:rPr>
              <w:t>As of</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rPr>
              <w:t>April 3,</w:t>
            </w:r>
          </w:p>
        </w:tc>
        <w:tc>
          <w:tcPr>
            <w:tcW w:w="120" w:type="dxa"/>
            <w:vAlign w:val="bottom"/>
          </w:tcPr>
          <w:p>
            <w:pPr>
              <w:spacing w:after="0"/>
              <w:rPr>
                <w:sz w:val="10"/>
                <w:szCs w:val="10"/>
                <w:color w:val="auto"/>
              </w:rPr>
            </w:pPr>
          </w:p>
        </w:tc>
        <w:tc>
          <w:tcPr>
            <w:tcW w:w="36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96"/>
              </w:rPr>
              <w:t>April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89"/>
              </w:rPr>
              <w:t>December 23,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5"/>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December 26,</w:t>
            </w:r>
          </w:p>
        </w:tc>
        <w:tc>
          <w:tcPr>
            <w:tcW w:w="20" w:type="dxa"/>
            <w:vAlign w:val="bottom"/>
          </w:tcPr>
          <w:p>
            <w:pPr>
              <w:spacing w:after="0"/>
              <w:rPr>
                <w:sz w:val="10"/>
                <w:szCs w:val="10"/>
                <w:color w:val="auto"/>
              </w:rPr>
            </w:pPr>
          </w:p>
        </w:tc>
        <w:tc>
          <w:tcPr>
            <w:tcW w:w="50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w w:val="88"/>
              </w:rPr>
              <w:t>January 1,</w:t>
            </w:r>
          </w:p>
        </w:tc>
        <w:tc>
          <w:tcPr>
            <w:tcW w:w="140" w:type="dxa"/>
            <w:vAlign w:val="bottom"/>
          </w:tcPr>
          <w:p>
            <w:pPr>
              <w:spacing w:after="0"/>
              <w:rPr>
                <w:sz w:val="10"/>
                <w:szCs w:val="10"/>
                <w:color w:val="auto"/>
              </w:rPr>
            </w:pPr>
          </w:p>
        </w:tc>
        <w:tc>
          <w:tcPr>
            <w:tcW w:w="66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w w:val="86"/>
              </w:rPr>
              <w:t>December 30,</w:t>
            </w:r>
          </w:p>
        </w:tc>
        <w:tc>
          <w:tcPr>
            <w:tcW w:w="140" w:type="dxa"/>
            <w:vAlign w:val="bottom"/>
          </w:tcPr>
          <w:p>
            <w:pPr>
              <w:spacing w:after="0"/>
              <w:rPr>
                <w:sz w:val="10"/>
                <w:szCs w:val="10"/>
                <w:color w:val="auto"/>
              </w:rPr>
            </w:pPr>
          </w:p>
        </w:tc>
        <w:tc>
          <w:tcPr>
            <w:tcW w:w="500" w:type="dxa"/>
            <w:vAlign w:val="bottom"/>
            <w:gridSpan w:val="4"/>
          </w:tcPr>
          <w:p>
            <w:pPr>
              <w:jc w:val="center"/>
              <w:ind w:right="20"/>
              <w:spacing w:after="0" w:line="121" w:lineRule="exact"/>
              <w:rPr>
                <w:sz w:val="20"/>
                <w:szCs w:val="20"/>
                <w:color w:val="auto"/>
              </w:rPr>
            </w:pPr>
            <w:r>
              <w:rPr>
                <w:rFonts w:ascii="Arial" w:cs="Arial" w:eastAsia="Arial" w:hAnsi="Arial"/>
                <w:sz w:val="11"/>
                <w:szCs w:val="11"/>
                <w:b w:val="1"/>
                <w:bCs w:val="1"/>
                <w:color w:val="auto"/>
                <w:w w:val="94"/>
              </w:rPr>
              <w:t>March 31,</w:t>
            </w:r>
          </w:p>
        </w:tc>
        <w:tc>
          <w:tcPr>
            <w:tcW w:w="2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6"/>
          </w:tcPr>
          <w:p>
            <w:pPr>
              <w:ind w:left="40"/>
              <w:spacing w:after="0" w:line="121" w:lineRule="exact"/>
              <w:rPr>
                <w:sz w:val="20"/>
                <w:szCs w:val="20"/>
                <w:color w:val="auto"/>
              </w:rPr>
            </w:pPr>
            <w:r>
              <w:rPr>
                <w:rFonts w:ascii="Arial" w:cs="Arial" w:eastAsia="Arial" w:hAnsi="Arial"/>
                <w:sz w:val="11"/>
                <w:szCs w:val="11"/>
                <w:b w:val="1"/>
                <w:bCs w:val="1"/>
                <w:color w:val="auto"/>
              </w:rPr>
              <w:t>December 29,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center"/>
              <w:ind w:right="85"/>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1"/>
                <w:szCs w:val="11"/>
                <w:b w:val="1"/>
                <w:bCs w:val="1"/>
                <w:color w:val="auto"/>
                <w:w w:val="81"/>
              </w:rPr>
              <w:t>2003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9"/>
              </w:rPr>
              <w:t>2004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2004</w:t>
            </w: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2005</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9"/>
              </w:rPr>
              <w:t>2002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1"/>
                <w:szCs w:val="11"/>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1"/>
                <w:szCs w:val="11"/>
                <w:color w:val="auto"/>
              </w:rPr>
            </w:pPr>
          </w:p>
        </w:tc>
        <w:tc>
          <w:tcPr>
            <w:tcW w:w="380" w:type="dxa"/>
            <w:vAlign w:val="bottom"/>
            <w:tcBorders>
              <w:bottom w:val="single" w:sz="8" w:color="auto"/>
            </w:tcBorders>
            <w:gridSpan w:val="2"/>
          </w:tcPr>
          <w:p>
            <w:pPr>
              <w:jc w:val="center"/>
              <w:ind w:left="65"/>
              <w:spacing w:after="0"/>
              <w:rPr>
                <w:sz w:val="20"/>
                <w:szCs w:val="20"/>
                <w:color w:val="auto"/>
              </w:rPr>
            </w:pPr>
            <w:r>
              <w:rPr>
                <w:rFonts w:ascii="Arial" w:cs="Arial" w:eastAsia="Arial" w:hAnsi="Arial"/>
                <w:sz w:val="11"/>
                <w:szCs w:val="11"/>
                <w:b w:val="1"/>
                <w:bCs w:val="1"/>
                <w:color w:val="auto"/>
                <w:w w:val="89"/>
              </w:rPr>
              <w:t>2005</w:t>
            </w: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245"/>
              <w:spacing w:after="0"/>
              <w:rPr>
                <w:sz w:val="20"/>
                <w:szCs w:val="20"/>
                <w:color w:val="auto"/>
              </w:rPr>
            </w:pPr>
            <w:r>
              <w:rPr>
                <w:rFonts w:ascii="Arial" w:cs="Arial" w:eastAsia="Arial" w:hAnsi="Arial"/>
                <w:sz w:val="11"/>
                <w:szCs w:val="11"/>
                <w:b w:val="1"/>
                <w:bCs w:val="1"/>
                <w:color w:val="auto"/>
                <w:w w:val="89"/>
              </w:rPr>
              <w:t>2006</w:t>
            </w:r>
          </w:p>
        </w:tc>
        <w:tc>
          <w:tcPr>
            <w:tcW w:w="0" w:type="dxa"/>
            <w:vAlign w:val="bottom"/>
          </w:tcPr>
          <w:p>
            <w:pPr>
              <w:spacing w:after="0"/>
              <w:rPr>
                <w:sz w:val="1"/>
                <w:szCs w:val="1"/>
                <w:color w:val="auto"/>
              </w:rPr>
            </w:pPr>
          </w:p>
        </w:tc>
      </w:tr>
      <w:tr>
        <w:trPr>
          <w:trHeight w:val="188"/>
        </w:trPr>
        <w:tc>
          <w:tcPr>
            <w:tcW w:w="4160" w:type="dxa"/>
            <w:vAlign w:val="bottom"/>
            <w:tcBorders>
              <w:right w:val="single" w:sz="8" w:color="auto"/>
            </w:tcBorders>
            <w:gridSpan w:val="29"/>
          </w:tcPr>
          <w:p>
            <w:pPr>
              <w:spacing w:after="0"/>
              <w:rPr>
                <w:sz w:val="16"/>
                <w:szCs w:val="16"/>
                <w:color w:val="auto"/>
              </w:rPr>
            </w:pPr>
          </w:p>
        </w:tc>
        <w:tc>
          <w:tcPr>
            <w:tcW w:w="5060" w:type="dxa"/>
            <w:vAlign w:val="bottom"/>
            <w:gridSpan w:val="36"/>
          </w:tcPr>
          <w:p>
            <w:pPr>
              <w:spacing w:after="0"/>
              <w:rPr>
                <w:sz w:val="20"/>
                <w:szCs w:val="20"/>
                <w:color w:val="auto"/>
              </w:rPr>
            </w:pPr>
            <w:r>
              <w:rPr>
                <w:rFonts w:ascii="Arial" w:cs="Arial" w:eastAsia="Arial" w:hAnsi="Arial"/>
                <w:sz w:val="11"/>
                <w:szCs w:val="11"/>
                <w:b w:val="1"/>
                <w:bCs w:val="1"/>
                <w:color w:val="auto"/>
              </w:rPr>
              <w:t>($ in millions)</w:t>
            </w:r>
          </w:p>
        </w:tc>
        <w:tc>
          <w:tcPr>
            <w:tcW w:w="0" w:type="dxa"/>
            <w:vAlign w:val="bottom"/>
          </w:tcPr>
          <w:p>
            <w:pPr>
              <w:spacing w:after="0"/>
              <w:rPr>
                <w:sz w:val="1"/>
                <w:szCs w:val="1"/>
                <w:color w:val="auto"/>
              </w:rPr>
            </w:pPr>
          </w:p>
        </w:tc>
      </w:tr>
      <w:tr>
        <w:trPr>
          <w:trHeight w:val="40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ind w:left="520"/>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13.4</w:t>
            </w:r>
          </w:p>
        </w:tc>
        <w:tc>
          <w:tcPr>
            <w:tcW w:w="8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  14.4</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26.2</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20.1</w:t>
            </w:r>
          </w:p>
        </w:tc>
        <w:tc>
          <w:tcPr>
            <w:tcW w:w="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10.0</w:t>
            </w:r>
          </w:p>
        </w:tc>
        <w:tc>
          <w:tcPr>
            <w:tcW w:w="140" w:type="dxa"/>
            <w:vAlign w:val="bottom"/>
          </w:tcPr>
          <w:p>
            <w:pPr>
              <w:spacing w:after="0"/>
              <w:rPr>
                <w:sz w:val="24"/>
                <w:szCs w:val="24"/>
                <w:color w:val="auto"/>
              </w:rPr>
            </w:pPr>
          </w:p>
        </w:tc>
        <w:tc>
          <w:tcPr>
            <w:tcW w:w="14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20.6</w:t>
            </w:r>
          </w:p>
        </w:tc>
        <w:tc>
          <w:tcPr>
            <w:tcW w:w="460" w:type="dxa"/>
            <w:vAlign w:val="bottom"/>
            <w:gridSpan w:val="2"/>
          </w:tcPr>
          <w:p>
            <w:pPr>
              <w:jc w:val="right"/>
              <w:ind w:right="20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28.8</w:t>
            </w:r>
          </w:p>
        </w:tc>
        <w:tc>
          <w:tcPr>
            <w:tcW w:w="420" w:type="dxa"/>
            <w:vAlign w:val="bottom"/>
            <w:gridSpan w:val="2"/>
          </w:tcPr>
          <w:p>
            <w:pPr>
              <w:jc w:val="right"/>
              <w:ind w:right="165"/>
              <w:spacing w:after="0"/>
              <w:rPr>
                <w:sz w:val="20"/>
                <w:szCs w:val="20"/>
                <w:color w:val="auto"/>
              </w:rPr>
            </w:pPr>
            <w:r>
              <w:rPr>
                <w:rFonts w:ascii="Arial" w:cs="Arial" w:eastAsia="Arial" w:hAnsi="Arial"/>
                <w:sz w:val="11"/>
                <w:szCs w:val="11"/>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w w:val="83"/>
              </w:rPr>
              <w:t>15.8</w:t>
            </w:r>
          </w:p>
        </w:tc>
        <w:tc>
          <w:tcPr>
            <w:tcW w:w="240" w:type="dxa"/>
            <w:vAlign w:val="bottom"/>
            <w:tcBorders>
              <w:right w:val="single" w:sz="8" w:color="auto"/>
            </w:tcBorders>
          </w:tcPr>
          <w:p>
            <w:pPr>
              <w:spacing w:after="0"/>
              <w:rPr>
                <w:sz w:val="24"/>
                <w:szCs w:val="24"/>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36.6</w:t>
            </w:r>
          </w:p>
        </w:tc>
        <w:tc>
          <w:tcPr>
            <w:tcW w:w="8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51.9</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0.7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2.5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4.2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5.2</w:t>
            </w:r>
          </w:p>
        </w:tc>
        <w:tc>
          <w:tcPr>
            <w:tcW w:w="2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20.4</w:t>
            </w:r>
          </w:p>
        </w:tc>
        <w:tc>
          <w:tcPr>
            <w:tcW w:w="8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18.2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60.8</w:t>
            </w: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28.0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49.4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w w:val="83"/>
              </w:rPr>
              <w:t>48.2</w:t>
            </w:r>
          </w:p>
        </w:tc>
        <w:tc>
          <w:tcPr>
            <w:tcW w:w="2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72.2</w:t>
            </w:r>
          </w:p>
        </w:tc>
        <w:tc>
          <w:tcPr>
            <w:tcW w:w="0" w:type="dxa"/>
            <w:vAlign w:val="bottom"/>
          </w:tcPr>
          <w:p>
            <w:pPr>
              <w:spacing w:after="0"/>
              <w:rPr>
                <w:sz w:val="1"/>
                <w:szCs w:val="1"/>
                <w:color w:val="auto"/>
              </w:rPr>
            </w:pPr>
          </w:p>
        </w:tc>
      </w:tr>
      <w:tr>
        <w:trPr>
          <w:trHeight w:val="197"/>
        </w:trPr>
        <w:tc>
          <w:tcPr>
            <w:tcW w:w="2260" w:type="dxa"/>
            <w:vAlign w:val="bottom"/>
            <w:gridSpan w:val="15"/>
          </w:tcPr>
          <w:p>
            <w:pPr>
              <w:spacing w:after="0"/>
              <w:rPr>
                <w:sz w:val="20"/>
                <w:szCs w:val="20"/>
                <w:color w:val="auto"/>
              </w:rPr>
            </w:pPr>
            <w:r>
              <w:rPr>
                <w:rFonts w:ascii="Arial" w:cs="Arial" w:eastAsia="Arial" w:hAnsi="Arial"/>
                <w:sz w:val="11"/>
                <w:szCs w:val="11"/>
                <w:color w:val="auto"/>
              </w:rPr>
              <w:t>—</w:t>
            </w:r>
          </w:p>
        </w:tc>
        <w:tc>
          <w:tcPr>
            <w:tcW w:w="440" w:type="dxa"/>
            <w:vAlign w:val="bottom"/>
            <w:gridSpan w:val="5"/>
          </w:tcPr>
          <w:p>
            <w:pPr>
              <w:jc w:val="right"/>
              <w:ind w:right="225"/>
              <w:spacing w:after="0"/>
              <w:rPr>
                <w:sz w:val="20"/>
                <w:szCs w:val="20"/>
                <w:color w:val="auto"/>
              </w:rPr>
            </w:pPr>
            <w:r>
              <w:rPr>
                <w:rFonts w:ascii="Arial" w:cs="Arial" w:eastAsia="Arial" w:hAnsi="Arial"/>
                <w:sz w:val="11"/>
                <w:szCs w:val="11"/>
                <w:color w:val="auto"/>
              </w:rPr>
              <w:t>—</w:t>
            </w:r>
          </w:p>
        </w:tc>
        <w:tc>
          <w:tcPr>
            <w:tcW w:w="820" w:type="dxa"/>
            <w:vAlign w:val="bottom"/>
            <w:gridSpan w:val="5"/>
          </w:tcPr>
          <w:p>
            <w:pPr>
              <w:jc w:val="right"/>
              <w:ind w:right="2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gridSpan w:val="4"/>
          </w:tcPr>
          <w:p>
            <w:pPr>
              <w:jc w:val="right"/>
              <w:ind w:right="245"/>
              <w:spacing w:after="0"/>
              <w:rPr>
                <w:sz w:val="20"/>
                <w:szCs w:val="20"/>
                <w:color w:val="auto"/>
              </w:rPr>
            </w:pPr>
            <w:r>
              <w:rPr>
                <w:rFonts w:ascii="Arial" w:cs="Arial" w:eastAsia="Arial" w:hAnsi="Arial"/>
                <w:sz w:val="11"/>
                <w:szCs w:val="11"/>
                <w:color w:val="auto"/>
              </w:rPr>
              <w:t>—</w:t>
            </w:r>
          </w:p>
        </w:tc>
        <w:tc>
          <w:tcPr>
            <w:tcW w:w="1080" w:type="dxa"/>
            <w:vAlign w:val="bottom"/>
            <w:gridSpan w:val="9"/>
          </w:tcPr>
          <w:p>
            <w:pPr>
              <w:jc w:val="right"/>
              <w:ind w:right="1080"/>
              <w:spacing w:after="0"/>
              <w:rPr>
                <w:sz w:val="20"/>
                <w:szCs w:val="20"/>
                <w:color w:val="auto"/>
              </w:rPr>
            </w:pPr>
            <w:r>
              <w:rPr>
                <w:rFonts w:ascii="Arial" w:cs="Arial" w:eastAsia="Arial" w:hAnsi="Arial"/>
                <w:sz w:val="11"/>
                <w:szCs w:val="11"/>
                <w:color w:val="auto"/>
              </w:rPr>
              <w:t>0.0</w:t>
            </w:r>
          </w:p>
        </w:tc>
        <w:tc>
          <w:tcPr>
            <w:tcW w:w="880" w:type="dxa"/>
            <w:vAlign w:val="bottom"/>
            <w:gridSpan w:val="6"/>
          </w:tcPr>
          <w:p>
            <w:pPr>
              <w:jc w:val="right"/>
              <w:ind w:right="500"/>
              <w:spacing w:after="0"/>
              <w:rPr>
                <w:sz w:val="20"/>
                <w:szCs w:val="20"/>
                <w:color w:val="auto"/>
              </w:rPr>
            </w:pPr>
            <w:r>
              <w:rPr>
                <w:rFonts w:ascii="Arial" w:cs="Arial" w:eastAsia="Arial" w:hAnsi="Arial"/>
                <w:sz w:val="11"/>
                <w:szCs w:val="11"/>
                <w:color w:val="auto"/>
              </w:rPr>
              <w:t>0.0</w:t>
            </w:r>
          </w:p>
        </w:tc>
        <w:tc>
          <w:tcPr>
            <w:tcW w:w="720" w:type="dxa"/>
            <w:vAlign w:val="bottom"/>
            <w:gridSpan w:val="4"/>
          </w:tcPr>
          <w:p>
            <w:pPr>
              <w:jc w:val="right"/>
              <w:ind w:right="365"/>
              <w:spacing w:after="0"/>
              <w:rPr>
                <w:sz w:val="20"/>
                <w:szCs w:val="20"/>
                <w:color w:val="auto"/>
              </w:rPr>
            </w:pPr>
            <w:r>
              <w:rPr>
                <w:rFonts w:ascii="Arial" w:cs="Arial" w:eastAsia="Arial" w:hAnsi="Arial"/>
                <w:sz w:val="11"/>
                <w:szCs w:val="11"/>
                <w:color w:val="auto"/>
              </w:rPr>
              <w:t>0.0</w:t>
            </w:r>
          </w:p>
        </w:tc>
        <w:tc>
          <w:tcPr>
            <w:tcW w:w="460" w:type="dxa"/>
            <w:vAlign w:val="bottom"/>
            <w:tcBorders>
              <w:right w:val="single" w:sz="8" w:color="auto"/>
            </w:tcBorders>
            <w:gridSpan w:val="4"/>
          </w:tcPr>
          <w:p>
            <w:pPr>
              <w:jc w:val="right"/>
              <w:ind w:right="205"/>
              <w:spacing w:after="0"/>
              <w:rPr>
                <w:sz w:val="20"/>
                <w:szCs w:val="20"/>
                <w:color w:val="auto"/>
              </w:rPr>
            </w:pPr>
            <w:r>
              <w:rPr>
                <w:rFonts w:ascii="Arial" w:cs="Arial" w:eastAsia="Arial" w:hAnsi="Arial"/>
                <w:sz w:val="11"/>
                <w:szCs w:val="11"/>
                <w:color w:val="auto"/>
              </w:rPr>
              <w:t>0.0</w:t>
            </w:r>
          </w:p>
        </w:tc>
        <w:tc>
          <w:tcPr>
            <w:tcW w:w="1280" w:type="dxa"/>
            <w:vAlign w:val="bottom"/>
            <w:gridSpan w:val="12"/>
          </w:tcPr>
          <w:p>
            <w:pPr>
              <w:jc w:val="right"/>
              <w:ind w:right="1225"/>
              <w:spacing w:after="0"/>
              <w:rPr>
                <w:sz w:val="20"/>
                <w:szCs w:val="20"/>
                <w:color w:val="auto"/>
              </w:rPr>
            </w:pPr>
            <w:r>
              <w:rPr>
                <w:rFonts w:ascii="Arial" w:cs="Arial" w:eastAsia="Arial" w:hAnsi="Arial"/>
                <w:sz w:val="11"/>
                <w:szCs w:val="11"/>
                <w:color w:val="auto"/>
              </w:rPr>
              <w:t>1.3</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(0.6)</w:t>
            </w: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5.6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18.9</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39.5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w w:val="83"/>
              </w:rPr>
              <w:t>41.2</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-3656330</wp:posOffset>
            </wp:positionV>
            <wp:extent cx="729234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spacing w:after="0" w:line="93" w:lineRule="exact"/>
        <w:rPr>
          <w:sz w:val="20"/>
          <w:szCs w:val="20"/>
          <w:color w:val="auto"/>
        </w:rPr>
      </w:pPr>
    </w:p>
    <w:p>
      <w:pPr>
        <w:ind w:left="3420"/>
        <w:spacing w:after="0"/>
        <w:rPr>
          <w:sz w:val="20"/>
          <w:szCs w:val="20"/>
          <w:color w:val="auto"/>
        </w:rPr>
      </w:pPr>
      <w:r>
        <w:rPr>
          <w:rFonts w:ascii="Arial" w:cs="Arial" w:eastAsia="Arial" w:hAnsi="Arial"/>
          <w:sz w:val="14"/>
          <w:szCs w:val="14"/>
          <w:color w:val="auto"/>
        </w:rPr>
        <w:t>48</w:t>
      </w:r>
    </w:p>
    <w:p>
      <w:pPr>
        <w:sectPr>
          <w:pgSz w:w="11900" w:h="16838" w:orient="portrait"/>
          <w:cols w:equalWidth="0" w:num="2">
            <w:col w:w="2060" w:space="180"/>
            <w:col w:w="9220"/>
          </w:cols>
          <w:pgMar w:left="220" w:top="398" w:right="21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Selected Historical Financial and Operating Data</w:t>
      </w:r>
    </w:p>
    <w:p>
      <w:pPr>
        <w:spacing w:after="0" w:line="83" w:lineRule="exact"/>
        <w:rPr>
          <w:sz w:val="20"/>
          <w:szCs w:val="20"/>
          <w:color w:val="auto"/>
        </w:rPr>
      </w:pPr>
    </w:p>
    <w:p>
      <w:pPr>
        <w:ind w:right="60" w:firstLine="465"/>
        <w:spacing w:after="0" w:line="267" w:lineRule="auto"/>
        <w:tabs>
          <w:tab w:leader="none" w:pos="6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EBITDA, adjusted EBITDA and adjusted EBITDA margin are non-GAAP financial measures used by management to measure operating performance. EBITDA represents net income (loss) before net interest expense, income tax provision (benefit),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in the following paragraph, which after this offering will be included in the calculation of adjusted EBITDA to determine our compliance with financial covenants under our new senior secured credit facility. See “Financing Transaction.”</w:t>
      </w:r>
    </w:p>
    <w:p>
      <w:pPr>
        <w:spacing w:after="0" w:line="110"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On January 26, 2006, AMC completed the acquisition of Loews. Loews has a pre-existing contract with another cinema advertising provider through May 31, 2008. Therefore, the Loews screens will become part of our national theatre network on an exclusive basis beginning on June 1, 2008 (subject to the run-out of certain pre-existing contractual obligations for on-screen advertising existing on May 31, 2008). In accordance with a Loews screen integration agreement between us and AMC, AMC will pay us an amount that approximates the EBITDA we would have generated if we were able to sell advertising in the Loews theatre chain on an exclusive basis. On January ,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Loews payments will be made on a quarterly basis in arrears until May 31, 2008 and will be recorded directly to our members’ equity accounts and it will not be reflected in NCM LLC’s statements of operations. For the three months ended September 28, 2006 the Loews payment would have been $2.4 million. See “Management’s Discussion and Analysis of Financial Condition and Results of Operations—Our Company Following the Completion of this Offering—Loews Payments” for additional discussion regarding the Loews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-589280</wp:posOffset>
            </wp:positionV>
            <wp:extent cx="9017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0170" cy="6985"/>
                    </a:xfrm>
                    <a:prstGeom prst="rect">
                      <a:avLst/>
                    </a:prstGeom>
                    <a:noFill/>
                  </pic:spPr>
                </pic:pic>
              </a:graphicData>
            </a:graphic>
          </wp:anchor>
        </w:drawing>
      </w:r>
    </w:p>
    <w:p>
      <w:pPr>
        <w:spacing w:after="0" w:line="82"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We have included EBITDA, adjusted EBITDA and adjusted EBITDA margin in this prospectus to provide investors with supplemental measures of our operating performance and information about the calculation of some of the financial covenants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prospectus.</w:t>
      </w:r>
    </w:p>
    <w:p>
      <w:pPr>
        <w:spacing w:after="0" w:line="95" w:lineRule="exact"/>
        <w:rPr>
          <w:sz w:val="20"/>
          <w:szCs w:val="20"/>
          <w:color w:val="auto"/>
        </w:rPr>
      </w:pPr>
    </w:p>
    <w:p>
      <w:pPr>
        <w:ind w:right="120" w:firstLine="458"/>
        <w:spacing w:after="0" w:line="293" w:lineRule="auto"/>
        <w:rPr>
          <w:sz w:val="20"/>
          <w:szCs w:val="20"/>
          <w:color w:val="auto"/>
        </w:rPr>
      </w:pPr>
      <w:r>
        <w:rPr>
          <w:rFonts w:ascii="Arial" w:cs="Arial" w:eastAsia="Arial" w:hAnsi="Arial"/>
          <w:sz w:val="13"/>
          <w:szCs w:val="13"/>
          <w:color w:val="auto"/>
        </w:rPr>
        <w:t>Adjusted EBITDA including the Loews payments is a material component of the covenants that will be imposed on us by the new senior secured credit facility. Under the new senior secured credit facility, we will be subject to financial covenant ratios that will be calculated by reference to adjusted EBITDA including the Loews payments. Non-compliance with the financial covenants contained in the senior secured credit facility could result in a default, an acceleration in the repayment of amounts outstanding and a termination of the lending commitments under the senior secured credit facility. For a description of required financial covenant levels and actual ratio calculations based on adjusted EBITDA including the Loews payments, see “Management’s Discussion and Analysis of Financial Condition and Results of Operations—Our Company Following the Completion of this Offering—Loews Payments.”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40"/>
          </w:cols>
          <w:pgMar w:left="220" w:top="399" w:right="2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00"/>
          </w:cols>
          <w:pgMar w:left="220" w:top="399" w:right="27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reconciles net income (loss) to EBITDA, adjusted EBITDA and adjusted EBITDA margin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tcBorders>
              <w:right w:val="single" w:sz="8" w:color="auto"/>
            </w:tcBorders>
            <w:gridSpan w:val="11"/>
          </w:tcPr>
          <w:p>
            <w:pPr>
              <w:jc w:val="right"/>
              <w:ind w:right="460"/>
              <w:spacing w:after="0"/>
              <w:rPr>
                <w:sz w:val="20"/>
                <w:szCs w:val="20"/>
                <w:color w:val="auto"/>
              </w:rPr>
            </w:pPr>
            <w:r>
              <w:rPr>
                <w:rFonts w:ascii="Arial" w:cs="Arial" w:eastAsia="Arial" w:hAnsi="Arial"/>
                <w:sz w:val="11"/>
                <w:szCs w:val="11"/>
                <w:b w:val="1"/>
                <w:bCs w:val="1"/>
                <w:color w:val="auto"/>
                <w:w w:val="96"/>
              </w:rPr>
              <w:t>Predecessor—National Cinema Network, Inc.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right w:val="single" w:sz="8" w:color="auto"/>
            </w:tcBorders>
            <w:gridSpan w:val="11"/>
          </w:tcPr>
          <w:p>
            <w:pPr>
              <w:jc w:val="right"/>
              <w:ind w:right="760"/>
              <w:spacing w:after="0"/>
              <w:rPr>
                <w:sz w:val="20"/>
                <w:szCs w:val="20"/>
                <w:color w:val="auto"/>
              </w:rPr>
            </w:pPr>
            <w:r>
              <w:rPr>
                <w:rFonts w:ascii="Arial" w:cs="Arial" w:eastAsia="Arial" w:hAnsi="Arial"/>
                <w:sz w:val="11"/>
                <w:szCs w:val="11"/>
                <w:b w:val="1"/>
                <w:bCs w:val="1"/>
                <w:color w:val="auto"/>
              </w:rPr>
              <w:t>Predecessor—Regal CineMedia Corporation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w w:val="96"/>
              </w:rPr>
              <w:t>National CineMedia, LLC</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3"/>
          </w:tcPr>
          <w:p>
            <w:pPr>
              <w:jc w:val="center"/>
              <w:ind w:right="140"/>
              <w:spacing w:after="0" w:line="100" w:lineRule="exact"/>
              <w:rPr>
                <w:sz w:val="20"/>
                <w:szCs w:val="20"/>
                <w:color w:val="auto"/>
              </w:rPr>
            </w:pPr>
            <w:r>
              <w:rPr>
                <w:rFonts w:ascii="Arial" w:cs="Arial" w:eastAsia="Arial" w:hAnsi="Arial"/>
                <w:sz w:val="11"/>
                <w:szCs w:val="11"/>
                <w:b w:val="1"/>
                <w:bCs w:val="1"/>
                <w:color w:val="auto"/>
                <w:w w:val="95"/>
              </w:rPr>
              <w:t>Thirty-eight</w:t>
            </w: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9"/>
              </w:rPr>
              <w:t>Fourteen</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2"/>
              </w:rPr>
              <w:t>Year</w:t>
            </w:r>
          </w:p>
        </w:tc>
        <w:tc>
          <w:tcPr>
            <w:tcW w:w="80" w:type="dxa"/>
            <w:vAlign w:val="bottom"/>
          </w:tcPr>
          <w:p>
            <w:pPr>
              <w:spacing w:after="0"/>
              <w:rPr>
                <w:sz w:val="10"/>
                <w:szCs w:val="10"/>
                <w:color w:val="auto"/>
              </w:rPr>
            </w:pPr>
          </w:p>
        </w:tc>
        <w:tc>
          <w:tcPr>
            <w:tcW w:w="4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Year</w:t>
            </w:r>
          </w:p>
        </w:tc>
        <w:tc>
          <w:tcPr>
            <w:tcW w:w="80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90"/>
              </w:rPr>
              <w:t>Week Period</w:t>
            </w:r>
          </w:p>
        </w:tc>
        <w:tc>
          <w:tcPr>
            <w:tcW w:w="10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1"/>
              </w:rPr>
              <w:t>Week Period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10"/>
                <w:szCs w:val="10"/>
                <w:color w:val="auto"/>
              </w:rPr>
            </w:pPr>
          </w:p>
        </w:tc>
        <w:tc>
          <w:tcPr>
            <w:tcW w:w="6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2"/>
              </w:rPr>
              <w:t>Year</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spacing w:after="0" w:line="121" w:lineRule="exact"/>
              <w:rPr>
                <w:sz w:val="20"/>
                <w:szCs w:val="20"/>
                <w:color w:val="auto"/>
              </w:rPr>
            </w:pPr>
            <w:r>
              <w:rPr>
                <w:rFonts w:ascii="Arial" w:cs="Arial" w:eastAsia="Arial" w:hAnsi="Arial"/>
                <w:sz w:val="11"/>
                <w:szCs w:val="11"/>
                <w:b w:val="1"/>
                <w:bCs w:val="1"/>
                <w:color w:val="auto"/>
              </w:rPr>
              <w:t>Three Months</w:t>
            </w:r>
          </w:p>
        </w:tc>
        <w:tc>
          <w:tcPr>
            <w:tcW w:w="100" w:type="dxa"/>
            <w:vAlign w:val="bottom"/>
          </w:tcPr>
          <w:p>
            <w:pPr>
              <w:spacing w:after="0"/>
              <w:rPr>
                <w:sz w:val="10"/>
                <w:szCs w:val="10"/>
                <w:color w:val="auto"/>
              </w:rPr>
            </w:pPr>
          </w:p>
        </w:tc>
        <w:tc>
          <w:tcPr>
            <w:tcW w:w="7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Nine Months</w:t>
            </w:r>
          </w:p>
        </w:tc>
        <w:tc>
          <w:tcPr>
            <w:tcW w:w="60" w:type="dxa"/>
            <w:vAlign w:val="bottom"/>
          </w:tcPr>
          <w:p>
            <w:pPr>
              <w:spacing w:after="0"/>
              <w:rPr>
                <w:sz w:val="10"/>
                <w:szCs w:val="10"/>
                <w:color w:val="auto"/>
              </w:rPr>
            </w:pPr>
          </w:p>
        </w:tc>
        <w:tc>
          <w:tcPr>
            <w:tcW w:w="80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Nine Months</w:t>
            </w:r>
          </w:p>
        </w:tc>
        <w:tc>
          <w:tcPr>
            <w:tcW w:w="8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Three Months</w:t>
            </w: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9"/>
              </w:rPr>
              <w:t>Three Months</w:t>
            </w: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77"/>
              </w:rPr>
              <w:t>Ended</w:t>
            </w:r>
          </w:p>
        </w:tc>
        <w:tc>
          <w:tcPr>
            <w:tcW w:w="56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Ended</w:t>
            </w: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20"/>
              <w:spacing w:after="0" w:line="121" w:lineRule="exact"/>
              <w:rPr>
                <w:sz w:val="20"/>
                <w:szCs w:val="20"/>
                <w:color w:val="auto"/>
              </w:rPr>
            </w:pPr>
            <w:r>
              <w:rPr>
                <w:rFonts w:ascii="Arial" w:cs="Arial" w:eastAsia="Arial" w:hAnsi="Arial"/>
                <w:sz w:val="11"/>
                <w:szCs w:val="11"/>
                <w:b w:val="1"/>
                <w:bCs w:val="1"/>
                <w:color w:val="auto"/>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40" w:type="dxa"/>
            <w:vAlign w:val="bottom"/>
            <w:gridSpan w:val="2"/>
          </w:tcPr>
          <w:p>
            <w:pPr>
              <w:jc w:val="right"/>
              <w:ind w:right="360"/>
              <w:spacing w:after="0" w:line="121" w:lineRule="exact"/>
              <w:rPr>
                <w:sz w:val="20"/>
                <w:szCs w:val="20"/>
                <w:color w:val="auto"/>
              </w:rPr>
            </w:pPr>
            <w:r>
              <w:rPr>
                <w:rFonts w:ascii="Arial" w:cs="Arial" w:eastAsia="Arial" w:hAnsi="Arial"/>
                <w:sz w:val="11"/>
                <w:szCs w:val="11"/>
                <w:b w:val="1"/>
                <w:bCs w:val="1"/>
                <w:color w:val="auto"/>
              </w:rPr>
              <w:t>Ended</w:t>
            </w:r>
          </w:p>
        </w:tc>
        <w:tc>
          <w:tcPr>
            <w:tcW w:w="120" w:type="dxa"/>
            <w:vAlign w:val="bottom"/>
          </w:tcPr>
          <w:p>
            <w:pPr>
              <w:spacing w:after="0"/>
              <w:rPr>
                <w:sz w:val="10"/>
                <w:szCs w:val="10"/>
                <w:color w:val="auto"/>
              </w:rPr>
            </w:pPr>
          </w:p>
        </w:tc>
        <w:tc>
          <w:tcPr>
            <w:tcW w:w="640" w:type="dxa"/>
            <w:vAlign w:val="bottom"/>
            <w:gridSpan w:val="2"/>
          </w:tcPr>
          <w:p>
            <w:pPr>
              <w:jc w:val="right"/>
              <w:ind w:right="260"/>
              <w:spacing w:after="0" w:line="121" w:lineRule="exact"/>
              <w:rPr>
                <w:sz w:val="20"/>
                <w:szCs w:val="20"/>
                <w:color w:val="auto"/>
              </w:rPr>
            </w:pPr>
            <w:r>
              <w:rPr>
                <w:rFonts w:ascii="Arial" w:cs="Arial" w:eastAsia="Arial" w:hAnsi="Arial"/>
                <w:sz w:val="11"/>
                <w:szCs w:val="11"/>
                <w:b w:val="1"/>
                <w:bCs w:val="1"/>
                <w:color w:val="auto"/>
              </w:rPr>
              <w:t>Ended</w:t>
            </w: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April 3,</w:t>
            </w:r>
          </w:p>
        </w:tc>
        <w:tc>
          <w:tcPr>
            <w:tcW w:w="5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April 1,</w:t>
            </w:r>
          </w:p>
        </w:tc>
        <w:tc>
          <w:tcPr>
            <w:tcW w:w="80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December 23,</w:t>
            </w:r>
          </w:p>
        </w:tc>
        <w:tc>
          <w:tcPr>
            <w:tcW w:w="10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10"/>
                <w:szCs w:val="10"/>
                <w:color w:val="auto"/>
              </w:rPr>
            </w:pPr>
          </w:p>
        </w:tc>
        <w:tc>
          <w:tcPr>
            <w:tcW w:w="8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December 26,</w:t>
            </w:r>
          </w:p>
        </w:tc>
        <w:tc>
          <w:tcPr>
            <w:tcW w:w="7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January 1,</w:t>
            </w: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30,</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60" w:type="dxa"/>
            <w:vAlign w:val="bottom"/>
          </w:tcPr>
          <w:p>
            <w:pPr>
              <w:spacing w:after="0"/>
              <w:rPr>
                <w:sz w:val="10"/>
                <w:szCs w:val="10"/>
                <w:color w:val="auto"/>
              </w:rPr>
            </w:pP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8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29,</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8"/>
              </w:rPr>
              <w:t>September 28,</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2003</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2004</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2005</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2005</w:t>
            </w:r>
          </w:p>
        </w:tc>
        <w:tc>
          <w:tcPr>
            <w:tcW w:w="3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2005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2006</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Net Income (Loss)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 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vMerge w:val="continue"/>
          </w:tcPr>
          <w:p>
            <w:pPr>
              <w:spacing w:after="0"/>
              <w:rPr>
                <w:sz w:val="11"/>
                <w:szCs w:val="11"/>
                <w:color w:val="auto"/>
              </w:rPr>
            </w:pPr>
          </w:p>
        </w:tc>
        <w:tc>
          <w:tcPr>
            <w:tcW w:w="300" w:type="dxa"/>
            <w:vAlign w:val="bottom"/>
            <w:vMerge w:val="restart"/>
          </w:tcPr>
          <w:p>
            <w:pPr>
              <w:ind w:left="240"/>
              <w:spacing w:after="0"/>
              <w:rPr>
                <w:sz w:val="20"/>
                <w:szCs w:val="20"/>
                <w:color w:val="auto"/>
              </w:rPr>
            </w:pPr>
            <w:r>
              <w:rPr>
                <w:rFonts w:ascii="Arial" w:cs="Arial" w:eastAsia="Arial" w:hAnsi="Arial"/>
                <w:sz w:val="5"/>
                <w:szCs w:val="5"/>
                <w:color w:val="auto"/>
                <w:w w:val="70"/>
              </w:rPr>
              <w:t>$</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(0.4)</w:t>
            </w: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1.9</w:t>
            </w:r>
          </w:p>
        </w:tc>
        <w:tc>
          <w:tcPr>
            <w:tcW w:w="200" w:type="dxa"/>
            <w:vAlign w:val="bottom"/>
          </w:tcPr>
          <w:p>
            <w:pPr>
              <w:spacing w:after="0"/>
              <w:rPr>
                <w:sz w:val="11"/>
                <w:szCs w:val="11"/>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4.3</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(0.9)</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(2.1)</w:t>
            </w: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12.9</w:t>
            </w:r>
          </w:p>
        </w:tc>
        <w:tc>
          <w:tcPr>
            <w:tcW w:w="2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20.6</w:t>
            </w:r>
          </w:p>
        </w:tc>
        <w:tc>
          <w:tcPr>
            <w:tcW w:w="120" w:type="dxa"/>
            <w:vAlign w:val="bottom"/>
            <w:vMerge w:val="restart"/>
          </w:tcPr>
          <w:p>
            <w:pPr>
              <w:ind w:left="60"/>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(6.9)</w:t>
            </w:r>
          </w:p>
        </w:tc>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(11.2)</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(1.8)</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Income Taxes</w:t>
            </w:r>
          </w:p>
        </w:tc>
        <w:tc>
          <w:tcPr>
            <w:tcW w:w="30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0"/>
                <w:szCs w:val="10"/>
                <w:color w:val="auto"/>
              </w:rPr>
            </w:pP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1.4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8.4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Interest Expense, Net</w:t>
            </w:r>
          </w:p>
        </w:tc>
        <w:tc>
          <w:tcPr>
            <w:tcW w:w="3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76"/>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Depreciation and Amortization</w:t>
            </w:r>
          </w:p>
        </w:tc>
        <w:tc>
          <w:tcPr>
            <w:tcW w:w="3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4.7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2.4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0.9</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EBITDA</w:t>
            </w: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80" w:type="dxa"/>
            <w:vAlign w:val="bottom"/>
            <w:gridSpan w:val="2"/>
            <w:vMerge w:val="continue"/>
          </w:tcPr>
          <w:p>
            <w:pPr>
              <w:spacing w:after="0"/>
              <w:rPr>
                <w:sz w:val="11"/>
                <w:szCs w:val="11"/>
                <w:color w:val="auto"/>
              </w:rPr>
            </w:pPr>
          </w:p>
        </w:tc>
        <w:tc>
          <w:tcPr>
            <w:tcW w:w="300" w:type="dxa"/>
            <w:vAlign w:val="bottom"/>
            <w:vMerge w:val="restart"/>
          </w:tcPr>
          <w:p>
            <w:pPr>
              <w:ind w:left="240"/>
              <w:spacing w:after="0"/>
              <w:rPr>
                <w:sz w:val="20"/>
                <w:szCs w:val="20"/>
                <w:color w:val="auto"/>
              </w:rPr>
            </w:pPr>
            <w:r>
              <w:rPr>
                <w:rFonts w:ascii="Arial" w:cs="Arial" w:eastAsia="Arial" w:hAnsi="Arial"/>
                <w:sz w:val="5"/>
                <w:szCs w:val="5"/>
                <w:color w:val="auto"/>
                <w:w w:val="70"/>
              </w:rPr>
              <w:t>$</w:t>
            </w: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18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5.7</w:t>
            </w:r>
          </w:p>
        </w:tc>
        <w:tc>
          <w:tcPr>
            <w:tcW w:w="200" w:type="dxa"/>
            <w:vAlign w:val="bottom"/>
          </w:tcPr>
          <w:p>
            <w:pPr>
              <w:spacing w:after="0"/>
              <w:rPr>
                <w:sz w:val="11"/>
                <w:szCs w:val="11"/>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8.2</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(3.0)</w:t>
            </w: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22.2</w:t>
            </w:r>
          </w:p>
        </w:tc>
        <w:tc>
          <w:tcPr>
            <w:tcW w:w="2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34.9</w:t>
            </w:r>
          </w:p>
        </w:tc>
        <w:tc>
          <w:tcPr>
            <w:tcW w:w="120" w:type="dxa"/>
            <w:vAlign w:val="bottom"/>
            <w:vMerge w:val="restart"/>
          </w:tcPr>
          <w:p>
            <w:pPr>
              <w:ind w:left="60"/>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(3.9)</w:t>
            </w:r>
          </w:p>
        </w:tc>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(7.5)</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(0.9)</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Severance Plan Costs</w:t>
            </w: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vMerge w:val="restart"/>
          </w:tcPr>
          <w:p>
            <w:pPr>
              <w:ind w:left="120"/>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vMerge w:val="restart"/>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auto"/>
            </w:tcBorders>
            <w:vMerge w:val="restart"/>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8.5</w:t>
            </w:r>
          </w:p>
        </w:tc>
        <w:tc>
          <w:tcPr>
            <w:tcW w:w="1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Share-based Compensation</w:t>
            </w:r>
          </w:p>
        </w:tc>
        <w:tc>
          <w:tcPr>
            <w:tcW w:w="3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76"/>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Deferred Stock Compensation</w:t>
            </w:r>
          </w:p>
        </w:tc>
        <w:tc>
          <w:tcPr>
            <w:tcW w:w="3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vMerge w:val="restart"/>
          </w:tcPr>
          <w:p>
            <w:pPr>
              <w:ind w:left="120"/>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1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Adjusted EBITDA</w:t>
            </w: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80" w:type="dxa"/>
            <w:vAlign w:val="bottom"/>
            <w:gridSpan w:val="2"/>
            <w:vMerge w:val="continue"/>
          </w:tcPr>
          <w:p>
            <w:pPr>
              <w:spacing w:after="0"/>
              <w:rPr>
                <w:sz w:val="11"/>
                <w:szCs w:val="11"/>
                <w:color w:val="auto"/>
              </w:rPr>
            </w:pPr>
          </w:p>
        </w:tc>
        <w:tc>
          <w:tcPr>
            <w:tcW w:w="300" w:type="dxa"/>
            <w:vAlign w:val="bottom"/>
            <w:vMerge w:val="restart"/>
          </w:tcPr>
          <w:p>
            <w:pPr>
              <w:ind w:left="240"/>
              <w:spacing w:after="0"/>
              <w:rPr>
                <w:sz w:val="20"/>
                <w:szCs w:val="20"/>
                <w:color w:val="auto"/>
              </w:rPr>
            </w:pPr>
            <w:r>
              <w:rPr>
                <w:rFonts w:ascii="Arial" w:cs="Arial" w:eastAsia="Arial" w:hAnsi="Arial"/>
                <w:sz w:val="5"/>
                <w:szCs w:val="5"/>
                <w:color w:val="auto"/>
                <w:w w:val="70"/>
              </w:rPr>
              <w:t>$</w:t>
            </w: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18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5.7</w:t>
            </w:r>
          </w:p>
        </w:tc>
        <w:tc>
          <w:tcPr>
            <w:tcW w:w="200" w:type="dxa"/>
            <w:vAlign w:val="bottom"/>
          </w:tcPr>
          <w:p>
            <w:pPr>
              <w:spacing w:after="0"/>
              <w:rPr>
                <w:sz w:val="11"/>
                <w:szCs w:val="11"/>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8.2</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(2.0)</w:t>
            </w: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23.6</w:t>
            </w:r>
          </w:p>
        </w:tc>
        <w:tc>
          <w:tcPr>
            <w:tcW w:w="2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36.3</w:t>
            </w:r>
          </w:p>
        </w:tc>
        <w:tc>
          <w:tcPr>
            <w:tcW w:w="120" w:type="dxa"/>
            <w:vAlign w:val="bottom"/>
            <w:vMerge w:val="restart"/>
          </w:tcPr>
          <w:p>
            <w:pPr>
              <w:ind w:left="60"/>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4.6</w:t>
            </w:r>
          </w:p>
        </w:tc>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(3.0)</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Adjusted EBITDA Margin*</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5.8%</w:t>
            </w:r>
          </w:p>
        </w:tc>
        <w:tc>
          <w:tcPr>
            <w:tcW w:w="80" w:type="dxa"/>
            <w:vAlign w:val="bottom"/>
          </w:tcPr>
          <w:p>
            <w:pPr>
              <w:spacing w:after="0"/>
              <w:rPr>
                <w:sz w:val="9"/>
                <w:szCs w:val="9"/>
                <w:color w:val="auto"/>
              </w:rPr>
            </w:pPr>
          </w:p>
        </w:tc>
        <w:tc>
          <w:tcPr>
            <w:tcW w:w="480" w:type="dxa"/>
            <w:vAlign w:val="bottom"/>
            <w:gridSpan w:val="2"/>
            <w:vMerge w:val="restart"/>
          </w:tcPr>
          <w:p>
            <w:pPr>
              <w:ind w:left="160"/>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9"/>
                <w:szCs w:val="9"/>
                <w:color w:val="auto"/>
              </w:rPr>
            </w:pPr>
          </w:p>
        </w:tc>
        <w:tc>
          <w:tcPr>
            <w:tcW w:w="80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32.6%</w:t>
            </w:r>
          </w:p>
        </w:tc>
        <w:tc>
          <w:tcPr>
            <w:tcW w:w="10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38.1%</w:t>
            </w:r>
          </w:p>
        </w:tc>
        <w:tc>
          <w:tcPr>
            <w:tcW w:w="120" w:type="dxa"/>
            <w:vAlign w:val="bottom"/>
          </w:tcPr>
          <w:p>
            <w:pPr>
              <w:spacing w:after="0"/>
              <w:rPr>
                <w:sz w:val="9"/>
                <w:szCs w:val="9"/>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19.7%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4.7%</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8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20" w:hanging="174"/>
        <w:spacing w:after="0"/>
        <w:tabs>
          <w:tab w:leader="none" w:pos="2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margin is calculated by dividing adjusted EBITDA by total revenue.</w:t>
      </w:r>
    </w:p>
    <w:p>
      <w:pPr>
        <w:spacing w:after="0" w:line="145" w:lineRule="exact"/>
        <w:rPr>
          <w:rFonts w:ascii="Arial" w:cs="Arial" w:eastAsia="Arial" w:hAnsi="Arial"/>
          <w:sz w:val="14"/>
          <w:szCs w:val="14"/>
          <w:i w:val="1"/>
          <w:iCs w:val="1"/>
          <w:color w:val="auto"/>
        </w:rPr>
      </w:pPr>
    </w:p>
    <w:p>
      <w:pPr>
        <w:ind w:left="600" w:hanging="135"/>
        <w:spacing w:after="0"/>
        <w:tabs>
          <w:tab w:leader="none" w:pos="6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Represents the total number of screens within our advertising network operated by our founding members. Excludes Loews and Century screens for all periods presented.</w:t>
      </w:r>
    </w:p>
    <w:p>
      <w:pPr>
        <w:spacing w:after="0" w:line="145" w:lineRule="exact"/>
        <w:rPr>
          <w:rFonts w:ascii="Arial" w:cs="Arial" w:eastAsia="Arial" w:hAnsi="Arial"/>
          <w:sz w:val="14"/>
          <w:szCs w:val="14"/>
          <w:color w:val="auto"/>
        </w:rPr>
      </w:pPr>
    </w:p>
    <w:p>
      <w:pPr>
        <w:ind w:left="600" w:hanging="135"/>
        <w:spacing w:after="0"/>
        <w:tabs>
          <w:tab w:leader="none" w:pos="6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Represents the sum of founding member screens and network affiliate screens.</w:t>
      </w:r>
    </w:p>
    <w:p>
      <w:pPr>
        <w:spacing w:after="0" w:line="145" w:lineRule="exact"/>
        <w:rPr>
          <w:rFonts w:ascii="Arial" w:cs="Arial" w:eastAsia="Arial" w:hAnsi="Arial"/>
          <w:sz w:val="14"/>
          <w:szCs w:val="14"/>
          <w:color w:val="auto"/>
        </w:rPr>
      </w:pPr>
    </w:p>
    <w:p>
      <w:pPr>
        <w:ind w:left="600" w:hanging="135"/>
        <w:spacing w:after="0"/>
        <w:tabs>
          <w:tab w:leader="none" w:pos="6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Represents the total number of screens which are connected to our digital content network.</w:t>
      </w:r>
    </w:p>
    <w:p>
      <w:pPr>
        <w:spacing w:after="0" w:line="145" w:lineRule="exact"/>
        <w:rPr>
          <w:rFonts w:ascii="Arial" w:cs="Arial" w:eastAsia="Arial" w:hAnsi="Arial"/>
          <w:sz w:val="14"/>
          <w:szCs w:val="14"/>
          <w:color w:val="auto"/>
        </w:rPr>
      </w:pPr>
    </w:p>
    <w:p>
      <w:pPr>
        <w:ind w:firstLine="465"/>
        <w:spacing w:after="0" w:line="330" w:lineRule="auto"/>
        <w:tabs>
          <w:tab w:leader="none" w:pos="6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Represents the total attendance within our advertising network in theatres operated by our founding members. Excludes Loews and Century screens for all periods presented. The Loews and Century total attendance for the three and nine months ended September 28, 2006 were approximately 16.2 million and 12.5 million, and 48.5 million and 36.9 million, respectively.</w:t>
      </w:r>
    </w:p>
    <w:p>
      <w:pPr>
        <w:spacing w:after="0" w:line="69" w:lineRule="exact"/>
        <w:rPr>
          <w:rFonts w:ascii="Arial" w:cs="Arial" w:eastAsia="Arial" w:hAnsi="Arial"/>
          <w:sz w:val="13"/>
          <w:szCs w:val="13"/>
          <w:color w:val="auto"/>
        </w:rPr>
      </w:pPr>
    </w:p>
    <w:p>
      <w:pPr>
        <w:ind w:firstLine="465"/>
        <w:spacing w:after="0" w:line="275" w:lineRule="auto"/>
        <w:tabs>
          <w:tab w:leader="none" w:pos="6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Includes advertising revenue plus legacy contract value for all historical periods. Excludes $3.7 million of revenue related to the beverage concessionaire agreements for Cinemark in the pro forma period ended December 29, 2005, and $1.3 million and $3.8 million of revenue related to the beverage concessionaire agreements for Loews in the pro forma three and nine months ended September 28, 2006, as attendees for Cinemark and Loews were not included during those periods.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80"/>
          </w:cols>
          <w:pgMar w:left="220" w:top="399" w:right="29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RESULTS OF OPERATIONS</w:t>
      </w:r>
    </w:p>
    <w:p>
      <w:pPr>
        <w:spacing w:after="0" w:line="139" w:lineRule="exact"/>
        <w:rPr>
          <w:sz w:val="20"/>
          <w:szCs w:val="20"/>
          <w:color w:val="auto"/>
        </w:rPr>
      </w:pPr>
    </w:p>
    <w:p>
      <w:pPr>
        <w:ind w:right="180" w:firstLine="458"/>
        <w:spacing w:after="0" w:line="275" w:lineRule="auto"/>
        <w:rPr>
          <w:sz w:val="20"/>
          <w:szCs w:val="20"/>
          <w:color w:val="auto"/>
        </w:rPr>
      </w:pPr>
      <w:r>
        <w:rPr>
          <w:rFonts w:ascii="Arial" w:cs="Arial" w:eastAsia="Arial" w:hAnsi="Arial"/>
          <w:sz w:val="14"/>
          <w:szCs w:val="14"/>
          <w:i w:val="1"/>
          <w:iCs w:val="1"/>
          <w:color w:val="auto"/>
        </w:rPr>
        <w:t>The following discussion should be read in conjunction with our historical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i w:val="1"/>
          <w:iCs w:val="1"/>
          <w:color w:val="auto"/>
        </w:rPr>
        <w:t>Our historical financial data discussed below reflects the historical results of operations and financial position of NCM LLC. Accordingly, the historical financial data does not give effect to the reorganization, the completion of this offering and the financing transaction. See “Corporate History and Reorganization,” “Financing Transaction” and “Unaudited Pro Forma Financial Information” included elsewhere in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83"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Our revenue is principally derived from the sale of advertising and, to a lesser extent, from our CineMeetings and digital programming events businesses. Upon completion of this offering, we will have long-term exhibitor services agreements with our founding members—AMC, Cinemark and Regal, the three largest motion picture exhibition companies in the United States—and multi-year agreements with several other theatre operators that provide access to their theatres to distribute our content, whom we refer to as network affiliates. The exhibitor services agreements grant us exclusive rights, subject to limited exceptions, to sell advertising and meeting services and distribute entertainment programming in those theatres using our digital content network technology. The network affiliate agreements grant us exclusive rights, subject to limited exceptions, to sell advertising on their theatre screens. Most of our advertising, CineMeetings and digital programming events are distributed to these theatres over our proprietary digital content network.</w:t>
      </w:r>
    </w:p>
    <w:p>
      <w:pPr>
        <w:spacing w:after="0" w:line="110" w:lineRule="exact"/>
        <w:rPr>
          <w:sz w:val="20"/>
          <w:szCs w:val="20"/>
          <w:color w:val="auto"/>
        </w:rPr>
      </w:pPr>
    </w:p>
    <w:p>
      <w:pPr>
        <w:ind w:right="60" w:firstLine="458"/>
        <w:spacing w:after="0" w:line="314" w:lineRule="auto"/>
        <w:rPr>
          <w:sz w:val="20"/>
          <w:szCs w:val="20"/>
          <w:color w:val="auto"/>
        </w:rPr>
      </w:pPr>
      <w:r>
        <w:rPr>
          <w:rFonts w:ascii="Arial" w:cs="Arial" w:eastAsia="Arial" w:hAnsi="Arial"/>
          <w:sz w:val="12"/>
          <w:szCs w:val="12"/>
          <w:color w:val="auto"/>
        </w:rPr>
        <w:t xml:space="preserve">Our national on-screen and lobby entertainment network advertising contracts with clients typically specify the number of theatre attendees, or impressions, to be delivered for a four- or five-week advertising campaign and the unit price per thousand impressions, or CPM, for a 30-second advertising unit. Our regional and local on-screen advertising contracts with clients typically specify the number of screens, duration of time (typically one to several weeks) and the unit price (typically a cost per screen per week) for an advertising campaign. Typically there are a minimum of 11 national 30-second advertising units and a minimum of 14 local 15-second units available in any advertising campaign within the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pre-feature program. The number of national or local units can be expanded to a certain extent depending on market demand. Programming on our lobby entertainment network consists of an approximately 30 minute loop of content segments and advertising. Our lobby promotions contracts are based on a standardized rate card for each product that typically specifies the number of impressions to be delivered. Our CineMeetings revenue is derived from the rental of theatre auditoriums, and the provision of catering services and network and audio visual services that are sold as part of our meeting and event services. Our digital programming revenue is derived from the sale of tickets to the general public for music, sporting and other entertainment events and the sale of event sponsorships for an individual event or a series of events.</w:t>
      </w:r>
    </w:p>
    <w:p>
      <w:pPr>
        <w:spacing w:after="0" w:line="86" w:lineRule="exact"/>
        <w:rPr>
          <w:sz w:val="20"/>
          <w:szCs w:val="20"/>
          <w:color w:val="auto"/>
        </w:rPr>
      </w:pPr>
    </w:p>
    <w:p>
      <w:pPr>
        <w:ind w:right="60" w:firstLine="458"/>
        <w:spacing w:after="0" w:line="290" w:lineRule="auto"/>
        <w:rPr>
          <w:sz w:val="20"/>
          <w:szCs w:val="20"/>
          <w:color w:val="auto"/>
        </w:rPr>
      </w:pPr>
      <w:r>
        <w:rPr>
          <w:rFonts w:ascii="Arial" w:cs="Arial" w:eastAsia="Arial" w:hAnsi="Arial"/>
          <w:sz w:val="13"/>
          <w:szCs w:val="13"/>
          <w:color w:val="auto"/>
        </w:rPr>
        <w:t>Our advertising rates are generally based on either contracts with our content partners and other advertisers or are driven by the demand in the advertising marketplace, including television and other segments of national, regional and local advertising. Our national on-screen CPMs vary by the time of year and the placement within our pre-feature program. Our founding members and certain of our network affiliates report to us each theatre’s attendance by film and film rating category on a weekly or monthly basis. The number of people in the auditorium at the time an advertisement is presented is based on the exhibitor’s attendance reports. We calculate the number of impressions delivered against advertising contracts by multiplying the attendance data received from the exhibitors by the number of patrons in their seat at a given time prior to the advertised show time. The percentage is based on independent third-party research. If, during any contract period we under-deliver the number of contracted impressions, we will be obligated to either provide “make-good” advertising units in a</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40"/>
          </w:cols>
          <w:pgMar w:left="220" w:top="399" w:right="2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subsequent period (and defer the recognition of the related revenue) or refund a pro rata portion of the contract amount in cash to the client. Historically, in the majority of cases, clients have asked us to “make-good” rather than to refund cash.</w:t>
      </w:r>
    </w:p>
    <w:p>
      <w:pPr>
        <w:spacing w:after="0" w:line="93" w:lineRule="exact"/>
        <w:rPr>
          <w:sz w:val="20"/>
          <w:szCs w:val="20"/>
          <w:color w:val="auto"/>
        </w:rPr>
      </w:pPr>
    </w:p>
    <w:p>
      <w:pPr>
        <w:ind w:right="160" w:firstLine="458"/>
        <w:spacing w:after="0" w:line="267" w:lineRule="auto"/>
        <w:rPr>
          <w:sz w:val="20"/>
          <w:szCs w:val="20"/>
          <w:color w:val="auto"/>
        </w:rPr>
      </w:pPr>
      <w:r>
        <w:rPr>
          <w:rFonts w:ascii="Arial" w:cs="Arial" w:eastAsia="Arial" w:hAnsi="Arial"/>
          <w:sz w:val="14"/>
          <w:szCs w:val="14"/>
          <w:color w:val="auto"/>
        </w:rPr>
        <w:t xml:space="preserve">To monitor our national advertising business, our management team typically reviews the average CPMs per 30-second units sold within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pre-feature program or lobby entertainment network and the percentage of impressions sold of total available impressions as a measure of inventory utilization. We also monitor the local and regional average rates per screen per week and number of units sold per theatre. Our primary management metrics for the CineMeetings business include the number of events and the revenue per event location. To monitor our digital programming events business revenue, we typically track the number of tickets sold, average ticket prices, revenue per location and events per given period. EBITDA, adjusted EBITDA and adjusted EBITDA margin are also measures used by management to measure operating performance.</w:t>
      </w:r>
    </w:p>
    <w:p>
      <w:pPr>
        <w:spacing w:after="0" w:line="110"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color w:val="auto"/>
        </w:rPr>
        <w:t>The significant expenses associated with our business historically have included (i) selling and marketing expenses, (ii) network operations and maintenance costs, (iii) advertising and event costs, (iv) administrative costs and (v) “circuit share” expenses to our founding members under the current agreements with our founding members. Our selling and marketing expenses include the base salaries and commissions of our advertising sales staff and expenses associated with marketing, public relations and research departments. Network operations and maintenance costs relate to the personnel and other costs associated with our content production and post-production activities, costs associated with operating our network operations center, satellite bandwidth costs and maintenance of the network software and hardware. Advertising and event costs relate primarily to production and fulfillment of non-digital advertising and payments based on a sharing of revenue with our network affiliates and the direct costs associated with CineMeetings and digital programming events. Circuit share payments are the payments made to our founding members for the right to provide our services in their theatres using our digital content network and prior to this offering have represented substantially all of our earnings before interest, income taxes, depreciation and amortization, or EBITDA. Our administrative costs primarily consist of salaries and bonuses for our administrative staff and occupancy costs. In connection with the completion of this offering, we will enter into 30-year exhibitor services agreements (with a right of first refusal, which begins one year prior to the end of the term of the agreement) with each of our founding members. The exhibitor services agreements will provide for the payment of a theatre access fee, in lieu of circuit share expense, comprised of a payment per theatre attendee and a payment per digital screen, both of which escalate over time, but which are expected to result in significantly lower payments as a percentage of our revenue than have been required historically.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operating results may be affected by a variety of internal and external factors and trends described more fully below:</w:t>
      </w:r>
    </w:p>
    <w:p>
      <w:pPr>
        <w:spacing w:after="0" w:line="79" w:lineRule="exact"/>
        <w:rPr>
          <w:sz w:val="20"/>
          <w:szCs w:val="20"/>
          <w:color w:val="auto"/>
        </w:rPr>
      </w:pPr>
    </w:p>
    <w:p>
      <w:pPr>
        <w:ind w:left="780" w:right="420" w:hanging="240"/>
        <w:spacing w:after="0" w:line="330" w:lineRule="auto"/>
        <w:tabs>
          <w:tab w:leader="none" w:pos="7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Pre-feature show content. </w:t>
      </w:r>
      <w:r>
        <w:rPr>
          <w:rFonts w:ascii="Arial" w:cs="Arial" w:eastAsia="Arial" w:hAnsi="Arial"/>
          <w:sz w:val="13"/>
          <w:szCs w:val="13"/>
          <w:color w:val="auto"/>
        </w:rPr>
        <w:t>We have sought to make our</w:t>
      </w:r>
      <w:r>
        <w:rPr>
          <w:rFonts w:ascii="Arial" w:cs="Arial" w:eastAsia="Arial" w:hAnsi="Arial"/>
          <w:sz w:val="13"/>
          <w:szCs w:val="13"/>
          <w:i w:val="1"/>
          <w:iCs w:val="1"/>
          <w:color w:val="auto"/>
        </w:rPr>
        <w:t xml:space="preserve"> FirstLook </w:t>
      </w:r>
      <w:r>
        <w:rPr>
          <w:rFonts w:ascii="Arial" w:cs="Arial" w:eastAsia="Arial" w:hAnsi="Arial"/>
          <w:sz w:val="13"/>
          <w:szCs w:val="13"/>
          <w:color w:val="auto"/>
        </w:rPr>
        <w:t>pre-show both entertaining for theatre audiences and an effective advertising platform for our clients. If the theatre</w:t>
      </w:r>
      <w:r>
        <w:rPr>
          <w:rFonts w:ascii="Arial" w:cs="Arial" w:eastAsia="Arial" w:hAnsi="Arial"/>
          <w:sz w:val="13"/>
          <w:szCs w:val="13"/>
          <w:i w:val="1"/>
          <w:iCs w:val="1"/>
          <w:color w:val="auto"/>
        </w:rPr>
        <w:t xml:space="preserve"> </w:t>
      </w:r>
      <w:r>
        <w:rPr>
          <w:rFonts w:ascii="Arial" w:cs="Arial" w:eastAsia="Arial" w:hAnsi="Arial"/>
          <w:sz w:val="13"/>
          <w:szCs w:val="13"/>
          <w:color w:val="auto"/>
        </w:rPr>
        <w:t>audiences or advertisers do not respond as we anticipate to our pre-feature show format or content, our advertising revenue could be adversely affected.</w:t>
      </w:r>
    </w:p>
    <w:p>
      <w:pPr>
        <w:spacing w:after="0" w:line="4" w:lineRule="exact"/>
        <w:rPr>
          <w:rFonts w:ascii="Arial" w:cs="Arial" w:eastAsia="Arial" w:hAnsi="Arial"/>
          <w:sz w:val="13"/>
          <w:szCs w:val="13"/>
          <w:color w:val="auto"/>
        </w:rPr>
      </w:pPr>
    </w:p>
    <w:p>
      <w:pPr>
        <w:ind w:left="780" w:right="380" w:hanging="240"/>
        <w:spacing w:after="0" w:line="289"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Trends in advertising. </w:t>
      </w:r>
      <w:r>
        <w:rPr>
          <w:rFonts w:ascii="Arial" w:cs="Arial" w:eastAsia="Arial" w:hAnsi="Arial"/>
          <w:sz w:val="14"/>
          <w:szCs w:val="14"/>
          <w:color w:val="auto"/>
        </w:rPr>
        <w:t>As advertisers continue to shift spending to non-traditional, targeted media platforms from traditional media such as television, newspapers and billboards, our</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advertising business could benefit from this trend.</w:t>
      </w:r>
    </w:p>
    <w:p>
      <w:pPr>
        <w:spacing w:after="0" w:line="27" w:lineRule="exact"/>
        <w:rPr>
          <w:rFonts w:ascii="Arial" w:cs="Arial" w:eastAsia="Arial" w:hAnsi="Arial"/>
          <w:sz w:val="14"/>
          <w:szCs w:val="14"/>
          <w:color w:val="auto"/>
        </w:rPr>
      </w:pPr>
    </w:p>
    <w:p>
      <w:pPr>
        <w:ind w:left="780" w:right="140" w:hanging="240"/>
        <w:spacing w:after="0" w:line="270"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Theatre attendance. </w:t>
      </w:r>
      <w:r>
        <w:rPr>
          <w:rFonts w:ascii="Arial" w:cs="Arial" w:eastAsia="Arial" w:hAnsi="Arial"/>
          <w:sz w:val="14"/>
          <w:szCs w:val="14"/>
          <w:color w:val="auto"/>
        </w:rPr>
        <w:t>Theatre attendance depends to a significant degree on the quality of the motion pictures distributed by the movie studios to the film exhibitors as well as the</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of other distribution platforms. Although theatre attendance declined from 2001 to 2005, during this time, cinema advertising revenue significantly increased as a result of better visibility of the medium and the use of digital technology, which enhanced the reach and overall value proposition of cinema advertising. However, as cinema advertising matures, this trend may not continue and our revenue growth rates may decline as theatre attendance declines.</w:t>
      </w:r>
    </w:p>
    <w:p>
      <w:pPr>
        <w:spacing w:after="0" w:line="40" w:lineRule="exact"/>
        <w:rPr>
          <w:rFonts w:ascii="Arial" w:cs="Arial" w:eastAsia="Arial" w:hAnsi="Arial"/>
          <w:sz w:val="14"/>
          <w:szCs w:val="14"/>
          <w:color w:val="auto"/>
        </w:rPr>
      </w:pPr>
    </w:p>
    <w:p>
      <w:pPr>
        <w:ind w:left="780" w:right="240" w:hanging="240"/>
        <w:spacing w:after="0" w:line="289"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Addition of theatres. </w:t>
      </w:r>
      <w:r>
        <w:rPr>
          <w:rFonts w:ascii="Arial" w:cs="Arial" w:eastAsia="Arial" w:hAnsi="Arial"/>
          <w:sz w:val="14"/>
          <w:szCs w:val="14"/>
          <w:color w:val="auto"/>
        </w:rPr>
        <w:t>As theatres are added to our digital in-theatre network (either as our founding members acquire theatres such as in the case of the Century acquisition or as we add</w:t>
      </w:r>
      <w:r>
        <w:rPr>
          <w:rFonts w:ascii="Arial" w:cs="Arial" w:eastAsia="Arial" w:hAnsi="Arial"/>
          <w:sz w:val="14"/>
          <w:szCs w:val="14"/>
          <w:i w:val="1"/>
          <w:iCs w:val="1"/>
          <w:color w:val="auto"/>
        </w:rPr>
        <w:t xml:space="preserve"> </w:t>
      </w:r>
      <w:r>
        <w:rPr>
          <w:rFonts w:ascii="Arial" w:cs="Arial" w:eastAsia="Arial" w:hAnsi="Arial"/>
          <w:sz w:val="14"/>
          <w:szCs w:val="14"/>
          <w:color w:val="auto"/>
        </w:rPr>
        <w:t>new network</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399" w:right="21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affiliates), due to the scalable nature of our business, we expect our revenue to increase with minimal additional capital or operating expenditures.</w:t>
      </w:r>
    </w:p>
    <w:p>
      <w:pPr>
        <w:spacing w:after="0" w:line="90" w:lineRule="exact"/>
        <w:rPr>
          <w:sz w:val="20"/>
          <w:szCs w:val="20"/>
          <w:color w:val="auto"/>
        </w:rPr>
      </w:pPr>
    </w:p>
    <w:p>
      <w:pPr>
        <w:ind w:left="780" w:right="280" w:hanging="240"/>
        <w:spacing w:after="0" w:line="289"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Growth of our meetings and digital programming businesses. </w:t>
      </w:r>
      <w:r>
        <w:rPr>
          <w:rFonts w:ascii="Arial" w:cs="Arial" w:eastAsia="Arial" w:hAnsi="Arial"/>
          <w:sz w:val="14"/>
          <w:szCs w:val="14"/>
          <w:color w:val="auto"/>
        </w:rPr>
        <w:t>Our ability to grow our meetings and digital programming businesses depends on our success in growing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awareness of these services through effective marketing.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have a 52-week or 53-week fiscal year ending on the first Thursday after December 25. Fiscal years 2004, 2005 and 2006 contained 52 weeks, while fiscal year 2003 contained 53 weeks.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Throughout this prospectus, we refer to our fiscal years as set forth below:</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93"/>
              </w:rPr>
              <w:t>Reference in</w:t>
            </w:r>
          </w:p>
        </w:tc>
      </w:tr>
      <w:tr>
        <w:trPr>
          <w:trHeight w:val="133"/>
        </w:trPr>
        <w:tc>
          <w:tcPr>
            <w:tcW w:w="7780" w:type="dxa"/>
            <w:vAlign w:val="bottom"/>
            <w:gridSpan w:val="2"/>
          </w:tcPr>
          <w:p>
            <w:pPr>
              <w:spacing w:after="0"/>
              <w:rPr>
                <w:sz w:val="20"/>
                <w:szCs w:val="20"/>
                <w:color w:val="auto"/>
              </w:rPr>
            </w:pPr>
            <w:r>
              <w:rPr>
                <w:rFonts w:ascii="Arial" w:cs="Arial" w:eastAsia="Arial" w:hAnsi="Arial"/>
                <w:sz w:val="11"/>
                <w:szCs w:val="11"/>
                <w:b w:val="1"/>
                <w:bCs w:val="1"/>
                <w:color w:val="auto"/>
              </w:rPr>
              <w:t>Fiscal Year Ended</w:t>
            </w:r>
          </w:p>
        </w:tc>
        <w:tc>
          <w:tcPr>
            <w:tcW w:w="1140" w:type="dxa"/>
            <w:vAlign w:val="bottom"/>
          </w:tcPr>
          <w:p>
            <w:pPr>
              <w:spacing w:after="0"/>
              <w:rPr>
                <w:sz w:val="11"/>
                <w:szCs w:val="1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82"/>
              </w:rPr>
              <w:t>this Prospectus</w:t>
            </w:r>
          </w:p>
        </w:tc>
      </w:tr>
      <w:tr>
        <w:trPr>
          <w:trHeight w:val="175"/>
        </w:trPr>
        <w:tc>
          <w:tcPr>
            <w:tcW w:w="20" w:type="dxa"/>
            <w:vAlign w:val="bottom"/>
          </w:tcPr>
          <w:p>
            <w:pPr>
              <w:spacing w:after="0"/>
              <w:rPr>
                <w:sz w:val="15"/>
                <w:szCs w:val="15"/>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December 28, 2006</w:t>
            </w:r>
          </w:p>
        </w:tc>
        <w:tc>
          <w:tcPr>
            <w:tcW w:w="1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December 29, 2005</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December 30, 2004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January 1, 2004</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5"/>
                <w:szCs w:val="15"/>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Company Following the Completion of this Offering</w:t>
      </w:r>
    </w:p>
    <w:p>
      <w:pPr>
        <w:spacing w:after="0" w:line="83"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Prior to the completion of this offering, NCM LLC has been wholly-owned by our founding members. In connection with this offering, we will purchase newly issued common membership units from NCM LLC and will become a member and the sole manager of NCM LLC. We intend to enter into several agreements to effect the reorganization and the financing transaction and to define and regulate the relationships among NCM LLC and the founding members after the completion of these transactions. For more information about the agreements discussed below and the other agreements between us, NCM LLC and the founding members, see “Certain Relationships and Related Party Transactions—Transactions with Founding Members.”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Exhibitor Services Agreements</w:t>
      </w:r>
    </w:p>
    <w:p>
      <w:pPr>
        <w:spacing w:after="0" w:line="79"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The exhibitor services agreements that we and the founding members will enter into in connection with this offering will significantly change the structure of NCM LLC’s payments to the founding members. Under the current contractual arrangements, NCM LLC makes quarterly circuit share payments to the founding members based on varying percentages of advertising revenue. Under the exhibitor services agreements, we will make monthly theatre access fee payments to the founding members, comprised of a payment per theatre attendee of $0.07 which will increase by 8% every five years with the first such increase taking effect after the end of fiscal 2011 and a payment per digital screen of $66.67 which will increase 5% per year beginning at the end of fiscal 2007. These payments will be adjusted for any advertising exhibited by some, but not all, theatres or founding members because of content objections or technical capacity. The theatre access fee paid in the aggregate to all founding members annually will not be less than 12% of NCM LLC’s aggregate annual advertising revenue as defined in the exhibitor services agreements, or it will be adjusted upward to reach this minimum payment. The theatre access fee will replace the current circuit share expenses, which will significantly reduce the contractual amounts paid to our founding members from the historical amounts. Also, under the modified exhibitor services agreements, NCM LLC revenue will increase significantly due to the payments from the founding members for the display of up to 90 seconds of on-screen advertising under beverage concessionaire agreements at an agreed upon rate. For more information on the exhibitor services agreements, see “Certain Relationships and Related Party Transactions—Transactions with Founding Members—Exhibitor Services Agreements.”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Loews Payments</w:t>
      </w:r>
    </w:p>
    <w:p>
      <w:pPr>
        <w:spacing w:after="0" w:line="79"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On January 26, 2006, AMC acquired the Loews theatre circuit. The Loews screen integration agreement, entered into on January , 2007, between NCM LLC and AMC in connection with this offering, commits AMC to cause the theatres it acquired from Loews to participate in the exhibitor services agreements beginning on</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40"/>
          </w:cols>
          <w:pgMar w:left="220" w:top="399" w:right="2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June 1, 2008. These U.S.-based Loews screens will become part of our national advertising network on an exclusive basis beginning on June 1, 2008, following the expiration of Loews’ pre-existing contract with another cinema advertising provider. The Loews theatres will be subject to the following limitations: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during the pre-feature show, in each case, for pre-existing contractual obligations that exist on May 31, 2008. In accordance with a Loews screen integration agreement between us and AMC, which will be amended and restated in connection with this offering, AMC will pay us an amount that approximates the EBITDA we would have generated if we were able to sell advertising in the Loews theatre chain on an exclusive basis. On January ,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 theatres. These Loews payments will be made on a quarterly basis in arrears until May 31, 2008 and for the three months ended September 28, 2006, would have been $2.4 million. The payments, for accounting purposes, will be recorded directly to our members’ equity accounts and will not be reflected in NCM LLC’s statements of operations.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Debt Financings</w:t>
      </w:r>
    </w:p>
    <w:p>
      <w:pPr>
        <w:spacing w:after="0" w:line="79" w:lineRule="exact"/>
        <w:rPr>
          <w:sz w:val="20"/>
          <w:szCs w:val="20"/>
          <w:color w:val="auto"/>
        </w:rPr>
      </w:pPr>
    </w:p>
    <w:p>
      <w:pPr>
        <w:ind w:right="60" w:firstLine="458"/>
        <w:spacing w:after="0" w:line="330" w:lineRule="auto"/>
        <w:rPr>
          <w:sz w:val="20"/>
          <w:szCs w:val="20"/>
          <w:color w:val="auto"/>
        </w:rPr>
      </w:pPr>
      <w:r>
        <w:rPr>
          <w:rFonts w:ascii="Arial" w:cs="Arial" w:eastAsia="Arial" w:hAnsi="Arial"/>
          <w:sz w:val="13"/>
          <w:szCs w:val="13"/>
          <w:color w:val="auto"/>
        </w:rPr>
        <w:t>In connection with entering into the senior secured credit facility under which NCM LLC will borrow $805.0 million, as discussed in “—Financial Condition and Liquidity—Financings—New senior secured credit facility.” NCM LLC expects interest expense to increase significantly based on the outstanding level of the facility as compared to our historical borrowing levels.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Other</w:t>
      </w:r>
    </w:p>
    <w:p>
      <w:pPr>
        <w:spacing w:after="0" w:line="79" w:lineRule="exact"/>
        <w:rPr>
          <w:sz w:val="20"/>
          <w:szCs w:val="20"/>
          <w:color w:val="auto"/>
        </w:rPr>
      </w:pPr>
    </w:p>
    <w:p>
      <w:pPr>
        <w:ind w:right="360" w:firstLine="458"/>
        <w:spacing w:after="0" w:line="330" w:lineRule="auto"/>
        <w:rPr>
          <w:sz w:val="20"/>
          <w:szCs w:val="20"/>
          <w:color w:val="auto"/>
        </w:rPr>
      </w:pPr>
      <w:r>
        <w:rPr>
          <w:rFonts w:ascii="Arial" w:cs="Arial" w:eastAsia="Arial" w:hAnsi="Arial"/>
          <w:sz w:val="13"/>
          <w:szCs w:val="13"/>
          <w:color w:val="auto"/>
        </w:rPr>
        <w:t>Subsequent to the completion of the offering, we expect administrative costs to increase by approximately $2.5 to $3.0 million compared to expenses incurred as a private company. These incremental costs include regulatory filing and compliance costs, salaries and benefits costs for additional staffing, additional insurance costs and costs of investor relations.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83" w:lineRule="exact"/>
        <w:rPr>
          <w:sz w:val="20"/>
          <w:szCs w:val="20"/>
          <w:color w:val="auto"/>
        </w:rPr>
      </w:pPr>
    </w:p>
    <w:p>
      <w:pPr>
        <w:ind w:right="60" w:firstLine="458"/>
        <w:spacing w:after="0" w:line="297" w:lineRule="auto"/>
        <w:rPr>
          <w:sz w:val="20"/>
          <w:szCs w:val="20"/>
          <w:color w:val="auto"/>
        </w:rPr>
      </w:pPr>
      <w:r>
        <w:rPr>
          <w:rFonts w:ascii="Arial" w:cs="Arial" w:eastAsia="Arial" w:hAnsi="Arial"/>
          <w:sz w:val="13"/>
          <w:szCs w:val="13"/>
          <w:color w:val="auto"/>
        </w:rPr>
        <w:t>Our historical financial information discussed herein has been derived from the financial statements and accounting records of NCM LLC for the nine months ended December 29, 2005, the three and nine months ended September 28, 2006, and the three months ended September 29, 2005, from the financial statements and accounting records of our joint predecessor company RCM for the fiscal years ended January 1, 2004 and December 30, 2004 and for the three months ended March 31, 2005 and from the financial statements and accounting records of our joint predecessor company NCN for the fiscal year ended April 1, 2004, the thirty-eight week period ended December 23, 2004 and the fourteen week period ended March 31, 2005.</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399" w:right="2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our historical results of operations and the results of operations of RCM:</w:t>
      </w:r>
    </w:p>
    <w:p>
      <w:pPr>
        <w:sectPr>
          <w:pgSz w:w="11900" w:h="16838" w:orient="portrait"/>
          <w:cols w:equalWidth="0" w:num="1">
            <w:col w:w="11360"/>
          </w:cols>
          <w:pgMar w:left="220" w:top="3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Revenue: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Advertising</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Administrative Fees—Members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Meetings and Events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REVENUE</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Expenses: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Operating Costs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Selling and Marketing Costs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Circuit Share Costs—Members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Administrative Costs</w:t>
      </w:r>
    </w:p>
    <w:p>
      <w:pPr>
        <w:spacing w:after="0" w:line="70" w:lineRule="exact"/>
        <w:rPr>
          <w:sz w:val="20"/>
          <w:szCs w:val="20"/>
          <w:color w:val="auto"/>
        </w:rPr>
      </w:pPr>
    </w:p>
    <w:p>
      <w:pPr>
        <w:ind w:right="280"/>
        <w:spacing w:after="0" w:line="393" w:lineRule="auto"/>
        <w:rPr>
          <w:sz w:val="20"/>
          <w:szCs w:val="20"/>
          <w:color w:val="auto"/>
        </w:rPr>
      </w:pPr>
      <w:r>
        <w:rPr>
          <w:rFonts w:ascii="Arial" w:cs="Arial" w:eastAsia="Arial" w:hAnsi="Arial"/>
          <w:sz w:val="11"/>
          <w:szCs w:val="11"/>
          <w:color w:val="auto"/>
        </w:rPr>
        <w:t>Deferred Stock Compensation and Severance Plan Costs Depreciation and Amortization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EXPENSES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Operating Income (Loss)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Interest Expense, Net</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Income/(Loss) Before Income Taxes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Income Taxes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NET INCOME (LOSS)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w w:val="83"/>
              </w:rPr>
              <w:t>Predecessor-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8"/>
              </w:rPr>
              <w:t>Predecessor-Regal CineMedia</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020" w:type="dxa"/>
            <w:vAlign w:val="bottom"/>
            <w:gridSpan w:val="8"/>
          </w:tcPr>
          <w:p>
            <w:pPr>
              <w:jc w:val="right"/>
              <w:ind w:right="400"/>
              <w:spacing w:after="0"/>
              <w:rPr>
                <w:sz w:val="20"/>
                <w:szCs w:val="20"/>
                <w:color w:val="auto"/>
              </w:rPr>
            </w:pPr>
            <w:r>
              <w:rPr>
                <w:rFonts w:ascii="Arial" w:cs="Arial" w:eastAsia="Arial" w:hAnsi="Arial"/>
                <w:sz w:val="11"/>
                <w:szCs w:val="11"/>
                <w:b w:val="1"/>
                <w:bCs w:val="1"/>
                <w:color w:val="auto"/>
              </w:rPr>
              <w:t>National Cinema Network, Inc.</w:t>
            </w: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2"/>
              </w:rPr>
              <w:t>Corporation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6"/>
          </w:tcPr>
          <w:p>
            <w:pPr>
              <w:ind w:left="60"/>
              <w:spacing w:after="0"/>
              <w:rPr>
                <w:sz w:val="20"/>
                <w:szCs w:val="20"/>
                <w:color w:val="auto"/>
              </w:rPr>
            </w:pPr>
            <w:r>
              <w:rPr>
                <w:rFonts w:ascii="Arial" w:cs="Arial" w:eastAsia="Arial" w:hAnsi="Arial"/>
                <w:sz w:val="11"/>
                <w:szCs w:val="11"/>
                <w:b w:val="1"/>
                <w:bCs w:val="1"/>
                <w:color w:val="auto"/>
              </w:rPr>
              <w:t>National CineMedia, LLC</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3"/>
          </w:tcPr>
          <w:p>
            <w:pPr>
              <w:ind w:left="300"/>
              <w:spacing w:after="0" w:line="100" w:lineRule="exact"/>
              <w:rPr>
                <w:sz w:val="20"/>
                <w:szCs w:val="20"/>
                <w:color w:val="auto"/>
              </w:rPr>
            </w:pPr>
            <w:r>
              <w:rPr>
                <w:rFonts w:ascii="Arial" w:cs="Arial" w:eastAsia="Arial" w:hAnsi="Arial"/>
                <w:sz w:val="11"/>
                <w:szCs w:val="11"/>
                <w:b w:val="1"/>
                <w:bCs w:val="1"/>
                <w:color w:val="auto"/>
              </w:rPr>
              <w:t>Three Months</w:t>
            </w:r>
          </w:p>
        </w:tc>
        <w:tc>
          <w:tcPr>
            <w:tcW w:w="2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Fourteen</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1"/>
                <w:szCs w:val="11"/>
                <w:b w:val="1"/>
                <w:bCs w:val="1"/>
                <w:color w:val="auto"/>
              </w:rPr>
              <w:t>Years Ended</w:t>
            </w: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3"/>
              </w:rPr>
              <w:t>Three</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1"/>
                <w:szCs w:val="11"/>
                <w:b w:val="1"/>
                <w:bCs w:val="1"/>
                <w:color w:val="auto"/>
              </w:rPr>
              <w:t>Ended</w:t>
            </w:r>
          </w:p>
        </w:tc>
        <w:tc>
          <w:tcPr>
            <w:tcW w:w="2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jc w:val="center"/>
              <w:ind w:right="100"/>
              <w:spacing w:after="0" w:line="101" w:lineRule="exact"/>
              <w:rPr>
                <w:sz w:val="20"/>
                <w:szCs w:val="20"/>
                <w:color w:val="auto"/>
              </w:rPr>
            </w:pPr>
            <w:r>
              <w:rPr>
                <w:rFonts w:ascii="Arial" w:cs="Arial" w:eastAsia="Arial" w:hAnsi="Arial"/>
                <w:sz w:val="11"/>
                <w:szCs w:val="11"/>
                <w:b w:val="1"/>
                <w:bCs w:val="1"/>
                <w:color w:val="auto"/>
                <w:w w:val="95"/>
              </w:rPr>
              <w:t>Thirty-eight</w:t>
            </w: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Year</w:t>
            </w:r>
          </w:p>
        </w:tc>
        <w:tc>
          <w:tcPr>
            <w:tcW w:w="140" w:type="dxa"/>
            <w:vAlign w:val="bottom"/>
          </w:tcPr>
          <w:p>
            <w:pPr>
              <w:spacing w:after="0"/>
              <w:rPr>
                <w:sz w:val="10"/>
                <w:szCs w:val="10"/>
                <w:color w:val="auto"/>
              </w:rPr>
            </w:pPr>
          </w:p>
        </w:tc>
        <w:tc>
          <w:tcPr>
            <w:tcW w:w="76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Week Period</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1"/>
              </w:rPr>
              <w:t>Week Period</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Nine Months</w:t>
            </w:r>
          </w:p>
        </w:tc>
        <w:tc>
          <w:tcPr>
            <w:tcW w:w="80" w:type="dxa"/>
            <w:vAlign w:val="bottom"/>
          </w:tcPr>
          <w:p>
            <w:pPr>
              <w:spacing w:after="0"/>
              <w:rPr>
                <w:sz w:val="10"/>
                <w:szCs w:val="10"/>
                <w:color w:val="auto"/>
              </w:rPr>
            </w:pPr>
          </w:p>
        </w:tc>
        <w:tc>
          <w:tcPr>
            <w:tcW w:w="78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3"/>
              </w:rPr>
              <w:t>Nine Months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6"/>
              </w:rPr>
              <w:t>April 1,</w:t>
            </w:r>
          </w:p>
        </w:tc>
        <w:tc>
          <w:tcPr>
            <w:tcW w:w="140" w:type="dxa"/>
            <w:vAlign w:val="bottom"/>
          </w:tcPr>
          <w:p>
            <w:pPr>
              <w:spacing w:after="0"/>
              <w:rPr>
                <w:sz w:val="10"/>
                <w:szCs w:val="10"/>
                <w:color w:val="auto"/>
              </w:rPr>
            </w:pPr>
          </w:p>
        </w:tc>
        <w:tc>
          <w:tcPr>
            <w:tcW w:w="76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December 23,</w:t>
            </w: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January 1,</w:t>
            </w:r>
          </w:p>
        </w:tc>
        <w:tc>
          <w:tcPr>
            <w:tcW w:w="72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auto"/>
                <w:w w:val="89"/>
              </w:rPr>
              <w:t>December 30,</w:t>
            </w:r>
          </w:p>
        </w:tc>
        <w:tc>
          <w:tcPr>
            <w:tcW w:w="120" w:type="dxa"/>
            <w:vAlign w:val="bottom"/>
          </w:tcPr>
          <w:p>
            <w:pPr>
              <w:spacing w:after="0"/>
              <w:rPr>
                <w:sz w:val="10"/>
                <w:szCs w:val="10"/>
                <w:color w:val="auto"/>
              </w:rPr>
            </w:pPr>
          </w:p>
        </w:tc>
        <w:tc>
          <w:tcPr>
            <w:tcW w:w="58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March 31,</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December 29,</w:t>
            </w:r>
          </w:p>
        </w:tc>
        <w:tc>
          <w:tcPr>
            <w:tcW w:w="80" w:type="dxa"/>
            <w:vAlign w:val="bottom"/>
          </w:tcPr>
          <w:p>
            <w:pPr>
              <w:spacing w:after="0"/>
              <w:rPr>
                <w:sz w:val="10"/>
                <w:szCs w:val="10"/>
                <w:color w:val="auto"/>
              </w:rPr>
            </w:pPr>
          </w:p>
        </w:tc>
        <w:tc>
          <w:tcPr>
            <w:tcW w:w="78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80" w:type="dxa"/>
            <w:vAlign w:val="bottom"/>
          </w:tcPr>
          <w:p>
            <w:pPr>
              <w:spacing w:after="0"/>
              <w:rPr>
                <w:sz w:val="10"/>
                <w:szCs w:val="10"/>
                <w:color w:val="auto"/>
              </w:rPr>
            </w:pPr>
          </w:p>
        </w:tc>
        <w:tc>
          <w:tcPr>
            <w:tcW w:w="8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29,</w:t>
            </w:r>
          </w:p>
        </w:tc>
        <w:tc>
          <w:tcPr>
            <w:tcW w:w="7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0"/>
              </w:rPr>
              <w:t>September 28,</w:t>
            </w: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2005</w:t>
            </w:r>
          </w:p>
        </w:tc>
        <w:tc>
          <w:tcPr>
            <w:tcW w:w="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w w:val="97"/>
              </w:rPr>
              <w:t>2004</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center"/>
              <w:ind w:left="168"/>
              <w:spacing w:after="0"/>
              <w:rPr>
                <w:sz w:val="20"/>
                <w:szCs w:val="20"/>
                <w:color w:val="auto"/>
              </w:rPr>
            </w:pPr>
            <w:r>
              <w:rPr>
                <w:rFonts w:ascii="Arial" w:cs="Arial" w:eastAsia="Arial" w:hAnsi="Arial"/>
                <w:sz w:val="11"/>
                <w:szCs w:val="11"/>
                <w:b w:val="1"/>
                <w:bCs w:val="1"/>
                <w:color w:val="auto"/>
                <w:w w:val="89"/>
              </w:rPr>
              <w:t>2004</w:t>
            </w: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2005</w:t>
            </w:r>
          </w:p>
        </w:tc>
        <w:tc>
          <w:tcPr>
            <w:tcW w:w="1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2005</w:t>
            </w:r>
          </w:p>
        </w:tc>
        <w:tc>
          <w:tcPr>
            <w:tcW w:w="20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2006</w:t>
            </w:r>
          </w:p>
        </w:tc>
        <w:tc>
          <w:tcPr>
            <w:tcW w:w="2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gridSpan w:val="4"/>
          </w:tcPr>
          <w:p>
            <w:pPr>
              <w:jc w:val="right"/>
              <w:spacing w:after="0" w:line="111" w:lineRule="exact"/>
              <w:rPr>
                <w:sz w:val="20"/>
                <w:szCs w:val="20"/>
                <w:color w:val="auto"/>
              </w:rPr>
            </w:pPr>
            <w:r>
              <w:rPr>
                <w:rFonts w:ascii="Arial" w:cs="Arial" w:eastAsia="Arial" w:hAnsi="Arial"/>
                <w:sz w:val="11"/>
                <w:szCs w:val="11"/>
                <w:b w:val="1"/>
                <w:bCs w:val="1"/>
                <w:color w:val="auto"/>
              </w:rPr>
              <w:t>($ in millions)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56.5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15.5</w:t>
            </w: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65.2</w:t>
            </w:r>
          </w:p>
        </w:tc>
        <w:tc>
          <w:tcPr>
            <w:tcW w:w="140" w:type="dxa"/>
            <w:vAlign w:val="bottom"/>
          </w:tcPr>
          <w:p>
            <w:pPr>
              <w:spacing w:after="0"/>
              <w:rPr>
                <w:sz w:val="24"/>
                <w:szCs w:val="24"/>
                <w:color w:val="auto"/>
              </w:rPr>
            </w:pPr>
          </w:p>
        </w:tc>
        <w:tc>
          <w:tcPr>
            <w:tcW w:w="440" w:type="dxa"/>
            <w:vAlign w:val="bottom"/>
          </w:tcPr>
          <w:p>
            <w:pPr>
              <w:jc w:val="right"/>
              <w:ind w:right="328"/>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83.6</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15.6</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56.0</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128.2</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15.8</w:t>
            </w:r>
          </w:p>
        </w:tc>
        <w:tc>
          <w:tcPr>
            <w:tcW w:w="200" w:type="dxa"/>
            <w:vAlign w:val="bottom"/>
          </w:tcPr>
          <w:p>
            <w:pPr>
              <w:spacing w:after="0"/>
              <w:rPr>
                <w:sz w:val="24"/>
                <w:szCs w:val="24"/>
                <w:color w:val="auto"/>
              </w:rPr>
            </w:pP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1"/>
                <w:szCs w:val="11"/>
                <w:color w:val="auto"/>
                <w:w w:val="83"/>
              </w:rPr>
              <w:t>54.9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11.5</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0.1</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15.5</w:t>
            </w:r>
          </w:p>
        </w:tc>
        <w:tc>
          <w:tcPr>
            <w:tcW w:w="1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72.4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95.3</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17.8</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98.8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145.2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28.6</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60.7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w:t>
            </w:r>
          </w:p>
        </w:tc>
        <w:tc>
          <w:tcPr>
            <w:tcW w:w="1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11.5</w:t>
            </w:r>
          </w:p>
        </w:tc>
        <w:tc>
          <w:tcPr>
            <w:tcW w:w="44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15.7</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20.9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3.2</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11.7</w:t>
            </w: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15.9</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4.4</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7.6</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5.5</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16.6</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88.6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10.6</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38.0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2.7</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10.8</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0.3</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0.4</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0.9</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17.0</w:t>
            </w:r>
          </w:p>
        </w:tc>
        <w:tc>
          <w:tcPr>
            <w:tcW w:w="1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51.1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61.4</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15.0</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105.7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156.1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(1.5)</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33.9</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w:t>
            </w: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(1.8)</w:t>
            </w:r>
          </w:p>
        </w:tc>
        <w:tc>
          <w:tcPr>
            <w:tcW w:w="46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1"/>
                <w:szCs w:val="11"/>
                <w:color w:val="auto"/>
                <w:w w:val="79"/>
              </w:rPr>
              <w:t>(0.4)</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(1.5)</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33.9</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w:t>
            </w: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(1.8)</w:t>
            </w:r>
          </w:p>
        </w:tc>
        <w:tc>
          <w:tcPr>
            <w:tcW w:w="46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1"/>
                <w:szCs w:val="11"/>
                <w:color w:val="auto"/>
                <w:w w:val="79"/>
              </w:rPr>
              <w:t>(0.6)</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(0.6)</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13.3</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(0.9)</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12.9</w:t>
            </w:r>
          </w:p>
        </w:tc>
        <w:tc>
          <w:tcPr>
            <w:tcW w:w="140" w:type="dxa"/>
            <w:vAlign w:val="bottom"/>
          </w:tcPr>
          <w:p>
            <w:pPr>
              <w:spacing w:after="0"/>
              <w:rPr>
                <w:sz w:val="17"/>
                <w:szCs w:val="17"/>
                <w:color w:val="auto"/>
              </w:rPr>
            </w:pPr>
          </w:p>
        </w:tc>
        <w:tc>
          <w:tcPr>
            <w:tcW w:w="440" w:type="dxa"/>
            <w:vAlign w:val="bottom"/>
          </w:tcPr>
          <w:p>
            <w:pPr>
              <w:jc w:val="right"/>
              <w:ind w:right="328"/>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20.6</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1.7</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(1.8)</w:t>
            </w: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240" w:type="dxa"/>
            <w:vAlign w:val="bottom"/>
            <w:gridSpan w:val="2"/>
          </w:tcPr>
          <w:p>
            <w:pPr>
              <w:ind w:left="40"/>
              <w:spacing w:after="0"/>
              <w:rPr>
                <w:sz w:val="20"/>
                <w:szCs w:val="20"/>
                <w:color w:val="auto"/>
              </w:rPr>
            </w:pPr>
            <w:r>
              <w:rPr>
                <w:rFonts w:ascii="Arial" w:cs="Arial" w:eastAsia="Arial" w:hAnsi="Arial"/>
                <w:sz w:val="11"/>
                <w:szCs w:val="11"/>
                <w:color w:val="auto"/>
                <w:w w:val="79"/>
              </w:rPr>
              <w:t>(0.6)</w:t>
            </w: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56</w:t>
      </w:r>
    </w:p>
    <w:p>
      <w:pPr>
        <w:sectPr>
          <w:pgSz w:w="11900" w:h="16838" w:orient="portrait"/>
          <w:cols w:equalWidth="0" w:num="2">
            <w:col w:w="2760" w:space="720"/>
            <w:col w:w="7880"/>
          </w:cols>
          <w:pgMar w:left="220" w:top="399" w:right="319" w:bottom="1440" w:gutter="0" w:footer="0" w:header="0"/>
          <w:type w:val="continuous"/>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Affecting Comparability of Results of Operations</w:t>
      </w:r>
    </w:p>
    <w:p>
      <w:pPr>
        <w:spacing w:after="0" w:line="83"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Our joint predecessor company, RCM, provided advertising services to the Regal theatre circuit during fiscal 2002, 2003, 2004, and the first quarter of fiscal 2005. Additionally, beginning in October 2004, RCM provided advertising services to one network affiliate. Our joint predecessor company, NCN, provided advertising services to the AMC theatre circuits and various network affiliates during its fiscal or other periods ended 2003, 2004, 2005 and the first quarter of fiscal 2005.</w:t>
      </w:r>
    </w:p>
    <w:p>
      <w:pPr>
        <w:spacing w:after="0" w:line="102"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NCM LLC was formed on March 29, 2005, by AMC and Regal as a joint venture that combined the cinema advertising and meetings and events operations of Regal’s subsidiary, RCM, and the cinema advertising operations of AMC’s subsidiary, NCN. On July 15, 2005, Cinemark joined NCM LLC as a founding member. Upon becoming a member of NCM LLC, each founding member entered into an exhibitor services agreement with NCM LLC, which will remain in effect until the founding members enter into new exhibitor services agreements upon the completion of this offering.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w:t>
      </w:r>
    </w:p>
    <w:p>
      <w:pPr>
        <w:spacing w:after="0" w:line="110"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color w:val="auto"/>
        </w:rPr>
        <w:t>In addition to the impact on comparability of the addition of the Cinemark screens during 2006, comparability of NCM LLC’s results between 2006 and 2005, and comparability of NCM LLC’s 2005 results with those of its predecessors is limited by the fact that NCM LLC began operations April 1, 2005. Thus, it had only six months of operations for the period ended September 29, 2005, and direct comparison to the year-to-date results for the nine-month period ended September 28, 2006 is not possible.</w:t>
      </w:r>
    </w:p>
    <w:p>
      <w:pPr>
        <w:spacing w:after="0" w:line="102"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color w:val="auto"/>
        </w:rPr>
        <w:t>Because of NCM LLC’s formation date, there are no comparable full year periods available, except for those of each of our predecessor entities, for which it is possible to compare RCM’s calendar year 2004 results to those of 2003, and NCN’s fiscal year 2005 results to those of 2004.</w:t>
      </w:r>
    </w:p>
    <w:p>
      <w:pPr>
        <w:spacing w:after="0" w:line="93" w:lineRule="exact"/>
        <w:rPr>
          <w:sz w:val="20"/>
          <w:szCs w:val="20"/>
          <w:color w:val="auto"/>
        </w:rPr>
      </w:pPr>
    </w:p>
    <w:p>
      <w:pPr>
        <w:ind w:right="660"/>
        <w:spacing w:after="0" w:line="289" w:lineRule="auto"/>
        <w:rPr>
          <w:sz w:val="20"/>
          <w:szCs w:val="20"/>
          <w:color w:val="auto"/>
        </w:rPr>
      </w:pPr>
      <w:r>
        <w:rPr>
          <w:rFonts w:ascii="Arial" w:cs="Arial" w:eastAsia="Arial" w:hAnsi="Arial"/>
          <w:sz w:val="14"/>
          <w:szCs w:val="14"/>
          <w:color w:val="auto"/>
        </w:rPr>
        <w:t>On October 5, 2006, Cinemark completed the acquisition of the Century theatre circuit and the Century screens have been added to our network on an exclusive basis upon completion of the acquisition. The addition of the Century theatre network will affect the comparability of future results.</w:t>
      </w:r>
    </w:p>
    <w:p>
      <w:pPr>
        <w:spacing w:after="0" w:line="93" w:lineRule="exact"/>
        <w:rPr>
          <w:sz w:val="20"/>
          <w:szCs w:val="20"/>
          <w:color w:val="auto"/>
        </w:rPr>
      </w:pPr>
    </w:p>
    <w:p>
      <w:pPr>
        <w:ind w:right="80" w:firstLine="458"/>
        <w:spacing w:after="0" w:line="289" w:lineRule="auto"/>
        <w:rPr>
          <w:sz w:val="20"/>
          <w:szCs w:val="20"/>
          <w:color w:val="auto"/>
        </w:rPr>
      </w:pPr>
      <w:r>
        <w:rPr>
          <w:rFonts w:ascii="Arial" w:cs="Arial" w:eastAsia="Arial" w:hAnsi="Arial"/>
          <w:sz w:val="13"/>
          <w:szCs w:val="13"/>
          <w:color w:val="auto"/>
        </w:rPr>
        <w:t>At our formation, each of AMC and Regal retained their pre-existing advertising contracts and we administered those contracts on behalf of those founding members for an administrative fee equal to 35% of total revenue through December 29, 2005 and 32% thereafter. Over time as these “legacy” advertising contracts were fulfilled and we entered into new contracts directly with advertisers, the administrative fees declined and our advertising revenue increased. The total underlying legacy contract value was approximately equal to our administrative fees during that period divided by the appropriate administrative fee percentage. Therefore, we believe the most meaningful metric to ascertain the growth of our advertising revenue among all historical periods presented is the total amount of our advertising revenue plus the legacy contract value. We also refer to total advertising contract value, divided by the total number of founding member attendees as total advertising contract value per founding member attendee. We believe this metric is helpful to analyze advertising revenue performance across our reporting periods, and provides a measure of revenue which is independent of the number of theatres in our network for which advertising services are being provided.</w:t>
      </w:r>
    </w:p>
    <w:p>
      <w:pPr>
        <w:spacing w:after="0" w:line="95" w:lineRule="exact"/>
        <w:rPr>
          <w:sz w:val="20"/>
          <w:szCs w:val="20"/>
          <w:color w:val="auto"/>
        </w:rPr>
      </w:pPr>
    </w:p>
    <w:p>
      <w:pPr>
        <w:ind w:right="180" w:firstLine="458"/>
        <w:spacing w:after="0" w:line="262" w:lineRule="auto"/>
        <w:rPr>
          <w:sz w:val="20"/>
          <w:szCs w:val="20"/>
          <w:color w:val="auto"/>
        </w:rPr>
      </w:pPr>
      <w:r>
        <w:rPr>
          <w:rFonts w:ascii="Arial" w:cs="Arial" w:eastAsia="Arial" w:hAnsi="Arial"/>
          <w:sz w:val="14"/>
          <w:szCs w:val="14"/>
          <w:color w:val="auto"/>
        </w:rPr>
        <w:t>The increases in the size of the network, as well as differences in the structure of circuit share expense, limit the comparability of operating expenses for all reporting periods except for fiscal 2004 and fiscal 2003 and comparisons of each joint predecessor to its own operations. Therefore, certain components of operating expenses, including selling and marketing, administrative, and depreciation expense, will be analyzed on the basis of cost per founding member attendee. Deferred stock compensation and severance plan costs are not generally related to the number of founding member attendees. Deferred stock compensation expense was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recorded by RCM and relates to Regal stock option grants made to RCM employees. At the time of the formation</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40"/>
          </w:cols>
          <w:pgMar w:left="220" w:top="399" w:right="23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of NCM LLC, remaining unvested in-the-money Regal stock option grants were converted to a series of cash</w:t>
      </w:r>
    </w:p>
    <w:p>
      <w:pPr>
        <w:spacing w:after="0" w:line="20"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payments to each option grantee, subject to a continuation of employment requirement, and have been accounted for as an expense by NCM LLC. These costs declined from $2.4 million during the three months ended September 29, 2005 to $0.7 million during the three months ended September 28, 2006, and will continue to decline as the participants in the severance plan receive their final payments.</w:t>
      </w:r>
    </w:p>
    <w:p>
      <w:pPr>
        <w:spacing w:after="0" w:line="105" w:lineRule="exact"/>
        <w:rPr>
          <w:sz w:val="20"/>
          <w:szCs w:val="20"/>
          <w:color w:val="auto"/>
        </w:rPr>
      </w:pPr>
    </w:p>
    <w:p>
      <w:pPr>
        <w:ind w:right="260" w:firstLine="458"/>
        <w:spacing w:after="0" w:line="264" w:lineRule="auto"/>
        <w:rPr>
          <w:sz w:val="20"/>
          <w:szCs w:val="20"/>
          <w:color w:val="auto"/>
        </w:rPr>
      </w:pPr>
      <w:r>
        <w:rPr>
          <w:rFonts w:ascii="Arial" w:cs="Arial" w:eastAsia="Arial" w:hAnsi="Arial"/>
          <w:sz w:val="14"/>
          <w:szCs w:val="14"/>
          <w:color w:val="auto"/>
        </w:rPr>
        <w:t>Circuit share expense is currently recorded as a percentage of revenue based upon the exhibitor services agreements between NCM LLC and the founding members. Before the formation of NCM LLC, when RCM</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operated as a stand-alone entity, payments were made to RCM’s parent, Regal, through inter-company transfers which are described as circuit share expense in the table above. The circuit share expense for NCN prior to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formation of RCM represents payments made by NCN to other theatre circuits under agreements to display</w:t>
      </w:r>
    </w:p>
    <w:p>
      <w:pPr>
        <w:spacing w:after="0" w:line="1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advertising at their theatres. Upon the completion of this offering, the circuit share expense currently paid by NCM LLC to the founding members will be converted to a theatre access fee calculated as described above in connection with the amendment and restatement of the exhibitor services agreements. Since circuit share expense is a significant portion of operating expenses, it is discussed as a separate category in the Results of Operations discussion below.</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presents total advertising contract value and operating expenses per founding member attendee for the periods presented, which will be discussed further below.</w:t>
      </w:r>
    </w:p>
    <w:p>
      <w:pPr>
        <w:sectPr>
          <w:pgSz w:w="11900" w:h="16838" w:orient="portrait"/>
          <w:cols w:equalWidth="0" w:num="1">
            <w:col w:w="11460"/>
          </w:cols>
          <w:pgMar w:left="220" w:top="39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auto"/>
        </w:rPr>
        <w:t>Total Advertising Contract Value ($ in millions)</w:t>
      </w:r>
    </w:p>
    <w:p>
      <w:pPr>
        <w:spacing w:after="0" w:line="70" w:lineRule="exact"/>
        <w:rPr>
          <w:sz w:val="20"/>
          <w:szCs w:val="20"/>
          <w:color w:val="auto"/>
        </w:rPr>
      </w:pPr>
    </w:p>
    <w:p>
      <w:pPr>
        <w:ind w:left="180" w:right="100" w:hanging="174"/>
        <w:spacing w:after="0" w:line="235" w:lineRule="auto"/>
        <w:rPr>
          <w:sz w:val="20"/>
          <w:szCs w:val="20"/>
          <w:color w:val="auto"/>
        </w:rPr>
      </w:pPr>
      <w:r>
        <w:rPr>
          <w:rFonts w:ascii="Arial" w:cs="Arial" w:eastAsia="Arial" w:hAnsi="Arial"/>
          <w:sz w:val="11"/>
          <w:szCs w:val="11"/>
          <w:color w:val="auto"/>
        </w:rPr>
        <w:t>Total Advertising Contract Value per Founding Member Attendee</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Total Operating Expenses per Founding Member Attendee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5"/>
          </w:tcPr>
          <w:p>
            <w:pPr>
              <w:jc w:val="center"/>
              <w:ind w:left="109"/>
              <w:spacing w:after="0"/>
              <w:rPr>
                <w:sz w:val="20"/>
                <w:szCs w:val="20"/>
                <w:color w:val="auto"/>
              </w:rPr>
            </w:pPr>
            <w:r>
              <w:rPr>
                <w:rFonts w:ascii="Arial" w:cs="Arial" w:eastAsia="Arial" w:hAnsi="Arial"/>
                <w:sz w:val="11"/>
                <w:szCs w:val="11"/>
                <w:b w:val="1"/>
                <w:bCs w:val="1"/>
                <w:color w:val="auto"/>
                <w:w w:val="86"/>
              </w:rPr>
              <w:t>Predecessor-Regal</w:t>
            </w: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w w:val="90"/>
              </w:rPr>
              <w:t>Predecessor-National</w:t>
            </w:r>
          </w:p>
        </w:tc>
        <w:tc>
          <w:tcPr>
            <w:tcW w:w="3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Borders>
              <w:right w:val="single" w:sz="8" w:color="auto"/>
            </w:tcBorders>
            <w:gridSpan w:val="7"/>
          </w:tcPr>
          <w:p>
            <w:pPr>
              <w:jc w:val="center"/>
              <w:ind w:right="740"/>
              <w:spacing w:after="0"/>
              <w:rPr>
                <w:sz w:val="20"/>
                <w:szCs w:val="20"/>
                <w:color w:val="auto"/>
              </w:rPr>
            </w:pPr>
            <w:r>
              <w:rPr>
                <w:rFonts w:ascii="Arial" w:cs="Arial" w:eastAsia="Arial" w:hAnsi="Arial"/>
                <w:sz w:val="11"/>
                <w:szCs w:val="11"/>
                <w:b w:val="1"/>
                <w:bCs w:val="1"/>
                <w:color w:val="auto"/>
                <w:w w:val="94"/>
              </w:rPr>
              <w:t>CineMedia Corporation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7"/>
          </w:tcPr>
          <w:p>
            <w:pPr>
              <w:jc w:val="right"/>
              <w:ind w:right="305"/>
              <w:spacing w:after="0"/>
              <w:rPr>
                <w:sz w:val="20"/>
                <w:szCs w:val="20"/>
                <w:color w:val="auto"/>
              </w:rPr>
            </w:pPr>
            <w:r>
              <w:rPr>
                <w:rFonts w:ascii="Arial" w:cs="Arial" w:eastAsia="Arial" w:hAnsi="Arial"/>
                <w:sz w:val="11"/>
                <w:szCs w:val="11"/>
                <w:b w:val="1"/>
                <w:bCs w:val="1"/>
                <w:color w:val="auto"/>
              </w:rPr>
              <w:t>National CineMedia, LLC</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spacing w:after="0" w:line="101" w:lineRule="exact"/>
              <w:rPr>
                <w:sz w:val="20"/>
                <w:szCs w:val="20"/>
                <w:color w:val="auto"/>
              </w:rPr>
            </w:pPr>
            <w:r>
              <w:rPr>
                <w:rFonts w:ascii="Arial" w:cs="Arial" w:eastAsia="Arial" w:hAnsi="Arial"/>
                <w:sz w:val="11"/>
                <w:szCs w:val="11"/>
                <w:b w:val="1"/>
                <w:bCs w:val="1"/>
                <w:color w:val="auto"/>
                <w:w w:val="91"/>
              </w:rPr>
              <w:t>Three Months</w:t>
            </w:r>
          </w:p>
        </w:tc>
        <w:tc>
          <w:tcPr>
            <w:tcW w:w="3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5"/>
          </w:tcPr>
          <w:p>
            <w:pPr>
              <w:ind w:left="260"/>
              <w:spacing w:after="0" w:line="101" w:lineRule="exact"/>
              <w:rPr>
                <w:sz w:val="20"/>
                <w:szCs w:val="20"/>
                <w:color w:val="auto"/>
              </w:rPr>
            </w:pPr>
            <w:r>
              <w:rPr>
                <w:rFonts w:ascii="Arial" w:cs="Arial" w:eastAsia="Arial" w:hAnsi="Arial"/>
                <w:sz w:val="11"/>
                <w:szCs w:val="11"/>
                <w:b w:val="1"/>
                <w:bCs w:val="1"/>
                <w:color w:val="auto"/>
              </w:rPr>
              <w:t>Nine Months</w:t>
            </w:r>
          </w:p>
        </w:tc>
        <w:tc>
          <w:tcPr>
            <w:tcW w:w="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4"/>
          </w:tcPr>
          <w:p>
            <w:pPr>
              <w:jc w:val="right"/>
              <w:ind w:right="265"/>
              <w:spacing w:after="0" w:line="101" w:lineRule="exact"/>
              <w:rPr>
                <w:sz w:val="20"/>
                <w:szCs w:val="20"/>
                <w:color w:val="auto"/>
              </w:rPr>
            </w:pPr>
            <w:r>
              <w:rPr>
                <w:rFonts w:ascii="Arial" w:cs="Arial" w:eastAsia="Arial" w:hAnsi="Arial"/>
                <w:sz w:val="11"/>
                <w:szCs w:val="11"/>
                <w:b w:val="1"/>
                <w:bCs w:val="1"/>
                <w:color w:val="auto"/>
              </w:rPr>
              <w:t>Three Months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5"/>
          </w:tcPr>
          <w:p>
            <w:pPr>
              <w:jc w:val="right"/>
              <w:spacing w:after="0"/>
              <w:rPr>
                <w:sz w:val="20"/>
                <w:szCs w:val="20"/>
                <w:color w:val="auto"/>
              </w:rPr>
            </w:pPr>
            <w:r>
              <w:rPr>
                <w:rFonts w:ascii="Arial" w:cs="Arial" w:eastAsia="Arial" w:hAnsi="Arial"/>
                <w:sz w:val="11"/>
                <w:szCs w:val="11"/>
                <w:b w:val="1"/>
                <w:bCs w:val="1"/>
                <w:color w:val="auto"/>
                <w:w w:val="93"/>
              </w:rPr>
              <w:t>Cinema Network, Inc.</w:t>
            </w:r>
          </w:p>
        </w:tc>
        <w:tc>
          <w:tcPr>
            <w:tcW w:w="3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right"/>
              <w:ind w:right="205"/>
              <w:spacing w:after="0"/>
              <w:rPr>
                <w:sz w:val="20"/>
                <w:szCs w:val="20"/>
                <w:color w:val="auto"/>
              </w:rPr>
            </w:pPr>
            <w:r>
              <w:rPr>
                <w:rFonts w:ascii="Arial" w:cs="Arial" w:eastAsia="Arial" w:hAnsi="Arial"/>
                <w:sz w:val="11"/>
                <w:szCs w:val="11"/>
                <w:b w:val="1"/>
                <w:bCs w:val="1"/>
                <w:color w:val="auto"/>
              </w:rPr>
              <w:t>Years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w w:val="95"/>
              </w:rPr>
              <w:t>Ended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b w:val="1"/>
                <w:bCs w:val="1"/>
                <w:color w:val="auto"/>
              </w:rPr>
              <w:t>Ended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auto"/>
              </w:rPr>
              <w:t>Ended</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spacing w:after="0" w:line="100" w:lineRule="exact"/>
              <w:rPr>
                <w:sz w:val="20"/>
                <w:szCs w:val="20"/>
                <w:color w:val="auto"/>
              </w:rPr>
            </w:pPr>
            <w:r>
              <w:rPr>
                <w:rFonts w:ascii="Arial" w:cs="Arial" w:eastAsia="Arial" w:hAnsi="Arial"/>
                <w:sz w:val="11"/>
                <w:szCs w:val="11"/>
                <w:b w:val="1"/>
                <w:bCs w:val="1"/>
                <w:color w:val="auto"/>
                <w:w w:val="92"/>
              </w:rPr>
              <w:t>Thirty-eight</w:t>
            </w: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2"/>
          </w:tcPr>
          <w:p>
            <w:pPr>
              <w:ind w:left="20"/>
              <w:spacing w:after="0" w:line="100" w:lineRule="exact"/>
              <w:rPr>
                <w:sz w:val="20"/>
                <w:szCs w:val="20"/>
                <w:color w:val="auto"/>
              </w:rPr>
            </w:pPr>
            <w:r>
              <w:rPr>
                <w:rFonts w:ascii="Arial" w:cs="Arial" w:eastAsia="Arial" w:hAnsi="Arial"/>
                <w:sz w:val="11"/>
                <w:szCs w:val="11"/>
                <w:b w:val="1"/>
                <w:bCs w:val="1"/>
                <w:color w:val="auto"/>
                <w:w w:val="84"/>
              </w:rPr>
              <w:t>Fourteen</w:t>
            </w:r>
          </w:p>
        </w:tc>
        <w:tc>
          <w:tcPr>
            <w:tcW w:w="3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90"/>
              </w:rPr>
              <w:t>Week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90"/>
              </w:rPr>
              <w:t>Week</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2"/>
              </w:rPr>
              <w:t>Nine</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0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2"/>
              </w:rPr>
              <w:t>Year</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7"/>
              </w:rPr>
              <w:t>Period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93"/>
              </w:rPr>
              <w:t>Period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5"/>
              </w:rPr>
              <w:t>Ended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9"/>
              </w:rPr>
              <w:t>Ended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rPr>
              <w:t>April</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6"/>
              </w:rPr>
              <w:t>December</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98"/>
              </w:rPr>
              <w:t>March</w:t>
            </w:r>
          </w:p>
        </w:tc>
        <w:tc>
          <w:tcPr>
            <w:tcW w:w="200" w:type="dxa"/>
            <w:vAlign w:val="bottom"/>
          </w:tcPr>
          <w:p>
            <w:pPr>
              <w:spacing w:after="0"/>
              <w:rPr>
                <w:sz w:val="10"/>
                <w:szCs w:val="10"/>
                <w:color w:val="auto"/>
              </w:rPr>
            </w:pPr>
          </w:p>
        </w:tc>
        <w:tc>
          <w:tcPr>
            <w:tcW w:w="4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89"/>
              </w:rPr>
              <w:t>January</w:t>
            </w:r>
          </w:p>
        </w:tc>
        <w:tc>
          <w:tcPr>
            <w:tcW w:w="200" w:type="dxa"/>
            <w:vAlign w:val="bottom"/>
          </w:tcPr>
          <w:p>
            <w:pPr>
              <w:spacing w:after="0"/>
              <w:rPr>
                <w:sz w:val="10"/>
                <w:szCs w:val="10"/>
                <w:color w:val="auto"/>
              </w:rPr>
            </w:pPr>
          </w:p>
        </w:tc>
        <w:tc>
          <w:tcPr>
            <w:tcW w:w="5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86"/>
              </w:rPr>
              <w:t>December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420"/>
              <w:spacing w:after="0" w:line="121" w:lineRule="exact"/>
              <w:rPr>
                <w:sz w:val="20"/>
                <w:szCs w:val="20"/>
                <w:color w:val="auto"/>
              </w:rPr>
            </w:pPr>
            <w:r>
              <w:rPr>
                <w:rFonts w:ascii="Arial" w:cs="Arial" w:eastAsia="Arial" w:hAnsi="Arial"/>
                <w:sz w:val="11"/>
                <w:szCs w:val="11"/>
                <w:b w:val="1"/>
                <w:bCs w:val="1"/>
                <w:color w:val="auto"/>
                <w:w w:val="94"/>
              </w:rPr>
              <w:t>March 31,</w:t>
            </w:r>
          </w:p>
        </w:tc>
        <w:tc>
          <w:tcPr>
            <w:tcW w:w="200" w:type="dxa"/>
            <w:vAlign w:val="bottom"/>
          </w:tcPr>
          <w:p>
            <w:pPr>
              <w:spacing w:after="0"/>
              <w:rPr>
                <w:sz w:val="10"/>
                <w:szCs w:val="10"/>
                <w:color w:val="auto"/>
              </w:rPr>
            </w:pPr>
          </w:p>
        </w:tc>
        <w:tc>
          <w:tcPr>
            <w:tcW w:w="7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December</w:t>
            </w:r>
          </w:p>
        </w:tc>
        <w:tc>
          <w:tcPr>
            <w:tcW w:w="5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87"/>
              </w:rPr>
              <w:t>September</w:t>
            </w:r>
          </w:p>
        </w:tc>
        <w:tc>
          <w:tcPr>
            <w:tcW w:w="220" w:type="dxa"/>
            <w:vAlign w:val="bottom"/>
          </w:tcPr>
          <w:p>
            <w:pPr>
              <w:spacing w:after="0"/>
              <w:rPr>
                <w:sz w:val="10"/>
                <w:szCs w:val="10"/>
                <w:color w:val="auto"/>
              </w:rPr>
            </w:pPr>
          </w:p>
        </w:tc>
        <w:tc>
          <w:tcPr>
            <w:tcW w:w="7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September</w:t>
            </w:r>
          </w:p>
        </w:tc>
        <w:tc>
          <w:tcPr>
            <w:tcW w:w="54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87"/>
              </w:rPr>
              <w:t>September</w:t>
            </w:r>
          </w:p>
        </w:tc>
        <w:tc>
          <w:tcPr>
            <w:tcW w:w="220" w:type="dxa"/>
            <w:vAlign w:val="bottom"/>
          </w:tcPr>
          <w:p>
            <w:pPr>
              <w:spacing w:after="0"/>
              <w:rPr>
                <w:sz w:val="10"/>
                <w:szCs w:val="10"/>
                <w:color w:val="auto"/>
              </w:rPr>
            </w:pPr>
          </w:p>
        </w:tc>
        <w:tc>
          <w:tcPr>
            <w:tcW w:w="580" w:type="dxa"/>
            <w:vAlign w:val="bottom"/>
            <w:gridSpan w:val="3"/>
          </w:tcPr>
          <w:p>
            <w:pPr>
              <w:jc w:val="right"/>
              <w:ind w:right="40"/>
              <w:spacing w:after="0" w:line="121" w:lineRule="exact"/>
              <w:rPr>
                <w:sz w:val="20"/>
                <w:szCs w:val="20"/>
                <w:color w:val="auto"/>
              </w:rPr>
            </w:pPr>
            <w:r>
              <w:rPr>
                <w:rFonts w:ascii="Arial" w:cs="Arial" w:eastAsia="Arial" w:hAnsi="Arial"/>
                <w:sz w:val="11"/>
                <w:szCs w:val="11"/>
                <w:b w:val="1"/>
                <w:bCs w:val="1"/>
                <w:color w:val="auto"/>
                <w:w w:val="91"/>
              </w:rPr>
              <w:t>September</w:t>
            </w:r>
          </w:p>
        </w:tc>
        <w:tc>
          <w:tcPr>
            <w:tcW w:w="0" w:type="dxa"/>
            <w:vAlign w:val="bottom"/>
          </w:tcPr>
          <w:p>
            <w:pPr>
              <w:spacing w:after="0"/>
              <w:rPr>
                <w:sz w:val="1"/>
                <w:szCs w:val="1"/>
                <w:color w:val="auto"/>
              </w:rPr>
            </w:pPr>
          </w:p>
        </w:tc>
      </w:tr>
      <w:tr>
        <w:trPr>
          <w:trHeight w:val="142"/>
        </w:trPr>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7"/>
              </w:rPr>
              <w:t>1, 2004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8"/>
              </w:rPr>
              <w:t>23, 2004</w:t>
            </w:r>
          </w:p>
        </w:tc>
        <w:tc>
          <w:tcPr>
            <w:tcW w:w="220" w:type="dxa"/>
            <w:vAlign w:val="bottom"/>
          </w:tcPr>
          <w:p>
            <w:pPr>
              <w:spacing w:after="0"/>
              <w:rPr>
                <w:sz w:val="12"/>
                <w:szCs w:val="12"/>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31, 2005</w:t>
            </w:r>
          </w:p>
        </w:tc>
        <w:tc>
          <w:tcPr>
            <w:tcW w:w="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1, 2004</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w w:val="83"/>
              </w:rPr>
              <w:t>30, 2004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2005</w:t>
            </w:r>
          </w:p>
        </w:tc>
        <w:tc>
          <w:tcPr>
            <w:tcW w:w="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8"/>
              </w:rPr>
              <w:t>29, 2005</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3"/>
              </w:rPr>
              <w:t>29, 2005</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8"/>
              </w:rPr>
              <w:t>28, 2006</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3"/>
              </w:rPr>
              <w:t>29, 2005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8"/>
              </w:rPr>
              <w:t>28, 2006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69.9</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56.5</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15.5</w:t>
            </w:r>
          </w:p>
        </w:tc>
        <w:tc>
          <w:tcPr>
            <w:tcW w:w="2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65.2</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center"/>
              <w:ind w:left="185"/>
              <w:spacing w:after="0"/>
              <w:rPr>
                <w:sz w:val="20"/>
                <w:szCs w:val="20"/>
                <w:color w:val="auto"/>
              </w:rPr>
            </w:pPr>
            <w:r>
              <w:rPr>
                <w:rFonts w:ascii="Arial" w:cs="Arial" w:eastAsia="Arial" w:hAnsi="Arial"/>
                <w:sz w:val="11"/>
                <w:szCs w:val="11"/>
                <w:color w:val="auto"/>
                <w:w w:val="93"/>
              </w:rPr>
              <w:t>83.6</w:t>
            </w:r>
          </w:p>
        </w:tc>
        <w:tc>
          <w:tcPr>
            <w:tcW w:w="3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15.6</w:t>
            </w:r>
          </w:p>
        </w:tc>
        <w:tc>
          <w:tcPr>
            <w:tcW w:w="20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144.0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106.7</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141.6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45.5</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57.4</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0.43</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0.48</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0.37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0.25</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center"/>
              <w:ind w:left="185"/>
              <w:spacing w:after="0"/>
              <w:rPr>
                <w:sz w:val="20"/>
                <w:szCs w:val="20"/>
                <w:color w:val="auto"/>
              </w:rPr>
            </w:pPr>
            <w:r>
              <w:rPr>
                <w:rFonts w:ascii="Arial" w:cs="Arial" w:eastAsia="Arial" w:hAnsi="Arial"/>
                <w:sz w:val="11"/>
                <w:szCs w:val="11"/>
                <w:color w:val="auto"/>
                <w:w w:val="93"/>
              </w:rPr>
              <w:t>0.33</w:t>
            </w:r>
          </w:p>
        </w:tc>
        <w:tc>
          <w:tcPr>
            <w:tcW w:w="3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0.27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0.48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0.42</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0.37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0.46</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0.44</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0.29</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0.26</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0.28</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0.13</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center"/>
              <w:ind w:left="185"/>
              <w:spacing w:after="0"/>
              <w:rPr>
                <w:sz w:val="20"/>
                <w:szCs w:val="20"/>
                <w:color w:val="auto"/>
              </w:rPr>
            </w:pPr>
            <w:r>
              <w:rPr>
                <w:rFonts w:ascii="Arial" w:cs="Arial" w:eastAsia="Arial" w:hAnsi="Arial"/>
                <w:sz w:val="11"/>
                <w:szCs w:val="11"/>
                <w:color w:val="auto"/>
                <w:w w:val="93"/>
              </w:rPr>
              <w:t>0.17</w:t>
            </w:r>
          </w:p>
        </w:tc>
        <w:tc>
          <w:tcPr>
            <w:tcW w:w="3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0.21</w:t>
            </w:r>
          </w:p>
        </w:tc>
        <w:tc>
          <w:tcPr>
            <w:tcW w:w="2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0.19</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0.18</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0.17</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2">
            <w:col w:w="2560" w:space="520"/>
            <w:col w:w="8380"/>
          </w:cols>
          <w:pgMar w:left="220" w:top="399" w:right="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Three months ended September 28, 2006 and September 29, 2005</w:t>
      </w:r>
    </w:p>
    <w:p>
      <w:pPr>
        <w:spacing w:after="0" w:line="79" w:lineRule="exact"/>
        <w:rPr>
          <w:sz w:val="20"/>
          <w:szCs w:val="20"/>
          <w:color w:val="auto"/>
        </w:rPr>
      </w:pPr>
    </w:p>
    <w:p>
      <w:pPr>
        <w:jc w:val="both"/>
        <w:ind w:right="240" w:firstLine="458"/>
        <w:spacing w:after="0" w:line="328"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increased from $28.6 million during the three months ended September 29, 2005 to $60.7 million during the three months ended September 28, 2006, an increase of</w:t>
      </w:r>
      <w:r>
        <w:rPr>
          <w:rFonts w:ascii="Arial" w:cs="Arial" w:eastAsia="Arial" w:hAnsi="Arial"/>
          <w:sz w:val="12"/>
          <w:szCs w:val="12"/>
          <w:i w:val="1"/>
          <w:iCs w:val="1"/>
          <w:color w:val="auto"/>
        </w:rPr>
        <w:t xml:space="preserve"> </w:t>
      </w:r>
      <w:r>
        <w:rPr>
          <w:rFonts w:ascii="Arial" w:cs="Arial" w:eastAsia="Arial" w:hAnsi="Arial"/>
          <w:sz w:val="12"/>
          <w:szCs w:val="12"/>
          <w:color w:val="auto"/>
        </w:rPr>
        <w:t>$32.1 million, or 112.2%. This increase was the result of a combination of higher national advertising CPMs, which increased by 2%, and an increase in founding member screens of 2,346, or 24%, primarily due to the addition of Cinemark, as well as a decrease in legacy contract revenue of $27.4 million, or 92% (which was then available to be contracted directly with the advertisers by NCM LLC thereby increasing our revenue), and a 100% increase in CineMeetings revenue due to an increase in event count of 26% and due to the variable nature of the revenue generated by each</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399" w:right="219" w:bottom="1440" w:gutter="0" w:footer="0" w:header="0"/>
          <w:type w:val="continuous"/>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60"/>
        <w:spacing w:after="0" w:line="264" w:lineRule="auto"/>
        <w:rPr>
          <w:sz w:val="20"/>
          <w:szCs w:val="20"/>
          <w:color w:val="auto"/>
        </w:rPr>
      </w:pPr>
      <w:r>
        <w:rPr>
          <w:rFonts w:ascii="Arial" w:cs="Arial" w:eastAsia="Arial" w:hAnsi="Arial"/>
          <w:sz w:val="14"/>
          <w:szCs w:val="14"/>
          <w:i w:val="1"/>
          <w:iCs w:val="1"/>
          <w:color w:val="auto"/>
        </w:rPr>
        <w:t>event. Total advertising contract value increased from $45.5 million during the three months ended September 29, 2005 to $57.4 million during the three months ended September 28, 2006, an increase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$11.9 million, or 26.2%. This increase was primarily a result of higher national advertising CPMs and an</w:t>
      </w:r>
    </w:p>
    <w:p>
      <w:pPr>
        <w:spacing w:after="0" w:line="14"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increase in founding member screens. Total advertising contract value per founding member attendee decreased from $0.46 during the three months ended September 29, 2005 to $0.44 during the three months ended September 28, 2006, a decrease of $0.02, or 4.4%. This decrease was primarily due to the addition of Cinemark as a founding member and the absorption of those additional screens into our sales process, offset by higher national advertising CPMs.</w:t>
      </w:r>
    </w:p>
    <w:p>
      <w:pPr>
        <w:spacing w:after="0" w:line="105" w:lineRule="exact"/>
        <w:rPr>
          <w:sz w:val="20"/>
          <w:szCs w:val="20"/>
          <w:color w:val="auto"/>
        </w:rPr>
      </w:pPr>
    </w:p>
    <w:p>
      <w:pPr>
        <w:ind w:right="200" w:firstLine="458"/>
        <w:spacing w:after="0" w:line="264" w:lineRule="auto"/>
        <w:rPr>
          <w:sz w:val="20"/>
          <w:szCs w:val="20"/>
          <w:color w:val="auto"/>
        </w:rPr>
      </w:pPr>
      <w:r>
        <w:rPr>
          <w:rFonts w:ascii="Arial" w:cs="Arial" w:eastAsia="Arial" w:hAnsi="Arial"/>
          <w:sz w:val="14"/>
          <w:szCs w:val="14"/>
          <w:i w:val="1"/>
          <w:iCs w:val="1"/>
          <w:color w:val="auto"/>
        </w:rPr>
        <w:t xml:space="preserve">Operating expenses. </w:t>
      </w:r>
      <w:r>
        <w:rPr>
          <w:rFonts w:ascii="Arial" w:cs="Arial" w:eastAsia="Arial" w:hAnsi="Arial"/>
          <w:sz w:val="14"/>
          <w:szCs w:val="14"/>
          <w:color w:val="auto"/>
        </w:rPr>
        <w:t>Total operating expenses increased from $17.4 million during the three months ended September 29, 2005 to $22.4 million during the three months ended September 28,</w:t>
      </w:r>
      <w:r>
        <w:rPr>
          <w:rFonts w:ascii="Arial" w:cs="Arial" w:eastAsia="Arial" w:hAnsi="Arial"/>
          <w:sz w:val="14"/>
          <w:szCs w:val="14"/>
          <w:i w:val="1"/>
          <w:iCs w:val="1"/>
          <w:color w:val="auto"/>
        </w:rPr>
        <w:t xml:space="preserve"> </w:t>
      </w:r>
      <w:r>
        <w:rPr>
          <w:rFonts w:ascii="Arial" w:cs="Arial" w:eastAsia="Arial" w:hAnsi="Arial"/>
          <w:sz w:val="14"/>
          <w:szCs w:val="14"/>
          <w:color w:val="auto"/>
        </w:rPr>
        <w:t>2006, an increase of $5.0 million, or 28.7%. This increase was due to a combination of costs associated with an increase in founding</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member screens of 2,346, or 24%, primarily due to the addition of the Cinemark screens to our network, and increased affiliate and sales commission expense of $1.0 million, or 34%, related to higher revenue, as well as increased administrative expenses of $0.7 million, or 21%, due to additional staffing and infrastructure to support the growth of NCM LLC. Total operating expenses per founding member attendee decreased from $0.18 during the three months ended September 29, 2005 to $0.17 during the three months ended September 28, 2006, a decrease of $0.01, or 5.6%. This decrease was primarily due to the better absorption of fixed operating expenses on the additional Cinemark theatres.</w:t>
      </w:r>
    </w:p>
    <w:p>
      <w:pPr>
        <w:spacing w:after="0" w:line="108" w:lineRule="exact"/>
        <w:rPr>
          <w:sz w:val="20"/>
          <w:szCs w:val="20"/>
          <w:color w:val="auto"/>
        </w:rPr>
      </w:pPr>
    </w:p>
    <w:p>
      <w:pPr>
        <w:ind w:right="80" w:firstLine="458"/>
        <w:spacing w:after="0" w:line="290" w:lineRule="auto"/>
        <w:rPr>
          <w:sz w:val="20"/>
          <w:szCs w:val="20"/>
          <w:color w:val="auto"/>
        </w:rPr>
      </w:pPr>
      <w:r>
        <w:rPr>
          <w:rFonts w:ascii="Arial" w:cs="Arial" w:eastAsia="Arial" w:hAnsi="Arial"/>
          <w:sz w:val="13"/>
          <w:szCs w:val="13"/>
          <w:i w:val="1"/>
          <w:iCs w:val="1"/>
          <w:color w:val="auto"/>
        </w:rPr>
        <w:t xml:space="preserve">Circuit share expense. </w:t>
      </w:r>
      <w:r>
        <w:rPr>
          <w:rFonts w:ascii="Arial" w:cs="Arial" w:eastAsia="Arial" w:hAnsi="Arial"/>
          <w:sz w:val="13"/>
          <w:szCs w:val="13"/>
          <w:color w:val="auto"/>
        </w:rPr>
        <w:t>Circuit share expense increased from $10.6 million for the three months ended September 29, 2005 to $38.0 million for the three months ended September 28, 2006, an</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of $27.4 million, or 258.5%. The increase in circuit share expense was primarily due to the increase in levels of revenue during the period, as discussed above, and to a lesser extent, due to the change in the structure of the circuit share agreement which increased the circuit share rate from 65% in 2005 to 68% in 2006. The increase in circuit share expense as a percentage of total revenue to 63% for the three months ended September 28, 2006 from 37% for the three months ended September 29, 2005 is due to changes in the percentage of the circuit share expense, as well as a decline in legacy revenue, which decreased administrative fee revenue but increased circuit share expense. As noted above, upon completion of this offering, the circuit share expense currently paid to the founding members will be converted to a theatre access fee, which is expected to result in significantly lower expense.</w:t>
      </w:r>
    </w:p>
    <w:p>
      <w:pPr>
        <w:spacing w:after="0" w:line="96" w:lineRule="exact"/>
        <w:rPr>
          <w:sz w:val="20"/>
          <w:szCs w:val="20"/>
          <w:color w:val="auto"/>
        </w:rPr>
      </w:pPr>
    </w:p>
    <w:p>
      <w:pPr>
        <w:ind w:right="180" w:firstLine="458"/>
        <w:spacing w:after="0" w:line="328" w:lineRule="auto"/>
        <w:rPr>
          <w:sz w:val="20"/>
          <w:szCs w:val="20"/>
          <w:color w:val="auto"/>
        </w:rPr>
      </w:pPr>
      <w:r>
        <w:rPr>
          <w:rFonts w:ascii="Arial" w:cs="Arial" w:eastAsia="Arial" w:hAnsi="Arial"/>
          <w:sz w:val="12"/>
          <w:szCs w:val="12"/>
          <w:i w:val="1"/>
          <w:iCs w:val="1"/>
          <w:color w:val="auto"/>
        </w:rPr>
        <w:t>Net income (loss)</w:t>
      </w:r>
      <w:r>
        <w:rPr>
          <w:rFonts w:ascii="Arial" w:cs="Arial" w:eastAsia="Arial" w:hAnsi="Arial"/>
          <w:sz w:val="12"/>
          <w:szCs w:val="12"/>
          <w:color w:val="auto"/>
        </w:rPr>
        <w:t>. Net loss decreased from $1.8 million during the three months ended September 29, 2005 to $0.6 million during the three months ended September 28, 2006, a decrease of</w:t>
      </w:r>
      <w:r>
        <w:rPr>
          <w:rFonts w:ascii="Arial" w:cs="Arial" w:eastAsia="Arial" w:hAnsi="Arial"/>
          <w:sz w:val="12"/>
          <w:szCs w:val="12"/>
          <w:i w:val="1"/>
          <w:iCs w:val="1"/>
          <w:color w:val="auto"/>
        </w:rPr>
        <w:t xml:space="preserve"> </w:t>
      </w:r>
      <w:r>
        <w:rPr>
          <w:rFonts w:ascii="Arial" w:cs="Arial" w:eastAsia="Arial" w:hAnsi="Arial"/>
          <w:sz w:val="12"/>
          <w:szCs w:val="12"/>
          <w:color w:val="auto"/>
        </w:rPr>
        <w:t>$1.2 million, or 66.7%. Higher total revenue was offset by an increase in expenses as noted above including staffing and infrastructure to support current and anticipated future growth by NCM LLC, and an increase in the percentage of circuit share costs as a percentage of total revenue, as discussed above. The decrease in the net loss is primarily due to the decrease in the level of deferred stock compensation and severance plan compensation costs of $1.7 million or 71%, offset slightly by increases in expenses as noted above, which decreased due to the change in the plan between years.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Nine months ended September 28, 2006 and September 29, 2005</w:t>
      </w:r>
    </w:p>
    <w:p>
      <w:pPr>
        <w:spacing w:after="0" w:line="79"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For purposes of this analysis, the nine month period ended September 29, 2005 includes revenue, total advertising contract value, operating expenses, circuit share expense and net income (loss) of our joint predecessors, RCM and NCN for the quarter ended March 31, 2005, and the results of NCM LLC for the six months ended September 29, 2005.</w:t>
      </w:r>
    </w:p>
    <w:p>
      <w:pPr>
        <w:spacing w:after="0" w:line="9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i w:val="1"/>
          <w:iCs w:val="1"/>
          <w:color w:val="auto"/>
        </w:rPr>
        <w:t xml:space="preserve">Revenue. </w:t>
      </w:r>
      <w:r>
        <w:rPr>
          <w:rFonts w:ascii="Arial" w:cs="Arial" w:eastAsia="Arial" w:hAnsi="Arial"/>
          <w:sz w:val="14"/>
          <w:szCs w:val="14"/>
          <w:color w:val="auto"/>
        </w:rPr>
        <w:t>Total revenue generated by our joint predecessors, RCM and NCN, respectively, was $17.8 million and $15.5 million during their quarter ended March 31, 2005 (prior to the 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of NCM LLC) and total revenue generated by NCM LLC from April 1, 2005 through September 29, 2005 was $54.1 million. Total revenue generated by NCM LLC for the nine month period ended September 28, 2006 was $145.2 million. This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60"/>
          </w:cols>
          <w:pgMar w:left="220" w:top="399" w:right="21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increase was the result of a combination of higher national advertising CPMs, which increased by 3% between NCM LLC’s period ended September 29, 2005 and September 28, 2006, and an expansion of our network, including the increase in founding member screens of 2,346, or 24%, primarily due to the addition of Cinemark, as well as a decrease in legacy contract revenue between NCM LLC’s period ended September 29, 2005 and September 28, 2006 of $53.1 million, or 396% (which was then available to be contracted directly with the advertisers by NCM LLC thereby increasing our revenue), and a 52% increase in CineMeetings revenue due to an increase in event count of 62% and due to the variable nature of the revenue generated by each event.</w:t>
      </w:r>
    </w:p>
    <w:p>
      <w:pPr>
        <w:spacing w:after="0" w:line="91" w:lineRule="exact"/>
        <w:rPr>
          <w:sz w:val="20"/>
          <w:szCs w:val="20"/>
          <w:color w:val="auto"/>
        </w:rPr>
      </w:pPr>
    </w:p>
    <w:p>
      <w:pPr>
        <w:jc w:val="both"/>
        <w:ind w:right="180" w:firstLine="458"/>
        <w:spacing w:after="0" w:line="283" w:lineRule="auto"/>
        <w:rPr>
          <w:sz w:val="20"/>
          <w:szCs w:val="20"/>
          <w:color w:val="auto"/>
        </w:rPr>
      </w:pPr>
      <w:r>
        <w:rPr>
          <w:rFonts w:ascii="Arial" w:cs="Arial" w:eastAsia="Arial" w:hAnsi="Arial"/>
          <w:sz w:val="13"/>
          <w:szCs w:val="13"/>
          <w:color w:val="auto"/>
        </w:rPr>
        <w:t>Total advertising contract value of NCM LLC’s joint predecessors, RCM and NCN, respectively, was $15.6 million and $15.5 million during their quarter ended March 31, 2005 (prior to the formation of NCM LLC) and total advertising contract value of NCM LLC from April 1, 2005 through September 29, 2005 was $91.1 million. Total advertising contract value of NCM LLC for the nine month period ended September 28, 2006 was $141.6 million. This increase was primarily the result of higher national advertising CPMs and the expansion of our network, as discussed above.</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 xml:space="preserve">Total advertising contract value per founding member attendee of our joint predecessors, RCM and NCN, respectively, was $ 0.27 and $0.37 during their quarter ended March 31, 2005 (prior to the formation of NCM LLC) and total advertising contract value per founding member of NCM LLC from April 1, 2005 through September 29, 2005 was $0.46. Total advertising contract value per founding member attendee of NCM LLC for the nine month period ended September 28, 2006 was $0.37. This decrease was the result of the impact of restrictions on our ability to sell national advertising on Cinemark’s screens between January 1, 2006 and April 1, 2006, coupled with slight reductions in local advertising inventory utilization as the existing Cinemark clients were transitioned to our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format and revenue reductions related to the expiration of certain network affiliate agreements which we chose not to renew.</w:t>
      </w:r>
    </w:p>
    <w:p>
      <w:pPr>
        <w:spacing w:after="0" w:line="111" w:lineRule="exact"/>
        <w:rPr>
          <w:sz w:val="20"/>
          <w:szCs w:val="20"/>
          <w:color w:val="auto"/>
        </w:rPr>
      </w:pPr>
    </w:p>
    <w:p>
      <w:pPr>
        <w:ind w:firstLine="458"/>
        <w:spacing w:after="0" w:line="318"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Total operating expenses generated by our joint predecessors, RCM and NCN, respectively, were $12.3 million and $11.5 million during their quarter ended March 31,</w:t>
      </w:r>
      <w:r>
        <w:rPr>
          <w:rFonts w:ascii="Arial" w:cs="Arial" w:eastAsia="Arial" w:hAnsi="Arial"/>
          <w:sz w:val="12"/>
          <w:szCs w:val="12"/>
          <w:i w:val="1"/>
          <w:iCs w:val="1"/>
          <w:color w:val="auto"/>
        </w:rPr>
        <w:t xml:space="preserve"> </w:t>
      </w:r>
      <w:r>
        <w:rPr>
          <w:rFonts w:ascii="Arial" w:cs="Arial" w:eastAsia="Arial" w:hAnsi="Arial"/>
          <w:sz w:val="12"/>
          <w:szCs w:val="12"/>
          <w:color w:val="auto"/>
        </w:rPr>
        <w:t>2005 (prior to the formation of NCM LLC) and total operating expenses of NCM LLC from April 1, 2005 through September 29, 2005 were $35.2 million. Total operating expenses of NCM LLC for the nine month period ended September 28, 2006 were $64.1 million. This increase was primarily due to increased cost levels due to the addition of Cinemark screens to our network, and increased affiliate and commission expenses related to higher revenue. Direct comparison, however, is not possible between the periods because certain expenses which were incurred by our founding members would have been duplicative during their comparative periods, including costs for administrative services including human resources, legal services, accounting services, and other managerial expenses for positions which would have been eliminated when the joint venture was formed, such as sales staff executives. Upon formation of NCM LLC, these duplicative services were eliminated.</w:t>
      </w:r>
    </w:p>
    <w:p>
      <w:pPr>
        <w:spacing w:after="0" w:line="83" w:lineRule="exact"/>
        <w:rPr>
          <w:sz w:val="20"/>
          <w:szCs w:val="20"/>
          <w:color w:val="auto"/>
        </w:rPr>
      </w:pPr>
    </w:p>
    <w:p>
      <w:pPr>
        <w:jc w:val="both"/>
        <w:ind w:right="240" w:firstLine="458"/>
        <w:spacing w:after="0" w:line="328" w:lineRule="auto"/>
        <w:rPr>
          <w:sz w:val="20"/>
          <w:szCs w:val="20"/>
          <w:color w:val="auto"/>
        </w:rPr>
      </w:pPr>
      <w:r>
        <w:rPr>
          <w:rFonts w:ascii="Arial" w:cs="Arial" w:eastAsia="Arial" w:hAnsi="Arial"/>
          <w:sz w:val="12"/>
          <w:szCs w:val="12"/>
          <w:color w:val="auto"/>
        </w:rPr>
        <w:t>Total operating expense per founding member attendee of our joint predecessors, RCM and NCN, respectively, was $0.21 and $0.28 during their quarter ended March 31, 2005 (prior to the formation of NCM LLC) and total operating expense per founding member attendee of NCM LLC from April 1, 2005 through September 29, 2005 was $0.18. Total operating expense per founding member attendee of NCM LLC for the nine month period ended September 28, 2006 was $0.17. This decrease was due to a combination of the addition of Cinemark as a founding member and the absorption of those additional screens into our sales process, as well as the elimination of certain of the duplicative expenses incurred by the joint predecessors discussed above.</w:t>
      </w:r>
    </w:p>
    <w:p>
      <w:pPr>
        <w:spacing w:after="0" w:line="76"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i w:val="1"/>
          <w:iCs w:val="1"/>
          <w:color w:val="auto"/>
        </w:rPr>
        <w:t xml:space="preserve">Circuit share expense. </w:t>
      </w:r>
      <w:r>
        <w:rPr>
          <w:rFonts w:ascii="Arial" w:cs="Arial" w:eastAsia="Arial" w:hAnsi="Arial"/>
          <w:sz w:val="13"/>
          <w:szCs w:val="13"/>
          <w:color w:val="auto"/>
        </w:rPr>
        <w:t>Circuit share expense generated by our joint predecessors, RCM and NCN, respectively, was $2.4 million and $5.5 million during their quarter ended March 31, 2005</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the formation of NCM LLC) and circuit share expense of NCM LLC from April 1, 2005 through September 29, 2005 was $16.8 million. Total circuit share expense of NCM LLC for the nine month period ended September 28, 2006 was $88.6 million. The increase in circuit share expense was primarily due to the increase in levels of revenue during the period, as discussed above, and to a lesser extent, due to the change in the structure of the circuit share agreement which increased the circuit share rate from 65% in 2005 to 68% in 2006. As noted above, upon completion of this offering, the circuit share expense currently paid to the founding members will be converted to a theatre access fee, which is expected to result in significantly lower expense.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20" w:top="399" w:right="2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firstLine="458"/>
        <w:spacing w:after="0" w:line="263" w:lineRule="auto"/>
        <w:rPr>
          <w:sz w:val="20"/>
          <w:szCs w:val="20"/>
          <w:color w:val="auto"/>
        </w:rPr>
      </w:pPr>
      <w:r>
        <w:rPr>
          <w:rFonts w:ascii="Arial" w:cs="Arial" w:eastAsia="Arial" w:hAnsi="Arial"/>
          <w:sz w:val="14"/>
          <w:szCs w:val="14"/>
          <w:i w:val="1"/>
          <w:iCs w:val="1"/>
          <w:color w:val="auto"/>
        </w:rPr>
        <w:t>Net income (loss)</w:t>
      </w:r>
      <w:r>
        <w:rPr>
          <w:rFonts w:ascii="Arial" w:cs="Arial" w:eastAsia="Arial" w:hAnsi="Arial"/>
          <w:sz w:val="14"/>
          <w:szCs w:val="14"/>
          <w:color w:val="auto"/>
        </w:rPr>
        <w:t>. Net income (loss) generated by our joint predecessors, RCM and NCN, respectively, was $1.7 million and $(0.9) million during their quarter ended March 31, 2005 (prior to</w:t>
      </w:r>
      <w:r>
        <w:rPr>
          <w:rFonts w:ascii="Arial" w:cs="Arial" w:eastAsia="Arial" w:hAnsi="Arial"/>
          <w:sz w:val="14"/>
          <w:szCs w:val="14"/>
          <w:i w:val="1"/>
          <w:iCs w:val="1"/>
          <w:color w:val="auto"/>
        </w:rPr>
        <w:t xml:space="preserve"> </w:t>
      </w:r>
      <w:r>
        <w:rPr>
          <w:rFonts w:ascii="Arial" w:cs="Arial" w:eastAsia="Arial" w:hAnsi="Arial"/>
          <w:sz w:val="14"/>
          <w:szCs w:val="14"/>
          <w:color w:val="auto"/>
        </w:rPr>
        <w:t>the formation of NCM LLC) and the net income (loss) of NCM LLC from April 1, 2005 through September 29, 2005 was $(4.0) million. Total net loss of NCM LLC for the nine month period ended September 28, 2006 was $(11.2) million. Higher total</w:t>
      </w:r>
    </w:p>
    <w:p>
      <w:pPr>
        <w:spacing w:after="0" w:line="1" w:lineRule="exact"/>
        <w:rPr>
          <w:sz w:val="20"/>
          <w:szCs w:val="20"/>
          <w:color w:val="auto"/>
        </w:rPr>
      </w:pPr>
    </w:p>
    <w:p>
      <w:pPr>
        <w:ind w:right="80"/>
        <w:spacing w:after="0" w:line="336" w:lineRule="auto"/>
        <w:rPr>
          <w:sz w:val="20"/>
          <w:szCs w:val="20"/>
          <w:color w:val="auto"/>
        </w:rPr>
      </w:pPr>
      <w:r>
        <w:rPr>
          <w:rFonts w:ascii="Arial" w:cs="Arial" w:eastAsia="Arial" w:hAnsi="Arial"/>
          <w:sz w:val="12"/>
          <w:szCs w:val="12"/>
          <w:color w:val="auto"/>
        </w:rPr>
        <w:t>revenue was more than offset by an increase in operating expenses, due to growth experienced by the company, and an increase in the percentage of circuit share costs as a percentage of total revenue. The increase in circuit share expense as a percentage of total revenue is due to changes in the percentage of the circuit share expense, as well as a decline in legacy revenue, which decreased administrative fees but increased circuit share expense. As noted, the comparability of the net income of the period is also limited due to the addition of the Cinemark theatres to our network in 2006.</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Years ended December 29, 2005 and December 30, 2004</w:t>
      </w:r>
    </w:p>
    <w:p>
      <w:pPr>
        <w:spacing w:after="0" w:line="79" w:lineRule="exact"/>
        <w:rPr>
          <w:sz w:val="20"/>
          <w:szCs w:val="20"/>
          <w:color w:val="auto"/>
        </w:rPr>
      </w:pPr>
    </w:p>
    <w:p>
      <w:pPr>
        <w:ind w:right="200" w:firstLine="458"/>
        <w:spacing w:after="0" w:line="297" w:lineRule="auto"/>
        <w:rPr>
          <w:sz w:val="20"/>
          <w:szCs w:val="20"/>
          <w:color w:val="auto"/>
        </w:rPr>
      </w:pPr>
      <w:r>
        <w:rPr>
          <w:rFonts w:ascii="Arial" w:cs="Arial" w:eastAsia="Arial" w:hAnsi="Arial"/>
          <w:sz w:val="13"/>
          <w:szCs w:val="13"/>
          <w:color w:val="auto"/>
        </w:rPr>
        <w:t>For purposes of this analysis, the twelve month period ended December 29, 2005 will include revenue, advertising contract value, operating expenses, circuit share expense and net income (loss) of our joint predecessors, RCM and NCN for their quarter ended March 31, 2005, and the results of NCM LLC for the nine months ended December 29, 2005. In addition, for purposes of this analysis, the fiscal year 2004 period used for comparison of our predecessor NCN will include its thirty-eight week period ended December 23, 2004 combined with its fourteen week period ended March 31, 2005. (During its fiscal year ended March 31, 2005, NCN’s parent was acquired, resulting in its operating results being reported in pre- and post-acquisition periods.)</w:t>
      </w:r>
    </w:p>
    <w:p>
      <w:pPr>
        <w:spacing w:after="0" w:line="91" w:lineRule="exact"/>
        <w:rPr>
          <w:sz w:val="20"/>
          <w:szCs w:val="20"/>
          <w:color w:val="auto"/>
        </w:rPr>
      </w:pPr>
    </w:p>
    <w:p>
      <w:pPr>
        <w:ind w:right="60" w:firstLine="458"/>
        <w:spacing w:after="0" w:line="313"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generated by our joint predecessors, RCM and NCN, respectively, was $95.3 million and $72.0 million during their 2004 fiscal year periods (described above). Total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generated by our joint predecessors, RCM and NCN, respectively, was $17.8 million and $15.5 million during their quarter ended March 31, 2005 (prior to the formation of NCM LLC) and total revenue generated by NCM LLC from April 1, 2005 through December 29, 2005 was $98.8 million. Total advertising contract value and advertising contract value per founding member attendee of our joint predecessors, RCM and NCN, respectively, was $83.6 million and $0.33 and $72.0 million and $0.45 during their 2004 fiscal year periods. Total advertising contract value and advertising contract value per founding member attendee of our joint predecessors, RCM and NCN, respectively, was $15.6 million and $0.27 and $15.5 million and $0.37 during their quarter ended March 31, 2005 (prior to the formation of NCM LLC) and total advertising contract value and advertising contract value per founding member attendee of NCM LLC from April 1, 2005 through December 29, 2005 was $144.0 million and $0.48. While total revenue decreased at NCM LLC for its nine month period in 2005, the advertising contract value and advertising contract value per founding member attendee increased. This increase is due to the expansion of the network between 2004 and 2005, with an increase of approximately 5% in founding member screens, as well as the impact of the expansion of our national advertising client base, accompanied by increased regional advertising revenue due to the expansion of the regional on-screen inventory and the local advertising sales team.</w:t>
      </w:r>
    </w:p>
    <w:p>
      <w:pPr>
        <w:spacing w:after="0" w:line="85"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Total operating expenses and operating expense per founding member attendee generated by our joint predecessors, RCM and NCN, respectively, were $43.4 million and</w:t>
      </w:r>
      <w:r>
        <w:rPr>
          <w:rFonts w:ascii="Arial" w:cs="Arial" w:eastAsia="Arial" w:hAnsi="Arial"/>
          <w:sz w:val="12"/>
          <w:szCs w:val="12"/>
          <w:i w:val="1"/>
          <w:iCs w:val="1"/>
          <w:color w:val="auto"/>
        </w:rPr>
        <w:t xml:space="preserve"> </w:t>
      </w:r>
      <w:r>
        <w:rPr>
          <w:rFonts w:ascii="Arial" w:cs="Arial" w:eastAsia="Arial" w:hAnsi="Arial"/>
          <w:sz w:val="12"/>
          <w:szCs w:val="12"/>
          <w:color w:val="auto"/>
        </w:rPr>
        <w:t>$0.17 and $42.1 million and $0.26 during their 2004 fiscal year periods. Total operating expenses and operating expense per founding member attendee of our joint predecessors, RCM and NCN, respectively, were $12.3 million and $0.21 and $11.5 million and $0.28 during their periods ended March 31, 2005 and total operating expenses and operating expense per founding member attendee of NCM LLC from April 1, 2005 through December 29, 2005 were $58.6 million and $0.20. The decrease in operating expenses is due to the elimination of certain duplicative operating and administrative expenses, and despite increases in selling and marketing expenses due to growth in the local sales personnel due to the increase in the number of founding member theatres noted above.</w:t>
      </w:r>
    </w:p>
    <w:p>
      <w:pPr>
        <w:spacing w:after="0" w:line="80"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i w:val="1"/>
          <w:iCs w:val="1"/>
          <w:color w:val="auto"/>
        </w:rPr>
        <w:t xml:space="preserve">Net Income. </w:t>
      </w:r>
      <w:r>
        <w:rPr>
          <w:rFonts w:ascii="Arial" w:cs="Arial" w:eastAsia="Arial" w:hAnsi="Arial"/>
          <w:sz w:val="14"/>
          <w:szCs w:val="14"/>
          <w:color w:val="auto"/>
        </w:rPr>
        <w:t>Net income (loss) generated by our joint predecessors, RCM and NCN, respectively, was $20.6 and $3.4 million during their 2004 fiscal year periods. Net income (loss) generated</w:t>
      </w:r>
      <w:r>
        <w:rPr>
          <w:rFonts w:ascii="Arial" w:cs="Arial" w:eastAsia="Arial" w:hAnsi="Arial"/>
          <w:sz w:val="14"/>
          <w:szCs w:val="14"/>
          <w:i w:val="1"/>
          <w:iCs w:val="1"/>
          <w:color w:val="auto"/>
        </w:rPr>
        <w:t xml:space="preserve"> </w:t>
      </w:r>
      <w:r>
        <w:rPr>
          <w:rFonts w:ascii="Arial" w:cs="Arial" w:eastAsia="Arial" w:hAnsi="Arial"/>
          <w:sz w:val="14"/>
          <w:szCs w:val="14"/>
          <w:color w:val="auto"/>
        </w:rPr>
        <w:t>by our joint predecessors, RCM and NCN, was $1.7 million and $(0.9) million during their quarter ended March 31, 2005 (prior to the formation of NCM LLC) and the net loss of NCM LLC from April 1, 2005 through December 29, 2005 was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20" w:top="399" w:right="25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20"/>
        <w:spacing w:after="0" w:line="275" w:lineRule="auto"/>
        <w:rPr>
          <w:sz w:val="20"/>
          <w:szCs w:val="20"/>
          <w:color w:val="auto"/>
        </w:rPr>
      </w:pPr>
      <w:r>
        <w:rPr>
          <w:rFonts w:ascii="Arial" w:cs="Arial" w:eastAsia="Arial" w:hAnsi="Arial"/>
          <w:sz w:val="14"/>
          <w:szCs w:val="14"/>
          <w:color w:val="auto"/>
        </w:rPr>
        <w:t>$(6.9) million. The decrease is primarily attributable to the decrease in revenue noted above, offset by a slight decrease in expenses also discussed above, and due to the impact of the increase in the circuit share expenses, which were impacted in the nine month period for NCM LLC due to the increase in the percentage of circuit share expense, and due to the increases in deferred stock compensation expense noted previously, and increases in levels of depreciation and amortization due to the incremental growth of NCM LLC.</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Years ended December 30, 2004 and January 1, 2004—Regal CineMedia Corporation</w:t>
      </w:r>
    </w:p>
    <w:p>
      <w:pPr>
        <w:spacing w:after="0" w:line="79"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i w:val="1"/>
          <w:iCs w:val="1"/>
          <w:color w:val="auto"/>
        </w:rPr>
        <w:t>Revenue</w:t>
      </w:r>
      <w:r>
        <w:rPr>
          <w:rFonts w:ascii="Arial" w:cs="Arial" w:eastAsia="Arial" w:hAnsi="Arial"/>
          <w:sz w:val="14"/>
          <w:szCs w:val="14"/>
          <w:color w:val="auto"/>
        </w:rPr>
        <w:t>. Total revenue of RCM increased from $72.4 million during the year ended January 1, 2004 to $95.3 million during the year ended December 30, 2004, an increase of $22.9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31.6%. This increase was primarily due to the expansion of RCM’s digital network capabilities and advertising client base, accompanied by significant growth in CineMeetings due to an increased number of events. Total advertising contract value of RCM increased from $65.2 million during the year ended January 1, 2004 to $83.6 million during the year ended December 30, 2004, an increase of $18.4 million, or 28.2%. Total advertising contract value per founding member attendee increased from $0.25 during the year ended January 1, 2004 to $0.33 in the year ended December 30, 2004, an increase of $0.08, or 32.0%. The expansion of RCM’s digital network capabilities and advertising client base were the primary reason for the increase in total advertising contract value and total advertising contract value per founding member attendee.</w:t>
      </w:r>
    </w:p>
    <w:p>
      <w:pPr>
        <w:spacing w:after="0" w:line="110"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i w:val="1"/>
          <w:iCs w:val="1"/>
          <w:color w:val="auto"/>
        </w:rPr>
        <w:t xml:space="preserve">Operating expenses. </w:t>
      </w:r>
      <w:r>
        <w:rPr>
          <w:rFonts w:ascii="Arial" w:cs="Arial" w:eastAsia="Arial" w:hAnsi="Arial"/>
          <w:sz w:val="13"/>
          <w:szCs w:val="13"/>
          <w:color w:val="auto"/>
        </w:rPr>
        <w:t>Total operating expenses of RCM increased from $34.4 million during the year ended January 1, 2004 to $43.4 million during the year ended December 30, 2004, an</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of $9.0 million, or 26.2%. This increase was primarily due to growth in operating and sales commission expenses resulting from the higher revenue levels and the greater numbers of screens included in the digital content network. Total operating expenses per founding member attendee increased from $0.13 during the year ended January 1, 2004 to $0.17 in the year ended December 30, 2004, an increase of $0.04, or 30.8%. This increase was due to operating and sales commission expenses resulting from the higher revenue levels.</w:t>
      </w:r>
    </w:p>
    <w:p>
      <w:pPr>
        <w:spacing w:after="0" w:line="91"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i w:val="1"/>
          <w:iCs w:val="1"/>
          <w:color w:val="auto"/>
        </w:rPr>
        <w:t xml:space="preserve">Net income. </w:t>
      </w:r>
      <w:r>
        <w:rPr>
          <w:rFonts w:ascii="Arial" w:cs="Arial" w:eastAsia="Arial" w:hAnsi="Arial"/>
          <w:sz w:val="14"/>
          <w:szCs w:val="14"/>
          <w:color w:val="auto"/>
        </w:rPr>
        <w:t>Net income of RCM increased from $12.9 million during the year ended January 1, 2004 to $20.6 million during the year ended December 30, 2004, an increase of $7.7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59.7%. The increase is primarily due to increased revenue and better absorption of fixed cost.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Years ended March 31, 2005 and April 1, 2004—National Cinema Network, Inc.</w:t>
      </w:r>
    </w:p>
    <w:p>
      <w:pPr>
        <w:spacing w:after="0" w:line="7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For purposes of this analysis, the fiscal year end March 31, 2005 period used for comparison of NCN includes its thirty-eight week pre-acquisition period ended December 23, 2004 combined with its post-acquisition fourteen week period ended March 31, 2005.</w:t>
      </w:r>
    </w:p>
    <w:p>
      <w:pPr>
        <w:spacing w:after="0" w:line="93"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i w:val="1"/>
          <w:iCs w:val="1"/>
          <w:color w:val="auto"/>
        </w:rPr>
        <w:t>Revenue</w:t>
      </w:r>
      <w:r>
        <w:rPr>
          <w:rFonts w:ascii="Arial" w:cs="Arial" w:eastAsia="Arial" w:hAnsi="Arial"/>
          <w:sz w:val="13"/>
          <w:szCs w:val="13"/>
          <w:color w:val="auto"/>
        </w:rPr>
        <w:t>. Total revenue of NCN was $69.9 million during the fiscal year ended April 1, 2004 compared to $56.5 million for the thirty-eight weeks ended December 23, 2004 and $15.5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fourteen weeks ended March 31, 2005. Total advertising contract value per founding member attendee was $0.43 for the fiscal year ended April 1, 2004 and was $0.45 for the fiscal year ended March 31, 2005. The increase in revenue was due to increases in advertising sold on the founding member theatre circuit, offset slightly by decreases in revenue for advertising sold on other affiliate circuits. The decrease in revenue for advertising sold on other affiliate circuit theatres was due to an initiative at NCN to reduce the number of marginally profitable contracts with such affiliate circuits. In addition, a portion of the increase was due to advertising contracts which were entered into in the latter portion of fiscal 2004 which were in place for both periods in fiscal 2005.</w:t>
      </w:r>
    </w:p>
    <w:p>
      <w:pPr>
        <w:spacing w:after="0" w:line="93"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i w:val="1"/>
          <w:iCs w:val="1"/>
          <w:color w:val="auto"/>
        </w:rPr>
        <w:t>Operating expenses</w:t>
      </w:r>
      <w:r>
        <w:rPr>
          <w:rFonts w:ascii="Arial" w:cs="Arial" w:eastAsia="Arial" w:hAnsi="Arial"/>
          <w:sz w:val="14"/>
          <w:szCs w:val="14"/>
          <w:color w:val="auto"/>
        </w:rPr>
        <w:t>. Total operating expenses of NCN decreased from $47.9 million during the fiscal year ended April 1, 2004 to $42.1 million during the fiscal year ended March 31, 2005, a</w:t>
      </w:r>
      <w:r>
        <w:rPr>
          <w:rFonts w:ascii="Arial" w:cs="Arial" w:eastAsia="Arial" w:hAnsi="Arial"/>
          <w:sz w:val="14"/>
          <w:szCs w:val="14"/>
          <w:i w:val="1"/>
          <w:iCs w:val="1"/>
          <w:color w:val="auto"/>
        </w:rPr>
        <w:t xml:space="preserve"> </w:t>
      </w:r>
      <w:r>
        <w:rPr>
          <w:rFonts w:ascii="Arial" w:cs="Arial" w:eastAsia="Arial" w:hAnsi="Arial"/>
          <w:sz w:val="14"/>
          <w:szCs w:val="14"/>
          <w:color w:val="auto"/>
        </w:rPr>
        <w:t>decrease of $5.8 million or 12%. Total operating expenses per founding member attendee were $0.29 for the fiscal year ended April 1, 2004 and were $0.26 per founding member attendee for the fiscal year ended March 31, 2005. The decrease in operating expense was primarily due to the reduction in overhead costs, including administration and selling expenses, associated with certain restructuring undergone by NCN during the 2005 period.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20" w:top="399" w:right="2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i w:val="1"/>
          <w:iCs w:val="1"/>
          <w:color w:val="auto"/>
        </w:rPr>
        <w:t>Circuit share expense</w:t>
      </w:r>
      <w:r>
        <w:rPr>
          <w:rFonts w:ascii="Arial" w:cs="Arial" w:eastAsia="Arial" w:hAnsi="Arial"/>
          <w:sz w:val="14"/>
          <w:szCs w:val="14"/>
          <w:color w:val="auto"/>
        </w:rPr>
        <w:t>. Circuit share expense for advertising sold on the founding member circuit increased from $18.7 million during the fiscal year ended April 1, 2004 to $24.1 for the fiscal</w:t>
      </w:r>
      <w:r>
        <w:rPr>
          <w:rFonts w:ascii="Arial" w:cs="Arial" w:eastAsia="Arial" w:hAnsi="Arial"/>
          <w:sz w:val="14"/>
          <w:szCs w:val="14"/>
          <w:i w:val="1"/>
          <w:iCs w:val="1"/>
          <w:color w:val="auto"/>
        </w:rPr>
        <w:t xml:space="preserve"> </w:t>
      </w:r>
      <w:r>
        <w:rPr>
          <w:rFonts w:ascii="Arial" w:cs="Arial" w:eastAsia="Arial" w:hAnsi="Arial"/>
          <w:sz w:val="14"/>
          <w:szCs w:val="14"/>
          <w:color w:val="auto"/>
        </w:rPr>
        <w:t>year ended March 31, 2005, an increase of $5.4 million, or 28.9%. The increase was primarily due to increases in advertising sold on the founding member theatre circuit, and an increase in the percentage of circuit share expense for founding member circuit as a percentage of circuit share revenue for advertising sold on the founding member circuit, as well as an increase in the circuit share allocation percentage of a significant contract.</w:t>
      </w:r>
    </w:p>
    <w:p>
      <w:pPr>
        <w:spacing w:after="0" w:line="106"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i w:val="1"/>
          <w:iCs w:val="1"/>
          <w:color w:val="auto"/>
        </w:rPr>
        <w:t>Net Income</w:t>
      </w:r>
      <w:r>
        <w:rPr>
          <w:rFonts w:ascii="Arial" w:cs="Arial" w:eastAsia="Arial" w:hAnsi="Arial"/>
          <w:sz w:val="14"/>
          <w:szCs w:val="14"/>
          <w:color w:val="auto"/>
        </w:rPr>
        <w:t>. Net income of NCN increased from $1.9 million for the fiscal year ended April 1, 2004 to $3.4 million for the fiscal year ended March 31, 2005, an increase of $1.5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79%. This increase was the result of the combination of the higher levels of revenue and the lower levels of expenses.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EBITDA</w:t>
      </w:r>
    </w:p>
    <w:p>
      <w:pPr>
        <w:spacing w:after="0" w:line="79" w:lineRule="exact"/>
        <w:rPr>
          <w:sz w:val="20"/>
          <w:szCs w:val="20"/>
          <w:color w:val="auto"/>
        </w:rPr>
      </w:pPr>
    </w:p>
    <w:p>
      <w:pPr>
        <w:ind w:right="100" w:firstLine="458"/>
        <w:spacing w:after="0" w:line="290" w:lineRule="auto"/>
        <w:rPr>
          <w:sz w:val="20"/>
          <w:szCs w:val="20"/>
          <w:color w:val="auto"/>
        </w:rPr>
      </w:pPr>
      <w:r>
        <w:rPr>
          <w:rFonts w:ascii="Arial" w:cs="Arial" w:eastAsia="Arial" w:hAnsi="Arial"/>
          <w:sz w:val="13"/>
          <w:szCs w:val="13"/>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above, which after this offering will be included in the calculation of adjusted EBITDA including the Loews payments to determine our compliance with financial covenants under our new senior secured credit facility. See “Financing Transaction.” AMC will make Loews payments to NCM LLC pursuant to the Loews screen integration agreement, which for the three months ended September 28, 2006, would have been $2.4 million. See “—Our Company Following the Completion of This Offering—Loews Payments” for additional discussion regarding the Loews payments.</w:t>
      </w:r>
    </w:p>
    <w:p>
      <w:pPr>
        <w:spacing w:after="0" w:line="96"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We have included EBITDA, adjusted EBITDA and adjusted EBITDA margin in this prospectus to provide investors with supplemental measures of our operating performance and because they are the basis for an important financial covenant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prospectus. See “Unaudited Pro Forma Financial Information.”</w:t>
      </w:r>
    </w:p>
    <w:p>
      <w:pPr>
        <w:spacing w:after="0" w:line="95"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20" w:top="399" w:right="2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reconciles net income (loss) to EBITDA and adjusted EBITDA on a historical and pro forma basis for the periods presented:</w:t>
      </w:r>
    </w:p>
    <w:p>
      <w:pPr>
        <w:sectPr>
          <w:pgSz w:w="11900" w:h="16838" w:orient="portrait"/>
          <w:cols w:equalWidth="0" w:num="1">
            <w:col w:w="11460"/>
          </w:cols>
          <w:pgMar w:left="220" w:top="399" w:right="21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NCM LLC,</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0" w:type="dxa"/>
            <w:vAlign w:val="bottom"/>
            <w:gridSpan w:val="4"/>
          </w:tcPr>
          <w:p>
            <w:pPr>
              <w:jc w:val="right"/>
              <w:ind w:right="420"/>
              <w:spacing w:after="0" w:line="121" w:lineRule="exact"/>
              <w:rPr>
                <w:sz w:val="20"/>
                <w:szCs w:val="20"/>
                <w:color w:val="auto"/>
              </w:rPr>
            </w:pPr>
            <w:r>
              <w:rPr>
                <w:rFonts w:ascii="Arial" w:cs="Arial" w:eastAsia="Arial" w:hAnsi="Arial"/>
                <w:sz w:val="11"/>
                <w:szCs w:val="11"/>
                <w:b w:val="1"/>
                <w:bCs w:val="1"/>
                <w:color w:val="auto"/>
              </w:rPr>
              <w:t>NCM LLC</w:t>
            </w:r>
          </w:p>
        </w:tc>
        <w:tc>
          <w:tcPr>
            <w:tcW w:w="240" w:type="dxa"/>
            <w:vAlign w:val="bottom"/>
          </w:tcPr>
          <w:p>
            <w:pPr>
              <w:spacing w:after="0"/>
              <w:rPr>
                <w:sz w:val="10"/>
                <w:szCs w:val="10"/>
                <w:color w:val="auto"/>
              </w:rPr>
            </w:pPr>
          </w:p>
        </w:tc>
        <w:tc>
          <w:tcPr>
            <w:tcW w:w="80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rPr>
              <w:t>RCM, &amp; NCN</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0" w:type="dxa"/>
            <w:vAlign w:val="bottom"/>
            <w:gridSpan w:val="4"/>
          </w:tcPr>
          <w:p>
            <w:pPr>
              <w:jc w:val="center"/>
              <w:ind w:right="360"/>
              <w:spacing w:after="0" w:line="121" w:lineRule="exact"/>
              <w:rPr>
                <w:sz w:val="20"/>
                <w:szCs w:val="20"/>
                <w:color w:val="auto"/>
              </w:rPr>
            </w:pPr>
            <w:r>
              <w:rPr>
                <w:rFonts w:ascii="Arial" w:cs="Arial" w:eastAsia="Arial" w:hAnsi="Arial"/>
                <w:sz w:val="11"/>
                <w:szCs w:val="11"/>
                <w:b w:val="1"/>
                <w:bCs w:val="1"/>
                <w:color w:val="auto"/>
                <w:w w:val="90"/>
              </w:rPr>
              <w:t>Nine Months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2"/>
              </w:rPr>
              <w:t>Year</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420"/>
              <w:spacing w:after="0" w:line="121" w:lineRule="exact"/>
              <w:rPr>
                <w:sz w:val="20"/>
                <w:szCs w:val="20"/>
                <w:color w:val="auto"/>
              </w:rPr>
            </w:pPr>
            <w:r>
              <w:rPr>
                <w:rFonts w:ascii="Arial" w:cs="Arial" w:eastAsia="Arial" w:hAnsi="Arial"/>
                <w:sz w:val="11"/>
                <w:szCs w:val="11"/>
                <w:b w:val="1"/>
                <w:bCs w:val="1"/>
                <w:color w:val="auto"/>
                <w:w w:val="89"/>
              </w:rPr>
              <w:t>Ended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0" w:type="dxa"/>
            <w:vAlign w:val="bottom"/>
            <w:gridSpan w:val="4"/>
          </w:tcPr>
          <w:p>
            <w:pPr>
              <w:jc w:val="center"/>
              <w:ind w:right="360"/>
              <w:spacing w:after="0" w:line="121" w:lineRule="exact"/>
              <w:rPr>
                <w:sz w:val="20"/>
                <w:szCs w:val="20"/>
                <w:color w:val="auto"/>
              </w:rPr>
            </w:pPr>
            <w:r>
              <w:rPr>
                <w:rFonts w:ascii="Arial" w:cs="Arial" w:eastAsia="Arial" w:hAnsi="Arial"/>
                <w:sz w:val="11"/>
                <w:szCs w:val="11"/>
                <w:b w:val="1"/>
                <w:bCs w:val="1"/>
                <w:color w:val="auto"/>
                <w:w w:val="89"/>
              </w:rPr>
              <w:t>December 29,</w:t>
            </w:r>
          </w:p>
        </w:tc>
        <w:tc>
          <w:tcPr>
            <w:tcW w:w="240" w:type="dxa"/>
            <w:vAlign w:val="bottom"/>
          </w:tcPr>
          <w:p>
            <w:pPr>
              <w:spacing w:after="0"/>
              <w:rPr>
                <w:sz w:val="10"/>
                <w:szCs w:val="10"/>
                <w:color w:val="auto"/>
              </w:rPr>
            </w:pPr>
          </w:p>
        </w:tc>
        <w:tc>
          <w:tcPr>
            <w:tcW w:w="80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December 29,</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2005</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Historical</w:t>
            </w:r>
          </w:p>
        </w:tc>
        <w:tc>
          <w:tcPr>
            <w:tcW w:w="3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94"/>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53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(6.9)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8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81"/>
        </w:trPr>
        <w:tc>
          <w:tcPr>
            <w:tcW w:w="53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(3.9)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Severance Plan Costs</w:t>
            </w: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8.5</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Share-based Compensation Costs</w:t>
            </w:r>
          </w:p>
        </w:tc>
        <w:tc>
          <w:tcPr>
            <w:tcW w:w="8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340" w:type="dxa"/>
            <w:vAlign w:val="bottom"/>
            <w:gridSpan w:val="2"/>
          </w:tcPr>
          <w:p>
            <w:pPr>
              <w:spacing w:after="0"/>
              <w:rPr>
                <w:sz w:val="20"/>
                <w:szCs w:val="20"/>
                <w:color w:val="auto"/>
              </w:rPr>
            </w:pPr>
            <w:r>
              <w:rPr>
                <w:rFonts w:ascii="Arial" w:cs="Arial" w:eastAsia="Arial" w:hAnsi="Arial"/>
                <w:sz w:val="14"/>
                <w:szCs w:val="14"/>
                <w:color w:val="auto"/>
              </w:rPr>
              <w:t>Deferred Stock Compensation</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Adjusted EBITDA</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Adjusted EBITDA Margin*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000" w:type="dxa"/>
            <w:vAlign w:val="bottom"/>
            <w:tcBorders>
              <w:bottom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0" w:hanging="285"/>
        <w:spacing w:after="0"/>
        <w:tabs>
          <w:tab w:leader="none" w:pos="44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margin is calculated by dividing adjusted EBITDA by total revenue.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and Liquidity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Liquidity and Capital Resources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480"/>
        <w:spacing w:after="0"/>
        <w:rPr>
          <w:sz w:val="20"/>
          <w:szCs w:val="20"/>
          <w:color w:val="auto"/>
        </w:rPr>
      </w:pPr>
      <w:r>
        <w:rPr>
          <w:rFonts w:ascii="Arial" w:cs="Arial" w:eastAsia="Arial" w:hAnsi="Arial"/>
          <w:sz w:val="11"/>
          <w:szCs w:val="11"/>
          <w:b w:val="1"/>
          <w:bCs w:val="1"/>
          <w:color w:val="auto"/>
        </w:rPr>
        <w:t>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19964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996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1660" w:type="dxa"/>
            <w:vAlign w:val="bottom"/>
            <w:gridSpan w:val="6"/>
          </w:tcPr>
          <w:p>
            <w:pPr>
              <w:jc w:val="right"/>
              <w:ind w:right="600"/>
              <w:spacing w:after="0"/>
              <w:rPr>
                <w:sz w:val="20"/>
                <w:szCs w:val="20"/>
                <w:color w:val="auto"/>
              </w:rPr>
            </w:pPr>
            <w:r>
              <w:rPr>
                <w:rFonts w:ascii="Arial" w:cs="Arial" w:eastAsia="Arial" w:hAnsi="Arial"/>
                <w:sz w:val="11"/>
                <w:szCs w:val="11"/>
                <w:b w:val="1"/>
                <w:bCs w:val="1"/>
                <w:color w:val="auto"/>
              </w:rPr>
              <w:t>Nine Months Ended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w w:val="97"/>
              </w:rPr>
              <w:t>Three Months Ended</w:t>
            </w:r>
          </w:p>
        </w:tc>
      </w:tr>
      <w:tr>
        <w:trPr>
          <w:trHeight w:val="131"/>
        </w:trPr>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1"/>
                <w:szCs w:val="11"/>
                <w:b w:val="1"/>
                <w:bCs w:val="1"/>
                <w:color w:val="auto"/>
              </w:rPr>
              <w:t>September 28, 2006</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9"/>
              </w:rPr>
              <w:t>September 28, 2006</w:t>
            </w: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98"/>
        </w:trPr>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86"/>
              </w:rPr>
              <w:t>Pro</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76"/>
              </w:rPr>
              <w:t>Pro</w:t>
            </w:r>
          </w:p>
        </w:tc>
      </w:tr>
      <w:tr>
        <w:trPr>
          <w:trHeight w:val="131"/>
        </w:trPr>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7"/>
              </w:rPr>
              <w:t>Historical</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5"/>
              </w:rPr>
              <w:t>Forma</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7"/>
              </w:rPr>
              <w:t>Historical</w:t>
            </w:r>
          </w:p>
        </w:tc>
        <w:tc>
          <w:tcPr>
            <w:tcW w:w="620" w:type="dxa"/>
            <w:vAlign w:val="bottom"/>
          </w:tcPr>
          <w:p>
            <w:pPr>
              <w:spacing w:after="0"/>
              <w:rPr>
                <w:sz w:val="11"/>
                <w:szCs w:val="11"/>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5"/>
              </w:rPr>
              <w:t>Forma</w:t>
            </w:r>
          </w:p>
        </w:tc>
        <w:tc>
          <w:tcPr>
            <w:tcW w:w="120" w:type="dxa"/>
            <w:vAlign w:val="bottom"/>
          </w:tcPr>
          <w:p>
            <w:pPr>
              <w:spacing w:after="0"/>
              <w:rPr>
                <w:sz w:val="11"/>
                <w:szCs w:val="11"/>
                <w:color w:val="auto"/>
              </w:rPr>
            </w:pPr>
          </w:p>
        </w:tc>
      </w:tr>
      <w:tr>
        <w:trPr>
          <w:trHeight w:val="104"/>
        </w:trPr>
        <w:tc>
          <w:tcPr>
            <w:tcW w:w="100" w:type="dxa"/>
            <w:vAlign w:val="bottom"/>
          </w:tcPr>
          <w:p>
            <w:pPr>
              <w:spacing w:after="0"/>
              <w:rPr>
                <w:sz w:val="9"/>
                <w:szCs w:val="9"/>
                <w:color w:val="auto"/>
              </w:rPr>
            </w:pPr>
          </w:p>
        </w:tc>
        <w:tc>
          <w:tcPr>
            <w:tcW w:w="800" w:type="dxa"/>
            <w:vAlign w:val="bottom"/>
            <w:gridSpan w:val="2"/>
          </w:tcPr>
          <w:p>
            <w:pPr>
              <w:jc w:val="right"/>
              <w:ind w:right="120"/>
              <w:spacing w:after="0" w:line="104" w:lineRule="exact"/>
              <w:rPr>
                <w:sz w:val="20"/>
                <w:szCs w:val="20"/>
                <w:color w:val="auto"/>
              </w:rPr>
            </w:pPr>
            <w:r>
              <w:rPr>
                <w:rFonts w:ascii="Arial" w:cs="Arial" w:eastAsia="Arial" w:hAnsi="Arial"/>
                <w:sz w:val="11"/>
                <w:szCs w:val="11"/>
                <w:b w:val="1"/>
                <w:bCs w:val="1"/>
                <w:color w:val="auto"/>
                <w:w w:val="93"/>
              </w:rPr>
              <w:t>($ in millions)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75"/>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(11.2)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8.9</w:t>
            </w:r>
          </w:p>
        </w:tc>
        <w:tc>
          <w:tcPr>
            <w:tcW w:w="360" w:type="dxa"/>
            <w:vAlign w:val="bottom"/>
          </w:tcPr>
          <w:p>
            <w:pPr>
              <w:spacing w:after="0"/>
              <w:rPr>
                <w:sz w:val="15"/>
                <w:szCs w:val="15"/>
                <w:color w:val="auto"/>
              </w:rPr>
            </w:pP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4"/>
                <w:szCs w:val="14"/>
                <w:color w:val="auto"/>
              </w:rPr>
              <w:t>(0.6)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r>
      <w:tr>
        <w:trPr>
          <w:trHeight w:val="175"/>
        </w:trPr>
        <w:tc>
          <w:tcPr>
            <w:tcW w:w="10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5.9</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r>
      <w:tr>
        <w:trPr>
          <w:trHeight w:val="175"/>
        </w:trPr>
        <w:tc>
          <w:tcPr>
            <w:tcW w:w="10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21.7</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13.6</w:t>
            </w:r>
          </w:p>
        </w:tc>
      </w:tr>
      <w:tr>
        <w:trPr>
          <w:trHeight w:val="175"/>
        </w:trPr>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48.4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16.1</w:t>
            </w:r>
          </w:p>
        </w:tc>
      </w:tr>
      <w:tr>
        <w:trPr>
          <w:trHeight w:val="181"/>
        </w:trPr>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r>
      <w:tr>
        <w:trPr>
          <w:trHeight w:val="20"/>
        </w:trPr>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5"/>
              </w:rPr>
              <w:t>88.3</w:t>
            </w:r>
          </w:p>
        </w:tc>
        <w:tc>
          <w:tcPr>
            <w:tcW w:w="360" w:type="dxa"/>
            <w:vAlign w:val="bottom"/>
          </w:tcPr>
          <w:p>
            <w:pPr>
              <w:spacing w:after="0"/>
              <w:rPr>
                <w:sz w:val="15"/>
                <w:szCs w:val="15"/>
                <w:color w:val="auto"/>
              </w:rPr>
            </w:pP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40.0</w:t>
            </w:r>
          </w:p>
        </w:tc>
      </w:tr>
      <w:tr>
        <w:trPr>
          <w:trHeight w:val="20"/>
        </w:trPr>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0.7</w:t>
            </w:r>
          </w:p>
        </w:tc>
      </w:tr>
      <w:tr>
        <w:trPr>
          <w:trHeight w:val="175"/>
        </w:trPr>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r>
      <w:tr>
        <w:trPr>
          <w:trHeight w:val="181"/>
        </w:trPr>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(3.0)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5"/>
              </w:rPr>
              <w:t>92.8</w:t>
            </w:r>
          </w:p>
        </w:tc>
        <w:tc>
          <w:tcPr>
            <w:tcW w:w="360" w:type="dxa"/>
            <w:vAlign w:val="bottom"/>
          </w:tcPr>
          <w:p>
            <w:pPr>
              <w:spacing w:after="0"/>
              <w:rPr>
                <w:sz w:val="15"/>
                <w:szCs w:val="15"/>
                <w:color w:val="auto"/>
              </w:rPr>
            </w:pP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41.5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9"/>
        </w:trPr>
        <w:tc>
          <w:tcPr>
            <w:tcW w:w="100" w:type="dxa"/>
            <w:vAlign w:val="bottom"/>
          </w:tcPr>
          <w:p>
            <w:pPr>
              <w:spacing w:after="0"/>
              <w:rPr>
                <w:sz w:val="13"/>
                <w:szCs w:val="13"/>
                <w:color w:val="auto"/>
              </w:rPr>
            </w:pPr>
          </w:p>
        </w:tc>
        <w:tc>
          <w:tcPr>
            <w:tcW w:w="8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NM</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5"/>
              </w:rPr>
              <w:t>49.3%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0"/>
              </w:rPr>
              <w:t>56.1%</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41" w:lineRule="exact"/>
        <w:rPr>
          <w:sz w:val="20"/>
          <w:szCs w:val="20"/>
          <w:color w:val="auto"/>
        </w:rPr>
      </w:pPr>
    </w:p>
    <w:p>
      <w:pPr>
        <w:sectPr>
          <w:pgSz w:w="11900" w:h="16838" w:orient="portrait"/>
          <w:cols w:equalWidth="0" w:num="2">
            <w:col w:w="7380" w:space="500"/>
            <w:col w:w="3580"/>
          </w:cols>
          <w:pgMar w:left="220" w:top="399" w:right="219" w:bottom="1440" w:gutter="0" w:footer="0" w:header="0"/>
          <w:type w:val="continuous"/>
        </w:sectPr>
      </w:pPr>
    </w:p>
    <w:p>
      <w:pPr>
        <w:jc w:val="both"/>
        <w:ind w:firstLine="458"/>
        <w:spacing w:after="0" w:line="305" w:lineRule="auto"/>
        <w:rPr>
          <w:sz w:val="20"/>
          <w:szCs w:val="20"/>
          <w:color w:val="auto"/>
        </w:rPr>
      </w:pPr>
      <w:r>
        <w:rPr>
          <w:rFonts w:ascii="Arial" w:cs="Arial" w:eastAsia="Arial" w:hAnsi="Arial"/>
          <w:sz w:val="13"/>
          <w:szCs w:val="13"/>
          <w:i w:val="1"/>
          <w:iCs w:val="1"/>
          <w:color w:val="auto"/>
        </w:rPr>
        <w:t xml:space="preserve">Sources of capital and capital requirements. </w:t>
      </w:r>
      <w:r>
        <w:rPr>
          <w:rFonts w:ascii="Arial" w:cs="Arial" w:eastAsia="Arial" w:hAnsi="Arial"/>
          <w:sz w:val="13"/>
          <w:szCs w:val="13"/>
          <w:color w:val="auto"/>
        </w:rPr>
        <w:t>Upon the completion of this offering, our primary sources of liquidity and capital resources will be cash flows generated from distributions from our</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subsidiary, NCM LLC, and availability of up to $80.0 million under a revolving credit facility. NCM LLC’s historical sources of liquidity and capital resources have been cash flows generated from its business activities, working capital from our founding members, availability of up to $20 million under a revolving credit facility and available cash and cash equivalents.</w:t>
      </w:r>
    </w:p>
    <w:p>
      <w:pPr>
        <w:spacing w:after="0" w:line="86"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Management believes that future funds generated from our operations and available borrowing capacity of up to $80.0 million under our new revolving credit facility to be entered into upon the completion of this offering will be sufficient to fund quarterly dividends, our debt service requirements, working capital requirements and capital expenditure requirements, through the next 12 months. We expect to draw upon the new credit facility at closing to repay amounts outstanding under NCM LLC’s existing revolving credit facility (which were $10.0 million as of September 28, 2006) and any remaining amounts owed to the founding members under the existing exhibitor services agreements that, due to timing differences, may not be funded by receivables.</w:t>
      </w:r>
    </w:p>
    <w:p>
      <w:pPr>
        <w:spacing w:after="0" w:line="91"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Our short and long term cash requirements consist of minimum annual payments under our operating leases for our headquarters and regional offices and capital expenditures. Minimum annual operating lease requirements are included in our direct operating expenses, which have historically been satisfied by cash flow from operations. For fiscal 2007, we are committed to $1.6 million of annual operating lease payments.</w:t>
      </w:r>
    </w:p>
    <w:p>
      <w:pPr>
        <w:spacing w:after="0" w:line="102"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i w:val="1"/>
          <w:iCs w:val="1"/>
          <w:color w:val="auto"/>
        </w:rPr>
        <w:t xml:space="preserve">Capital expenditures. </w:t>
      </w:r>
      <w:r>
        <w:rPr>
          <w:rFonts w:ascii="Arial" w:cs="Arial" w:eastAsia="Arial" w:hAnsi="Arial"/>
          <w:sz w:val="14"/>
          <w:szCs w:val="14"/>
          <w:color w:val="auto"/>
        </w:rPr>
        <w:t>Our capital expenditures and those of RCM have typically been related to equipment required for our network operations center and content production and post-production activities, digital content system, or DCS, and “back-office” software upgrades, office leasehold improvements, desktop equipment for use by our employees, and in certain cases, a portion of the costs necessary to digitize all or a portion of a network affiliate’s theatres. Our capital expenditures were $5.9 million and $4.3 million for the nine months ended December 29, 2005 and nine months ended September 28, 2006, respectively, and $1.8 million and $1.9 million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60"/>
          </w:cols>
          <w:pgMar w:left="220" w:top="399" w:right="219" w:bottom="1440" w:gutter="0" w:footer="0" w:header="0"/>
          <w:type w:val="continuous"/>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for the three months ended September 29, 2005 and September 28, 2006, respectively. The capital expenditures of RCM for the years ended December 30, 2004 and January 1, 2004 were $2.7 million and $1.3 million, respectively. The capital expenditures of NCN for the fiscal years ended March 31, 2005 and April 1, 2004 were de minimus. Our capital expenditures have typically been satisfied through a combination of cash flow from operations and from financing sources, while RCM’s capital expenditures were satisfied by cash flow from operations and working capital from Regal. All capital expenditures related to the digital content network within our founding members’ theatres have been made, and under the exhibitor services agreements, we expect they will continue to be made, by the founding members rather than NCM LLC or RCM.</w:t>
      </w:r>
    </w:p>
    <w:p>
      <w:pPr>
        <w:spacing w:after="0" w:line="110"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We expect to make approximately $6.0 million to $8.0 million of capital expenditures in fiscal 2007, primarily for ordinary course maintenance of our digital content system and upgrades to our distribution software and our internal management systems, including our advertising inventory optimization, management and reporting systems. We expect these upgrades and improvements, which are intended to provide additional scheduling and placement flexibility for our clients, will enhance our operating efficiencies, including allowing us to better manage our advertising inventory, and prepare us for continued growth. These capital expenditures may be increased in connection with expenditures made in theatres operated by any new network affiliates. We expect that these additional expenditures, if any, would be supported by additional cash flows associated with those new network affiliates. The commitments associated with our and RCM’s operating leases and capital expenditure requirements are included in “—Contractual and Other Obligations” below.</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Cash Flows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our historical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5"/>
          </w:tcPr>
          <w:p>
            <w:pPr>
              <w:jc w:val="right"/>
              <w:spacing w:after="0"/>
              <w:rPr>
                <w:sz w:val="20"/>
                <w:szCs w:val="20"/>
                <w:color w:val="auto"/>
              </w:rPr>
            </w:pPr>
            <w:r>
              <w:rPr>
                <w:rFonts w:ascii="Arial" w:cs="Arial" w:eastAsia="Arial" w:hAnsi="Arial"/>
                <w:sz w:val="11"/>
                <w:szCs w:val="11"/>
                <w:b w:val="1"/>
                <w:bCs w:val="1"/>
                <w:color w:val="auto"/>
                <w:w w:val="87"/>
              </w:rPr>
              <w:t>Predecessor-National Cinema</w:t>
            </w: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4"/>
          </w:tcPr>
          <w:p>
            <w:pPr>
              <w:jc w:val="center"/>
              <w:ind w:left="45"/>
              <w:spacing w:after="0"/>
              <w:rPr>
                <w:sz w:val="20"/>
                <w:szCs w:val="20"/>
                <w:color w:val="auto"/>
              </w:rPr>
            </w:pPr>
            <w:r>
              <w:rPr>
                <w:rFonts w:ascii="Arial" w:cs="Arial" w:eastAsia="Arial" w:hAnsi="Arial"/>
                <w:sz w:val="11"/>
                <w:szCs w:val="11"/>
                <w:b w:val="1"/>
                <w:bCs w:val="1"/>
                <w:color w:val="auto"/>
                <w:w w:val="86"/>
              </w:rPr>
              <w:t>Predecessor-Regal</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3"/>
              </w:rPr>
              <w:t>Network, Inc.</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center"/>
              <w:ind w:left="25"/>
              <w:spacing w:after="0"/>
              <w:rPr>
                <w:sz w:val="20"/>
                <w:szCs w:val="20"/>
                <w:color w:val="auto"/>
              </w:rPr>
            </w:pPr>
            <w:r>
              <w:rPr>
                <w:rFonts w:ascii="Arial" w:cs="Arial" w:eastAsia="Arial" w:hAnsi="Arial"/>
                <w:sz w:val="11"/>
                <w:szCs w:val="11"/>
                <w:b w:val="1"/>
                <w:bCs w:val="1"/>
                <w:color w:val="auto"/>
                <w:w w:val="92"/>
              </w:rPr>
              <w:t>CineMedia Corporation</w:t>
            </w:r>
          </w:p>
        </w:tc>
        <w:tc>
          <w:tcPr>
            <w:tcW w:w="2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National CineMedia, LLC</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gridSpan w:val="2"/>
          </w:tcPr>
          <w:p>
            <w:pPr>
              <w:jc w:val="center"/>
              <w:ind w:right="60"/>
              <w:spacing w:after="0" w:line="101" w:lineRule="exact"/>
              <w:rPr>
                <w:sz w:val="20"/>
                <w:szCs w:val="20"/>
                <w:color w:val="auto"/>
              </w:rPr>
            </w:pPr>
            <w:r>
              <w:rPr>
                <w:rFonts w:ascii="Arial" w:cs="Arial" w:eastAsia="Arial" w:hAnsi="Arial"/>
                <w:sz w:val="11"/>
                <w:szCs w:val="11"/>
                <w:b w:val="1"/>
                <w:bCs w:val="1"/>
                <w:color w:val="auto"/>
                <w:w w:val="92"/>
              </w:rPr>
              <w:t>Year</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center"/>
              <w:ind w:right="380"/>
              <w:spacing w:after="0" w:line="101" w:lineRule="exact"/>
              <w:rPr>
                <w:sz w:val="20"/>
                <w:szCs w:val="20"/>
                <w:color w:val="auto"/>
              </w:rPr>
            </w:pPr>
            <w:r>
              <w:rPr>
                <w:rFonts w:ascii="Arial" w:cs="Arial" w:eastAsia="Arial" w:hAnsi="Arial"/>
                <w:sz w:val="11"/>
                <w:szCs w:val="11"/>
                <w:b w:val="1"/>
                <w:bCs w:val="1"/>
                <w:color w:val="auto"/>
                <w:w w:val="87"/>
              </w:rPr>
              <w:t>38 Weeks</w:t>
            </w:r>
          </w:p>
        </w:tc>
        <w:tc>
          <w:tcPr>
            <w:tcW w:w="48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w w:val="87"/>
              </w:rPr>
              <w:t>14 Weeks</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gridSpan w:val="3"/>
          </w:tcPr>
          <w:p>
            <w:pPr>
              <w:jc w:val="center"/>
              <w:ind w:right="200"/>
              <w:spacing w:after="0" w:line="101" w:lineRule="exact"/>
              <w:rPr>
                <w:sz w:val="20"/>
                <w:szCs w:val="20"/>
                <w:color w:val="auto"/>
              </w:rPr>
            </w:pPr>
            <w:r>
              <w:rPr>
                <w:rFonts w:ascii="Arial" w:cs="Arial" w:eastAsia="Arial" w:hAnsi="Arial"/>
                <w:sz w:val="11"/>
                <w:szCs w:val="11"/>
                <w:b w:val="1"/>
                <w:bCs w:val="1"/>
                <w:color w:val="auto"/>
                <w:w w:val="90"/>
              </w:rPr>
              <w:t>Nine Months</w:t>
            </w:r>
          </w:p>
        </w:tc>
        <w:tc>
          <w:tcPr>
            <w:tcW w:w="160" w:type="dxa"/>
            <w:vAlign w:val="bottom"/>
          </w:tcPr>
          <w:p>
            <w:pPr>
              <w:spacing w:after="0"/>
              <w:rPr>
                <w:sz w:val="8"/>
                <w:szCs w:val="8"/>
                <w:color w:val="auto"/>
              </w:rPr>
            </w:pPr>
          </w:p>
        </w:tc>
        <w:tc>
          <w:tcPr>
            <w:tcW w:w="1020" w:type="dxa"/>
            <w:vAlign w:val="bottom"/>
            <w:gridSpan w:val="3"/>
          </w:tcPr>
          <w:p>
            <w:pPr>
              <w:jc w:val="center"/>
              <w:ind w:right="360"/>
              <w:spacing w:after="0" w:line="101" w:lineRule="exact"/>
              <w:rPr>
                <w:sz w:val="20"/>
                <w:szCs w:val="20"/>
                <w:color w:val="auto"/>
              </w:rPr>
            </w:pPr>
            <w:r>
              <w:rPr>
                <w:rFonts w:ascii="Arial" w:cs="Arial" w:eastAsia="Arial" w:hAnsi="Arial"/>
                <w:sz w:val="11"/>
                <w:szCs w:val="11"/>
                <w:b w:val="1"/>
                <w:bCs w:val="1"/>
                <w:color w:val="auto"/>
                <w:w w:val="93"/>
              </w:rPr>
              <w:t>Nine Months</w:t>
            </w:r>
          </w:p>
        </w:tc>
        <w:tc>
          <w:tcPr>
            <w:tcW w:w="480" w:type="dxa"/>
            <w:vAlign w:val="bottom"/>
          </w:tcPr>
          <w:p>
            <w:pPr>
              <w:spacing w:after="0"/>
              <w:rPr>
                <w:sz w:val="8"/>
                <w:szCs w:val="8"/>
                <w:color w:val="auto"/>
              </w:rPr>
            </w:pPr>
          </w:p>
        </w:tc>
        <w:tc>
          <w:tcPr>
            <w:tcW w:w="740" w:type="dxa"/>
            <w:vAlign w:val="bottom"/>
            <w:gridSpan w:val="4"/>
          </w:tcPr>
          <w:p>
            <w:pPr>
              <w:ind w:left="20"/>
              <w:spacing w:after="0" w:line="101" w:lineRule="exact"/>
              <w:rPr>
                <w:sz w:val="20"/>
                <w:szCs w:val="20"/>
                <w:color w:val="auto"/>
              </w:rPr>
            </w:pPr>
            <w:r>
              <w:rPr>
                <w:rFonts w:ascii="Arial" w:cs="Arial" w:eastAsia="Arial" w:hAnsi="Arial"/>
                <w:sz w:val="11"/>
                <w:szCs w:val="11"/>
                <w:b w:val="1"/>
                <w:bCs w:val="1"/>
                <w:color w:val="auto"/>
                <w:w w:val="96"/>
              </w:rPr>
              <w:t>Three Months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Ended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1"/>
                <w:szCs w:val="11"/>
                <w:color w:val="auto"/>
              </w:rPr>
            </w:pPr>
          </w:p>
        </w:tc>
        <w:tc>
          <w:tcPr>
            <w:tcW w:w="1100" w:type="dxa"/>
            <w:vAlign w:val="bottom"/>
            <w:gridSpan w:val="2"/>
          </w:tcPr>
          <w:p>
            <w:pPr>
              <w:jc w:val="center"/>
              <w:ind w:right="760"/>
              <w:spacing w:after="0"/>
              <w:rPr>
                <w:sz w:val="20"/>
                <w:szCs w:val="20"/>
                <w:color w:val="auto"/>
              </w:rPr>
            </w:pPr>
            <w:r>
              <w:rPr>
                <w:rFonts w:ascii="Arial" w:cs="Arial" w:eastAsia="Arial" w:hAnsi="Arial"/>
                <w:sz w:val="11"/>
                <w:szCs w:val="11"/>
                <w:b w:val="1"/>
                <w:bCs w:val="1"/>
                <w:color w:val="auto"/>
                <w:w w:val="89"/>
              </w:rPr>
              <w:t>Ended</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center"/>
              <w:ind w:left="25"/>
              <w:spacing w:after="0"/>
              <w:rPr>
                <w:sz w:val="20"/>
                <w:szCs w:val="20"/>
                <w:color w:val="auto"/>
              </w:rPr>
            </w:pPr>
            <w:r>
              <w:rPr>
                <w:rFonts w:ascii="Arial" w:cs="Arial" w:eastAsia="Arial" w:hAnsi="Arial"/>
                <w:sz w:val="11"/>
                <w:szCs w:val="11"/>
                <w:b w:val="1"/>
                <w:bCs w:val="1"/>
                <w:color w:val="auto"/>
                <w:w w:val="89"/>
              </w:rPr>
              <w:t>Years Ended</w:t>
            </w:r>
          </w:p>
        </w:tc>
        <w:tc>
          <w:tcPr>
            <w:tcW w:w="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Ended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9"/>
              </w:rPr>
              <w:t>Ended</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5"/>
              </w:rPr>
              <w:t>Ended</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gridSpan w:val="2"/>
          </w:tcPr>
          <w:p>
            <w:pPr>
              <w:jc w:val="center"/>
              <w:ind w:right="40"/>
              <w:spacing w:after="0" w:line="90" w:lineRule="exact"/>
              <w:rPr>
                <w:sz w:val="20"/>
                <w:szCs w:val="20"/>
                <w:color w:val="auto"/>
              </w:rPr>
            </w:pPr>
            <w:r>
              <w:rPr>
                <w:rFonts w:ascii="Arial" w:cs="Arial" w:eastAsia="Arial" w:hAnsi="Arial"/>
                <w:sz w:val="10"/>
                <w:szCs w:val="10"/>
                <w:b w:val="1"/>
                <w:bCs w:val="1"/>
                <w:color w:val="auto"/>
              </w:rPr>
              <w:t>April 1,</w:t>
            </w:r>
          </w:p>
        </w:tc>
        <w:tc>
          <w:tcPr>
            <w:tcW w:w="300" w:type="dxa"/>
            <w:vAlign w:val="bottom"/>
          </w:tcPr>
          <w:p>
            <w:pPr>
              <w:spacing w:after="0"/>
              <w:rPr>
                <w:sz w:val="7"/>
                <w:szCs w:val="7"/>
                <w:color w:val="auto"/>
              </w:rPr>
            </w:pPr>
          </w:p>
        </w:tc>
        <w:tc>
          <w:tcPr>
            <w:tcW w:w="1000" w:type="dxa"/>
            <w:vAlign w:val="bottom"/>
            <w:gridSpan w:val="3"/>
          </w:tcPr>
          <w:p>
            <w:pPr>
              <w:jc w:val="center"/>
              <w:ind w:right="340"/>
              <w:spacing w:after="0" w:line="90" w:lineRule="exact"/>
              <w:rPr>
                <w:sz w:val="20"/>
                <w:szCs w:val="20"/>
                <w:color w:val="auto"/>
              </w:rPr>
            </w:pPr>
            <w:r>
              <w:rPr>
                <w:rFonts w:ascii="Arial" w:cs="Arial" w:eastAsia="Arial" w:hAnsi="Arial"/>
                <w:sz w:val="10"/>
                <w:szCs w:val="10"/>
                <w:b w:val="1"/>
                <w:bCs w:val="1"/>
                <w:color w:val="auto"/>
                <w:w w:val="95"/>
              </w:rPr>
              <w:t>December 23,</w:t>
            </w:r>
          </w:p>
        </w:tc>
        <w:tc>
          <w:tcPr>
            <w:tcW w:w="1180" w:type="dxa"/>
            <w:vAlign w:val="bottom"/>
            <w:gridSpan w:val="3"/>
          </w:tcPr>
          <w:p>
            <w:pPr>
              <w:jc w:val="center"/>
              <w:ind w:right="700"/>
              <w:spacing w:after="0" w:line="90" w:lineRule="exact"/>
              <w:rPr>
                <w:sz w:val="20"/>
                <w:szCs w:val="20"/>
                <w:color w:val="auto"/>
              </w:rPr>
            </w:pPr>
            <w:r>
              <w:rPr>
                <w:rFonts w:ascii="Arial" w:cs="Arial" w:eastAsia="Arial" w:hAnsi="Arial"/>
                <w:sz w:val="10"/>
                <w:szCs w:val="10"/>
                <w:b w:val="1"/>
                <w:bCs w:val="1"/>
                <w:color w:val="auto"/>
              </w:rPr>
              <w:t>March 31,</w:t>
            </w:r>
          </w:p>
        </w:tc>
        <w:tc>
          <w:tcPr>
            <w:tcW w:w="700" w:type="dxa"/>
            <w:vAlign w:val="bottom"/>
            <w:gridSpan w:val="3"/>
          </w:tcPr>
          <w:p>
            <w:pPr>
              <w:spacing w:after="0" w:line="90" w:lineRule="exact"/>
              <w:rPr>
                <w:sz w:val="20"/>
                <w:szCs w:val="20"/>
                <w:color w:val="auto"/>
              </w:rPr>
            </w:pPr>
            <w:r>
              <w:rPr>
                <w:rFonts w:ascii="Arial" w:cs="Arial" w:eastAsia="Arial" w:hAnsi="Arial"/>
                <w:sz w:val="10"/>
                <w:szCs w:val="10"/>
                <w:b w:val="1"/>
                <w:bCs w:val="1"/>
                <w:color w:val="auto"/>
              </w:rPr>
              <w:t>January 1,</w:t>
            </w:r>
          </w:p>
        </w:tc>
        <w:tc>
          <w:tcPr>
            <w:tcW w:w="160" w:type="dxa"/>
            <w:vAlign w:val="bottom"/>
          </w:tcPr>
          <w:p>
            <w:pPr>
              <w:spacing w:after="0"/>
              <w:rPr>
                <w:sz w:val="7"/>
                <w:szCs w:val="7"/>
                <w:color w:val="auto"/>
              </w:rPr>
            </w:pPr>
          </w:p>
        </w:tc>
        <w:tc>
          <w:tcPr>
            <w:tcW w:w="64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w w:val="95"/>
              </w:rPr>
              <w:t>December 30,</w:t>
            </w: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gridSpan w:val="3"/>
          </w:tcPr>
          <w:p>
            <w:pPr>
              <w:jc w:val="center"/>
              <w:ind w:right="200"/>
              <w:spacing w:after="0" w:line="90" w:lineRule="exact"/>
              <w:rPr>
                <w:sz w:val="20"/>
                <w:szCs w:val="20"/>
                <w:color w:val="auto"/>
              </w:rPr>
            </w:pPr>
            <w:r>
              <w:rPr>
                <w:rFonts w:ascii="Arial" w:cs="Arial" w:eastAsia="Arial" w:hAnsi="Arial"/>
                <w:sz w:val="10"/>
                <w:szCs w:val="10"/>
                <w:b w:val="1"/>
                <w:bCs w:val="1"/>
                <w:color w:val="auto"/>
                <w:w w:val="98"/>
              </w:rPr>
              <w:t>December 29,</w:t>
            </w:r>
          </w:p>
        </w:tc>
        <w:tc>
          <w:tcPr>
            <w:tcW w:w="160" w:type="dxa"/>
            <w:vAlign w:val="bottom"/>
          </w:tcPr>
          <w:p>
            <w:pPr>
              <w:spacing w:after="0"/>
              <w:rPr>
                <w:sz w:val="7"/>
                <w:szCs w:val="7"/>
                <w:color w:val="auto"/>
              </w:rPr>
            </w:pPr>
          </w:p>
        </w:tc>
        <w:tc>
          <w:tcPr>
            <w:tcW w:w="1020" w:type="dxa"/>
            <w:vAlign w:val="bottom"/>
            <w:gridSpan w:val="3"/>
          </w:tcPr>
          <w:p>
            <w:pPr>
              <w:jc w:val="center"/>
              <w:ind w:right="360"/>
              <w:spacing w:after="0" w:line="90" w:lineRule="exact"/>
              <w:rPr>
                <w:sz w:val="20"/>
                <w:szCs w:val="20"/>
                <w:color w:val="auto"/>
              </w:rPr>
            </w:pPr>
            <w:r>
              <w:rPr>
                <w:rFonts w:ascii="Arial" w:cs="Arial" w:eastAsia="Arial" w:hAnsi="Arial"/>
                <w:sz w:val="10"/>
                <w:szCs w:val="10"/>
                <w:b w:val="1"/>
                <w:bCs w:val="1"/>
                <w:color w:val="auto"/>
                <w:w w:val="96"/>
              </w:rPr>
              <w:t>September 28,</w:t>
            </w:r>
          </w:p>
        </w:tc>
        <w:tc>
          <w:tcPr>
            <w:tcW w:w="1020" w:type="dxa"/>
            <w:vAlign w:val="bottom"/>
            <w:gridSpan w:val="3"/>
          </w:tcPr>
          <w:p>
            <w:pPr>
              <w:spacing w:after="0" w:line="90" w:lineRule="exact"/>
              <w:rPr>
                <w:sz w:val="20"/>
                <w:szCs w:val="20"/>
                <w:color w:val="auto"/>
              </w:rPr>
            </w:pPr>
            <w:r>
              <w:rPr>
                <w:rFonts w:ascii="Arial" w:cs="Arial" w:eastAsia="Arial" w:hAnsi="Arial"/>
                <w:sz w:val="10"/>
                <w:szCs w:val="10"/>
                <w:b w:val="1"/>
                <w:bCs w:val="1"/>
                <w:color w:val="auto"/>
              </w:rPr>
              <w:t>September 29,</w:t>
            </w:r>
          </w:p>
        </w:tc>
        <w:tc>
          <w:tcPr>
            <w:tcW w:w="20" w:type="dxa"/>
            <w:vAlign w:val="bottom"/>
          </w:tcPr>
          <w:p>
            <w:pPr>
              <w:spacing w:after="0"/>
              <w:rPr>
                <w:sz w:val="7"/>
                <w:szCs w:val="7"/>
                <w:color w:val="auto"/>
              </w:rPr>
            </w:pPr>
          </w:p>
        </w:tc>
        <w:tc>
          <w:tcPr>
            <w:tcW w:w="66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w w:val="93"/>
              </w:rPr>
              <w:t>September 28,</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060" w:type="dxa"/>
            <w:vAlign w:val="bottom"/>
            <w:gridSpan w:val="2"/>
          </w:tcPr>
          <w:p>
            <w:pPr>
              <w:jc w:val="center"/>
              <w:ind w:left="625"/>
              <w:spacing w:after="0"/>
              <w:rPr>
                <w:sz w:val="20"/>
                <w:szCs w:val="20"/>
                <w:color w:val="auto"/>
              </w:rPr>
            </w:pPr>
            <w:r>
              <w:rPr>
                <w:rFonts w:ascii="Arial" w:cs="Arial" w:eastAsia="Arial" w:hAnsi="Arial"/>
                <w:sz w:val="11"/>
                <w:szCs w:val="11"/>
                <w:b w:val="1"/>
                <w:bCs w:val="1"/>
                <w:color w:val="auto"/>
                <w:w w:val="89"/>
              </w:rPr>
              <w:t>2004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5"/>
              <w:spacing w:after="0"/>
              <w:rPr>
                <w:sz w:val="20"/>
                <w:szCs w:val="20"/>
                <w:color w:val="auto"/>
              </w:rPr>
            </w:pPr>
            <w:r>
              <w:rPr>
                <w:rFonts w:ascii="Arial" w:cs="Arial" w:eastAsia="Arial" w:hAnsi="Arial"/>
                <w:sz w:val="11"/>
                <w:szCs w:val="11"/>
                <w:b w:val="1"/>
                <w:bCs w:val="1"/>
                <w:color w:val="auto"/>
                <w:w w:val="89"/>
              </w:rPr>
              <w:t>2004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5"/>
              <w:spacing w:after="0"/>
              <w:rPr>
                <w:sz w:val="20"/>
                <w:szCs w:val="20"/>
                <w:color w:val="auto"/>
              </w:rPr>
            </w:pPr>
            <w:r>
              <w:rPr>
                <w:rFonts w:ascii="Arial" w:cs="Arial" w:eastAsia="Arial" w:hAnsi="Arial"/>
                <w:sz w:val="11"/>
                <w:szCs w:val="11"/>
                <w:b w:val="1"/>
                <w:bCs w:val="1"/>
                <w:color w:val="auto"/>
                <w:w w:val="89"/>
              </w:rPr>
              <w:t>2005</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85"/>
              <w:spacing w:after="0"/>
              <w:rPr>
                <w:sz w:val="20"/>
                <w:szCs w:val="20"/>
                <w:color w:val="auto"/>
              </w:rPr>
            </w:pPr>
            <w:r>
              <w:rPr>
                <w:rFonts w:ascii="Arial" w:cs="Arial" w:eastAsia="Arial" w:hAnsi="Arial"/>
                <w:sz w:val="11"/>
                <w:szCs w:val="11"/>
                <w:b w:val="1"/>
                <w:bCs w:val="1"/>
                <w:color w:val="auto"/>
                <w:w w:val="97"/>
              </w:rPr>
              <w:t>2004</w:t>
            </w:r>
          </w:p>
        </w:tc>
        <w:tc>
          <w:tcPr>
            <w:tcW w:w="20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2004</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65"/>
              <w:spacing w:after="0"/>
              <w:rPr>
                <w:sz w:val="20"/>
                <w:szCs w:val="20"/>
                <w:color w:val="auto"/>
              </w:rPr>
            </w:pPr>
            <w:r>
              <w:rPr>
                <w:rFonts w:ascii="Arial" w:cs="Arial" w:eastAsia="Arial" w:hAnsi="Arial"/>
                <w:sz w:val="11"/>
                <w:szCs w:val="11"/>
                <w:b w:val="1"/>
                <w:bCs w:val="1"/>
                <w:color w:val="auto"/>
                <w:w w:val="89"/>
              </w:rPr>
              <w:t>2005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65"/>
              <w:spacing w:after="0"/>
              <w:rPr>
                <w:sz w:val="20"/>
                <w:szCs w:val="20"/>
                <w:color w:val="auto"/>
              </w:rPr>
            </w:pPr>
            <w:r>
              <w:rPr>
                <w:rFonts w:ascii="Arial" w:cs="Arial" w:eastAsia="Arial" w:hAnsi="Arial"/>
                <w:sz w:val="11"/>
                <w:szCs w:val="11"/>
                <w:b w:val="1"/>
                <w:bCs w:val="1"/>
                <w:color w:val="auto"/>
                <w:w w:val="89"/>
              </w:rPr>
              <w:t>2006</w:t>
            </w:r>
          </w:p>
        </w:tc>
        <w:tc>
          <w:tcPr>
            <w:tcW w:w="3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65"/>
              <w:spacing w:after="0"/>
              <w:rPr>
                <w:sz w:val="20"/>
                <w:szCs w:val="20"/>
                <w:color w:val="auto"/>
              </w:rPr>
            </w:pPr>
            <w:r>
              <w:rPr>
                <w:rFonts w:ascii="Arial" w:cs="Arial" w:eastAsia="Arial" w:hAnsi="Arial"/>
                <w:sz w:val="11"/>
                <w:szCs w:val="11"/>
                <w:b w:val="1"/>
                <w:bCs w:val="1"/>
                <w:color w:val="auto"/>
                <w:w w:val="97"/>
              </w:rPr>
              <w:t>2006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900" w:type="dxa"/>
            <w:vAlign w:val="bottom"/>
            <w:vMerge w:val="restart"/>
          </w:tcPr>
          <w:p>
            <w:pPr>
              <w:jc w:val="right"/>
              <w:ind w:right="625"/>
              <w:spacing w:after="0"/>
              <w:rPr>
                <w:sz w:val="20"/>
                <w:szCs w:val="20"/>
                <w:color w:val="auto"/>
              </w:rPr>
            </w:pPr>
            <w:r>
              <w:rPr>
                <w:rFonts w:ascii="Arial" w:cs="Arial" w:eastAsia="Arial" w:hAnsi="Arial"/>
                <w:sz w:val="11"/>
                <w:szCs w:val="11"/>
                <w:color w:val="auto"/>
                <w:w w:val="89"/>
              </w:rPr>
              <w:t>Cash provided by (used in):</w:t>
            </w:r>
          </w:p>
        </w:tc>
        <w:tc>
          <w:tcPr>
            <w:tcW w:w="7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0"/>
              </w:rPr>
              <w:t>($ in 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9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900" w:type="dxa"/>
            <w:vAlign w:val="bottom"/>
          </w:tcPr>
          <w:p>
            <w:pPr>
              <w:jc w:val="right"/>
              <w:ind w:right="625"/>
              <w:spacing w:after="0" w:line="121" w:lineRule="exact"/>
              <w:rPr>
                <w:sz w:val="20"/>
                <w:szCs w:val="20"/>
                <w:color w:val="auto"/>
              </w:rPr>
            </w:pPr>
            <w:r>
              <w:rPr>
                <w:rFonts w:ascii="Arial" w:cs="Arial" w:eastAsia="Arial" w:hAnsi="Arial"/>
                <w:sz w:val="11"/>
                <w:szCs w:val="11"/>
                <w:color w:val="auto"/>
              </w:rPr>
              <w:t>Operating activities</w:t>
            </w:r>
          </w:p>
        </w:tc>
        <w:tc>
          <w:tcPr>
            <w:tcW w:w="110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   1.1</w:t>
            </w:r>
          </w:p>
        </w:tc>
        <w:tc>
          <w:tcPr>
            <w:tcW w:w="36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320"/>
              <w:spacing w:after="0" w:line="121" w:lineRule="exact"/>
              <w:rPr>
                <w:sz w:val="20"/>
                <w:szCs w:val="20"/>
                <w:color w:val="auto"/>
              </w:rPr>
            </w:pPr>
            <w:r>
              <w:rPr>
                <w:rFonts w:ascii="Arial" w:cs="Arial" w:eastAsia="Arial" w:hAnsi="Arial"/>
                <w:sz w:val="11"/>
                <w:szCs w:val="11"/>
                <w:color w:val="auto"/>
              </w:rPr>
              <w:t>(2.1)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2.5</w:t>
            </w:r>
          </w:p>
        </w:tc>
        <w:tc>
          <w:tcPr>
            <w:tcW w:w="700" w:type="dxa"/>
            <w:vAlign w:val="bottom"/>
          </w:tcPr>
          <w:p>
            <w:pPr>
              <w:spacing w:after="0"/>
              <w:rPr>
                <w:sz w:val="10"/>
                <w:szCs w:val="10"/>
                <w:color w:val="auto"/>
              </w:rPr>
            </w:pPr>
          </w:p>
        </w:tc>
        <w:tc>
          <w:tcPr>
            <w:tcW w:w="10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6.4</w:t>
            </w:r>
          </w:p>
        </w:tc>
        <w:tc>
          <w:tcPr>
            <w:tcW w:w="200" w:type="dxa"/>
            <w:vAlign w:val="bottom"/>
          </w:tcPr>
          <w:p>
            <w:pPr>
              <w:spacing w:after="0"/>
              <w:rPr>
                <w:sz w:val="10"/>
                <w:szCs w:val="10"/>
                <w:color w:val="auto"/>
              </w:rPr>
            </w:pPr>
          </w:p>
        </w:tc>
        <w:tc>
          <w:tcPr>
            <w:tcW w:w="600" w:type="dxa"/>
            <w:vAlign w:val="bottom"/>
            <w:gridSpan w:val="2"/>
          </w:tcPr>
          <w:p>
            <w:pPr>
              <w:ind w:left="160"/>
              <w:spacing w:after="0" w:line="121" w:lineRule="exact"/>
              <w:rPr>
                <w:sz w:val="20"/>
                <w:szCs w:val="20"/>
                <w:color w:val="auto"/>
              </w:rPr>
            </w:pPr>
            <w:r>
              <w:rPr>
                <w:rFonts w:ascii="Arial" w:cs="Arial" w:eastAsia="Arial" w:hAnsi="Arial"/>
                <w:sz w:val="11"/>
                <w:szCs w:val="11"/>
                <w:color w:val="auto"/>
              </w:rPr>
              <w:t>$</w:t>
            </w:r>
          </w:p>
        </w:tc>
        <w:tc>
          <w:tcPr>
            <w:tcW w:w="200" w:type="dxa"/>
            <w:vAlign w:val="bottom"/>
          </w:tcPr>
          <w:p>
            <w:pPr>
              <w:jc w:val="right"/>
              <w:spacing w:after="0" w:line="121" w:lineRule="exact"/>
              <w:rPr>
                <w:sz w:val="20"/>
                <w:szCs w:val="20"/>
                <w:color w:val="auto"/>
              </w:rPr>
            </w:pPr>
            <w:r>
              <w:rPr>
                <w:rFonts w:ascii="Arial" w:cs="Arial" w:eastAsia="Arial" w:hAnsi="Arial"/>
                <w:sz w:val="11"/>
                <w:szCs w:val="11"/>
                <w:color w:val="auto"/>
                <w:w w:val="83"/>
              </w:rPr>
              <w:t>15.9</w:t>
            </w:r>
          </w:p>
        </w:tc>
        <w:tc>
          <w:tcPr>
            <w:tcW w:w="380" w:type="dxa"/>
            <w:vAlign w:val="bottom"/>
          </w:tcPr>
          <w:p>
            <w:pPr>
              <w:spacing w:after="0"/>
              <w:rPr>
                <w:sz w:val="10"/>
                <w:szCs w:val="10"/>
                <w:color w:val="auto"/>
              </w:rPr>
            </w:pPr>
          </w:p>
        </w:tc>
        <w:tc>
          <w:tcPr>
            <w:tcW w:w="440" w:type="dxa"/>
            <w:vAlign w:val="bottom"/>
            <w:gridSpan w:val="2"/>
          </w:tcPr>
          <w:p>
            <w:pPr>
              <w:jc w:val="right"/>
              <w:ind w:right="7"/>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(2.9)</w:t>
            </w:r>
          </w:p>
        </w:tc>
        <w:tc>
          <w:tcPr>
            <w:tcW w:w="280" w:type="dxa"/>
            <w:vAlign w:val="bottom"/>
            <w:gridSpan w:val="2"/>
          </w:tcPr>
          <w:p>
            <w:pPr>
              <w:jc w:val="right"/>
              <w:ind w:right="8"/>
              <w:spacing w:after="0" w:line="121"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1.1</w:t>
            </w:r>
          </w:p>
        </w:tc>
        <w:tc>
          <w:tcPr>
            <w:tcW w:w="360" w:type="dxa"/>
            <w:vAlign w:val="bottom"/>
          </w:tcPr>
          <w:p>
            <w:pPr>
              <w:spacing w:after="0"/>
              <w:rPr>
                <w:sz w:val="10"/>
                <w:szCs w:val="10"/>
                <w:color w:val="auto"/>
              </w:rPr>
            </w:pPr>
          </w:p>
        </w:tc>
        <w:tc>
          <w:tcPr>
            <w:tcW w:w="48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305"/>
              <w:spacing w:after="0" w:line="121" w:lineRule="exact"/>
              <w:rPr>
                <w:sz w:val="20"/>
                <w:szCs w:val="20"/>
                <w:color w:val="auto"/>
              </w:rPr>
            </w:pPr>
            <w:r>
              <w:rPr>
                <w:rFonts w:ascii="Arial" w:cs="Arial" w:eastAsia="Arial" w:hAnsi="Arial"/>
                <w:sz w:val="11"/>
                <w:szCs w:val="11"/>
                <w:color w:val="auto"/>
              </w:rPr>
              <w:t>2.9</w:t>
            </w:r>
          </w:p>
        </w:tc>
        <w:tc>
          <w:tcPr>
            <w:tcW w:w="20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900" w:type="dxa"/>
            <w:vAlign w:val="bottom"/>
          </w:tcPr>
          <w:p>
            <w:pPr>
              <w:jc w:val="right"/>
              <w:ind w:right="665"/>
              <w:spacing w:after="0" w:line="121" w:lineRule="exact"/>
              <w:rPr>
                <w:sz w:val="20"/>
                <w:szCs w:val="20"/>
                <w:color w:val="auto"/>
              </w:rPr>
            </w:pPr>
            <w:r>
              <w:rPr>
                <w:rFonts w:ascii="Arial" w:cs="Arial" w:eastAsia="Arial" w:hAnsi="Arial"/>
                <w:sz w:val="11"/>
                <w:szCs w:val="11"/>
                <w:color w:val="auto"/>
              </w:rPr>
              <w:t>Investing activities</w:t>
            </w:r>
          </w:p>
        </w:tc>
        <w:tc>
          <w:tcPr>
            <w:tcW w:w="110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0.3</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0.4</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0.1</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w w:val="97"/>
              </w:rPr>
              <w:t>(2.7)</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(5.9)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20"/>
              <w:spacing w:after="0" w:line="121" w:lineRule="exact"/>
              <w:rPr>
                <w:sz w:val="20"/>
                <w:szCs w:val="20"/>
                <w:color w:val="auto"/>
              </w:rPr>
            </w:pPr>
            <w:r>
              <w:rPr>
                <w:rFonts w:ascii="Arial" w:cs="Arial" w:eastAsia="Arial" w:hAnsi="Arial"/>
                <w:sz w:val="11"/>
                <w:szCs w:val="11"/>
                <w:color w:val="auto"/>
              </w:rPr>
              <w:t>(4.0)</w:t>
            </w:r>
          </w:p>
        </w:tc>
        <w:tc>
          <w:tcPr>
            <w:tcW w:w="480" w:type="dxa"/>
            <w:vAlign w:val="bottom"/>
          </w:tcPr>
          <w:p>
            <w:pPr>
              <w:spacing w:after="0"/>
              <w:rPr>
                <w:sz w:val="10"/>
                <w:szCs w:val="10"/>
                <w:color w:val="auto"/>
              </w:rPr>
            </w:pPr>
          </w:p>
        </w:tc>
        <w:tc>
          <w:tcPr>
            <w:tcW w:w="540" w:type="dxa"/>
            <w:vAlign w:val="bottom"/>
            <w:gridSpan w:val="2"/>
          </w:tcPr>
          <w:p>
            <w:pPr>
              <w:jc w:val="right"/>
              <w:ind w:right="265"/>
              <w:spacing w:after="0" w:line="121" w:lineRule="exact"/>
              <w:rPr>
                <w:sz w:val="20"/>
                <w:szCs w:val="20"/>
                <w:color w:val="auto"/>
              </w:rPr>
            </w:pPr>
            <w:r>
              <w:rPr>
                <w:rFonts w:ascii="Arial" w:cs="Arial" w:eastAsia="Arial" w:hAnsi="Arial"/>
                <w:sz w:val="11"/>
                <w:szCs w:val="11"/>
                <w:color w:val="auto"/>
                <w:w w:val="88"/>
              </w:rPr>
              <w:t>(1.8)</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7"/>
        </w:trPr>
        <w:tc>
          <w:tcPr>
            <w:tcW w:w="1900" w:type="dxa"/>
            <w:vAlign w:val="bottom"/>
          </w:tcPr>
          <w:p>
            <w:pPr>
              <w:jc w:val="right"/>
              <w:ind w:right="625"/>
              <w:spacing w:after="0"/>
              <w:rPr>
                <w:sz w:val="20"/>
                <w:szCs w:val="20"/>
                <w:color w:val="auto"/>
              </w:rPr>
            </w:pPr>
            <w:r>
              <w:rPr>
                <w:rFonts w:ascii="Arial" w:cs="Arial" w:eastAsia="Arial" w:hAnsi="Arial"/>
                <w:sz w:val="11"/>
                <w:szCs w:val="11"/>
                <w:color w:val="auto"/>
              </w:rPr>
              <w:t>Financing activities</w:t>
            </w:r>
          </w:p>
        </w:tc>
        <w:tc>
          <w:tcPr>
            <w:tcW w:w="1100" w:type="dxa"/>
            <w:vAlign w:val="bottom"/>
            <w:gridSpan w:val="3"/>
          </w:tcPr>
          <w:p>
            <w:pPr>
              <w:jc w:val="right"/>
              <w:spacing w:after="0"/>
              <w:rPr>
                <w:sz w:val="20"/>
                <w:szCs w:val="20"/>
                <w:color w:val="auto"/>
              </w:rPr>
            </w:pPr>
            <w:r>
              <w:rPr>
                <w:rFonts w:ascii="Arial" w:cs="Arial" w:eastAsia="Arial" w:hAnsi="Arial"/>
                <w:sz w:val="11"/>
                <w:szCs w:val="11"/>
                <w:color w:val="auto"/>
              </w:rPr>
              <w:t>(1.4)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(4.7)</w:t>
            </w:r>
          </w:p>
        </w:tc>
        <w:tc>
          <w:tcPr>
            <w:tcW w:w="1180" w:type="dxa"/>
            <w:vAlign w:val="bottom"/>
            <w:gridSpan w:val="4"/>
          </w:tcPr>
          <w:p>
            <w:pPr>
              <w:jc w:val="right"/>
              <w:ind w:right="340"/>
              <w:spacing w:after="0"/>
              <w:rPr>
                <w:sz w:val="20"/>
                <w:szCs w:val="20"/>
                <w:color w:val="auto"/>
              </w:rPr>
            </w:pPr>
            <w:r>
              <w:rPr>
                <w:rFonts w:ascii="Arial" w:cs="Arial" w:eastAsia="Arial" w:hAnsi="Arial"/>
                <w:sz w:val="11"/>
                <w:szCs w:val="11"/>
                <w:color w:val="auto"/>
              </w:rPr>
              <w:t>(11.2)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8.8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7.5</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jc w:val="right"/>
              <w:ind w:right="305"/>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79"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The significant growth in the number of theatres for which advertising services were provided limits the comparability of operating results from period to period. However, since the formation of NCM LLC, there has been negative cash flow from operations, as compared to positive cash flow from operations for RCM and marginal cash flows and uses from NCN. This results from the higher level of circuit share payments upon the formation of NCM LLC compared to the amount and timing of inter-company transfers made by RCM to its parent, Regal, when RCM operated as a wholly-owned subsidiary of Regal and affiliate payments made by NCN, when operated prior to the formation of NCM. Also, as screens have been added, as inventory utilization has increased and as legacy contracts have been replaced with our own advertising contracts, the amount of accounts receivable has grown, which has required the use of operating cash.</w:t>
      </w:r>
    </w:p>
    <w:p>
      <w:pPr>
        <w:spacing w:after="0" w:line="93" w:lineRule="exact"/>
        <w:rPr>
          <w:sz w:val="20"/>
          <w:szCs w:val="20"/>
          <w:color w:val="auto"/>
        </w:rPr>
      </w:pPr>
    </w:p>
    <w:p>
      <w:pPr>
        <w:ind w:right="240" w:firstLine="458"/>
        <w:spacing w:after="0" w:line="275" w:lineRule="auto"/>
        <w:rPr>
          <w:sz w:val="20"/>
          <w:szCs w:val="20"/>
          <w:color w:val="auto"/>
        </w:rPr>
      </w:pPr>
      <w:r>
        <w:rPr>
          <w:rFonts w:ascii="Arial" w:cs="Arial" w:eastAsia="Arial" w:hAnsi="Arial"/>
          <w:sz w:val="14"/>
          <w:szCs w:val="14"/>
          <w:color w:val="auto"/>
        </w:rPr>
        <w:t>We believe that the cash flow related to operating activities in recent historic periods are not representative of the cash flow we expect following the completion of this offering and the entry into the new senior secured credit facility. We expect our circuit share expense to be reduced as a percentage of revenue and our interest costs to increase. See “—Liquidity and Capital Resources” above.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60"/>
          </w:cols>
          <w:pgMar w:left="220" w:top="399" w:right="21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79"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Cash used in investing activities during all periods relates to investments in our network software and in corporate management systems and purchases of equipment necessary to service the expansion of network affiliate theatre screens and, to a lesser extent, for leasehold improvements and office equipment associated with an expansion of employee headcount. The cash provided in prior periods at NCN was due to the sale of previously held long-term assets and lack of significant capital expenditures.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79" w:lineRule="exact"/>
        <w:rPr>
          <w:sz w:val="20"/>
          <w:szCs w:val="20"/>
          <w:color w:val="auto"/>
        </w:rPr>
      </w:pPr>
    </w:p>
    <w:p>
      <w:pPr>
        <w:ind w:right="160" w:firstLine="458"/>
        <w:spacing w:after="0" w:line="267" w:lineRule="auto"/>
        <w:rPr>
          <w:sz w:val="20"/>
          <w:szCs w:val="20"/>
          <w:color w:val="auto"/>
        </w:rPr>
      </w:pPr>
      <w:r>
        <w:rPr>
          <w:rFonts w:ascii="Arial" w:cs="Arial" w:eastAsia="Arial" w:hAnsi="Arial"/>
          <w:sz w:val="14"/>
          <w:szCs w:val="14"/>
          <w:color w:val="auto"/>
        </w:rPr>
        <w:t>Cash provided by financing activities for NCM LLC during the nine months ended December 29, 2005 was primarily related to the sale of membership units to Cinemark. Cash provided by financing activities in the other periods resulted from short-term borrowings. Cash used in financing activities by RCM resulted from remittances of excess cash to RCM’s parent company. Financing sources and uses at NCN related to repayments and advances on intercompany receivables. We believe that cash flow related to financing activities of the historic periods will not be representative of our cash flow expected after the completion of this offering, due to our entry into the new senior secured credit facility and other changes in financial structure that will occur in conjunction with the offering of our common stock.</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September 28, 2006 and December 29, 2005, we had the following debt outstanding and cash and equivalents (in millions of dollars):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0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7"/>
              </w:rPr>
              <w:t>September 28, 2006</w:t>
            </w:r>
          </w:p>
        </w:tc>
        <w:tc>
          <w:tcPr>
            <w:tcW w:w="1300" w:type="dxa"/>
            <w:vAlign w:val="bottom"/>
          </w:tcPr>
          <w:p>
            <w:pPr>
              <w:spacing w:after="0"/>
              <w:rPr>
                <w:sz w:val="11"/>
                <w:szCs w:val="11"/>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December 29, 2005</w:t>
            </w:r>
          </w:p>
        </w:tc>
        <w:tc>
          <w:tcPr>
            <w:tcW w:w="20" w:type="dxa"/>
            <w:vAlign w:val="bottom"/>
          </w:tcPr>
          <w:p>
            <w:pPr>
              <w:spacing w:after="0"/>
              <w:rPr>
                <w:sz w:val="11"/>
                <w:szCs w:val="11"/>
                <w:color w:val="auto"/>
              </w:rPr>
            </w:pPr>
          </w:p>
        </w:tc>
      </w:tr>
      <w:tr>
        <w:trPr>
          <w:trHeight w:val="166"/>
        </w:trPr>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Borrowings</w:t>
            </w:r>
          </w:p>
        </w:tc>
        <w:tc>
          <w:tcPr>
            <w:tcW w:w="2880" w:type="dxa"/>
            <w:vAlign w:val="bottom"/>
            <w:gridSpan w:val="2"/>
            <w:shd w:val="clear" w:color="auto" w:fill="CCEEFF"/>
          </w:tcPr>
          <w:p>
            <w:pPr>
              <w:ind w:left="25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r>
      <w:tr>
        <w:trPr>
          <w:trHeight w:val="181"/>
        </w:trPr>
        <w:tc>
          <w:tcPr>
            <w:tcW w:w="40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880" w:type="dxa"/>
            <w:vAlign w:val="bottom"/>
            <w:gridSpan w:val="2"/>
          </w:tcPr>
          <w:p>
            <w:pPr>
              <w:ind w:left="25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166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bl>
    <w:p>
      <w:pPr>
        <w:spacing w:after="0" w:line="118"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auto"/>
        </w:rPr>
        <w:t>The cash balance at the end of the historical periods has been typically low, as circuit share payments are made to the founding members out of excess cash. After this offering we also expect to have low cash balances due to quarterly dividends we expect to pay pursuant to our dividend policy.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Financings</w:t>
      </w:r>
    </w:p>
    <w:p>
      <w:pPr>
        <w:spacing w:after="0" w:line="79"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i w:val="1"/>
          <w:iCs w:val="1"/>
          <w:color w:val="auto"/>
        </w:rPr>
        <w:t xml:space="preserve">Demand note. </w:t>
      </w:r>
      <w:r>
        <w:rPr>
          <w:rFonts w:ascii="Arial" w:cs="Arial" w:eastAsia="Arial" w:hAnsi="Arial"/>
          <w:sz w:val="14"/>
          <w:szCs w:val="14"/>
          <w:color w:val="auto"/>
        </w:rPr>
        <w:t>On March 29, 2005, NCM LLC signed an amended and restated demand promissory note, or the demand note, with the founding members, under which NCM LLC could borrow</w:t>
      </w:r>
      <w:r>
        <w:rPr>
          <w:rFonts w:ascii="Arial" w:cs="Arial" w:eastAsia="Arial" w:hAnsi="Arial"/>
          <w:sz w:val="14"/>
          <w:szCs w:val="14"/>
          <w:i w:val="1"/>
          <w:iCs w:val="1"/>
          <w:color w:val="auto"/>
        </w:rPr>
        <w:t xml:space="preserve"> </w:t>
      </w:r>
      <w:r>
        <w:rPr>
          <w:rFonts w:ascii="Arial" w:cs="Arial" w:eastAsia="Arial" w:hAnsi="Arial"/>
          <w:sz w:val="14"/>
          <w:szCs w:val="14"/>
          <w:color w:val="auto"/>
        </w:rPr>
        <w:t>up to $11.0 million on a revolving basis. Borrowings under the demand note were funded by the founding members pro rata to their ownership of units. Interest was payable monthly, at 200 basis points over LIBOR. Interest paid to the founding members during the three months ended June 30, 2005 was less than $0.1 million. On March 22, 2006, the demand note was cancelled and replaced by the credit facility discussed below.</w:t>
      </w:r>
    </w:p>
    <w:p>
      <w:pPr>
        <w:spacing w:after="0" w:line="106" w:lineRule="exact"/>
        <w:rPr>
          <w:sz w:val="20"/>
          <w:szCs w:val="20"/>
          <w:color w:val="auto"/>
        </w:rPr>
      </w:pPr>
    </w:p>
    <w:p>
      <w:pPr>
        <w:jc w:val="both"/>
        <w:ind w:right="60" w:firstLine="458"/>
        <w:spacing w:after="0" w:line="283" w:lineRule="auto"/>
        <w:rPr>
          <w:sz w:val="20"/>
          <w:szCs w:val="20"/>
          <w:color w:val="auto"/>
        </w:rPr>
      </w:pPr>
      <w:r>
        <w:rPr>
          <w:rFonts w:ascii="Arial" w:cs="Arial" w:eastAsia="Arial" w:hAnsi="Arial"/>
          <w:sz w:val="13"/>
          <w:szCs w:val="13"/>
          <w:i w:val="1"/>
          <w:iCs w:val="1"/>
          <w:color w:val="auto"/>
        </w:rPr>
        <w:t xml:space="preserve">Existing NCM LLC credit facility. </w:t>
      </w:r>
      <w:r>
        <w:rPr>
          <w:rFonts w:ascii="Arial" w:cs="Arial" w:eastAsia="Arial" w:hAnsi="Arial"/>
          <w:sz w:val="13"/>
          <w:szCs w:val="13"/>
          <w:color w:val="auto"/>
        </w:rPr>
        <w:t>On March 22, 2006, NCM LLC entered into a $20.0 million secured revolving credit facility, with a $2.0 million letter of credit facility, with Citicorp North</w:t>
      </w:r>
      <w:r>
        <w:rPr>
          <w:rFonts w:ascii="Arial" w:cs="Arial" w:eastAsia="Arial" w:hAnsi="Arial"/>
          <w:sz w:val="13"/>
          <w:szCs w:val="13"/>
          <w:i w:val="1"/>
          <w:iCs w:val="1"/>
          <w:color w:val="auto"/>
        </w:rPr>
        <w:t xml:space="preserve"> </w:t>
      </w:r>
      <w:r>
        <w:rPr>
          <w:rFonts w:ascii="Arial" w:cs="Arial" w:eastAsia="Arial" w:hAnsi="Arial"/>
          <w:sz w:val="13"/>
          <w:szCs w:val="13"/>
          <w:color w:val="auto"/>
        </w:rPr>
        <w:t>America, Inc., Citigroup Global Markets, Inc., Bank of America, N.A., Credit Suisse, Cayman Islands Branch and Lehman Commercial Paper Inc. Borrowings under the facility bear interest, at NCM LLC’s option, at either Adjusted LIBOR plus 1.375% or ABR plus 0.375%. “Adjusted LIBOR” means the rate at approximately 11:00 a.m., London time, two business days before the commencement of the relevant interest period, for dollar deposits with a maturity comparable to such interest period, as adjusted for reserve requirements and rounded upwards if necessary to the next 1/100 of 1%.</w:t>
      </w:r>
    </w:p>
    <w:p>
      <w:pPr>
        <w:ind w:right="280"/>
        <w:spacing w:after="0" w:line="228" w:lineRule="auto"/>
        <w:rPr>
          <w:sz w:val="20"/>
          <w:szCs w:val="20"/>
          <w:color w:val="auto"/>
        </w:rPr>
      </w:pPr>
      <w:r>
        <w:rPr>
          <w:rFonts w:ascii="Arial" w:cs="Arial" w:eastAsia="Arial" w:hAnsi="Arial"/>
          <w:sz w:val="14"/>
          <w:szCs w:val="14"/>
          <w:color w:val="auto"/>
        </w:rPr>
        <w:t xml:space="preserve">“ABR” means the greater of the base or prime rate of Citicorp North America, Inc. and the federal funds rate, plus </w:t>
      </w:r>
      <w:r>
        <w:rPr>
          <w:rFonts w:ascii="Arial" w:cs="Arial" w:eastAsia="Arial" w:hAnsi="Arial"/>
          <w:sz w:val="18"/>
          <w:szCs w:val="18"/>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2</w:t>
      </w:r>
      <w:r>
        <w:rPr>
          <w:rFonts w:ascii="Arial" w:cs="Arial" w:eastAsia="Arial" w:hAnsi="Arial"/>
          <w:sz w:val="14"/>
          <w:szCs w:val="14"/>
          <w:color w:val="auto"/>
        </w:rPr>
        <w:t xml:space="preserve"> of 1%. The facility is secured by a first-priority lien on certain assets of NCM LLC. The facility matures on March 22, 2008.</w:t>
      </w:r>
    </w:p>
    <w:p>
      <w:pPr>
        <w:spacing w:after="0" w:line="126" w:lineRule="exact"/>
        <w:rPr>
          <w:sz w:val="20"/>
          <w:szCs w:val="20"/>
          <w:color w:val="auto"/>
        </w:rPr>
      </w:pPr>
    </w:p>
    <w:p>
      <w:pPr>
        <w:ind w:right="100" w:firstLine="458"/>
        <w:spacing w:after="0" w:line="330" w:lineRule="auto"/>
        <w:rPr>
          <w:sz w:val="20"/>
          <w:szCs w:val="20"/>
          <w:color w:val="auto"/>
        </w:rPr>
      </w:pPr>
      <w:r>
        <w:rPr>
          <w:rFonts w:ascii="Arial" w:cs="Arial" w:eastAsia="Arial" w:hAnsi="Arial"/>
          <w:sz w:val="13"/>
          <w:szCs w:val="13"/>
          <w:color w:val="auto"/>
        </w:rPr>
        <w:t>Covenants in the revolving portion of our credit facility include typical affirmative and negative covenants, including prompt payment of amounts owed, certain monthly, quarterly, and annual financial reporting requirements, maintenance of property and insurance and limitations on additional indebtedness. There are no financial covenants in our credit facility.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40"/>
          </w:cols>
          <w:pgMar w:left="220" w:top="399" w:right="23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As of September 28, 2006, $10.0 million was outstanding under this facility, including none subject to outstanding letters of credit. This facility will be repaid in full with the proceeds of the new senior secured credit facility as described below.</w:t>
      </w:r>
    </w:p>
    <w:p>
      <w:pPr>
        <w:spacing w:after="0" w:line="93" w:lineRule="exact"/>
        <w:rPr>
          <w:sz w:val="20"/>
          <w:szCs w:val="20"/>
          <w:color w:val="auto"/>
        </w:rPr>
      </w:pPr>
    </w:p>
    <w:p>
      <w:pPr>
        <w:ind w:right="60" w:firstLine="458"/>
        <w:spacing w:after="0" w:line="264" w:lineRule="auto"/>
        <w:rPr>
          <w:sz w:val="20"/>
          <w:szCs w:val="20"/>
          <w:color w:val="auto"/>
        </w:rPr>
      </w:pPr>
      <w:r>
        <w:rPr>
          <w:rFonts w:ascii="Arial" w:cs="Arial" w:eastAsia="Arial" w:hAnsi="Arial"/>
          <w:sz w:val="14"/>
          <w:szCs w:val="14"/>
          <w:i w:val="1"/>
          <w:iCs w:val="1"/>
          <w:color w:val="auto"/>
        </w:rPr>
        <w:t xml:space="preserve">New senior secured credit facility. </w:t>
      </w:r>
      <w:r>
        <w:rPr>
          <w:rFonts w:ascii="Arial" w:cs="Arial" w:eastAsia="Arial" w:hAnsi="Arial"/>
          <w:sz w:val="14"/>
          <w:szCs w:val="14"/>
          <w:color w:val="auto"/>
        </w:rPr>
        <w:t>In connection with the completion of this offering, NCM LLC will enter into a new $805.0 million senior secured credit facility with a group of lenders that</w:t>
      </w:r>
      <w:r>
        <w:rPr>
          <w:rFonts w:ascii="Arial" w:cs="Arial" w:eastAsia="Arial" w:hAnsi="Arial"/>
          <w:sz w:val="14"/>
          <w:szCs w:val="14"/>
          <w:i w:val="1"/>
          <w:iCs w:val="1"/>
          <w:color w:val="auto"/>
        </w:rPr>
        <w:t xml:space="preserve"> </w:t>
      </w:r>
      <w:r>
        <w:rPr>
          <w:rFonts w:ascii="Arial" w:cs="Arial" w:eastAsia="Arial" w:hAnsi="Arial"/>
          <w:sz w:val="14"/>
          <w:szCs w:val="14"/>
          <w:color w:val="auto"/>
        </w:rPr>
        <w:t>will include affiliates of several of the underwriters. This facility will consist of a six-year, $80.0 million revolving credit facility and an eight-year, $725.0 million term loan facility. The term loan will be due on the eighth anniversary of funding, and will be used to redeem all the preferred membership units of NCM LLC for an aggregate price of $698.5 million, to pay any shortfall in the amounts owed to our founding members for their agreeing to modify our payment obligations under our exhibitor services agreements and to pay transaction expenses. The revolving credit facility will be available, subject to certain conditions, for general corporate purposes of NCM LLC in the ordinary course of business and for other transactions permitted under the credit agreement. The revolving credit facility will be drawn upon to repay amounts outstanding under NCM LLC’s existing revolving credit facility (which were $10.0 million as of September 28, 2006). A portion of the revolving credit facility will be available for letters of credit. The obligations under the credit facility will be secured by a lien on substantially all the assets of NCM LLC and its material wholly owned subsidiaries.</w:t>
      </w:r>
    </w:p>
    <w:p>
      <w:pPr>
        <w:spacing w:after="0" w:line="113"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Amounts payable to our founding members have historically been paid as NCM LLC collected the related accounts receivable from its customers. Approximately 30 days following the closing of this offering, NCM LLC will repay the remaining amounts owed to our founding members under the existing exhibitor services agreements (which were $43.8 million as of September 28, 2006) and any remaining amounts owed to the founding members under the existing exhibitor services agreement that, due to timing differences, may not be funded by receivables. To the extent that such amounts have not been funded by receivables (which were $51.9 million as of September 28, 2006), we will draw upon the revolving credit facility to satisfy the amounts owed to the founding members. NCM LLC will repay the amount drawn under the credit facility for this purpose as additional receivables are collected. The amount outstanding under the new revolving credit facility will continue to fluctuate based on working capital needs.</w:t>
      </w:r>
    </w:p>
    <w:p>
      <w:pPr>
        <w:spacing w:after="0" w:line="110"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Borrowings under the senior secured credit facility will bear interest, at the option of the borrower, at a rate equal to an applicable margin plus either a variable base rate or a eurodollar rate. The applicable margin for the facilities is expected to be 0.75% with respect to base rate loans and 1.75% with respect to eurodollar loans. Upon the occurrence of any payment default, certain amounts under the senior secured credit facility will bear interest at a rate equal to the rate then in effect with respect to such borrowings, plus 2.0% per annum.</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senior secured credit facility will contain a number of negative covenants that limit NCM LLC and its subsidiaries from, among other things, and with certain thresholds and exceptions:</w:t>
      </w:r>
    </w:p>
    <w:p>
      <w:pPr>
        <w:spacing w:after="0" w:line="91" w:lineRule="exact"/>
        <w:rPr>
          <w:sz w:val="20"/>
          <w:szCs w:val="20"/>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incurring indebtedness (including guarantee obligations) or liens;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entering into mergers, consolidations, liquidations or dissolutions;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selling assets;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paying dividends, redeeming or repurchasing units or making other payments in respect of capital stock;</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making investments, loans or advances;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making capital expenditures;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modifying the exhibitor services agreements, management services agreement or tax receivable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entering into transactions with affiliates;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entering into sale and leaseback transactions;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40"/>
          </w:cols>
          <w:pgMar w:left="220" w:top="399" w:right="23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changing its fiscal year;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entering into negative pledge agreements;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entering into agreements restricting loans or distributions made by NCM LLC’s subsidiaries to NCM LLC;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changing its line of business.</w:t>
      </w:r>
    </w:p>
    <w:p>
      <w:pPr>
        <w:spacing w:after="0" w:line="145" w:lineRule="exact"/>
        <w:rPr>
          <w:sz w:val="20"/>
          <w:szCs w:val="20"/>
          <w:color w:val="auto"/>
        </w:rPr>
      </w:pPr>
    </w:p>
    <w:p>
      <w:pPr>
        <w:jc w:val="both"/>
        <w:ind w:firstLine="458"/>
        <w:spacing w:after="0" w:line="270" w:lineRule="auto"/>
        <w:rPr>
          <w:sz w:val="20"/>
          <w:szCs w:val="20"/>
          <w:color w:val="auto"/>
        </w:rPr>
      </w:pPr>
      <w:r>
        <w:rPr>
          <w:rFonts w:ascii="Arial" w:cs="Arial" w:eastAsia="Arial" w:hAnsi="Arial"/>
          <w:sz w:val="14"/>
          <w:szCs w:val="14"/>
          <w:color w:val="auto"/>
        </w:rPr>
        <w:t>The senior secured credit facility will also require the maintenance of a quarterly financial ratio with respect to maximum senior secured leverage. Notwithstanding the foregoing, NCM LLC shall be permitted to make dividends and other distributions in the following percentages based on the following senior secured leverage ratios (to be defined in the NCM LLC credit agreement as the ratio of secured funded debt less unrestricted cash and cash equivalents, over adjusted EBITDA) after giving effect to any such distribution and incurrence of indebtedness (if any) relating thereto and so long as no default or event of default shall have occurred and be continuing:</w:t>
      </w:r>
    </w:p>
    <w:p>
      <w:pPr>
        <w:spacing w:after="0" w:line="41" w:lineRule="exact"/>
        <w:rPr>
          <w:sz w:val="20"/>
          <w:szCs w:val="20"/>
          <w:color w:val="auto"/>
        </w:rPr>
      </w:pPr>
    </w:p>
    <w:p>
      <w:pPr>
        <w:ind w:left="780" w:right="140" w:hanging="240"/>
        <w:spacing w:after="0" w:line="289" w:lineRule="auto"/>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100% of “Available Cash” (to be defined in the NCM LLC credit agreement in a manner that is consistent with the comparable definition in the NCM LLC operating agreement) if the senior secured leverage ratio is less than or equal to 6.5x.</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75% of Available Cash if the senior secured leverage ratio is less than or equal to 7.0x.</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50% of Available Cash if the senior secured leverage ratio is less than or equal to 7.5x.</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senior secured credit facility will contain customary events of default, including:</w:t>
      </w:r>
    </w:p>
    <w:p>
      <w:pPr>
        <w:spacing w:after="0" w:line="79" w:lineRule="exact"/>
        <w:rPr>
          <w:sz w:val="20"/>
          <w:szCs w:val="20"/>
          <w:color w:val="auto"/>
        </w:rPr>
      </w:pPr>
    </w:p>
    <w:p>
      <w:pPr>
        <w:ind w:left="780" w:hanging="24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failure to pay any principal, interest, fees, expenses or other amounts;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failure of any representation or warranty to be accurate in all material respects as of the date made or deemed made;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failure to observe any agreement, obligation or covenant included in the credit agreement or in any guaranty, pledge or security instrument;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judgments against NCM LLC or any of its subsidiaries in excess of certain allowances;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default under other indebtedness of NCM LLC or its subsidiaries in excess of a threshold amount;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certain ERISA events involving us or our subsidiaries;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bankruptcy or insolvency events involving NCM LLC or its subsidiaries;</w:t>
      </w:r>
    </w:p>
    <w:p>
      <w:pPr>
        <w:spacing w:after="0" w:line="79" w:lineRule="exact"/>
        <w:rPr>
          <w:rFonts w:ascii="Arial" w:cs="Arial" w:eastAsia="Arial" w:hAnsi="Arial"/>
          <w:sz w:val="14"/>
          <w:szCs w:val="14"/>
          <w:color w:val="auto"/>
        </w:rPr>
      </w:pPr>
    </w:p>
    <w:p>
      <w:pPr>
        <w:ind w:left="780" w:right="40" w:hanging="240"/>
        <w:spacing w:after="0" w:line="289" w:lineRule="auto"/>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guaranty, pledge or security instrument shall cease to be in full and effect or any lien created thereby shall cease to be enforceable and of the same effect and priority purported to be created thereby;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change of control (as defined in the credit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Upon the occurrence of an event of default, among other remedies available to the lenders, all outstanding loans may be accelerated and/or the lenders’ commitments may be terminated.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8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We have established various accounting policies that govern the application of accounting principles generally accepted in the United States of America in the preparation and presentation of NCM LLC’s financial statements. The significant accounting policies of NCM LLC are described in Note 2 of the financial statements for the nine months ended December 29, 2005, and the nine months ended September 28, 2006, and along with the disclosures presented in the other financial statement notes, provide information on how significant assets and liabilities are valued in the financial statements and how those values are determined. Certain accounting policies</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320"/>
          </w:cols>
          <w:pgMar w:left="220" w:top="399" w:right="35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60"/>
        <w:spacing w:after="0" w:line="297" w:lineRule="auto"/>
        <w:rPr>
          <w:sz w:val="20"/>
          <w:szCs w:val="20"/>
          <w:color w:val="auto"/>
        </w:rPr>
      </w:pPr>
      <w:r>
        <w:rPr>
          <w:rFonts w:ascii="Arial" w:cs="Arial" w:eastAsia="Arial" w:hAnsi="Arial"/>
          <w:sz w:val="13"/>
          <w:szCs w:val="13"/>
          <w:color w:val="auto"/>
        </w:rPr>
        <w:t>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NCM LLC.</w:t>
      </w:r>
    </w:p>
    <w:p>
      <w:pPr>
        <w:spacing w:after="0" w:line="91" w:lineRule="exact"/>
        <w:rPr>
          <w:sz w:val="20"/>
          <w:szCs w:val="20"/>
          <w:color w:val="auto"/>
        </w:rPr>
      </w:pPr>
    </w:p>
    <w:p>
      <w:pPr>
        <w:ind w:right="140" w:firstLine="458"/>
        <w:spacing w:after="0" w:line="266" w:lineRule="auto"/>
        <w:rPr>
          <w:sz w:val="20"/>
          <w:szCs w:val="20"/>
          <w:color w:val="auto"/>
        </w:rPr>
      </w:pPr>
      <w:r>
        <w:rPr>
          <w:rFonts w:ascii="Arial" w:cs="Arial" w:eastAsia="Arial" w:hAnsi="Arial"/>
          <w:sz w:val="14"/>
          <w:szCs w:val="14"/>
          <w:i w:val="1"/>
          <w:iCs w:val="1"/>
          <w:color w:val="auto"/>
        </w:rPr>
        <w:t>Allowance for doubtful accounts</w:t>
      </w:r>
      <w:r>
        <w:rPr>
          <w:rFonts w:ascii="Arial" w:cs="Arial" w:eastAsia="Arial" w:hAnsi="Arial"/>
          <w:sz w:val="14"/>
          <w:szCs w:val="14"/>
          <w:color w:val="auto"/>
        </w:rPr>
        <w:t>. The allowance for doubtful accounts represents management’s estimate of probable credit losses inherent in its trade receivables, which represent the largest</w:t>
      </w:r>
      <w:r>
        <w:rPr>
          <w:rFonts w:ascii="Arial" w:cs="Arial" w:eastAsia="Arial" w:hAnsi="Arial"/>
          <w:sz w:val="14"/>
          <w:szCs w:val="14"/>
          <w:i w:val="1"/>
          <w:iCs w:val="1"/>
          <w:color w:val="auto"/>
        </w:rPr>
        <w:t xml:space="preserve"> </w:t>
      </w:r>
      <w:r>
        <w:rPr>
          <w:rFonts w:ascii="Arial" w:cs="Arial" w:eastAsia="Arial" w:hAnsi="Arial"/>
          <w:sz w:val="14"/>
          <w:szCs w:val="14"/>
          <w:color w:val="auto"/>
        </w:rPr>
        <w:t>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0" w:lineRule="exact"/>
        <w:rPr>
          <w:sz w:val="20"/>
          <w:szCs w:val="20"/>
          <w:color w:val="auto"/>
        </w:rPr>
      </w:pPr>
    </w:p>
    <w:p>
      <w:pPr>
        <w:jc w:val="both"/>
        <w:ind w:right="80" w:firstLine="458"/>
        <w:spacing w:after="0" w:line="297" w:lineRule="auto"/>
        <w:rPr>
          <w:sz w:val="20"/>
          <w:szCs w:val="20"/>
          <w:color w:val="auto"/>
        </w:rPr>
      </w:pPr>
      <w:r>
        <w:rPr>
          <w:rFonts w:ascii="Arial" w:cs="Arial" w:eastAsia="Arial" w:hAnsi="Arial"/>
          <w:sz w:val="13"/>
          <w:szCs w:val="13"/>
          <w:i w:val="1"/>
          <w:iCs w:val="1"/>
          <w:color w:val="auto"/>
        </w:rPr>
        <w:t>Revenue recognition</w:t>
      </w:r>
      <w:r>
        <w:rPr>
          <w:rFonts w:ascii="Arial" w:cs="Arial" w:eastAsia="Arial" w:hAnsi="Arial"/>
          <w:sz w:val="13"/>
          <w:szCs w:val="13"/>
          <w:color w:val="auto"/>
        </w:rPr>
        <w:t>. NCM LLC considers estimates regarding make-good provisions in advertising revenue to be a critical accounting policy that requires significant judgments, assumptions</w:t>
      </w:r>
      <w:r>
        <w:rPr>
          <w:rFonts w:ascii="Arial" w:cs="Arial" w:eastAsia="Arial" w:hAnsi="Arial"/>
          <w:sz w:val="13"/>
          <w:szCs w:val="13"/>
          <w:i w:val="1"/>
          <w:iCs w:val="1"/>
          <w:color w:val="auto"/>
        </w:rPr>
        <w:t xml:space="preserve"> </w:t>
      </w:r>
      <w:r>
        <w:rPr>
          <w:rFonts w:ascii="Arial" w:cs="Arial" w:eastAsia="Arial" w:hAnsi="Arial"/>
          <w:sz w:val="13"/>
          <w:szCs w:val="13"/>
          <w:color w:val="auto"/>
        </w:rPr>
        <w:t>and estimates used in the preparation of its financial statements. Advertising revenue is recognized in the period in which theatre attendees (impressions) are provided. Advertising revenue is reduced for make-good provisions when delivered attendance is less than the amount contracted. The amount contracted is based on an estimate of attendees at the date the contract is signed. To the extent that NCM LLC is ultimately unable to fulfill make-good provisions, levels of operating revenue will be reduced which could adversely affect earnings or financial position.</w:t>
      </w:r>
    </w:p>
    <w:p>
      <w:pPr>
        <w:spacing w:after="0" w:line="91"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i w:val="1"/>
          <w:iCs w:val="1"/>
          <w:color w:val="auto"/>
        </w:rPr>
        <w:t>Stock-based compensation</w:t>
      </w:r>
      <w:r>
        <w:rPr>
          <w:rFonts w:ascii="Arial" w:cs="Arial" w:eastAsia="Arial" w:hAnsi="Arial"/>
          <w:sz w:val="13"/>
          <w:szCs w:val="13"/>
          <w:color w:val="auto"/>
        </w:rPr>
        <w:t>. NCM LLC has issued options to employees to acquire membership units which, in certain circumstances, would allow the employees to put the options to NCM</w:t>
      </w:r>
      <w:r>
        <w:rPr>
          <w:rFonts w:ascii="Arial" w:cs="Arial" w:eastAsia="Arial" w:hAnsi="Arial"/>
          <w:sz w:val="13"/>
          <w:szCs w:val="13"/>
          <w:i w:val="1"/>
          <w:iCs w:val="1"/>
          <w:color w:val="auto"/>
        </w:rPr>
        <w:t xml:space="preserve"> </w:t>
      </w:r>
      <w:r>
        <w:rPr>
          <w:rFonts w:ascii="Arial" w:cs="Arial" w:eastAsia="Arial" w:hAnsi="Arial"/>
          <w:sz w:val="13"/>
          <w:szCs w:val="13"/>
          <w:color w:val="auto"/>
        </w:rPr>
        <w:t>LLC for cash. The options are accounted for as a liability plan under SFAS No. 123(R), which requires that the liability be measured at its fair value as of each reporting date. The determination of fair value of options requires that management make complex estimates and judgments. We utilize the Black-Scholes option price model to estimate the fair value of our options. This model requires that we make estimates of various factors, the most critical of which are the fair value of our equity and the expected volatility of our equity value. The determination of these is made more difficult because we are a privately held company without historical market-observable factors upon which to base our estimates. As our options were granted in contemplation of an initial public offering, we have used the expected terms of the initial public offering to estimate our equity value. We have considered volatility factors of companies we believe are comparable to us to estimate our future volatility. Our annual compensation expense charge is approximately $1.2 million per year. The use of an equity value that varied by 10% from what we have estimated or the use of a volatility factor that varied by five percentage points from what we have estimated would each individually have less than a $250,000 impact on our annual compensation expense charge.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 December 29, 2005 and September 28, 2006, we had no off-balance sheet arrangements or obligations, except for operating leases entered into the ordinary course of business.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20" w:top="399" w:right="25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and Other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contractual obligations at December 29, 2005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1"/>
                <w:szCs w:val="11"/>
                <w:b w:val="1"/>
                <w:bCs w:val="1"/>
                <w:color w:val="auto"/>
              </w:rPr>
              <w:t>Payments Due by Period</w:t>
            </w: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3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8"/>
              </w:rPr>
              <w:t>Total</w:t>
            </w:r>
          </w:p>
        </w:tc>
        <w:tc>
          <w:tcPr>
            <w:tcW w:w="5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9"/>
              </w:rPr>
              <w:t>2006</w:t>
            </w:r>
          </w:p>
        </w:tc>
        <w:tc>
          <w:tcPr>
            <w:tcW w:w="100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2007-2008</w:t>
            </w:r>
          </w:p>
        </w:tc>
        <w:tc>
          <w:tcPr>
            <w:tcW w:w="400" w:type="dxa"/>
            <w:vAlign w:val="bottom"/>
          </w:tcPr>
          <w:p>
            <w:pPr>
              <w:spacing w:after="0"/>
              <w:rPr>
                <w:sz w:val="10"/>
                <w:szCs w:val="10"/>
                <w:color w:val="auto"/>
              </w:rPr>
            </w:pPr>
          </w:p>
        </w:tc>
        <w:tc>
          <w:tcPr>
            <w:tcW w:w="60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2009-2010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0"/>
              </w:rPr>
              <w:t>After 2010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jc w:val="right"/>
              <w:spacing w:after="0" w:line="104" w:lineRule="exact"/>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ind w:left="20"/>
              <w:spacing w:after="0" w:line="104" w:lineRule="exact"/>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7300" w:type="dxa"/>
            <w:vAlign w:val="bottom"/>
          </w:tcPr>
          <w:p>
            <w:pPr>
              <w:spacing w:after="0"/>
              <w:rPr>
                <w:sz w:val="20"/>
                <w:szCs w:val="20"/>
                <w:color w:val="auto"/>
              </w:rPr>
            </w:pPr>
            <w:r>
              <w:rPr>
                <w:rFonts w:ascii="Arial" w:cs="Arial" w:eastAsia="Arial" w:hAnsi="Arial"/>
                <w:sz w:val="14"/>
                <w:szCs w:val="14"/>
                <w:color w:val="auto"/>
              </w:rPr>
              <w:t>Office Leases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740" w:type="dxa"/>
            <w:vAlign w:val="bottom"/>
            <w:gridSpan w:val="2"/>
          </w:tcPr>
          <w:p>
            <w:pPr>
              <w:jc w:val="right"/>
              <w:ind w:right="105"/>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2.7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2.3</w:t>
            </w: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20"/>
                <w:szCs w:val="20"/>
                <w:color w:val="auto"/>
              </w:rPr>
            </w:pPr>
            <w:r>
              <w:rPr>
                <w:rFonts w:ascii="Arial" w:cs="Arial" w:eastAsia="Arial" w:hAnsi="Arial"/>
                <w:sz w:val="14"/>
                <w:szCs w:val="14"/>
                <w:color w:val="auto"/>
              </w:rPr>
              <w:t>Network Affiliate Agreements</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520" w:type="dxa"/>
            <w:vAlign w:val="bottom"/>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300" w:type="dxa"/>
            <w:vAlign w:val="bottom"/>
          </w:tcPr>
          <w:p>
            <w:pPr>
              <w:spacing w:after="0"/>
              <w:rPr>
                <w:sz w:val="20"/>
                <w:szCs w:val="20"/>
                <w:color w:val="auto"/>
              </w:rPr>
            </w:pPr>
            <w:r>
              <w:rPr>
                <w:rFonts w:ascii="Arial" w:cs="Arial" w:eastAsia="Arial" w:hAnsi="Arial"/>
                <w:sz w:val="14"/>
                <w:szCs w:val="14"/>
                <w:color w:val="auto"/>
              </w:rPr>
              <w:t>Total Contractual Cash Obligations</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color w:val="auto"/>
                <w:w w:val="80"/>
              </w:rPr>
              <w:t>10.6</w:t>
            </w:r>
          </w:p>
        </w:tc>
        <w:tc>
          <w:tcPr>
            <w:tcW w:w="8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2.6</w:t>
            </w:r>
          </w:p>
        </w:tc>
        <w:tc>
          <w:tcPr>
            <w:tcW w:w="740" w:type="dxa"/>
            <w:vAlign w:val="bottom"/>
            <w:gridSpan w:val="2"/>
          </w:tcPr>
          <w:p>
            <w:pPr>
              <w:jc w:val="right"/>
              <w:ind w:right="105"/>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3</w:t>
            </w: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After completion of the financing transaction, NCM LLC will be obligated to make periodic interest payments on the loans under the senior secured credit facility, based on an interest rate equal to an applicable margin plus either a variable base rate or a eurodollar rate. The applicable margin for the facilities is expected to be 0.75% with respect to base rate loans and 1.75% with respect to eurodollar loans. The terms of the new senior secured credit facility will require us to hedge the cash flow variability of interest for at least 50% of the term loan. In addition, we will have a new variable rate revolving credit agreement that will replace our existing credit facility. Debt service requirements under this agreement will depend on the amounts borrowed and the level of the based interest rate.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83" w:lineRule="exact"/>
        <w:rPr>
          <w:sz w:val="20"/>
          <w:szCs w:val="20"/>
          <w:color w:val="auto"/>
        </w:rPr>
      </w:pPr>
    </w:p>
    <w:p>
      <w:pPr>
        <w:ind w:right="100" w:firstLine="458"/>
        <w:spacing w:after="0" w:line="266" w:lineRule="auto"/>
        <w:rPr>
          <w:sz w:val="20"/>
          <w:szCs w:val="20"/>
          <w:color w:val="auto"/>
        </w:rPr>
      </w:pPr>
      <w:r>
        <w:rPr>
          <w:rFonts w:ascii="Arial" w:cs="Arial" w:eastAsia="Arial" w:hAnsi="Arial"/>
          <w:sz w:val="14"/>
          <w:szCs w:val="14"/>
          <w:color w:val="auto"/>
        </w:rPr>
        <w:t>Our revenue and operating results are seasonal in nature, coinciding with the attendance patterns within the film exhibition industry as well as the timing of marketing expenditures by our advertising clients. Theatrical attendance is generally highest during the summer and year-end holiday season coinciding with the release of blockbuster films. Advertising expenditures tend to be higher during the second, third, and fourth fiscal quarters and are correlated to new product releases and marketing cycles. As a result, our first quarter typically has less revenue than the other quarters of a given year. To illustrate the seasonality of our operations, we analyzed the four consecutive quarters that we felt best represented our business on a comparable screen and attendance basis. Other quarters are less comparable due to the substantial growth in screens and attendance resulting primarily from acquisitions by founding members. This analysis is based on the combination of our quarterly advertising contract value, meetings and events and other revenues.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3"/>
          </w:tcPr>
          <w:p>
            <w:pPr>
              <w:jc w:val="right"/>
              <w:ind w:right="1740"/>
              <w:spacing w:after="0"/>
              <w:rPr>
                <w:sz w:val="20"/>
                <w:szCs w:val="20"/>
                <w:color w:val="auto"/>
              </w:rPr>
            </w:pPr>
            <w:r>
              <w:rPr>
                <w:rFonts w:ascii="Arial" w:cs="Arial" w:eastAsia="Arial" w:hAnsi="Arial"/>
                <w:sz w:val="11"/>
                <w:szCs w:val="11"/>
                <w:b w:val="1"/>
                <w:bCs w:val="1"/>
                <w:color w:val="auto"/>
                <w:w w:val="91"/>
              </w:rPr>
              <w:t>Quarter ending</w:t>
            </w: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000" w:type="dxa"/>
            <w:vAlign w:val="bottom"/>
            <w:vMerge w:val="restart"/>
          </w:tcPr>
          <w:p>
            <w:pPr>
              <w:spacing w:after="0"/>
              <w:rPr>
                <w:sz w:val="20"/>
                <w:szCs w:val="20"/>
                <w:color w:val="auto"/>
              </w:rPr>
            </w:pPr>
            <w:r>
              <w:rPr>
                <w:rFonts w:ascii="Arial" w:cs="Arial" w:eastAsia="Arial" w:hAnsi="Arial"/>
                <w:sz w:val="14"/>
                <w:szCs w:val="14"/>
                <w:color w:val="auto"/>
              </w:rPr>
              <w:t>% of Total</w:t>
            </w:r>
          </w:p>
        </w:tc>
        <w:tc>
          <w:tcPr>
            <w:tcW w:w="48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6"/>
              </w:rPr>
              <w:t>June 2005</w:t>
            </w:r>
          </w:p>
        </w:tc>
        <w:tc>
          <w:tcPr>
            <w:tcW w:w="940" w:type="dxa"/>
            <w:vAlign w:val="bottom"/>
          </w:tcPr>
          <w:p>
            <w:pPr>
              <w:spacing w:after="0"/>
              <w:rPr>
                <w:sz w:val="9"/>
                <w:szCs w:val="9"/>
                <w:color w:val="auto"/>
              </w:rPr>
            </w:pPr>
          </w:p>
        </w:tc>
        <w:tc>
          <w:tcPr>
            <w:tcW w:w="7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7"/>
              </w:rPr>
              <w:t>September 2005</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6"/>
              </w:rPr>
              <w:t>December 2005</w:t>
            </w:r>
          </w:p>
        </w:tc>
        <w:tc>
          <w:tcPr>
            <w:tcW w:w="940" w:type="dxa"/>
            <w:vAlign w:val="bottom"/>
          </w:tcPr>
          <w:p>
            <w:pPr>
              <w:spacing w:after="0"/>
              <w:rPr>
                <w:sz w:val="9"/>
                <w:szCs w:val="9"/>
                <w:color w:val="auto"/>
              </w:rPr>
            </w:pPr>
          </w:p>
        </w:tc>
        <w:tc>
          <w:tcPr>
            <w:tcW w:w="5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90"/>
              </w:rPr>
              <w:t>March 2006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000" w:type="dxa"/>
            <w:vAlign w:val="bottom"/>
            <w:vMerge w:val="continue"/>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color w:val="auto"/>
              </w:rPr>
              <w:t>26.5%</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25.7%</w:t>
            </w:r>
          </w:p>
        </w:tc>
        <w:tc>
          <w:tcPr>
            <w:tcW w:w="820" w:type="dxa"/>
            <w:vAlign w:val="bottom"/>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color w:val="auto"/>
              </w:rPr>
              <w:t>31.4%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Importantly, the results of one quarter are not necessarily indicative of results for the next or any future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amount outstanding under the new revolving credit facility will continue to fluctuate based on working capital needs.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83" w:lineRule="exact"/>
        <w:rPr>
          <w:sz w:val="20"/>
          <w:szCs w:val="20"/>
          <w:color w:val="auto"/>
        </w:rPr>
      </w:pPr>
    </w:p>
    <w:p>
      <w:pPr>
        <w:jc w:val="both"/>
        <w:ind w:right="140" w:firstLine="458"/>
        <w:spacing w:after="0" w:line="297" w:lineRule="auto"/>
        <w:rPr>
          <w:sz w:val="20"/>
          <w:szCs w:val="20"/>
          <w:color w:val="auto"/>
        </w:rPr>
      </w:pPr>
      <w:r>
        <w:rPr>
          <w:rFonts w:ascii="Arial" w:cs="Arial" w:eastAsia="Arial" w:hAnsi="Arial"/>
          <w:sz w:val="13"/>
          <w:szCs w:val="13"/>
          <w:color w:val="auto"/>
        </w:rPr>
        <w:t>As of September 28, 2006, we had $10.0 million of total debt outstanding under our existing $20.0 million revolving credit facility. To the extent we borrow under our revolving credit facility which bears interest at floating rates based either on an ABR, as defined in the credit agreement, or LIBOR, we are exposed to market risk related to changes in interest rates. At September 28, 2006, the applicable interest rate on borrowings outstanding under the credit facility was 7.9% per year. If applicable interest rates were to increase by 200 basis points, for every $1.0 million outstanding on our revolving credit facility, our income before income taxes would be reduced by approximately $20,000 per year. We are not party to any derivative financial instruments.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60"/>
          </w:cols>
          <w:pgMar w:left="220" w:top="399" w:right="21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83" w:lineRule="exact"/>
        <w:rPr>
          <w:sz w:val="20"/>
          <w:szCs w:val="20"/>
          <w:color w:val="auto"/>
        </w:rPr>
      </w:pPr>
    </w:p>
    <w:p>
      <w:pPr>
        <w:ind w:right="360" w:firstLine="458"/>
        <w:spacing w:after="0" w:line="275" w:lineRule="auto"/>
        <w:rPr>
          <w:sz w:val="20"/>
          <w:szCs w:val="20"/>
          <w:color w:val="auto"/>
        </w:rPr>
      </w:pPr>
      <w:r>
        <w:rPr>
          <w:rFonts w:ascii="Arial" w:cs="Arial" w:eastAsia="Arial" w:hAnsi="Arial"/>
          <w:sz w:val="14"/>
          <w:szCs w:val="14"/>
          <w:color w:val="auto"/>
        </w:rPr>
        <w:t>The following addresses the expected impact of accounting policies recently issued or proposed but not yet required to be adopted. To the extent the adoption of new accounting standards materially affects financial condition, results of operations, or liquidity, the impacts are discussed in the applicable section(s) of this discussion and the notes to the financial statements included elsewhere in this prospectus.</w:t>
      </w:r>
    </w:p>
    <w:p>
      <w:pPr>
        <w:spacing w:after="0" w:line="102"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During June 2006, the FASB issued FASB Interpretation No. 48, “Accounting for Uncertainty in Income Taxes—an Interpretation of FASB Statement No. 109.” This Interpretation clarifies the accounting for uncertainty in income taxes recognized in an enterprise’s financial statements in accordance with FASB Statement No. 109, “Accounting for Income Taxes,”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As a limited liability company, NCM LLC’s taxable income or loss is allocated to the founding members in accordance with the provisions of our operating documents. However, NCM Inc. will be a taxable entity and will be required to consider this Interpretation as it relates to both itself and NCM LLC consolidated tax position at NCM Inc. We are currently evaluating the impact the Interpretation may have on its future financial condition, results of operations and cash flows.</w:t>
      </w:r>
    </w:p>
    <w:p>
      <w:pPr>
        <w:spacing w:after="0" w:line="111"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During October 2006, the FASB issued Statement of Financial Accounting Standards No. 157, “Fair Value Measurements.” This statement does not require any new fair value measurements but provides guidance on how to measure fair value and clarifies the definition of fair value under GAAP. The statement also requires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We will apply the statement prospectively for any fair value measurements that arise after the date of adoption.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40"/>
          </w:cols>
          <w:pgMar w:left="220" w:top="399" w:right="23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CORPORATE HISTORY AND REORGANIZATION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Founding Members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AMC Entertainment Inc.</w:t>
      </w:r>
    </w:p>
    <w:p>
      <w:pPr>
        <w:spacing w:after="0" w:line="79" w:lineRule="exact"/>
        <w:rPr>
          <w:sz w:val="20"/>
          <w:szCs w:val="20"/>
          <w:color w:val="auto"/>
        </w:rPr>
      </w:pPr>
    </w:p>
    <w:p>
      <w:pPr>
        <w:ind w:right="200" w:firstLine="458"/>
        <w:spacing w:after="0" w:line="297" w:lineRule="auto"/>
        <w:rPr>
          <w:sz w:val="20"/>
          <w:szCs w:val="20"/>
          <w:color w:val="auto"/>
        </w:rPr>
      </w:pPr>
      <w:r>
        <w:rPr>
          <w:rFonts w:ascii="Arial" w:cs="Arial" w:eastAsia="Arial" w:hAnsi="Arial"/>
          <w:sz w:val="13"/>
          <w:szCs w:val="13"/>
          <w:color w:val="auto"/>
        </w:rPr>
        <w:t>AMC is the second largest theatre circuit in the United States based on total number of screens. As of March 30, 2006, after giving effect to expected dispositions of certain theatres, AMC owned, operated or held interests in 413 theatres with a total of 5,603 screens globally, with approximately 79.2% or 4,437, of the screens in the United States (including Loews). For their fiscal year ended March 30, 2006, AMC’s theatres had total worldwide attendance of 171.4 million, including 149.1 million in the United States, and AMC had revenue of $1,730.5 million. Pro forma for the Loews acquisition, which was completed on January 26, 2006, AMC’s total attendance for the fiscal year ended March 30, 2006, was 243.5 million, and AMC had revenue of $2,388.1 million.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Cinemark, Inc.</w:t>
      </w:r>
    </w:p>
    <w:p>
      <w:pPr>
        <w:spacing w:after="0" w:line="79"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Cinemark is the third largest theatre circuit in the United States based on total number of screens. As of December 31, 2005, Cinemark operated 308 theatres with a total of 3,329 screens globally, with approximately 72.2%, or 2,405, of the screens in the United States. For the year ended December 31, 2005, Cinemark’s theatres had total worldwide attendance of 165.7 million, including 105.4 million in the United States, and Cinemark reported total revenue of $1,020.6 million. On October 5, 2006, Cinemark acquired the Century theatre circuit. As of that date, Century operated 77 theatres with 1,017 screens.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Regal Entertainment Group</w:t>
      </w:r>
    </w:p>
    <w:p>
      <w:pPr>
        <w:spacing w:after="0" w:line="79" w:lineRule="exact"/>
        <w:rPr>
          <w:sz w:val="20"/>
          <w:szCs w:val="20"/>
          <w:color w:val="auto"/>
        </w:rPr>
      </w:pPr>
    </w:p>
    <w:p>
      <w:pPr>
        <w:ind w:right="80" w:firstLine="458"/>
        <w:spacing w:after="0" w:line="330" w:lineRule="auto"/>
        <w:rPr>
          <w:sz w:val="20"/>
          <w:szCs w:val="20"/>
          <w:color w:val="auto"/>
        </w:rPr>
      </w:pPr>
      <w:r>
        <w:rPr>
          <w:rFonts w:ascii="Arial" w:cs="Arial" w:eastAsia="Arial" w:hAnsi="Arial"/>
          <w:sz w:val="13"/>
          <w:szCs w:val="13"/>
          <w:color w:val="auto"/>
        </w:rPr>
        <w:t>Regal operates the largest theatre circuit in the United States based on total number of screens. As of December 29, 2005, Regal operated 555 theatres with a total of 6,463 screens, all of which are located in the United States. For the fiscal year ended December 29, 2005, Regal’s theatres had total attendance of 244.3 million and Regal reported total revenue of $2,516.7 million.</w:t>
      </w:r>
    </w:p>
    <w:p>
      <w:pPr>
        <w:spacing w:after="0" w:line="70"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Our founding members formed NCM LLC to establish a digital content network that would be more cost effective and that would provide a larger, more efficient national network that would compete with existing television and other national networks with regard to the sale and distribution of advertising. In addition, the founding members believed that this larger, more robust network would promote the use of theatres for business meetings, create a new platform for the production and distribution of new forms of high definition entertainment content to theatres and possibly provide a platform for the development and procurement of lower cost digital systems.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History and Current Structure</w:t>
      </w:r>
    </w:p>
    <w:p>
      <w:pPr>
        <w:spacing w:after="0" w:line="83" w:lineRule="exact"/>
        <w:rPr>
          <w:sz w:val="20"/>
          <w:szCs w:val="20"/>
          <w:color w:val="auto"/>
        </w:rPr>
      </w:pPr>
    </w:p>
    <w:p>
      <w:pPr>
        <w:ind w:right="20" w:firstLine="458"/>
        <w:spacing w:after="0" w:line="264" w:lineRule="auto"/>
        <w:rPr>
          <w:sz w:val="20"/>
          <w:szCs w:val="20"/>
          <w:color w:val="auto"/>
        </w:rPr>
      </w:pPr>
      <w:r>
        <w:rPr>
          <w:rFonts w:ascii="Arial" w:cs="Arial" w:eastAsia="Arial" w:hAnsi="Arial"/>
          <w:sz w:val="14"/>
          <w:szCs w:val="14"/>
          <w:color w:val="auto"/>
        </w:rPr>
        <w:t>Our business operations are conducted by NCM LLC, which was formed on March 29, 2005, by AMC and Regal as a joint venture that combined the cinema advertising and meetings and events operations of Regal’s subsidiary, RCM, and the cinema advertising operations of AMC’s subsidiary, NCN. Effective December 28, 2006, NCN merged with and into American Multi-Cinema, Inc., another AMC subsidiary which is the party to the AMC exhibitor services agreement. On 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 On January 26, 2006, AMC completed the acquisition of the Loews theatre circuit. The Loews screens will become part of our national theatre network on an exclusive basis beginning on June 1, 2008, subject to the run-out of certain pre-existing contractual obligations for on-screen advertising existing on May 31, 2008, following the expiration of Loews’ pre-existing contract with another cinema advertising provider. In accordance with a Loews screen integration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399" w:right="21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agreement between us and AMC, which will be amended and restated in connection with this offering, AMC will pay us an amount that approximates the EBITDA we would have generated if we were able to sell advertising in the Loews theatre chain on an exclusive basis. On January , 2007, NCM LLC re-allocated the NCM LLC common membership units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payments will be made on a quarterly basis in arrears until May 31, 2008 and will be, for accounting purposes, recorded directly to our members’ equity accounts and will not be reflected in NCM LLC’s statements of operations. On October 5, 2006, Cinemark completed the acquisition of the Century screens, which were added to our network on an exclusive basis as of that date, subject to limited exceptions.</w:t>
      </w:r>
    </w:p>
    <w:p>
      <w:pPr>
        <w:spacing w:after="0" w:line="111"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Pursuant to the current terms of our agreements with our founding members, they receive payments from NCM LLC with respect to the sale of advertising, meeting and digital programming events within their respective theatres through agreed upon revenue sharing formulas as well as equity in income/loss of NCM LLC for their respective ownership interests. The advertising revenue sharing formula is based on the weighted average number of screens contributed by, and the number of theatre patrons of, the applicable founding member’s theatres for any measurement period. The revenue sharing formula for our meetings services is based on an agreed-upon rental for each theatre used, while the formula for digital programming is based upon a share of the ticket revenue and sponsorship revenue.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diagram below depicts our organizational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96520</wp:posOffset>
            </wp:positionV>
            <wp:extent cx="2400935" cy="17487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0093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Based on our founding members’ operating data for the twelve months ended October 26, 2006, and taking into account the Loews screen integration agreement, the acquisition of Century by Cinemark, and other acquisitions or dispositions of theatres by the founding members, but not taking into account the completion of this offering, we estimate the issued and outstanding common membership units of NCM LLC are owned approximately 33.4% by AMC, approximately 25.5% by Cinemark and approximately 41.1% by Regal.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Reorganization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transactions, which we refer to collectively as the reorganization, will occur in connection with the completion of this offering:</w:t>
      </w:r>
    </w:p>
    <w:p>
      <w:pPr>
        <w:spacing w:after="0" w:line="79" w:lineRule="exact"/>
        <w:rPr>
          <w:sz w:val="20"/>
          <w:szCs w:val="20"/>
          <w:color w:val="auto"/>
        </w:rPr>
      </w:pPr>
    </w:p>
    <w:p>
      <w:pPr>
        <w:ind w:left="780" w:right="100" w:hanging="240"/>
        <w:spacing w:after="0" w:line="289" w:lineRule="auto"/>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NCM LLC’s agreements with its founding members will be amended and restated, including the exhibitor services agreements and the NCM LLC operating agreement each as described below under “Certain Relationships and Related Party Transactions—Transactions with Our Founding Members”;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20" w:top="399" w:right="2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right="140" w:hanging="240"/>
        <w:spacing w:after="0" w:line="275" w:lineRule="auto"/>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NCM LLC will enter into the amended and restated Loews screen integration agreement with AMC pursuant to which AMC will pay NCM LLC an amount that approximates the EBITDA we would have generated if we were able to sell advertising in the Loews theatre chain on an exclusive basis; such Loews payments will be made quarterly for a specified time period;</w:t>
      </w:r>
    </w:p>
    <w:p>
      <w:pPr>
        <w:spacing w:after="0" w:line="36" w:lineRule="exact"/>
        <w:rPr>
          <w:rFonts w:ascii="Arial" w:cs="Arial" w:eastAsia="Arial" w:hAnsi="Arial"/>
          <w:sz w:val="14"/>
          <w:szCs w:val="14"/>
          <w:color w:val="auto"/>
        </w:rPr>
      </w:pPr>
    </w:p>
    <w:p>
      <w:pPr>
        <w:ind w:left="780" w:right="120" w:hanging="240"/>
        <w:spacing w:after="0" w:line="289" w:lineRule="auto"/>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NCM LLC will split the number of outstanding common membership units so that a common membership unit can be acquired with the proceeds from the initial offering of one share of our common stock after underwriting discounts and commissions and offering expenses;</w:t>
      </w:r>
    </w:p>
    <w:p>
      <w:pPr>
        <w:spacing w:after="0" w:line="27"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NCM LLC will be recapitalized on a non-cash basis with a distribution to the founding members of one common membership unit and one preferred membership unit in exchange for each outstanding common membership unit;</w:t>
      </w:r>
    </w:p>
    <w:p>
      <w:pPr>
        <w:spacing w:after="0" w:line="27" w:lineRule="exact"/>
        <w:rPr>
          <w:rFonts w:ascii="Arial" w:cs="Arial" w:eastAsia="Arial" w:hAnsi="Arial"/>
          <w:sz w:val="14"/>
          <w:szCs w:val="14"/>
          <w:color w:val="auto"/>
        </w:rPr>
      </w:pPr>
    </w:p>
    <w:p>
      <w:pPr>
        <w:ind w:left="780" w:right="60" w:hanging="240"/>
        <w:spacing w:after="0" w:line="275" w:lineRule="auto"/>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NCM Inc. will become a member and the sole manager of NCM LLC following the purchase from NCM LLC of a number of common membership units equal to the number of shares of common stock sold in this offering; the units will be purchased with the net proceeds of this offering at a price per unit equal to the public offering price per share, less underwriting discounts and commissions and offering expenses;</w:t>
      </w:r>
    </w:p>
    <w:p>
      <w:pPr>
        <w:spacing w:after="0" w:line="36" w:lineRule="exact"/>
        <w:rPr>
          <w:rFonts w:ascii="Arial" w:cs="Arial" w:eastAsia="Arial" w:hAnsi="Arial"/>
          <w:sz w:val="14"/>
          <w:szCs w:val="14"/>
          <w:color w:val="auto"/>
        </w:rPr>
      </w:pPr>
    </w:p>
    <w:p>
      <w:pPr>
        <w:ind w:left="780" w:hanging="240"/>
        <w:spacing w:after="0"/>
        <w:tabs>
          <w:tab w:leader="none" w:pos="7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NCM LLC will pay all of the proceeds it receives from us to our founding members for their agreeing to modify our payment obligations under our exhibitor services agreements;</w:t>
      </w:r>
    </w:p>
    <w:p>
      <w:pPr>
        <w:spacing w:after="0" w:line="90" w:lineRule="exact"/>
        <w:rPr>
          <w:rFonts w:ascii="Arial" w:cs="Arial" w:eastAsia="Arial" w:hAnsi="Arial"/>
          <w:sz w:val="13"/>
          <w:szCs w:val="13"/>
          <w:color w:val="auto"/>
        </w:rPr>
      </w:pPr>
    </w:p>
    <w:p>
      <w:pPr>
        <w:ind w:left="780" w:right="260" w:hanging="240"/>
        <w:spacing w:after="0" w:line="289" w:lineRule="auto"/>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options to acquire our common stock will be substituted for options to acquire common membership units in NCM LLC, and restricted common stock will be issued in substitution for restricted units that will be granted to NCM LLC option holders as “IPO awards”; and</w:t>
      </w:r>
    </w:p>
    <w:p>
      <w:pPr>
        <w:spacing w:after="0" w:line="27" w:lineRule="exact"/>
        <w:rPr>
          <w:rFonts w:ascii="Arial" w:cs="Arial" w:eastAsia="Arial" w:hAnsi="Arial"/>
          <w:sz w:val="14"/>
          <w:szCs w:val="14"/>
          <w:color w:val="auto"/>
        </w:rPr>
      </w:pPr>
    </w:p>
    <w:p>
      <w:pPr>
        <w:ind w:left="780" w:right="40" w:hanging="240"/>
        <w:spacing w:after="0" w:line="270" w:lineRule="auto"/>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NCM LLC will redeem all the preferred membership units in NCM LLC at an aggregate price of $698.5 million using the proceeds of a new term loan of $725 million that is a part of our senior secured credit facility, as described under “Financing Transaction” below. (The purpose for issuing the preferred membership units in connection with the non-cash recapitalization, and for subsequently redeeming all the preferred membership units in connection with the offering, is to create an efficient mechanism for distributing all the redemption proceeds to our founding members.).</w:t>
      </w:r>
    </w:p>
    <w:p>
      <w:pPr>
        <w:spacing w:after="0" w:line="106"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Promptly after the completion of this offering, we will purchase from NCM LLC a number of common membership units equal to the number of shares sold in the public offering, at a price per unit equal to the public offering price per share, less underwriting discounts and commissions and offering expenses. Following these acquisitions, we will own 40.5% of the outstanding common membership units in NCM LLC. If the underwriters exercise their over-allotment option to purchase additional shares in full, we will acquire an equivalent number of additional units in NCM LLC from our founding members on a pro rata basis promptly after issuing additional shares pursuant to the over-allotment option, and our aggregate ownership of NCM LLC will increase to 44.8%.</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this purchase, we and NCM Inc. will complete the remaining steps of the reorganization described above.</w:t>
      </w:r>
    </w:p>
    <w:p>
      <w:pPr>
        <w:spacing w:after="0" w:line="145" w:lineRule="exact"/>
        <w:rPr>
          <w:sz w:val="20"/>
          <w:szCs w:val="20"/>
          <w:color w:val="auto"/>
        </w:rPr>
      </w:pPr>
    </w:p>
    <w:p>
      <w:pPr>
        <w:ind w:right="280" w:firstLine="458"/>
        <w:spacing w:after="0"/>
        <w:rPr>
          <w:sz w:val="20"/>
          <w:szCs w:val="20"/>
          <w:color w:val="auto"/>
        </w:rPr>
      </w:pPr>
      <w:r>
        <w:rPr>
          <w:rFonts w:ascii="Arial" w:cs="Arial" w:eastAsia="Arial" w:hAnsi="Arial"/>
          <w:sz w:val="14"/>
          <w:szCs w:val="14"/>
          <w:color w:val="auto"/>
        </w:rPr>
        <w:t>We will sell our common stock to the public in this offering. After completion of this offering, we will have no material assets other than direct ownership of approximately 40.5% of the common membership units in NCM LLC. Our founding members will hold the remaining 59.5% of NCM LLC’s common membership units.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Our only source of cash flow from operations will be distributions from NCM LLC and management fees pursuant to a management services agreement between us and 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190119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82" w:lineRule="exact"/>
        <w:rPr>
          <w:sz w:val="20"/>
          <w:szCs w:val="20"/>
          <w:color w:val="auto"/>
        </w:rPr>
      </w:pPr>
    </w:p>
    <w:p>
      <w:pPr>
        <w:ind w:left="440" w:right="100" w:hanging="259"/>
        <w:spacing w:after="0"/>
        <w:tabs>
          <w:tab w:leader="none" w:pos="4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40"/>
          </w:cols>
          <w:pgMar w:left="220" w:top="399" w:right="23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 Matters</w:t>
      </w:r>
    </w:p>
    <w:p>
      <w:pPr>
        <w:spacing w:after="0" w:line="8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sole manager of NCM LLC, may authorize NCM LLC to take any of the following actions:</w:t>
      </w:r>
    </w:p>
    <w:p>
      <w:pPr>
        <w:spacing w:after="0" w:line="37" w:lineRule="exact"/>
        <w:rPr>
          <w:sz w:val="20"/>
          <w:szCs w:val="20"/>
          <w:color w:val="auto"/>
        </w:rPr>
      </w:pPr>
    </w:p>
    <w:p>
      <w:pPr>
        <w:ind w:left="780" w:hanging="240"/>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assign, transfer, sell or pledge all or a portion of the membership units of NCM LLC beneficially owned by NCM Inc.;</w:t>
      </w:r>
    </w:p>
    <w:p>
      <w:pPr>
        <w:spacing w:after="0" w:line="79" w:lineRule="exact"/>
        <w:rPr>
          <w:rFonts w:ascii="Arial" w:cs="Arial" w:eastAsia="Arial" w:hAnsi="Arial"/>
          <w:sz w:val="14"/>
          <w:szCs w:val="14"/>
          <w:color w:val="auto"/>
        </w:rPr>
      </w:pPr>
    </w:p>
    <w:p>
      <w:pPr>
        <w:ind w:left="780" w:right="40" w:hanging="240"/>
        <w:spacing w:after="0" w:line="275"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acquire, dispose, lease or license assets by NCM Inc. or NCM LLC or enter into a contract to do the foregoing, in a single transaction or in two or more transactions (related or unrelated) in any consecutive twelve-month period with an aggregate value (as determined in good faith by the board) exceeding 20% of the fair market value of the business of NCM LLC operating as a going concern (as determined in good faith by the board);</w:t>
      </w:r>
    </w:p>
    <w:p>
      <w:pPr>
        <w:spacing w:after="0" w:line="36" w:lineRule="exact"/>
        <w:rPr>
          <w:rFonts w:ascii="Arial" w:cs="Arial" w:eastAsia="Arial" w:hAnsi="Arial"/>
          <w:sz w:val="14"/>
          <w:szCs w:val="14"/>
          <w:color w:val="auto"/>
        </w:rPr>
      </w:pPr>
    </w:p>
    <w:p>
      <w:pPr>
        <w:ind w:left="780" w:hanging="240"/>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merge, reorganize, recapitalize, reclassify, consolidate, dissolve, liquidate or enter into a similar transaction;</w:t>
      </w:r>
    </w:p>
    <w:p>
      <w:pPr>
        <w:spacing w:after="0" w:line="79" w:lineRule="exact"/>
        <w:rPr>
          <w:rFonts w:ascii="Arial" w:cs="Arial" w:eastAsia="Arial" w:hAnsi="Arial"/>
          <w:sz w:val="14"/>
          <w:szCs w:val="14"/>
          <w:color w:val="auto"/>
        </w:rPr>
      </w:pPr>
    </w:p>
    <w:p>
      <w:pPr>
        <w:ind w:left="780" w:right="80" w:hanging="240"/>
        <w:spacing w:after="0" w:line="330" w:lineRule="auto"/>
        <w:tabs>
          <w:tab w:leader="none" w:pos="7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incur any funded indebtedness (including the refinancing of any funded indebtedness) or repay, before due, any funded indebtedness (other than a working capital revolving line of credit) with a fixed term in either case, in a single transaction or in two or more transactions (related or unrelated) in an aggregate amount in excess of $15 million per year;</w:t>
      </w:r>
    </w:p>
    <w:p>
      <w:pPr>
        <w:spacing w:after="0" w:line="4" w:lineRule="exact"/>
        <w:rPr>
          <w:rFonts w:ascii="Arial" w:cs="Arial" w:eastAsia="Arial" w:hAnsi="Arial"/>
          <w:sz w:val="13"/>
          <w:szCs w:val="13"/>
          <w:color w:val="auto"/>
        </w:rPr>
      </w:pPr>
    </w:p>
    <w:p>
      <w:pPr>
        <w:ind w:left="780" w:right="420" w:hanging="240"/>
        <w:spacing w:after="0" w:line="289"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issue, grant or sell shares of common stock or rights with respect to common stock, except in connection with NCM Inc.’s equity incentive compensation plans or any conversion or exchange of NCM LLC membership units in accordance with the NCM LLC operating agreement;</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issue, grant or sell any NCM Inc. preferred stock or rights with respect to preferred stock;</w:t>
      </w:r>
    </w:p>
    <w:p>
      <w:pPr>
        <w:spacing w:after="0" w:line="79" w:lineRule="exact"/>
        <w:rPr>
          <w:rFonts w:ascii="Arial" w:cs="Arial" w:eastAsia="Arial" w:hAnsi="Arial"/>
          <w:sz w:val="14"/>
          <w:szCs w:val="14"/>
          <w:color w:val="auto"/>
        </w:rPr>
      </w:pPr>
    </w:p>
    <w:p>
      <w:pPr>
        <w:ind w:left="780" w:right="80" w:hanging="240"/>
        <w:spacing w:after="0" w:line="289"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authorize, issue, grant or sell additional NCM LLC membership units or rights with respect to membership units (except as otherwise permitted in the common unit adjustment agreement or NCM Inc.’s equity incentive compensation plans);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amend, modify, restate or repeal any provision of NCM Inc.’s certificate of incorporation or bylaws or the NCM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enter into, modify or terminate certain contracts not in the ordinary course of business of the type specified in Item 601(b)(10)(i) of Regulation S-K;</w:t>
      </w:r>
    </w:p>
    <w:p>
      <w:pPr>
        <w:spacing w:after="0" w:line="19" w:lineRule="exact"/>
        <w:rPr>
          <w:rFonts w:ascii="Arial" w:cs="Arial" w:eastAsia="Arial" w:hAnsi="Arial"/>
          <w:sz w:val="14"/>
          <w:szCs w:val="14"/>
          <w:color w:val="auto"/>
        </w:rPr>
      </w:pPr>
    </w:p>
    <w:p>
      <w:pPr>
        <w:ind w:left="780" w:right="360" w:hanging="240"/>
        <w:spacing w:after="0" w:line="281"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except as specifically set forth in the NCM LLC operating agreement, declare, set aside or pay any redemption of, or dividends with respect to membership interests, payable in cash, property or otherwise;</w:t>
      </w:r>
    </w:p>
    <w:p>
      <w:pPr>
        <w:spacing w:after="0" w:line="32" w:lineRule="exact"/>
        <w:rPr>
          <w:rFonts w:ascii="Arial" w:cs="Arial" w:eastAsia="Arial" w:hAnsi="Arial"/>
          <w:sz w:val="14"/>
          <w:szCs w:val="14"/>
          <w:color w:val="auto"/>
        </w:rPr>
      </w:pPr>
    </w:p>
    <w:p>
      <w:pPr>
        <w:ind w:left="780" w:hanging="240"/>
        <w:spacing w:after="0"/>
        <w:tabs>
          <w:tab w:leader="none" w:pos="7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amend any material terms or provisions (as defined in the Nasdaq rules) of NCM Inc.’s equity incentive plan or enter into or consummate any new equity incentive compensation plan;</w:t>
      </w:r>
    </w:p>
    <w:p>
      <w:pPr>
        <w:spacing w:after="0" w:line="90" w:lineRule="exact"/>
        <w:rPr>
          <w:rFonts w:ascii="Arial" w:cs="Arial" w:eastAsia="Arial" w:hAnsi="Arial"/>
          <w:sz w:val="13"/>
          <w:szCs w:val="13"/>
          <w:color w:val="auto"/>
        </w:rPr>
      </w:pPr>
    </w:p>
    <w:p>
      <w:pPr>
        <w:ind w:left="780" w:right="300" w:hanging="240"/>
        <w:spacing w:after="0" w:line="289"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approve any actions relating to NCM LLC that could reasonably be expected to have a material adverse tax effect on the founding members.</w:t>
      </w:r>
    </w:p>
    <w:p>
      <w:pPr>
        <w:spacing w:after="0" w:line="145"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One of the two designees from each of the founding members must qualify as an independent director under Nasdaq rules at the time of designation.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60"/>
          </w:cols>
          <w:pgMar w:left="220" w:top="398" w:right="21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firstLine="458"/>
        <w:spacing w:after="0" w:line="361" w:lineRule="auto"/>
        <w:rPr>
          <w:sz w:val="20"/>
          <w:szCs w:val="20"/>
          <w:color w:val="auto"/>
        </w:rPr>
      </w:pPr>
      <w:r>
        <w:rPr>
          <w:rFonts w:ascii="Arial" w:cs="Arial" w:eastAsia="Arial" w:hAnsi="Arial"/>
          <w:sz w:val="12"/>
          <w:szCs w:val="12"/>
          <w:color w:val="auto"/>
        </w:rPr>
        <w:t>If any director designee to our board designated by our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the following actions of NCM LLC:</w:t>
      </w:r>
    </w:p>
    <w:p>
      <w:pPr>
        <w:ind w:left="780" w:hanging="240"/>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approving any budget or any amendment or modification of the budget;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incurring any indebtedness or entering into or consummating any other financing transaction that is not provided for in the budget;</w:t>
      </w:r>
    </w:p>
    <w:p>
      <w:pPr>
        <w:spacing w:after="0" w:line="79" w:lineRule="exact"/>
        <w:rPr>
          <w:rFonts w:ascii="Arial" w:cs="Arial" w:eastAsia="Arial" w:hAnsi="Arial"/>
          <w:sz w:val="14"/>
          <w:szCs w:val="14"/>
          <w:color w:val="auto"/>
        </w:rPr>
      </w:pPr>
    </w:p>
    <w:p>
      <w:pPr>
        <w:ind w:left="780" w:right="40" w:hanging="240"/>
        <w:spacing w:after="0" w:line="330" w:lineRule="auto"/>
        <w:tabs>
          <w:tab w:leader="none" w:pos="7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entering into or consummating any agreements or arrangements involving annual payments by NCM LLC (including the fair market value of any barter) in excess of $5 million (subject to annual adjustment based on the Consumer Price Index), except as otherwise provided in the budget, or any material modification of any such agreements or arrangements;</w:t>
      </w:r>
    </w:p>
    <w:p>
      <w:pPr>
        <w:spacing w:after="0" w:line="4" w:lineRule="exact"/>
        <w:rPr>
          <w:rFonts w:ascii="Arial" w:cs="Arial" w:eastAsia="Arial" w:hAnsi="Arial"/>
          <w:sz w:val="13"/>
          <w:szCs w:val="13"/>
          <w:color w:val="auto"/>
        </w:rPr>
      </w:pPr>
    </w:p>
    <w:p>
      <w:pPr>
        <w:ind w:left="780" w:right="48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entering into or consummating any agreements or arrangements involving annual receipts (including the fair market value of any barter) in excess of $20 million (subject to annual adjustment based on the Consumer Price Index), or any material modification of any such agreements or arrangements;</w:t>
      </w:r>
    </w:p>
    <w:p>
      <w:pPr>
        <w:spacing w:after="0" w:line="27" w:lineRule="exact"/>
        <w:rPr>
          <w:rFonts w:ascii="Arial" w:cs="Arial" w:eastAsia="Arial" w:hAnsi="Arial"/>
          <w:sz w:val="14"/>
          <w:szCs w:val="14"/>
          <w:color w:val="auto"/>
        </w:rPr>
      </w:pPr>
    </w:p>
    <w:p>
      <w:pPr>
        <w:ind w:left="780" w:right="160" w:hanging="240"/>
        <w:spacing w:after="0" w:line="275"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except as contemplated herein, declaring, setting aside or paying any redemption of, dividends on, or the making of any other distributions in respect of, any of its membership units or other equity interests in NCM LLC, as the case may be, payable in cash, stock, property or otherwise, or any reorganization or recapitalization or split, combination or reclassification or similar transaction of any of its units, limited liability company interests or capital stock, as the case may be;</w:t>
      </w:r>
    </w:p>
    <w:p>
      <w:pPr>
        <w:spacing w:after="0" w:line="36" w:lineRule="exact"/>
        <w:rPr>
          <w:rFonts w:ascii="Arial" w:cs="Arial" w:eastAsia="Arial" w:hAnsi="Arial"/>
          <w:sz w:val="14"/>
          <w:szCs w:val="14"/>
          <w:color w:val="auto"/>
        </w:rPr>
      </w:pPr>
    </w:p>
    <w:p>
      <w:pPr>
        <w:ind w:left="780" w:right="48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amending any provision of the third restated LLC operating agreement to authorize, or to issue, any additional membership units or classes of units or other equity interests and the designations, preferences and relative, participating or other rights, powers or duties thereof;</w:t>
      </w:r>
    </w:p>
    <w:p>
      <w:pPr>
        <w:spacing w:after="0" w:line="27" w:lineRule="exact"/>
        <w:rPr>
          <w:rFonts w:ascii="Arial" w:cs="Arial" w:eastAsia="Arial" w:hAnsi="Arial"/>
          <w:sz w:val="14"/>
          <w:szCs w:val="14"/>
          <w:color w:val="auto"/>
        </w:rPr>
      </w:pPr>
    </w:p>
    <w:p>
      <w:pPr>
        <w:ind w:left="780" w:right="80" w:hanging="240"/>
        <w:spacing w:after="0" w:line="330" w:lineRule="auto"/>
        <w:tabs>
          <w:tab w:leader="none" w:pos="7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hiring or terminating the employment of the chief executive officer, chief financial officer, chief technology officer or chief sales and marketing officer of NCM LLC, or the entering into, amendment or termination of any employment, severance, change of control or other contract with any employee who has a written employment agreement with NCM LLC;</w:t>
      </w:r>
    </w:p>
    <w:p>
      <w:pPr>
        <w:spacing w:after="0" w:line="4" w:lineRule="exact"/>
        <w:rPr>
          <w:rFonts w:ascii="Arial" w:cs="Arial" w:eastAsia="Arial" w:hAnsi="Arial"/>
          <w:sz w:val="13"/>
          <w:szCs w:val="13"/>
          <w:color w:val="auto"/>
        </w:rPr>
      </w:pPr>
    </w:p>
    <w:p>
      <w:pPr>
        <w:ind w:left="780" w:right="18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changing the purposes of NCM LLC, or the provision by NCM LLC of any services beyond the scope of the services defined in the exhibitor services agreements, or services outside of the United States or Canada;</w:t>
      </w:r>
    </w:p>
    <w:p>
      <w:pPr>
        <w:spacing w:after="0" w:line="27" w:lineRule="exact"/>
        <w:rPr>
          <w:rFonts w:ascii="Arial" w:cs="Arial" w:eastAsia="Arial" w:hAnsi="Arial"/>
          <w:sz w:val="14"/>
          <w:szCs w:val="14"/>
          <w:color w:val="auto"/>
        </w:rPr>
      </w:pPr>
    </w:p>
    <w:p>
      <w:pPr>
        <w:ind w:left="780" w:right="60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entering into any agreement with respect to or the taking of any material steps to facilitate a transaction that constitutes a change of control of NCM LLC or a proposal for such a transaction;</w:t>
      </w:r>
    </w:p>
    <w:p>
      <w:pPr>
        <w:spacing w:after="0" w:line="27" w:lineRule="exact"/>
        <w:rPr>
          <w:rFonts w:ascii="Arial" w:cs="Arial" w:eastAsia="Arial" w:hAnsi="Arial"/>
          <w:sz w:val="14"/>
          <w:szCs w:val="14"/>
          <w:color w:val="auto"/>
        </w:rPr>
      </w:pPr>
    </w:p>
    <w:p>
      <w:pPr>
        <w:ind w:left="780" w:right="100" w:hanging="240"/>
        <w:spacing w:after="0" w:line="270"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leasing (as lessor), licensing (as licensor) or other transfer of assets (including securities) (x) having a fair market value or for consideration exceeding $10 million (subject to annual adjustment based on the Consumer Price Index), taken as a whole, or (y) to which the revenue or the profits attributable exceed $10 million (subject to annual adjustment based on the Consumer Price Index), taken as a whole, in any one transaction or series of related transactions, in each case, determined using the most recent quarterly consolidated financial statement of NCM LLC;</w:t>
      </w:r>
    </w:p>
    <w:p>
      <w:pPr>
        <w:spacing w:after="0" w:line="40" w:lineRule="exact"/>
        <w:rPr>
          <w:rFonts w:ascii="Arial" w:cs="Arial" w:eastAsia="Arial" w:hAnsi="Arial"/>
          <w:sz w:val="14"/>
          <w:szCs w:val="14"/>
          <w:color w:val="auto"/>
        </w:rPr>
      </w:pPr>
    </w:p>
    <w:p>
      <w:pPr>
        <w:ind w:left="780" w:right="220" w:hanging="240"/>
        <w:spacing w:after="0" w:line="275"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entering into any agreement with respect to or consummating any acquisition of any business or assets having a fair market value in excess of $10 million (subject to annual adjustment based on the Consumer Price Index) taken as a whole, in any one transaction or series of related transactions, whether by purchase and sale, merger, consolidation, restructuring, recapitalization or otherwise;</w:t>
      </w:r>
    </w:p>
    <w:p>
      <w:pPr>
        <w:spacing w:after="0" w:line="36"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settling claims or suits in which NCM LLC is a party for an amount that exceeds the relevant provision in the budget by more than $1 million (subject to annual adjustment based on the Consumer Price Index) or where equitable or injunctive relief is included as part of such settlement;</w:t>
      </w:r>
    </w:p>
    <w:p>
      <w:pPr>
        <w:spacing w:after="0" w:line="27" w:lineRule="exact"/>
        <w:rPr>
          <w:rFonts w:ascii="Arial" w:cs="Arial" w:eastAsia="Arial" w:hAnsi="Arial"/>
          <w:sz w:val="14"/>
          <w:szCs w:val="14"/>
          <w:color w:val="auto"/>
        </w:rPr>
      </w:pPr>
    </w:p>
    <w:p>
      <w:pPr>
        <w:ind w:left="780" w:right="16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entering into, modifying or terminating any material contract or transaction or series of related transactions (including by way of barter) between (x) NCM LLC or any of its subsidiaries and (y) 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60"/>
          </w:cols>
          <w:pgMar w:left="220" w:top="398" w:right="21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right="140"/>
        <w:spacing w:after="0" w:line="289" w:lineRule="auto"/>
        <w:rPr>
          <w:sz w:val="20"/>
          <w:szCs w:val="20"/>
          <w:color w:val="auto"/>
        </w:rPr>
      </w:pPr>
      <w:r>
        <w:rPr>
          <w:rFonts w:ascii="Arial" w:cs="Arial" w:eastAsia="Arial" w:hAnsi="Arial"/>
          <w:sz w:val="14"/>
          <w:szCs w:val="14"/>
          <w:color w:val="auto"/>
        </w:rPr>
        <w:t>member or any affiliate of any member or any person in which any founding member has taken, or is negotiating to take, a material financial interest, in each case, other than relating to the purchase or sale of products or services in the ordinary course of business of NCM LLC;</w:t>
      </w:r>
    </w:p>
    <w:p>
      <w:pPr>
        <w:spacing w:after="0" w:line="38" w:lineRule="exact"/>
        <w:rPr>
          <w:sz w:val="20"/>
          <w:szCs w:val="20"/>
          <w:color w:val="auto"/>
        </w:rPr>
      </w:pPr>
    </w:p>
    <w:p>
      <w:pPr>
        <w:ind w:left="780" w:right="240" w:hanging="240"/>
        <w:spacing w:after="0" w:line="289"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entering into any agreement for NCM LLC to provide to any new member or affiliate of any new member any services similar to those set forth in the exhibitor services agreement, or admitting to NCM LLC any new member;</w:t>
      </w:r>
    </w:p>
    <w:p>
      <w:pPr>
        <w:spacing w:after="0" w:line="27" w:lineRule="exact"/>
        <w:rPr>
          <w:rFonts w:ascii="Arial" w:cs="Arial" w:eastAsia="Arial" w:hAnsi="Arial"/>
          <w:sz w:val="14"/>
          <w:szCs w:val="14"/>
          <w:color w:val="auto"/>
        </w:rPr>
      </w:pPr>
    </w:p>
    <w:p>
      <w:pPr>
        <w:ind w:left="780" w:right="640" w:hanging="240"/>
        <w:spacing w:after="0" w:line="289"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entering into, modifying or terminating any agreement for NCM LLC to provide any services to any person (other than a member or affiliate of a member), that requires capital expenditures or guaranteed payments in excess of $1 million annually (subject to annual adjustment based on the Consumer Price Index);</w:t>
      </w:r>
    </w:p>
    <w:p>
      <w:pPr>
        <w:spacing w:after="0" w:line="27" w:lineRule="exact"/>
        <w:rPr>
          <w:rFonts w:ascii="Arial" w:cs="Arial" w:eastAsia="Arial" w:hAnsi="Arial"/>
          <w:sz w:val="14"/>
          <w:szCs w:val="14"/>
          <w:color w:val="auto"/>
        </w:rPr>
      </w:pPr>
    </w:p>
    <w:p>
      <w:pPr>
        <w:ind w:left="780" w:right="80" w:hanging="240"/>
        <w:spacing w:after="0" w:line="267"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dissolution of NCM LLC; the adoption of a plan of liquidation of NCM LLC; any action by NCM LLC to commence any suit, case, proceeding or other action (i) under any existing or future law of any jurisdiction relating to bankruptcy, insolvency, reorganization or relief of debtors seeking to have an order for relief entered with respect to NCM LLC, or seeking to adjudicate NCM LLC as bankrupt or insolvent, or seeking reorganization, arrangement, adjustment, winding up, liquidation, dissolution, composition or other relief with respect to NCM LLC, or (ii) seeking appointment of a receiver, trustee, custodian or other similar official for NCM LLC, or for all or any material portion of the assets of NCM LLC, or making a general assignment for the benefit of the creditors of NCM LLC;</w:t>
      </w:r>
    </w:p>
    <w:p>
      <w:pPr>
        <w:spacing w:after="0" w:line="44" w:lineRule="exact"/>
        <w:rPr>
          <w:rFonts w:ascii="Arial" w:cs="Arial" w:eastAsia="Arial" w:hAnsi="Arial"/>
          <w:sz w:val="14"/>
          <w:szCs w:val="14"/>
          <w:color w:val="auto"/>
        </w:rPr>
      </w:pPr>
    </w:p>
    <w:p>
      <w:pPr>
        <w:ind w:left="780" w:hanging="240"/>
        <w:spacing w:after="0"/>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approving any significant tax matters;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valuation determinations to be made under the third restated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amending or changing certain provisions of the third restated LLC operating agreement;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any expenditure by NCM LLC to replace, upgrade or modify any equipment or software owned by any of the founding members or their affiliates.</w:t>
      </w:r>
    </w:p>
    <w:p>
      <w:pPr>
        <w:spacing w:after="0" w:line="145"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00"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After the completion of this offering, transactions between us and our founding members will be approved by our audit committee, which is composed of independent members of our board of directors, or another committee comprised entirely of independent members of our board. Our audit committee charter authorizes the audit committee to hire financial advisors and other professionals to assist the committee in evaluating and approving any transaction between us and any related party, including our founding members.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20" w:top="398" w:right="25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diagram below depicts our organizational structure immediately after the reorganization and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96520</wp:posOffset>
            </wp:positionV>
            <wp:extent cx="4094480" cy="2192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94480" cy="219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Upon completion of this offering, the issued and outstanding common membership units of NCM LLC will be owned 40.5% by NCM Inc., 19.9% by AMC, 15.2% by Cinemark and 24.4% by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Regal.</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19011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48" w:lineRule="exact"/>
        <w:rPr>
          <w:sz w:val="20"/>
          <w:szCs w:val="20"/>
          <w:color w:val="auto"/>
        </w:rPr>
      </w:pPr>
    </w:p>
    <w:p>
      <w:pPr>
        <w:ind w:left="440" w:right="20" w:hanging="259"/>
        <w:spacing w:after="0"/>
        <w:tabs>
          <w:tab w:leader="none" w:pos="4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360"/>
          </w:cols>
          <w:pgMar w:left="220" w:top="398" w:right="3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FINANCING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New NCM LLC Senior Secured Credit Facility</w:t>
      </w:r>
    </w:p>
    <w:p>
      <w:pPr>
        <w:spacing w:after="0" w:line="83" w:lineRule="exact"/>
        <w:rPr>
          <w:sz w:val="20"/>
          <w:szCs w:val="20"/>
          <w:color w:val="auto"/>
        </w:rPr>
      </w:pPr>
    </w:p>
    <w:p>
      <w:pPr>
        <w:ind w:right="20" w:firstLine="458"/>
        <w:spacing w:after="0" w:line="287" w:lineRule="auto"/>
        <w:rPr>
          <w:sz w:val="20"/>
          <w:szCs w:val="20"/>
          <w:color w:val="auto"/>
        </w:rPr>
      </w:pPr>
      <w:r>
        <w:rPr>
          <w:rFonts w:ascii="Arial" w:cs="Arial" w:eastAsia="Arial" w:hAnsi="Arial"/>
          <w:sz w:val="13"/>
          <w:szCs w:val="13"/>
          <w:color w:val="auto"/>
        </w:rPr>
        <w:t>In connection with the completion of this offering, NCM LLC will enter into a new $805.0 million senior secured credit facility with a group of lenders that will include affiliates of several of the underwriters. This facility will consist of a six-year, $80.0 million revolving credit facility and an eight-year, $725.0 million term loan facility. The term loan will be due on the eighth anniversary of funding, and will be used to redeem all the preferred membership units of NCM LLC for an aggregate price of $698.5 million, to pay any shortfall in the amounts owed to our founding members for their agreeing to modify our payment obligations under our exhibitor services agreements and to pay transaction expenses. The revolving credit facility will be available, subject to certain conditions, for general corporate purposes of NCM LLC in the ordinary course of business and for other transactions permitted under the credit agreement. The revolving credit facility will be drawn upon to repay amounts outstanding under NCM LLC’s existing revolving credit facility (which were $10.0 million as of September 28, 2006) and any remaining amounts owed to the founding members under the existing exhibitor services agreement that, due to timing differences, may not be funded by receivables. A portion of the revolving credit facility will be available for letters of credit. The obligations under the senior secured credit facility will be secured by a lien on substantially all of the assets of NCM LLC and its material wholly owned subsidiaries.</w:t>
      </w:r>
    </w:p>
    <w:p>
      <w:pPr>
        <w:spacing w:after="0" w:line="100"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Amounts payable to our founding members have historically been paid as NCM LLC collected the related accounts receivable from its customers. Approximately 30 days following the closing of this offering, NCM LLC will repay the remaining amounts owed to our founding members under the existing exhibitor services agreements (which were $43.8 million as of September 28, 2006). To the extent that such amounts have not been funded by receivables from our customers (which were $51.9 million as of September 28, 2006), we will draw upon the revolving credit facility to satisfy the amounts owed. NCM LLC will repay the amount drawn under the credit facility for this purpose as the corresponding receivables are collected. In the future, the amount outstanding under the new revolving credit facility will continue to fluctuate due to the discrepancies in timing between payables and receivables.</w:t>
      </w:r>
    </w:p>
    <w:p>
      <w:pPr>
        <w:spacing w:after="0" w:line="110"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Borrowings under the senior secured credit facility will bear interest, at the option of the borrower, at a rate equal to an applicable margin plus either a variable base rate or a eurodollar rate. The applicable margin for the facilities is expected be 0.75% with respect to base rate loans and 1.75% with respect to eurodollar loans. Upon the occurrence of any payment default, certain amounts under the senior secured credit facility will bear interest at a rate equal to the rate then in effect with respect to such borrowings, plus 2.0% per annum.</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senior secured credit facility will contain a number of negative covenants that limit NCM LLC and its subsidiaries from, among other things, and with certain thresholds and exceptions:</w:t>
      </w:r>
    </w:p>
    <w:p>
      <w:pPr>
        <w:spacing w:after="0" w:line="91" w:lineRule="exact"/>
        <w:rPr>
          <w:sz w:val="20"/>
          <w:szCs w:val="20"/>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incurring indebtedness (including guarantee obligations) or liens;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entering into mergers, consolidations, liquidations or dissolutions;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selling assets;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paying dividends, redeeming or repurchasing units or making other payments in respect of capital stock;</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making investments, loans or advances;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making capital expenditures;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modifying the exhibitor services agreements, management services agreement or tax receivable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entering into transactions with affiliates;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entering into sale and leaseback transactions;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changing its fiscal year;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entering into negative pledge agreements;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40"/>
          </w:cols>
          <w:pgMar w:left="220" w:top="399" w:right="23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entering into agreements restricting loans or distributions made by NCM LLC’s subsidiaries to NCM LLC;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changing its line of business.</w:t>
      </w:r>
    </w:p>
    <w:p>
      <w:pPr>
        <w:spacing w:after="0" w:line="145" w:lineRule="exact"/>
        <w:rPr>
          <w:sz w:val="20"/>
          <w:szCs w:val="20"/>
          <w:color w:val="auto"/>
        </w:rPr>
      </w:pPr>
    </w:p>
    <w:p>
      <w:pPr>
        <w:jc w:val="both"/>
        <w:ind w:right="120" w:firstLine="458"/>
        <w:spacing w:after="0" w:line="270" w:lineRule="auto"/>
        <w:rPr>
          <w:sz w:val="20"/>
          <w:szCs w:val="20"/>
          <w:color w:val="auto"/>
        </w:rPr>
      </w:pPr>
      <w:r>
        <w:rPr>
          <w:rFonts w:ascii="Arial" w:cs="Arial" w:eastAsia="Arial" w:hAnsi="Arial"/>
          <w:sz w:val="14"/>
          <w:szCs w:val="14"/>
          <w:color w:val="auto"/>
        </w:rPr>
        <w:t>The senior secured credit facility will also require the maintenance of a quarterly financial ratio with respect to maximum senior secured leverage. Notwithstanding the foregoing, NCM LLC shall be permitted to make dividends and other distributions in the following percentages based on the following senior secured leverage ratios (to be defined in the NCM LLC credit agreement as the ratio of secured funded debt less unrestricted cash and cash equivalents, over adjusted EBITDA) after giving effect to any such distribution and incurrence of indebtedness (if any) relating thereto and so long as no default or event of default shall have occurred and be continuing:</w:t>
      </w:r>
    </w:p>
    <w:p>
      <w:pPr>
        <w:spacing w:after="0" w:line="41" w:lineRule="exact"/>
        <w:rPr>
          <w:sz w:val="20"/>
          <w:szCs w:val="20"/>
          <w:color w:val="auto"/>
        </w:rPr>
      </w:pPr>
    </w:p>
    <w:p>
      <w:pPr>
        <w:ind w:left="780" w:right="260" w:hanging="240"/>
        <w:spacing w:after="0" w:line="289" w:lineRule="auto"/>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100% of “Available Cash” (to be defined in the NCM LLC credit agreement in a manner that is consistent with the comparable definition in the NCM LLC operating agreement) if the senior secured leverage ratio is less than or equal to 6.5x.</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75% of Available Cash if the senior secured leverage ratio is less than or equal to 7.0x.</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50% of Available Cash if the senior secured leverage ratio is less than or equal to 7.5x.</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senior secured credit facility will contain customary events of default, including:</w:t>
      </w:r>
    </w:p>
    <w:p>
      <w:pPr>
        <w:spacing w:after="0" w:line="79" w:lineRule="exact"/>
        <w:rPr>
          <w:sz w:val="20"/>
          <w:szCs w:val="20"/>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failure to pay any principal, interest, fees, expenses or other amounts;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failure of any representation or warranty to be accurate in all material respects as of the date made or deemed made;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failure to observe any agreement, obligation or covenant included in the credit agreement or in any guaranty, pledge or security instrument;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judgments against NCM LLC or any of its subsidiaries in excess of certain allowances;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default under other indebtedness of NCM LLC or its subsidiaries in excess of a threshold amount;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certain ERISA events involving us or our subsidiaries;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bankruptcy or insolvency events involving NCM LLC or its subsidiaries;</w:t>
      </w:r>
    </w:p>
    <w:p>
      <w:pPr>
        <w:spacing w:after="0" w:line="79" w:lineRule="exact"/>
        <w:rPr>
          <w:rFonts w:ascii="Arial" w:cs="Arial" w:eastAsia="Arial" w:hAnsi="Arial"/>
          <w:sz w:val="14"/>
          <w:szCs w:val="14"/>
          <w:color w:val="auto"/>
        </w:rPr>
      </w:pPr>
    </w:p>
    <w:p>
      <w:pPr>
        <w:ind w:left="780" w:right="160" w:hanging="240"/>
        <w:spacing w:after="0" w:line="289"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guaranty, pledge or security instrument shall cease to be in full and effect or any lien created thereby shall cease to be enforceable and of the same effect and priority purported to be created thereby;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change of control (as defined in the credit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Upon the occurrence of an event of default, among other remedies available to the lenders, all outstanding loans may be accelerated and/or the lenders’ commitments may be terminated.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Existing NCM LLC Credit Facility</w:t>
      </w:r>
    </w:p>
    <w:p>
      <w:pPr>
        <w:spacing w:after="0" w:line="83" w:lineRule="exact"/>
        <w:rPr>
          <w:sz w:val="20"/>
          <w:szCs w:val="20"/>
          <w:color w:val="auto"/>
        </w:rPr>
      </w:pPr>
    </w:p>
    <w:p>
      <w:pPr>
        <w:ind w:firstLine="458"/>
        <w:spacing w:after="0" w:line="275" w:lineRule="auto"/>
        <w:rPr>
          <w:sz w:val="20"/>
          <w:szCs w:val="20"/>
          <w:color w:val="auto"/>
        </w:rPr>
      </w:pPr>
      <w:r>
        <w:rPr>
          <w:rFonts w:ascii="Arial" w:cs="Arial" w:eastAsia="Arial" w:hAnsi="Arial"/>
          <w:sz w:val="13"/>
          <w:szCs w:val="13"/>
          <w:color w:val="auto"/>
        </w:rPr>
        <w:t xml:space="preserve">On March 22, 2006, NCM LLC entered into a $20.0 million secured revolving credit facility, with a $2.0 million letter of credit facility, with Citicorp North America, Inc., Citigroup Global Markets, Inc., Bank of America, N.A., Credit Suisse, Cayman Islands Branch and Lehman Commercial Paper Inc. Borrowings under the facility bear interest, at NCM LLC’s option, at either Adjusted LIBOR plus 1.375% or ABR plus 0.375%. “Adjusted LIBOR” means the rate at approximately 11:00 a.m., London time, two business days before the commencement of the relevant interest period, for dollar deposits with a maturity comparable to such interest period, as adjusted for reserve requirements and rounded upwards if necessary to the next 1/100 of 1%. “ABR” means the greater of the base or prime rate of Citicorp North America, Inc. and the federal funds rate, plus </w:t>
      </w:r>
      <w:r>
        <w:rPr>
          <w:rFonts w:ascii="Arial" w:cs="Arial" w:eastAsia="Arial" w:hAnsi="Arial"/>
          <w:sz w:val="17"/>
          <w:szCs w:val="17"/>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2</w:t>
      </w:r>
      <w:r>
        <w:rPr>
          <w:rFonts w:ascii="Arial" w:cs="Arial" w:eastAsia="Arial" w:hAnsi="Arial"/>
          <w:sz w:val="13"/>
          <w:szCs w:val="13"/>
          <w:color w:val="auto"/>
        </w:rPr>
        <w:t xml:space="preserve"> of 1%. The facility is secured by a first-priority lien on certain assets of NCM LLC. The facility also imposes usual and customary affirmative and negative covenants on NCM LLC. The facility matures on March 22, 2008.</w:t>
      </w:r>
    </w:p>
    <w:p>
      <w:pPr>
        <w:spacing w:after="0" w:line="100"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As of September 28, 2006, $10.0 million was outstanding under this facility, including none subject to outstanding letters of credit. This facility will be repaid in full with the proceeds of the financing transaction as discussed above.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40"/>
          </w:cols>
          <w:pgMar w:left="220" w:top="399" w:right="23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INDUSTRY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Advertising Industry</w:t>
      </w:r>
    </w:p>
    <w:p>
      <w:pPr>
        <w:spacing w:after="0" w:line="8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The U.S. advertising industry is large and consists of a diverse mix of media platforms which has demonstrated attractive long-term growth. According to </w:t>
      </w:r>
      <w:r>
        <w:rPr>
          <w:rFonts w:ascii="Arial" w:cs="Arial" w:eastAsia="Arial" w:hAnsi="Arial"/>
          <w:sz w:val="14"/>
          <w:szCs w:val="14"/>
          <w:i w:val="1"/>
          <w:iCs w:val="1"/>
          <w:color w:val="auto"/>
        </w:rPr>
        <w:t>Kagan Research</w:t>
      </w:r>
      <w:r>
        <w:rPr>
          <w:rFonts w:ascii="Arial" w:cs="Arial" w:eastAsia="Arial" w:hAnsi="Arial"/>
          <w:sz w:val="14"/>
          <w:szCs w:val="14"/>
          <w:color w:val="auto"/>
        </w:rPr>
        <w:t>, in 2005 advertisers spent approximately $240 billion in the U.S. across all media platforms, and since 1996 advertising spending has grown at a compound annual growth rate, or CAGR, of approximately 4.8%. Historically, the larger components of U.S. advertising spending have been traditional media platforms such as television, radio, newspapers and direct mail, with non-traditional media representing a relatively small percentage of advertising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30480</wp:posOffset>
            </wp:positionV>
            <wp:extent cx="1950085" cy="21234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50085" cy="212344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30480</wp:posOffset>
            </wp:positionV>
            <wp:extent cx="1769745" cy="21374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69745" cy="213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80" w:firstLine="458"/>
        <w:spacing w:after="0" w:line="305" w:lineRule="auto"/>
        <w:rPr>
          <w:sz w:val="20"/>
          <w:szCs w:val="20"/>
          <w:color w:val="auto"/>
        </w:rPr>
      </w:pPr>
      <w:r>
        <w:rPr>
          <w:rFonts w:ascii="Arial" w:cs="Arial" w:eastAsia="Arial" w:hAnsi="Arial"/>
          <w:sz w:val="13"/>
          <w:szCs w:val="13"/>
          <w:color w:val="auto"/>
        </w:rPr>
        <w:t>However, as set forth in the following table, over the past 10 years, the growth rates of emerging, targeted media platforms such as Internet and cinema advertising have outpaced those of the traditional mass media platforms such as television, radio and newspapers. During the period from 2001 to 2005, Internet and cinema advertising grew at a CAGR of 13.2% and 26.0%, respectively, while more traditional media platforms such as broadcast television, radio, magazines and newspapers grew slower than the overall advertising market.</w:t>
      </w: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340"/>
          </w:cols>
          <w:pgMar w:left="220" w:top="399" w:right="33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4142740" cy="26581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42740" cy="265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We believe a number of technological factors have caused non-traditional media platforms, including cinema advertising, to grow faster than the overall advertising market. Technology, particularly digital technology, has significantly affected the delivery of content. The development of broadband, wireless and portable devices as well as an increase in the number of Internet websites and digital cable channels have dramatically increased the number of media platforms and resulted in substantial audience fragmentation. While technological innovations have fragmented audiences, they have also enabled advertisers to deliver more targeted advertising messages to audiences. Historically, advertising campaigns were launched as “one-to-many,” but due to advances in technology, “one-to-few” or even “one-to-one” targeted media platforms are now available. For example, advertisers now reach individual consumers directly through cell phones and video games. Technology is also providing consumers with the tools necessary to interact with content in new ways, including the ability to store content and skip advertisements with devices like MP3 players and digital video recorders.</w:t>
      </w:r>
    </w:p>
    <w:p>
      <w:pPr>
        <w:spacing w:after="0" w:line="111" w:lineRule="exact"/>
        <w:rPr>
          <w:sz w:val="20"/>
          <w:szCs w:val="20"/>
          <w:color w:val="auto"/>
        </w:rPr>
      </w:pPr>
    </w:p>
    <w:p>
      <w:pPr>
        <w:ind w:right="180" w:firstLine="458"/>
        <w:spacing w:after="0" w:line="297" w:lineRule="auto"/>
        <w:rPr>
          <w:sz w:val="20"/>
          <w:szCs w:val="20"/>
          <w:color w:val="auto"/>
        </w:rPr>
      </w:pPr>
      <w:r>
        <w:rPr>
          <w:rFonts w:ascii="Arial" w:cs="Arial" w:eastAsia="Arial" w:hAnsi="Arial"/>
          <w:sz w:val="13"/>
          <w:szCs w:val="13"/>
          <w:color w:val="auto"/>
        </w:rPr>
        <w:t>As a result of the increase in the number of media platforms available to advertisers, the enhanced ability to target narrow consumer demographics and the availability of more sophisticated return on investment measurement tools, return on investment has become a key driver for marketers in making decisions about advertising expenditures. As such, marketers are more focused on reaching specific audience segments, especially those in attractive younger demographic groups such as 18-34 year olds. Advertisers are also turning with increasing frequency to non-traditional, targeted media platforms such as cinema advertising, Internet, cellular phones and video games in order to reach their desired demographic.</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Cinema Advertising</w:t>
      </w:r>
    </w:p>
    <w:p>
      <w:pPr>
        <w:spacing w:after="0" w:line="83"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 xml:space="preserve">According to </w:t>
      </w:r>
      <w:r>
        <w:rPr>
          <w:rFonts w:ascii="Arial" w:cs="Arial" w:eastAsia="Arial" w:hAnsi="Arial"/>
          <w:sz w:val="14"/>
          <w:szCs w:val="14"/>
          <w:i w:val="1"/>
          <w:iCs w:val="1"/>
          <w:color w:val="auto"/>
        </w:rPr>
        <w:t>Zenith Optimedia</w:t>
      </w:r>
      <w:r>
        <w:rPr>
          <w:rFonts w:ascii="Arial" w:cs="Arial" w:eastAsia="Arial" w:hAnsi="Arial"/>
          <w:sz w:val="14"/>
          <w:szCs w:val="14"/>
          <w:color w:val="auto"/>
        </w:rPr>
        <w:t>, for many years, cinema advertising has represented a more significant percentage of total advertising spending in Europe and Australia than it has in the U.S. Historically, cinema advertising in the U.S. has been a low-quality medium consisting of slide advertisements delivered by 35 mm projectors and repurposed national television advertisements played on 35 mm film. The costs associated with</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360"/>
          </w:cols>
          <w:pgMar w:left="220" w:top="398" w:right="31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0"/>
        <w:spacing w:after="0" w:line="270" w:lineRule="auto"/>
        <w:rPr>
          <w:sz w:val="20"/>
          <w:szCs w:val="20"/>
          <w:color w:val="auto"/>
        </w:rPr>
      </w:pPr>
      <w:r>
        <w:rPr>
          <w:rFonts w:ascii="Arial" w:cs="Arial" w:eastAsia="Arial" w:hAnsi="Arial"/>
          <w:sz w:val="14"/>
          <w:szCs w:val="14"/>
          <w:color w:val="auto"/>
        </w:rPr>
        <w:t>duplicating and distributing the advertisement on 35 mm film to a fragmented theatre base were high. Also, the medium required long distribution lead times to make 35 mm film prints and provided advertisers very little flexibility to target specific audiences or geographic regions, or to change advertising messages once a campaign was launched. Due to the lack of scale amongst cinema advertising businesses, advertisers were unable to purchase national coverage from any one operator, with consistent delivery and pricing metrics. Most importantly, cinema advertising was not measured by a nationally recognized media measurement service, and therefore was not considered by many national advertisers.</w:t>
      </w:r>
    </w:p>
    <w:p>
      <w:pPr>
        <w:spacing w:after="0" w:line="106"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Over the past few years, cinema advertising in the U.S. has undergone significant changes. Companies providing nationwide coverage have emerged. Some companies have deployed digital networks and fostered the development of higher quality pre-feature shows that commingle advertising and entertainment programming. The growth of cinema advertising has been further supported by the establishment of third-party market research on the medium from firms such as </w:t>
      </w:r>
      <w:r>
        <w:rPr>
          <w:rFonts w:ascii="Arial" w:cs="Arial" w:eastAsia="Arial" w:hAnsi="Arial"/>
          <w:sz w:val="14"/>
          <w:szCs w:val="14"/>
          <w:i w:val="1"/>
          <w:iCs w:val="1"/>
          <w:color w:val="auto"/>
        </w:rPr>
        <w:t>Nielsen Media Research</w:t>
      </w:r>
      <w:r>
        <w:rPr>
          <w:rFonts w:ascii="Arial" w:cs="Arial" w:eastAsia="Arial" w:hAnsi="Arial"/>
          <w:sz w:val="14"/>
          <w:szCs w:val="14"/>
          <w:color w:val="auto"/>
        </w:rPr>
        <w:t xml:space="preserve"> and </w:t>
      </w:r>
      <w:r>
        <w:rPr>
          <w:rFonts w:ascii="Arial" w:cs="Arial" w:eastAsia="Arial" w:hAnsi="Arial"/>
          <w:sz w:val="14"/>
          <w:szCs w:val="14"/>
          <w:i w:val="1"/>
          <w:iCs w:val="1"/>
          <w:color w:val="auto"/>
        </w:rPr>
        <w:t>Arbitron</w:t>
      </w:r>
      <w:r>
        <w:rPr>
          <w:rFonts w:ascii="Arial" w:cs="Arial" w:eastAsia="Arial" w:hAnsi="Arial"/>
          <w:sz w:val="14"/>
          <w:szCs w:val="14"/>
          <w:color w:val="auto"/>
        </w:rPr>
        <w:t>. Today, cinema advertising represents an increasingly effective marketing platform for advertisers.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Cinema advertising generally consists of the following components:</w:t>
      </w:r>
    </w:p>
    <w:p>
      <w:pPr>
        <w:spacing w:after="0" w:line="79" w:lineRule="exact"/>
        <w:rPr>
          <w:sz w:val="20"/>
          <w:szCs w:val="20"/>
          <w:color w:val="auto"/>
        </w:rPr>
      </w:pPr>
    </w:p>
    <w:p>
      <w:pPr>
        <w:ind w:left="780" w:right="100" w:hanging="240"/>
        <w:spacing w:after="0" w:line="305" w:lineRule="auto"/>
        <w:tabs>
          <w:tab w:leader="none" w:pos="78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On-screen advertising</w:t>
      </w:r>
      <w:r>
        <w:rPr>
          <w:rFonts w:ascii="Arial" w:cs="Arial" w:eastAsia="Arial" w:hAnsi="Arial"/>
          <w:sz w:val="13"/>
          <w:szCs w:val="13"/>
          <w:color w:val="auto"/>
        </w:rPr>
        <w:t>. According to a</w:t>
      </w:r>
      <w:r>
        <w:rPr>
          <w:rFonts w:ascii="Arial" w:cs="Arial" w:eastAsia="Arial" w:hAnsi="Arial"/>
          <w:sz w:val="13"/>
          <w:szCs w:val="13"/>
          <w:i w:val="1"/>
          <w:iCs w:val="1"/>
          <w:color w:val="auto"/>
        </w:rPr>
        <w:t xml:space="preserve"> Cinema Advertising Council </w:t>
      </w:r>
      <w:r>
        <w:rPr>
          <w:rFonts w:ascii="Arial" w:cs="Arial" w:eastAsia="Arial" w:hAnsi="Arial"/>
          <w:sz w:val="13"/>
          <w:szCs w:val="13"/>
          <w:color w:val="auto"/>
        </w:rPr>
        <w:t>press release, advertising displayed before film trailers accounted for approximately 86% of cinema advertising</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in 2005. Advertising opportunities are available in many formats, including 35 mm slides, digital slides, 35 mm film and full motion programming displayed on digital projectors connected to local and wide area distribution networks. Opportunities exist for advertisers to purchase advertisements for local, regional or national distribution.</w:t>
      </w:r>
    </w:p>
    <w:p>
      <w:pPr>
        <w:spacing w:after="0" w:line="20" w:lineRule="exact"/>
        <w:rPr>
          <w:rFonts w:ascii="Arial" w:cs="Arial" w:eastAsia="Arial" w:hAnsi="Arial"/>
          <w:sz w:val="13"/>
          <w:szCs w:val="13"/>
          <w:color w:val="auto"/>
        </w:rPr>
      </w:pPr>
    </w:p>
    <w:p>
      <w:pPr>
        <w:ind w:left="780" w:right="100" w:hanging="240"/>
        <w:spacing w:after="0" w:line="330" w:lineRule="auto"/>
        <w:tabs>
          <w:tab w:leader="none" w:pos="78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 xml:space="preserve">In-lobby advertising and other off-screen theatre advertising opportunities. </w:t>
      </w:r>
      <w:r>
        <w:rPr>
          <w:rFonts w:ascii="Arial" w:cs="Arial" w:eastAsia="Arial" w:hAnsi="Arial"/>
          <w:sz w:val="13"/>
          <w:szCs w:val="13"/>
          <w:color w:val="auto"/>
        </w:rPr>
        <w:t>Advertising messages are delivered in theatre lobbies via plasma and other television-type screens; on posters,</w:t>
      </w:r>
      <w:r>
        <w:rPr>
          <w:rFonts w:ascii="Arial" w:cs="Arial" w:eastAsia="Arial" w:hAnsi="Arial"/>
          <w:sz w:val="13"/>
          <w:szCs w:val="13"/>
          <w:i w:val="1"/>
          <w:iCs w:val="1"/>
          <w:color w:val="auto"/>
        </w:rPr>
        <w:t xml:space="preserve"> </w:t>
      </w:r>
      <w:r>
        <w:rPr>
          <w:rFonts w:ascii="Arial" w:cs="Arial" w:eastAsia="Arial" w:hAnsi="Arial"/>
          <w:sz w:val="13"/>
          <w:szCs w:val="13"/>
          <w:color w:val="auto"/>
        </w:rPr>
        <w:t>tickets, beverage cups and popcorn bags; and through sponsorship and sampling opportunities. Coupons are also distributed at the box office and in theatre lobbies.</w:t>
      </w:r>
    </w:p>
    <w:p>
      <w:pPr>
        <w:spacing w:after="0" w:line="70"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Cinema advertising provides advertisers with the opportunity to integrate their on-screen advertising with other marketing and promotional products in the lobby. The integration of marketing messages throughout the theatre from the time movie patrons enter until they exit the theatre allows an advertiser to immerse customers in its brand with multiple touch points throughout their movie-going experience.</w:t>
      </w:r>
    </w:p>
    <w:p>
      <w:pPr>
        <w:spacing w:after="0" w:line="102"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 xml:space="preserve">Today, cinema advertising accounts for a small but growing portion of the $240 billion U.S. advertising market. According to </w:t>
      </w:r>
      <w:r>
        <w:rPr>
          <w:rFonts w:ascii="Arial" w:cs="Arial" w:eastAsia="Arial" w:hAnsi="Arial"/>
          <w:sz w:val="13"/>
          <w:szCs w:val="13"/>
          <w:i w:val="1"/>
          <w:iCs w:val="1"/>
          <w:color w:val="auto"/>
        </w:rPr>
        <w:t>Kagan Research</w:t>
      </w:r>
      <w:r>
        <w:rPr>
          <w:rFonts w:ascii="Arial" w:cs="Arial" w:eastAsia="Arial" w:hAnsi="Arial"/>
          <w:sz w:val="13"/>
          <w:szCs w:val="13"/>
          <w:color w:val="auto"/>
        </w:rPr>
        <w:t>, cinema advertising revenue grew to $514 million in 2005, representing a CAGR during 1996-2005 and 2001-2005 of 15.7% and 26.0%, respectively. The report also estimates that cinema advertising revenue will grow to approximately $910 million by 2010, representing an estimated CAGR during 2005-2010 of 12.0%. We believe the acceleration in advertising spending in this medium in the last five years is largely a result of better research and overall visibility of the medium and digital technology, which have enhanced the reach and the overall value proposition of cinema advertising for local, regional and national advertisers.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60"/>
          </w:cols>
          <w:pgMar w:left="220" w:top="398" w:right="21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163195</wp:posOffset>
            </wp:positionV>
            <wp:extent cx="4219575" cy="19570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19575" cy="195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As a result of these developments, more well-known national advertisers are adding cinema advertising to their media budgets and existing advertisers are increasing their cinema advertising spending. Today, companies in the apparel / accessories, automotive, confectionary, credit card, personal care, retail, telecommunications and video game sectors, as well as branches of the armed forces, target consumers using cinema advertising.</w:t>
      </w:r>
    </w:p>
    <w:p>
      <w:pPr>
        <w:spacing w:after="0" w:line="102"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color w:val="auto"/>
        </w:rPr>
        <w:t xml:space="preserve">Audiences are increasingly accepting of cinema advertising. A 2003 </w:t>
      </w:r>
      <w:r>
        <w:rPr>
          <w:rFonts w:ascii="Arial" w:cs="Arial" w:eastAsia="Arial" w:hAnsi="Arial"/>
          <w:sz w:val="14"/>
          <w:szCs w:val="14"/>
          <w:i w:val="1"/>
          <w:iCs w:val="1"/>
          <w:color w:val="auto"/>
        </w:rPr>
        <w:t>Arbitron</w:t>
      </w:r>
      <w:r>
        <w:rPr>
          <w:rFonts w:ascii="Arial" w:cs="Arial" w:eastAsia="Arial" w:hAnsi="Arial"/>
          <w:sz w:val="14"/>
          <w:szCs w:val="14"/>
          <w:color w:val="auto"/>
        </w:rPr>
        <w:t xml:space="preserve"> study found that two-thirds of movie-going adults strongly agree or agree with the statement “I don’t mind the advertisements they put on before the movie begins.” Source, </w:t>
      </w:r>
      <w:r>
        <w:rPr>
          <w:rFonts w:ascii="Arial" w:cs="Arial" w:eastAsia="Arial" w:hAnsi="Arial"/>
          <w:sz w:val="14"/>
          <w:szCs w:val="14"/>
          <w:i w:val="1"/>
          <w:iCs w:val="1"/>
          <w:color w:val="auto"/>
        </w:rPr>
        <w:t>Arbitron Inc., The Arbitron Cinema Advertising Study</w:t>
      </w:r>
      <w:r>
        <w:rPr>
          <w:rFonts w:ascii="Arial" w:cs="Arial" w:eastAsia="Arial" w:hAnsi="Arial"/>
          <w:sz w:val="14"/>
          <w:szCs w:val="14"/>
          <w:color w:val="auto"/>
        </w:rPr>
        <w:t>, Copyright 2003.</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Advantages of Cinema Advertising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principal advantages of cinema advertising include the following:</w:t>
      </w:r>
    </w:p>
    <w:p>
      <w:pPr>
        <w:spacing w:after="0" w:line="79" w:lineRule="exact"/>
        <w:rPr>
          <w:sz w:val="20"/>
          <w:szCs w:val="20"/>
          <w:color w:val="auto"/>
        </w:rPr>
      </w:pPr>
    </w:p>
    <w:p>
      <w:pPr>
        <w:ind w:left="780" w:right="80" w:hanging="240"/>
        <w:spacing w:after="0" w:line="289" w:lineRule="auto"/>
        <w:tabs>
          <w:tab w:leader="none" w:pos="78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Effective targeting. </w:t>
      </w:r>
      <w:r>
        <w:rPr>
          <w:rFonts w:ascii="Arial" w:cs="Arial" w:eastAsia="Arial" w:hAnsi="Arial"/>
          <w:sz w:val="14"/>
          <w:szCs w:val="14"/>
          <w:color w:val="auto"/>
        </w:rPr>
        <w:t>Cinema advertising enables advertisers to target audiences by specific location or region and on a national basis by demographic characteristics associated with a film</w:t>
      </w:r>
      <w:r>
        <w:rPr>
          <w:rFonts w:ascii="Arial" w:cs="Arial" w:eastAsia="Arial" w:hAnsi="Arial"/>
          <w:sz w:val="14"/>
          <w:szCs w:val="14"/>
          <w:i w:val="1"/>
          <w:iCs w:val="1"/>
          <w:color w:val="auto"/>
        </w:rPr>
        <w:t xml:space="preserve"> </w:t>
      </w:r>
      <w:r>
        <w:rPr>
          <w:rFonts w:ascii="Arial" w:cs="Arial" w:eastAsia="Arial" w:hAnsi="Arial"/>
          <w:sz w:val="14"/>
          <w:szCs w:val="14"/>
          <w:color w:val="auto"/>
        </w:rPr>
        <w:t>or film rating category.</w:t>
      </w:r>
    </w:p>
    <w:p>
      <w:pPr>
        <w:spacing w:after="0" w:line="27" w:lineRule="exact"/>
        <w:rPr>
          <w:rFonts w:ascii="Arial" w:cs="Arial" w:eastAsia="Arial" w:hAnsi="Arial"/>
          <w:sz w:val="14"/>
          <w:szCs w:val="14"/>
          <w:color w:val="auto"/>
        </w:rPr>
      </w:pPr>
    </w:p>
    <w:p>
      <w:pPr>
        <w:jc w:val="both"/>
        <w:ind w:left="780" w:hanging="240"/>
        <w:spacing w:after="0" w:line="275" w:lineRule="auto"/>
        <w:tabs>
          <w:tab w:leader="none" w:pos="78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Large addressable audience</w:t>
      </w:r>
      <w:r>
        <w:rPr>
          <w:rFonts w:ascii="Arial" w:cs="Arial" w:eastAsia="Arial" w:hAnsi="Arial"/>
          <w:sz w:val="14"/>
          <w:szCs w:val="14"/>
          <w:color w:val="auto"/>
        </w:rPr>
        <w:t>. According to</w:t>
      </w:r>
      <w:r>
        <w:rPr>
          <w:rFonts w:ascii="Arial" w:cs="Arial" w:eastAsia="Arial" w:hAnsi="Arial"/>
          <w:sz w:val="14"/>
          <w:szCs w:val="14"/>
          <w:i w:val="1"/>
          <w:iCs w:val="1"/>
          <w:color w:val="auto"/>
        </w:rPr>
        <w:t xml:space="preserve"> Kagan Research</w:t>
      </w:r>
      <w:r>
        <w:rPr>
          <w:rFonts w:ascii="Arial" w:cs="Arial" w:eastAsia="Arial" w:hAnsi="Arial"/>
          <w:sz w:val="14"/>
          <w:szCs w:val="14"/>
          <w:color w:val="auto"/>
        </w:rPr>
        <w:t>, movie-going is the number one out-of-home leisure activity for Americans. Over two-thirds of the U.S. population goes to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movies, with one-third of the population attending a movie at least once a month. According to the </w:t>
      </w:r>
      <w:r>
        <w:rPr>
          <w:rFonts w:ascii="Arial" w:cs="Arial" w:eastAsia="Arial" w:hAnsi="Arial"/>
          <w:sz w:val="14"/>
          <w:szCs w:val="14"/>
          <w:i w:val="1"/>
          <w:iCs w:val="1"/>
          <w:color w:val="auto"/>
        </w:rPr>
        <w:t>Motion Picture Association of America, Inc.</w:t>
      </w:r>
      <w:r>
        <w:rPr>
          <w:rFonts w:ascii="Arial" w:cs="Arial" w:eastAsia="Arial" w:hAnsi="Arial"/>
          <w:sz w:val="14"/>
          <w:szCs w:val="14"/>
          <w:color w:val="auto"/>
        </w:rPr>
        <w:t xml:space="preserve">, or </w:t>
      </w:r>
      <w:r>
        <w:rPr>
          <w:rFonts w:ascii="Arial" w:cs="Arial" w:eastAsia="Arial" w:hAnsi="Arial"/>
          <w:sz w:val="14"/>
          <w:szCs w:val="14"/>
          <w:i w:val="1"/>
          <w:iCs w:val="1"/>
          <w:color w:val="auto"/>
        </w:rPr>
        <w:t>MPAA</w:t>
      </w:r>
      <w:r>
        <w:rPr>
          <w:rFonts w:ascii="Arial" w:cs="Arial" w:eastAsia="Arial" w:hAnsi="Arial"/>
          <w:sz w:val="14"/>
          <w:szCs w:val="14"/>
          <w:color w:val="auto"/>
        </w:rPr>
        <w:t>, in 2005, total theatre attendance in the U.S. was approximately 1.4 billion.</w:t>
      </w:r>
    </w:p>
    <w:p>
      <w:pPr>
        <w:spacing w:after="0" w:line="36" w:lineRule="exact"/>
        <w:rPr>
          <w:rFonts w:ascii="Arial" w:cs="Arial" w:eastAsia="Arial" w:hAnsi="Arial"/>
          <w:sz w:val="14"/>
          <w:szCs w:val="14"/>
          <w:color w:val="auto"/>
        </w:rPr>
      </w:pPr>
    </w:p>
    <w:p>
      <w:pPr>
        <w:ind w:left="780" w:right="20" w:hanging="240"/>
        <w:spacing w:after="0" w:line="275" w:lineRule="auto"/>
        <w:tabs>
          <w:tab w:leader="none" w:pos="78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Attractive audience demographics. </w:t>
      </w:r>
      <w:r>
        <w:rPr>
          <w:rFonts w:ascii="Arial" w:cs="Arial" w:eastAsia="Arial" w:hAnsi="Arial"/>
          <w:sz w:val="14"/>
          <w:szCs w:val="14"/>
          <w:color w:val="auto"/>
        </w:rPr>
        <w:t>According to a</w:t>
      </w:r>
      <w:r>
        <w:rPr>
          <w:rFonts w:ascii="Arial" w:cs="Arial" w:eastAsia="Arial" w:hAnsi="Arial"/>
          <w:sz w:val="14"/>
          <w:szCs w:val="14"/>
          <w:i w:val="1"/>
          <w:iCs w:val="1"/>
          <w:color w:val="auto"/>
        </w:rPr>
        <w:t xml:space="preserve"> Nielsen Media Research </w:t>
      </w:r>
      <w:r>
        <w:rPr>
          <w:rFonts w:ascii="Arial" w:cs="Arial" w:eastAsia="Arial" w:hAnsi="Arial"/>
          <w:sz w:val="14"/>
          <w:szCs w:val="14"/>
          <w:color w:val="auto"/>
        </w:rPr>
        <w:t>study, conducted in the first quarter of 2006, typical movie-goers are young, with 45% between the ages of 12-34; affluent, with a mean household income of over $67,000 compared to a national mean of $60,523; and well-educated, with 39% having a college or post-graduate degree compared with 28% of the general population.</w:t>
      </w:r>
    </w:p>
    <w:p>
      <w:pPr>
        <w:spacing w:after="0" w:line="36" w:lineRule="exact"/>
        <w:rPr>
          <w:rFonts w:ascii="Arial" w:cs="Arial" w:eastAsia="Arial" w:hAnsi="Arial"/>
          <w:sz w:val="14"/>
          <w:szCs w:val="14"/>
          <w:color w:val="auto"/>
        </w:rPr>
      </w:pPr>
    </w:p>
    <w:p>
      <w:pPr>
        <w:ind w:left="780" w:right="40" w:hanging="240"/>
        <w:spacing w:after="0" w:line="289" w:lineRule="auto"/>
        <w:tabs>
          <w:tab w:leader="none" w:pos="78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Engaged audiences</w:t>
      </w:r>
      <w:r>
        <w:rPr>
          <w:rFonts w:ascii="Arial" w:cs="Arial" w:eastAsia="Arial" w:hAnsi="Arial"/>
          <w:sz w:val="14"/>
          <w:szCs w:val="14"/>
          <w:color w:val="auto"/>
        </w:rPr>
        <w:t>. Cinema advertising audiences are seated in a darkened auditorium while high-definition programming is displayed on a large screen with digital sound that cannot be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skipped or turned off. Research conducted by </w:t>
      </w:r>
      <w:r>
        <w:rPr>
          <w:rFonts w:ascii="Arial" w:cs="Arial" w:eastAsia="Arial" w:hAnsi="Arial"/>
          <w:sz w:val="14"/>
          <w:szCs w:val="14"/>
          <w:i w:val="1"/>
          <w:iCs w:val="1"/>
          <w:color w:val="auto"/>
        </w:rPr>
        <w:t>Arbitron</w:t>
      </w:r>
      <w:r>
        <w:rPr>
          <w:rFonts w:ascii="Arial" w:cs="Arial" w:eastAsia="Arial" w:hAnsi="Arial"/>
          <w:sz w:val="14"/>
          <w:szCs w:val="14"/>
          <w:color w:val="auto"/>
        </w:rPr>
        <w:t xml:space="preserve"> in 2003 has shown that audiences typically are more attentive in this type of environment.</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20" w:top="398" w:right="25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right="40" w:hanging="240"/>
        <w:spacing w:after="0" w:line="305" w:lineRule="auto"/>
        <w:tabs>
          <w:tab w:leader="none" w:pos="78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 xml:space="preserve">High unaided recall rates and intent to purchase. </w:t>
      </w:r>
      <w:r>
        <w:rPr>
          <w:rFonts w:ascii="Arial" w:cs="Arial" w:eastAsia="Arial" w:hAnsi="Arial"/>
          <w:sz w:val="13"/>
          <w:szCs w:val="13"/>
          <w:color w:val="auto"/>
        </w:rPr>
        <w:t>Industry studies have found that movie-goers recall advertising messages five to six times better than television viewers. According to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2005 </w:t>
      </w:r>
      <w:r>
        <w:rPr>
          <w:rFonts w:ascii="Arial" w:cs="Arial" w:eastAsia="Arial" w:hAnsi="Arial"/>
          <w:sz w:val="13"/>
          <w:szCs w:val="13"/>
          <w:i w:val="1"/>
          <w:iCs w:val="1"/>
          <w:color w:val="auto"/>
        </w:rPr>
        <w:t>Roper</w:t>
      </w:r>
      <w:r>
        <w:rPr>
          <w:rFonts w:ascii="Arial" w:cs="Arial" w:eastAsia="Arial" w:hAnsi="Arial"/>
          <w:sz w:val="13"/>
          <w:szCs w:val="13"/>
          <w:color w:val="auto"/>
        </w:rPr>
        <w:t xml:space="preserve"> study, cinema advertising audiences had a 73% unaided recall rate, compared with 13% for network television audiences as cited by a 2000 </w:t>
      </w:r>
      <w:r>
        <w:rPr>
          <w:rFonts w:ascii="Arial" w:cs="Arial" w:eastAsia="Arial" w:hAnsi="Arial"/>
          <w:sz w:val="13"/>
          <w:szCs w:val="13"/>
          <w:i w:val="1"/>
          <w:iCs w:val="1"/>
          <w:color w:val="auto"/>
        </w:rPr>
        <w:t>Nielsen Media Research</w:t>
      </w:r>
      <w:r>
        <w:rPr>
          <w:rFonts w:ascii="Arial" w:cs="Arial" w:eastAsia="Arial" w:hAnsi="Arial"/>
          <w:sz w:val="13"/>
          <w:szCs w:val="13"/>
          <w:color w:val="auto"/>
        </w:rPr>
        <w:t xml:space="preserve"> study commissioned by the Cable Advertising Bureau. Unaided recall is measured by the ability of a viewer of an advertising message to name the advertiser without prompting.</w:t>
      </w:r>
    </w:p>
    <w:p>
      <w:pPr>
        <w:spacing w:after="0" w:line="20" w:lineRule="exact"/>
        <w:rPr>
          <w:rFonts w:ascii="Arial" w:cs="Arial" w:eastAsia="Arial" w:hAnsi="Arial"/>
          <w:sz w:val="13"/>
          <w:szCs w:val="13"/>
          <w:color w:val="auto"/>
        </w:rPr>
      </w:pPr>
    </w:p>
    <w:p>
      <w:pPr>
        <w:ind w:left="780" w:hanging="240"/>
        <w:spacing w:after="0" w:line="275" w:lineRule="auto"/>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i w:val="1"/>
          <w:iCs w:val="1"/>
          <w:color w:val="auto"/>
        </w:rPr>
        <w:t xml:space="preserve">Measured medium. </w:t>
      </w:r>
      <w:r>
        <w:rPr>
          <w:rFonts w:ascii="Arial" w:cs="Arial" w:eastAsia="Arial" w:hAnsi="Arial"/>
          <w:sz w:val="14"/>
          <w:szCs w:val="14"/>
          <w:color w:val="auto"/>
        </w:rPr>
        <w:t>Exhibitors can provide weekly attendance information on a film-by-film, theatre-by-theatre or film rating category basis, which allows for the accurate reporting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audience size, as opposed to the extrapolations of small sample audiences used to measure television viewership. Cinema advertising is measured by third-party media measurement firms including </w:t>
      </w:r>
      <w:r>
        <w:rPr>
          <w:rFonts w:ascii="Arial" w:cs="Arial" w:eastAsia="Arial" w:hAnsi="Arial"/>
          <w:sz w:val="14"/>
          <w:szCs w:val="14"/>
          <w:i w:val="1"/>
          <w:iCs w:val="1"/>
          <w:color w:val="auto"/>
        </w:rPr>
        <w:t>Arbitron</w:t>
      </w:r>
      <w:r>
        <w:rPr>
          <w:rFonts w:ascii="Arial" w:cs="Arial" w:eastAsia="Arial" w:hAnsi="Arial"/>
          <w:sz w:val="14"/>
          <w:szCs w:val="14"/>
          <w:color w:val="auto"/>
        </w:rPr>
        <w:t xml:space="preserve"> and </w:t>
      </w:r>
      <w:r>
        <w:rPr>
          <w:rFonts w:ascii="Arial" w:cs="Arial" w:eastAsia="Arial" w:hAnsi="Arial"/>
          <w:sz w:val="14"/>
          <w:szCs w:val="14"/>
          <w:i w:val="1"/>
          <w:iCs w:val="1"/>
          <w:color w:val="auto"/>
        </w:rPr>
        <w:t>Nielsen Media Research</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-12700</wp:posOffset>
            </wp:positionV>
            <wp:extent cx="3997325" cy="2956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9732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380"/>
          </w:cols>
          <w:pgMar w:left="220" w:top="398" w:right="29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firstLine="458"/>
        <w:spacing w:after="0" w:line="305" w:lineRule="auto"/>
        <w:rPr>
          <w:sz w:val="20"/>
          <w:szCs w:val="20"/>
          <w:color w:val="auto"/>
        </w:rPr>
      </w:pPr>
      <w:r>
        <w:rPr>
          <w:rFonts w:ascii="Arial" w:cs="Arial" w:eastAsia="Arial" w:hAnsi="Arial"/>
          <w:sz w:val="13"/>
          <w:szCs w:val="13"/>
          <w:color w:val="auto"/>
        </w:rPr>
        <w:t>The attractiveness of this medium has allowed cinema advertising providers to generate above average CPM rates as compared to more traditional media platforms. Given the high recall rates and targeted nature of this medium, advertisers can achieve their desired marketing results by more effectively reaching their chosen consumer segments while still achieving broad national reach. We believe the efficiency of this medium results in a higher return on investment for advertisers, and results in a better value proposition than traditional mass media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59055</wp:posOffset>
            </wp:positionV>
            <wp:extent cx="4225925" cy="3448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25925" cy="344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320"/>
          </w:cols>
          <w:pgMar w:left="220" w:top="399" w:right="35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 xml:space="preserve">The attractiveness of cinema advertising relative to other media is also evident in international markets. For example, according to </w:t>
      </w:r>
      <w:r>
        <w:rPr>
          <w:rFonts w:ascii="Arial" w:cs="Arial" w:eastAsia="Arial" w:hAnsi="Arial"/>
          <w:sz w:val="14"/>
          <w:szCs w:val="14"/>
          <w:i w:val="1"/>
          <w:iCs w:val="1"/>
          <w:color w:val="auto"/>
        </w:rPr>
        <w:t>a World Advertising Research Center</w:t>
      </w:r>
      <w:r>
        <w:rPr>
          <w:rFonts w:ascii="Arial" w:cs="Arial" w:eastAsia="Arial" w:hAnsi="Arial"/>
          <w:sz w:val="14"/>
          <w:szCs w:val="14"/>
          <w:color w:val="auto"/>
        </w:rPr>
        <w:t xml:space="preserve"> study, in 2003 cinema advertising sold at a premium CPM to peak television advertising in world markets other than the U.S., commanding a 7.0x premium in Western Europe, a 7.7x premium in Australasia, and a 13.8x premium in Asia. In North America the comparable premium was 1.3x. The consistency of cinema advertising’s premium CPM across geographies attests to the enhanced value proposition it provides for advertisers relative to traditional media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72390</wp:posOffset>
            </wp:positionV>
            <wp:extent cx="3997325" cy="2068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97325" cy="206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Film Exhibition Industry</w:t>
      </w:r>
    </w:p>
    <w:p>
      <w:pPr>
        <w:spacing w:after="0" w:line="83"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 xml:space="preserve">The domestic motion picture exhibition industry is a mature business which has historically maintained long-term growth in revenue and attendance. According to the </w:t>
      </w:r>
      <w:r>
        <w:rPr>
          <w:rFonts w:ascii="Arial" w:cs="Arial" w:eastAsia="Arial" w:hAnsi="Arial"/>
          <w:sz w:val="14"/>
          <w:szCs w:val="14"/>
          <w:i w:val="1"/>
          <w:iCs w:val="1"/>
          <w:color w:val="auto"/>
        </w:rPr>
        <w:t>MPAA</w:t>
      </w:r>
      <w:r>
        <w:rPr>
          <w:rFonts w:ascii="Arial" w:cs="Arial" w:eastAsia="Arial" w:hAnsi="Arial"/>
          <w:sz w:val="14"/>
          <w:szCs w:val="14"/>
          <w:color w:val="auto"/>
        </w:rPr>
        <w:t>, total box office revenue and admissions have grown at a CAGR of approximately 5.4% and 1.2%, respectively, since 1970. In 2005, annual attendance was approximately 1.4 billion.</w:t>
      </w:r>
    </w:p>
    <w:p>
      <w:pPr>
        <w:spacing w:after="0" w:line="9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As shown by the chart below, the domestic motion picture exhibition industry has experienced long-term attendance growth with numerous cycles of long-term increases followed by short-term declines during the past 35 years. We believe the cyclical nature of attendance trends in the domestic motion picture exhibition industry is largely related to the supply, perceived quality and timing of release of feature films, along with the impact of changes in theatre quality and other entertainment technology and economic factors such as recessions. The industry has been relatively unaffected by downturns in the economic cycle, with attendance growing in three of the last five recessions.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40"/>
          </w:cols>
          <w:pgMar w:left="220" w:top="399" w:right="23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163195</wp:posOffset>
            </wp:positionV>
            <wp:extent cx="4219575" cy="23666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1957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Based on an industry publication, during the first nine months of 2006, total U.S. box office attendance was up 2.5% as compared to the first nine months of 2005,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194945</wp:posOffset>
            </wp:positionV>
            <wp:extent cx="3997325" cy="1922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97325" cy="192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80" w:firstLine="458"/>
        <w:spacing w:after="0" w:line="378" w:lineRule="auto"/>
        <w:rPr>
          <w:sz w:val="20"/>
          <w:szCs w:val="20"/>
          <w:color w:val="auto"/>
        </w:rPr>
      </w:pPr>
      <w:r>
        <w:rPr>
          <w:rFonts w:ascii="Arial" w:cs="Arial" w:eastAsia="Arial" w:hAnsi="Arial"/>
          <w:sz w:val="12"/>
          <w:szCs w:val="12"/>
          <w:color w:val="auto"/>
        </w:rPr>
        <w:t xml:space="preserve">The December 2004 </w:t>
      </w:r>
      <w:r>
        <w:rPr>
          <w:rFonts w:ascii="Arial" w:cs="Arial" w:eastAsia="Arial" w:hAnsi="Arial"/>
          <w:sz w:val="12"/>
          <w:szCs w:val="12"/>
          <w:i w:val="1"/>
          <w:iCs w:val="1"/>
          <w:color w:val="auto"/>
        </w:rPr>
        <w:t>King Brown</w:t>
      </w:r>
      <w:r>
        <w:rPr>
          <w:rFonts w:ascii="Arial" w:cs="Arial" w:eastAsia="Arial" w:hAnsi="Arial"/>
          <w:sz w:val="12"/>
          <w:szCs w:val="12"/>
          <w:color w:val="auto"/>
        </w:rPr>
        <w:t xml:space="preserve"> study, the March 2005 </w:t>
      </w:r>
      <w:r>
        <w:rPr>
          <w:rFonts w:ascii="Arial" w:cs="Arial" w:eastAsia="Arial" w:hAnsi="Arial"/>
          <w:sz w:val="12"/>
          <w:szCs w:val="12"/>
          <w:i w:val="1"/>
          <w:iCs w:val="1"/>
          <w:color w:val="auto"/>
        </w:rPr>
        <w:t>Roper</w:t>
      </w:r>
      <w:r>
        <w:rPr>
          <w:rFonts w:ascii="Arial" w:cs="Arial" w:eastAsia="Arial" w:hAnsi="Arial"/>
          <w:sz w:val="12"/>
          <w:szCs w:val="12"/>
          <w:color w:val="auto"/>
        </w:rPr>
        <w:t xml:space="preserve"> study, the June 2005 </w:t>
      </w:r>
      <w:r>
        <w:rPr>
          <w:rFonts w:ascii="Arial" w:cs="Arial" w:eastAsia="Arial" w:hAnsi="Arial"/>
          <w:sz w:val="12"/>
          <w:szCs w:val="12"/>
          <w:i w:val="1"/>
          <w:iCs w:val="1"/>
          <w:color w:val="auto"/>
        </w:rPr>
        <w:t>RH Bruskin Marketing, Inc</w:t>
      </w:r>
      <w:r>
        <w:rPr>
          <w:rFonts w:ascii="Arial" w:cs="Arial" w:eastAsia="Arial" w:hAnsi="Arial"/>
          <w:sz w:val="12"/>
          <w:szCs w:val="12"/>
          <w:color w:val="auto"/>
        </w:rPr>
        <w:t xml:space="preserve">. study and the June 2006 </w:t>
      </w:r>
      <w:r>
        <w:rPr>
          <w:rFonts w:ascii="Arial" w:cs="Arial" w:eastAsia="Arial" w:hAnsi="Arial"/>
          <w:sz w:val="12"/>
          <w:szCs w:val="12"/>
          <w:i w:val="1"/>
          <w:iCs w:val="1"/>
          <w:color w:val="auto"/>
        </w:rPr>
        <w:t>OTX Screening</w:t>
      </w:r>
      <w:r>
        <w:rPr>
          <w:rFonts w:ascii="Arial" w:cs="Arial" w:eastAsia="Arial" w:hAnsi="Arial"/>
          <w:sz w:val="12"/>
          <w:szCs w:val="12"/>
          <w:color w:val="auto"/>
        </w:rPr>
        <w:t xml:space="preserve"> study referenced in this prospectus were commissioned by us or RCM, our predecessor company. None of the other independent industry publications used in this prospectus were prepared or commissioned by us or our affiliates.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40"/>
          </w:cols>
          <w:pgMar w:left="220" w:top="399" w:right="23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Company</w:t>
      </w:r>
    </w:p>
    <w:p>
      <w:pPr>
        <w:spacing w:after="0" w:line="83"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We operate the largest digital in-theatre network in North America that allows us to distribute advertising and other content for our advertising, meetings and events businesses utilizing our proprietary digital content network. Upon completion of this offering, we will have long-term exhibitor services agreements with our founding members—AMC, Cinemark and Regal, the three largest motion picture exhibition companies in the U.S.— and multi-year agreements with several other theatre operators whom we refer to as network affiliates. The exhibitor services agreements grant us exclusive rights, subject to limited exceptions, to sell advertising and meeting services and distribute entertainment programming in those theatres. The network affiliate agreements grant us exclusive rights, subject to limited exceptions, to sell advertising on their theatre screens.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derive revenue principally from the following activities:</w:t>
      </w:r>
    </w:p>
    <w:p>
      <w:pPr>
        <w:spacing w:after="0" w:line="79" w:lineRule="exact"/>
        <w:rPr>
          <w:sz w:val="20"/>
          <w:szCs w:val="20"/>
          <w:color w:val="auto"/>
        </w:rPr>
      </w:pPr>
    </w:p>
    <w:p>
      <w:pPr>
        <w:ind w:left="780" w:right="220" w:hanging="240"/>
        <w:spacing w:after="0" w:line="289" w:lineRule="auto"/>
        <w:tabs>
          <w:tab w:leader="none" w:pos="780" w:val="left"/>
        </w:tabs>
        <w:numPr>
          <w:ilvl w:val="0"/>
          <w:numId w:val="63"/>
        </w:numPr>
        <w:rPr>
          <w:rFonts w:ascii="Arial" w:cs="Arial" w:eastAsia="Arial" w:hAnsi="Arial"/>
          <w:sz w:val="14"/>
          <w:szCs w:val="14"/>
          <w:color w:val="auto"/>
        </w:rPr>
      </w:pPr>
      <w:r>
        <w:rPr>
          <w:rFonts w:ascii="Arial" w:cs="Arial" w:eastAsia="Arial" w:hAnsi="Arial"/>
          <w:sz w:val="14"/>
          <w:szCs w:val="14"/>
          <w:b w:val="1"/>
          <w:bCs w:val="1"/>
          <w:i w:val="1"/>
          <w:iCs w:val="1"/>
          <w:color w:val="auto"/>
        </w:rPr>
        <w:t>Advertising</w:t>
      </w:r>
      <w:r>
        <w:rPr>
          <w:rFonts w:ascii="Arial" w:cs="Arial" w:eastAsia="Arial" w:hAnsi="Arial"/>
          <w:sz w:val="14"/>
          <w:szCs w:val="14"/>
          <w:color w:val="auto"/>
        </w:rPr>
        <w:t>: We develop, produce, sell and distribute a branded, pre-feature entertainment and advertising program called “</w:t>
      </w:r>
      <w:r>
        <w:rPr>
          <w:rFonts w:ascii="Arial" w:cs="Arial" w:eastAsia="Arial" w:hAnsi="Arial"/>
          <w:sz w:val="14"/>
          <w:szCs w:val="14"/>
          <w:i w:val="1"/>
          <w:iCs w:val="1"/>
          <w:color w:val="auto"/>
        </w:rPr>
        <w:t>FirstLook</w:t>
      </w:r>
      <w:r>
        <w:rPr>
          <w:rFonts w:ascii="Arial" w:cs="Arial" w:eastAsia="Arial" w:hAnsi="Arial"/>
          <w:sz w:val="14"/>
          <w:szCs w:val="14"/>
          <w:color w:val="auto"/>
        </w:rPr>
        <w:t>,” along with an advertising program for our lobby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entertainment network and various marketing and promotional products in theatre lobbies;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3"/>
        </w:numPr>
        <w:rPr>
          <w:rFonts w:ascii="Arial" w:cs="Arial" w:eastAsia="Arial" w:hAnsi="Arial"/>
          <w:sz w:val="14"/>
          <w:szCs w:val="14"/>
          <w:color w:val="auto"/>
        </w:rPr>
      </w:pPr>
      <w:r>
        <w:rPr>
          <w:rFonts w:ascii="Arial" w:cs="Arial" w:eastAsia="Arial" w:hAnsi="Arial"/>
          <w:sz w:val="14"/>
          <w:szCs w:val="14"/>
          <w:b w:val="1"/>
          <w:bCs w:val="1"/>
          <w:i w:val="1"/>
          <w:iCs w:val="1"/>
          <w:color w:val="auto"/>
        </w:rPr>
        <w:t>CineMeetings</w:t>
      </w:r>
      <w:r>
        <w:rPr>
          <w:rFonts w:ascii="Arial" w:cs="Arial" w:eastAsia="Arial" w:hAnsi="Arial"/>
          <w:sz w:val="14"/>
          <w:szCs w:val="14"/>
          <w:color w:val="auto"/>
        </w:rPr>
        <w:t>: We facilitate live and pre-recorded networked and single-site meetings and corporate events in the movie theatres throughout our network;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Digital Programming Events</w:t>
      </w:r>
      <w:r>
        <w:rPr>
          <w:rFonts w:ascii="Arial" w:cs="Arial" w:eastAsia="Arial" w:hAnsi="Arial"/>
          <w:sz w:val="13"/>
          <w:szCs w:val="13"/>
          <w:color w:val="auto"/>
        </w:rPr>
        <w:t>: We distribute live and pre-recorded concerts, sporting events and other entertainment programming content to theatres across our digital network.</w:t>
      </w:r>
    </w:p>
    <w:p>
      <w:pPr>
        <w:spacing w:after="0" w:line="157" w:lineRule="exact"/>
        <w:rPr>
          <w:sz w:val="20"/>
          <w:szCs w:val="20"/>
          <w:color w:val="auto"/>
        </w:rPr>
      </w:pPr>
    </w:p>
    <w:p>
      <w:pPr>
        <w:ind w:firstLine="458"/>
        <w:spacing w:after="0" w:line="247" w:lineRule="auto"/>
        <w:rPr>
          <w:sz w:val="20"/>
          <w:szCs w:val="20"/>
          <w:color w:val="auto"/>
        </w:rPr>
      </w:pPr>
      <w:r>
        <w:rPr>
          <w:rFonts w:ascii="Arial" w:cs="Arial" w:eastAsia="Arial" w:hAnsi="Arial"/>
          <w:sz w:val="14"/>
          <w:szCs w:val="14"/>
          <w:color w:val="auto"/>
        </w:rPr>
        <w:t>We believe that the reach, scope and digital delivery capability of our network provide an effective platform for national, regional and local advertisers to reach a young, affluent and engaged audience on a highly targeted and measurable basis. Our network is currently located in 46 states and the District of Columbia and covers all of the top 25, as well as 49 of the top 50, DMAs</w:t>
      </w:r>
      <w:r>
        <w:rPr>
          <w:rFonts w:ascii="Arial" w:cs="Arial" w:eastAsia="Arial" w:hAnsi="Arial"/>
          <w:sz w:val="18"/>
          <w:szCs w:val="18"/>
          <w:color w:val="auto"/>
          <w:vertAlign w:val="superscript"/>
        </w:rPr>
        <w:t>®</w:t>
      </w:r>
      <w:r>
        <w:rPr>
          <w:rFonts w:ascii="Arial" w:cs="Arial" w:eastAsia="Arial" w:hAnsi="Arial"/>
          <w:sz w:val="14"/>
          <w:szCs w:val="14"/>
          <w:color w:val="auto"/>
        </w:rPr>
        <w:t>, and 149 DMAs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total. During 2005, approximately 500 million patrons, representing 36% of the total U.S. theatre attendance, attended theatres operated by our founding members. As of September 28, 2006, we had a total of 12,973 screens in our network, as set forth in the table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Network*</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27265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160" w:type="dxa"/>
            <w:vAlign w:val="bottom"/>
          </w:tcPr>
          <w:p>
            <w:pPr>
              <w:spacing w:after="0"/>
              <w:rPr>
                <w:sz w:val="11"/>
                <w:szCs w:val="11"/>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rPr>
              <w:t>Theatres</w:t>
            </w:r>
          </w:p>
        </w:tc>
        <w:tc>
          <w:tcPr>
            <w:tcW w:w="220" w:type="dxa"/>
            <w:vAlign w:val="bottom"/>
          </w:tcPr>
          <w:p>
            <w:pPr>
              <w:spacing w:after="0"/>
              <w:rPr>
                <w:sz w:val="11"/>
                <w:szCs w:val="11"/>
                <w:color w:val="auto"/>
              </w:rPr>
            </w:pPr>
          </w:p>
        </w:tc>
        <w:tc>
          <w:tcPr>
            <w:tcW w:w="96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w w:val="93"/>
              </w:rPr>
              <w:t>Screens</w:t>
            </w: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9160" w:type="dxa"/>
            <w:vAlign w:val="bottom"/>
            <w:vMerge w:val="restart"/>
          </w:tcPr>
          <w:p>
            <w:pPr>
              <w:spacing w:after="0"/>
              <w:rPr>
                <w:sz w:val="20"/>
                <w:szCs w:val="20"/>
                <w:color w:val="auto"/>
              </w:rPr>
            </w:pPr>
            <w:r>
              <w:rPr>
                <w:rFonts w:ascii="Arial" w:cs="Arial" w:eastAsia="Arial" w:hAnsi="Arial"/>
                <w:sz w:val="14"/>
                <w:szCs w:val="14"/>
                <w:color w:val="auto"/>
              </w:rPr>
              <w:t>Founding Members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946</w:t>
            </w:r>
          </w:p>
        </w:tc>
        <w:tc>
          <w:tcPr>
            <w:tcW w:w="220" w:type="dxa"/>
            <w:vAlign w:val="bottom"/>
          </w:tcPr>
          <w:p>
            <w:pPr>
              <w:spacing w:after="0"/>
              <w:rPr>
                <w:sz w:val="9"/>
                <w:szCs w:val="9"/>
                <w:color w:val="auto"/>
              </w:rPr>
            </w:pPr>
          </w:p>
        </w:tc>
        <w:tc>
          <w:tcPr>
            <w:tcW w:w="960" w:type="dxa"/>
            <w:vAlign w:val="bottom"/>
            <w:gridSpan w:val="3"/>
          </w:tcPr>
          <w:p>
            <w:pPr>
              <w:ind w:left="140"/>
              <w:spacing w:after="0" w:line="111" w:lineRule="exact"/>
              <w:rPr>
                <w:sz w:val="20"/>
                <w:szCs w:val="20"/>
                <w:color w:val="auto"/>
              </w:rPr>
            </w:pPr>
            <w:r>
              <w:rPr>
                <w:rFonts w:ascii="Arial" w:cs="Arial" w:eastAsia="Arial" w:hAnsi="Arial"/>
                <w:sz w:val="11"/>
                <w:szCs w:val="11"/>
                <w:b w:val="1"/>
                <w:bCs w:val="1"/>
                <w:color w:val="auto"/>
              </w:rPr>
              <w:t>Digital</w:t>
            </w:r>
          </w:p>
        </w:tc>
        <w:tc>
          <w:tcPr>
            <w:tcW w:w="480" w:type="dxa"/>
            <w:vAlign w:val="bottom"/>
          </w:tcPr>
          <w:p>
            <w:pPr>
              <w:jc w:val="right"/>
              <w:ind w:right="113"/>
              <w:spacing w:after="0" w:line="111" w:lineRule="exact"/>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91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10,816</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12,039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160" w:type="dxa"/>
            <w:vAlign w:val="bottom"/>
          </w:tcPr>
          <w:p>
            <w:pPr>
              <w:spacing w:after="0"/>
              <w:rPr>
                <w:sz w:val="20"/>
                <w:szCs w:val="20"/>
                <w:color w:val="auto"/>
              </w:rPr>
            </w:pPr>
            <w:r>
              <w:rPr>
                <w:rFonts w:ascii="Arial" w:cs="Arial" w:eastAsia="Arial" w:hAnsi="Arial"/>
                <w:sz w:val="14"/>
                <w:szCs w:val="14"/>
                <w:color w:val="auto"/>
              </w:rPr>
              <w:t>Network Affiliates</w:t>
            </w:r>
          </w:p>
        </w:tc>
        <w:tc>
          <w:tcPr>
            <w:tcW w:w="640" w:type="dxa"/>
            <w:vAlign w:val="bottom"/>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261</w:t>
            </w: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16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1,033</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11,077</w:t>
            </w: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12,973</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9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
        <w:spacing w:after="0"/>
        <w:tabs>
          <w:tab w:leader="none" w:pos="200" w:val="left"/>
        </w:tabs>
        <w:rPr>
          <w:sz w:val="20"/>
          <w:szCs w:val="20"/>
          <w:color w:val="auto"/>
        </w:rPr>
      </w:pPr>
      <w:r>
        <w:rPr>
          <w:rFonts w:ascii="Arial" w:cs="Arial" w:eastAsia="Arial" w:hAnsi="Arial"/>
          <w:sz w:val="14"/>
          <w:szCs w:val="14"/>
          <w:i w:val="1"/>
          <w:iCs w:val="1"/>
          <w:color w:val="auto"/>
        </w:rPr>
        <w:t>*</w:t>
      </w:r>
      <w:r>
        <w:rPr>
          <w:sz w:val="20"/>
          <w:szCs w:val="20"/>
          <w:color w:val="auto"/>
        </w:rPr>
        <w:tab/>
      </w:r>
      <w:r>
        <w:rPr>
          <w:rFonts w:ascii="Arial" w:cs="Arial" w:eastAsia="Arial" w:hAnsi="Arial"/>
          <w:sz w:val="12"/>
          <w:szCs w:val="12"/>
          <w:i w:val="1"/>
          <w:iCs w:val="1"/>
          <w:color w:val="auto"/>
        </w:rPr>
        <w:t>Excludes Loews and Century.</w:t>
      </w:r>
    </w:p>
    <w:p>
      <w:pPr>
        <w:spacing w:after="0" w:line="145"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On January 26, 2006, AMC acquired the Loews theatre circuit. As of September 28, 2006, Loews operated approximately 107 theatres and 1,275 screens. The Loews screens will become part of our network on an exclusive basis beginning on June 1, 2008, subject to the run-out of certain pre-existing contractual obligations for on-screen advertising existing on May 31, 2008. During 2005, approximately 66.5 million movie patrons attended Loews’ theatres in the United States.</w:t>
      </w:r>
    </w:p>
    <w:p>
      <w:pPr>
        <w:spacing w:after="0" w:line="102" w:lineRule="exact"/>
        <w:rPr>
          <w:sz w:val="20"/>
          <w:szCs w:val="20"/>
          <w:color w:val="auto"/>
        </w:rPr>
      </w:pPr>
    </w:p>
    <w:p>
      <w:pPr>
        <w:ind w:right="340" w:firstLine="458"/>
        <w:spacing w:after="0" w:line="378" w:lineRule="auto"/>
        <w:rPr>
          <w:sz w:val="20"/>
          <w:szCs w:val="20"/>
          <w:color w:val="auto"/>
        </w:rPr>
      </w:pPr>
      <w:r>
        <w:rPr>
          <w:rFonts w:ascii="Arial" w:cs="Arial" w:eastAsia="Arial" w:hAnsi="Arial"/>
          <w:sz w:val="12"/>
          <w:szCs w:val="12"/>
          <w:color w:val="auto"/>
        </w:rPr>
        <w:t>On October 5, 2006, Cinemark acquired the Century theatre circuit. As of that date, Century operated 77 theatres with 1,017 screens. The Century screens were added to our network on an exclusive basis subject to limited exceptions. During Century’s fiscal year ended September 28, 2006, approximately 49.6 million movie patrons attended Century’s theatres in the United States.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60"/>
          </w:cols>
          <w:pgMar w:left="220" w:top="398" w:right="21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40" w:firstLine="458"/>
        <w:spacing w:after="0" w:line="267" w:lineRule="auto"/>
        <w:rPr>
          <w:sz w:val="20"/>
          <w:szCs w:val="20"/>
          <w:color w:val="auto"/>
        </w:rPr>
      </w:pPr>
      <w:r>
        <w:rPr>
          <w:rFonts w:ascii="Arial" w:cs="Arial" w:eastAsia="Arial" w:hAnsi="Arial"/>
          <w:sz w:val="14"/>
          <w:szCs w:val="14"/>
          <w:color w:val="auto"/>
        </w:rPr>
        <w:t xml:space="preserve">Through our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lobby entertainment network and other promotional products, we provide our advertisers with bundled offerings of on-screen and lobby marketing products that provide multiple touch points to interact with theatre patrons. We distribute our programming primarily through our proprietary digital content network. We also sell 35 mm slide and film-based advertising on 1,223 non-digital screens in our network operated by our founding members as of September 28, 2006, which represented less than 10% of our attendance during the year ended December 29, 2005. We expect the percentage of our attendance derived from non-digital screens to decline over time as these theatres are closed, renovated or converted to digital, providing us with additional national on-screen inventory and operating efficiencies.</w:t>
      </w:r>
    </w:p>
    <w:p>
      <w:pPr>
        <w:spacing w:after="0" w:line="110" w:lineRule="exact"/>
        <w:rPr>
          <w:sz w:val="20"/>
          <w:szCs w:val="20"/>
          <w:color w:val="auto"/>
        </w:rPr>
      </w:pPr>
    </w:p>
    <w:p>
      <w:pPr>
        <w:ind w:right="60" w:firstLine="458"/>
        <w:spacing w:after="0" w:line="287" w:lineRule="auto"/>
        <w:rPr>
          <w:sz w:val="20"/>
          <w:szCs w:val="20"/>
          <w:color w:val="auto"/>
        </w:rPr>
      </w:pPr>
      <w:r>
        <w:rPr>
          <w:rFonts w:ascii="Arial" w:cs="Arial" w:eastAsia="Arial" w:hAnsi="Arial"/>
          <w:sz w:val="13"/>
          <w:szCs w:val="13"/>
          <w:color w:val="auto"/>
        </w:rPr>
        <w:t>During the three and nine months ended September 28, 2006, we generated pro forma revenue, operating income and adjusted EBITDA of $73.9 million, $38.9 million and $41.5 million and $188.1 million, $84.9 million and $92.8 million, respectively.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For additional financial information about our business, see “Management’s Discussion and Analysis of Financial Condition and Results of Operations,” “Unaudited Pro Forma Financial Information” and NCM LLC’s historical financial statements and related notes included elsewhere in this prospectus. See the notes to “Selected Historical Financial and Operating Data” for a discussion of the calculation of EBITDA. Our historical operating and pro forma results for these periods do not include quarterly payments that will be made by AMC to us pursuant to the Loews screen integration agreement as such payments will be recorded directly to our equity account for accounting purposes. See “Management’s Discussion and Analysis of Financial Condition and Results of Operations— Our Company Following the Completion of this Offering—Loews Payments.”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On-Screen Advertising</w:t>
      </w:r>
    </w:p>
    <w:p>
      <w:pPr>
        <w:spacing w:after="0" w:line="79"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Our on-screen digital pre-feature show consists of a national and regional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and a local advertising presentation. The pre-feature show generally ranges in length from 20 to 30 minutes and ends at or about the advertised movie show time. National advertising is sold on a CPM basis, while local and regional advertising is sold on a per-screen, per-week basis. While we generally sell our network as one single national network, we also have the ability to sell portions of our network on a regional basis, offering various price points for national advertisers and expanding the range of potential buyers.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20" w:top="399" w:right="2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The illustration below demonstrates a typical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layout: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97155</wp:posOffset>
            </wp:positionV>
            <wp:extent cx="4212590" cy="22415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12590" cy="224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0" w:firstLine="458"/>
        <w:spacing w:after="0" w:line="270" w:lineRule="auto"/>
        <w:rPr>
          <w:sz w:val="20"/>
          <w:szCs w:val="20"/>
          <w:color w:val="auto"/>
        </w:rPr>
      </w:pPr>
      <w:r>
        <w:rPr>
          <w:rFonts w:ascii="Arial" w:cs="Arial" w:eastAsia="Arial" w:hAnsi="Arial"/>
          <w:sz w:val="14"/>
          <w:szCs w:val="14"/>
          <w:color w:val="auto"/>
        </w:rPr>
        <w:t>The pre-feature show begins with a three to five-minute looping segment which consists of a digital carousel of static and moving slide images. This program can loop partially or repeatedly and provides a mechanism to contract or expand the pre-feature show depending on the time between feature film presentations. The digital slides shown at the beginning of the pre-feature show represent primarily local advertising, which generally is our lowest cost advertising inventory. We often bundle time in the digital slide presentation with other local on-screen or lobby advertising inventory.</w:t>
      </w:r>
    </w:p>
    <w:p>
      <w:pPr>
        <w:spacing w:after="0" w:line="106" w:lineRule="exact"/>
        <w:rPr>
          <w:sz w:val="20"/>
          <w:szCs w:val="20"/>
          <w:color w:val="auto"/>
        </w:rPr>
      </w:pPr>
    </w:p>
    <w:p>
      <w:pPr>
        <w:jc w:val="both"/>
        <w:ind w:right="200" w:firstLine="458"/>
        <w:spacing w:after="0" w:line="275" w:lineRule="auto"/>
        <w:rPr>
          <w:sz w:val="20"/>
          <w:szCs w:val="20"/>
          <w:color w:val="auto"/>
        </w:rPr>
      </w:pPr>
      <w:r>
        <w:rPr>
          <w:rFonts w:ascii="Arial" w:cs="Arial" w:eastAsia="Arial" w:hAnsi="Arial"/>
          <w:sz w:val="14"/>
          <w:szCs w:val="14"/>
          <w:color w:val="auto"/>
        </w:rPr>
        <w:t xml:space="preserve">Following the conclusion of the digital carousel, the branded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commences with a digital full-motion presentation.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replaced the entertainment pre-shows of AMC and Regal in order to provide a more entertaining pre-feature program for theatre patrons and a more effective advertising platform.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integrates advertising with entertainment content segments from our content partners.</w:t>
      </w:r>
    </w:p>
    <w:p>
      <w:pPr>
        <w:spacing w:after="0" w:line="102"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i w:val="1"/>
          <w:iCs w:val="1"/>
          <w:color w:val="auto"/>
        </w:rPr>
        <w:t xml:space="preserve">FirstLook </w:t>
      </w:r>
      <w:r>
        <w:rPr>
          <w:rFonts w:ascii="Arial" w:cs="Arial" w:eastAsia="Arial" w:hAnsi="Arial"/>
          <w:sz w:val="14"/>
          <w:szCs w:val="14"/>
          <w:color w:val="auto"/>
        </w:rPr>
        <w:t>is comprised of up to four segments, each approximately four to seven minutes in length. Segment four, the first section of</w:t>
      </w:r>
      <w:r>
        <w:rPr>
          <w:rFonts w:ascii="Arial" w:cs="Arial" w:eastAsia="Arial" w:hAnsi="Arial"/>
          <w:sz w:val="14"/>
          <w:szCs w:val="14"/>
          <w:i w:val="1"/>
          <w:iCs w:val="1"/>
          <w:color w:val="auto"/>
        </w:rPr>
        <w:t xml:space="preserve"> FirstLook</w:t>
      </w:r>
      <w:r>
        <w:rPr>
          <w:rFonts w:ascii="Arial" w:cs="Arial" w:eastAsia="Arial" w:hAnsi="Arial"/>
          <w:sz w:val="14"/>
          <w:szCs w:val="14"/>
          <w:color w:val="auto"/>
        </w:rPr>
        <w:t>, begins approximately 20 minutes prior to the</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advertised show time and generally includes local and regional advertising. Segment four generally competes against the spot broadcast television market for advertising spending. Segment three typically begins approximately 15 minutes prior to the advertised show time. Segment three includes a two and one-half minute entertainment content segment from our content partners and advertising spots, usually from regional advertisers or national companies with limited advertising budgets.</w:t>
      </w:r>
    </w:p>
    <w:p>
      <w:pPr>
        <w:spacing w:after="0" w:line="106" w:lineRule="exact"/>
        <w:rPr>
          <w:sz w:val="20"/>
          <w:szCs w:val="20"/>
          <w:color w:val="auto"/>
        </w:rPr>
      </w:pPr>
    </w:p>
    <w:p>
      <w:pPr>
        <w:ind w:right="260" w:firstLine="458"/>
        <w:spacing w:after="0" w:line="275" w:lineRule="auto"/>
        <w:rPr>
          <w:sz w:val="20"/>
          <w:szCs w:val="20"/>
          <w:color w:val="auto"/>
        </w:rPr>
      </w:pPr>
      <w:r>
        <w:rPr>
          <w:rFonts w:ascii="Arial" w:cs="Arial" w:eastAsia="Arial" w:hAnsi="Arial"/>
          <w:sz w:val="14"/>
          <w:szCs w:val="14"/>
          <w:color w:val="auto"/>
        </w:rPr>
        <w:t>Segment two and segment one run closest to the advertised show time and comprise our most valuable advertising inventory. Both segment two and segment one include a two and one-half minute entertainment content segment from our content partners and advertisements from national advertisers. Segment two and segment one begin approximately 11 minutes and six minutes, respectively, before the advertised show time.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The film trailers that typically run before the feature film are not part of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Film trailers do not begin until after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ends.</w:t>
      </w:r>
    </w:p>
    <w:p>
      <w:pPr>
        <w:spacing w:after="0" w:line="145"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Our entertainment content segments are provided to us under multi-year contractual arrangements with leading media companies that we refer to as content partners. Under the terms of these contracts, our content</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40"/>
          </w:cols>
          <w:pgMar w:left="220" w:top="398" w:right="23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partners make available to us original content segments and make long term commitments to buy a portion of our advertising inventory. Our content partners currently include Discovery Communications, Inc., or Discovery; NBC Universal, or NBC; Sony Pictures Entertainment, or Sony; Turner Broadcasting System Inc., or TBS; and Universal City Studios, or Universal. The original content produced by these partners typically features behind-the-scenes interviews with producers, directors and actors or “making-of” segments relating to feature films or upcoming broadcast television shows.</w:t>
      </w:r>
    </w:p>
    <w:p>
      <w:pPr>
        <w:spacing w:after="0" w:line="106" w:lineRule="exact"/>
        <w:rPr>
          <w:sz w:val="20"/>
          <w:szCs w:val="20"/>
          <w:color w:val="auto"/>
        </w:rPr>
      </w:pPr>
    </w:p>
    <w:p>
      <w:pPr>
        <w:jc w:val="both"/>
        <w:ind w:right="280" w:firstLine="458"/>
        <w:spacing w:after="0" w:line="275" w:lineRule="auto"/>
        <w:rPr>
          <w:sz w:val="20"/>
          <w:szCs w:val="20"/>
          <w:color w:val="auto"/>
        </w:rPr>
      </w:pPr>
      <w:r>
        <w:rPr>
          <w:rFonts w:ascii="Arial" w:cs="Arial" w:eastAsia="Arial" w:hAnsi="Arial"/>
          <w:sz w:val="14"/>
          <w:szCs w:val="14"/>
          <w:color w:val="auto"/>
        </w:rPr>
        <w:t xml:space="preserve">We offer multiple versions of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each month, generally tailored to a specific film rating category.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 xml:space="preserve">Our goal in creating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in other media platforms or with original content that is specifically created for cinema. We also offer pre- and post-production services to our clients for a fee to enhance the quality of the content we display.</w:t>
      </w:r>
    </w:p>
    <w:p>
      <w:pPr>
        <w:spacing w:after="0" w:line="102"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also includes up to two minutes for founding member advertisements to promote various activities associated with the operation of the theatres, including concessions, ticketing partners, gift card and loyalty programs, special events presented by the founding member and vendors of services provided to theatres, so long as such promotion is incidental to the vendor’s service. This time is provided by us to the founding members at no charge and includes 45 seconds within 15 minutes of show time, 15 seconds of which will be placed within 11 minutes of show time, and the remainder placed at our discretion. We may move the placement of the founding member advertisements up to one minute further from the advertised movie show time if NCM LLC sells additional advertising units to third parties that follow the founding member advertisements.</w:t>
      </w:r>
    </w:p>
    <w:p>
      <w:pPr>
        <w:spacing w:after="0" w:line="110"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 xml:space="preserve">Under the exhibitor services agreements, the last 90 seconds of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will be sold to the founding members to satisfy their on-screen advertising commitments under their beverage concessionaire agreements. The arrangements with our founding members relating to on-screen advertising for their beverage concessionaires and the agreements with our content partners represented approximately 37.8% of our total revenue for the nine months ended September 28, 2006 on a pro forma basis.</w:t>
      </w:r>
    </w:p>
    <w:p>
      <w:pPr>
        <w:spacing w:after="0" w:line="102"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 xml:space="preserve">We believe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has been well received by patrons. In a study conducted for us by </w:t>
      </w:r>
      <w:r>
        <w:rPr>
          <w:rFonts w:ascii="Arial" w:cs="Arial" w:eastAsia="Arial" w:hAnsi="Arial"/>
          <w:sz w:val="14"/>
          <w:szCs w:val="14"/>
          <w:i w:val="1"/>
          <w:iCs w:val="1"/>
          <w:color w:val="auto"/>
        </w:rPr>
        <w:t>OTX Screenings</w:t>
      </w:r>
      <w:r>
        <w:rPr>
          <w:rFonts w:ascii="Arial" w:cs="Arial" w:eastAsia="Arial" w:hAnsi="Arial"/>
          <w:sz w:val="14"/>
          <w:szCs w:val="14"/>
          <w:color w:val="auto"/>
        </w:rPr>
        <w:t xml:space="preserve"> in June 2006, 70% of those surveyed found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to be “very” or “somewhat” entertaining and nearly half said that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had a “very” or “somewhat” positive effect on their movie-going experience. In a separate study conducted by </w:t>
      </w:r>
      <w:r>
        <w:rPr>
          <w:rFonts w:ascii="Arial" w:cs="Arial" w:eastAsia="Arial" w:hAnsi="Arial"/>
          <w:sz w:val="14"/>
          <w:szCs w:val="14"/>
          <w:i w:val="1"/>
          <w:iCs w:val="1"/>
          <w:color w:val="auto"/>
        </w:rPr>
        <w:t>King Brown</w:t>
      </w:r>
      <w:r>
        <w:rPr>
          <w:rFonts w:ascii="Arial" w:cs="Arial" w:eastAsia="Arial" w:hAnsi="Arial"/>
          <w:sz w:val="14"/>
          <w:szCs w:val="14"/>
          <w:color w:val="auto"/>
        </w:rPr>
        <w:t xml:space="preserve"> in 2004, 74% of respondents indicated they preferred a branded, pre-feature entertainment and advertising program such as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to a traditional advertising slide show.</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Lobby Network and Promotions</w:t>
      </w:r>
    </w:p>
    <w:p>
      <w:pPr>
        <w:spacing w:after="0" w:line="79"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i w:val="1"/>
          <w:iCs w:val="1"/>
          <w:color w:val="auto"/>
        </w:rPr>
        <w:t xml:space="preserve">Lobby Entertainment Network. </w:t>
      </w:r>
      <w:r>
        <w:rPr>
          <w:rFonts w:ascii="Arial" w:cs="Arial" w:eastAsia="Arial" w:hAnsi="Arial"/>
          <w:sz w:val="14"/>
          <w:szCs w:val="14"/>
          <w:color w:val="auto"/>
        </w:rPr>
        <w:t>Our lobby entertainment network is a network of television and high-definition plasma screens located throughout the lobbies of most of our digitally equipped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theatres. As of September 28, 2006, we had 1,722 screens in 670 theatres connected to our digital content network. The lobby entertainment network screens are strategically placed in high-traffic locations such as concession stands and auditorium waiting areas. Programming on our lobby entertainment network consists of an approximately 30-minute loop of five branded entertainment content segments created specifically for the lobby with advertisements running between each segment. Our lobby entertainment network programming is distributed by our network operations center and has the same programming flexibility as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on-screen programming. The lobby entertainment network is currently displaying the same program simultaneously on all screens within a given theatre, which we believe provides the maximum impact for our advertisers. A study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20" w:top="398" w:right="25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 xml:space="preserve">our lobby entertainment network conducted by </w:t>
      </w:r>
      <w:r>
        <w:rPr>
          <w:rFonts w:ascii="Arial" w:cs="Arial" w:eastAsia="Arial" w:hAnsi="Arial"/>
          <w:sz w:val="14"/>
          <w:szCs w:val="14"/>
          <w:i w:val="1"/>
          <w:iCs w:val="1"/>
          <w:color w:val="auto"/>
        </w:rPr>
        <w:t>RH Bruskin Marketing, Inc</w:t>
      </w:r>
      <w:r>
        <w:rPr>
          <w:rFonts w:ascii="Arial" w:cs="Arial" w:eastAsia="Arial" w:hAnsi="Arial"/>
          <w:sz w:val="14"/>
          <w:szCs w:val="14"/>
          <w:color w:val="auto"/>
        </w:rPr>
        <w:t>. in June 2005 showed that the combination of screen placement, high-impact content and advertising produced recall rates that were three times those of prime time television advertising. We sell advertising on the lobby entertainment network individually or bundled with on-screen or other lobby promotions. The lobby entertainment network programming includes up to two minutes for founding member advertisements to promote activities associated with the operation of the theatres, including concessions, ticketing partners, gift card and loyalty programs, special events presented by the founding member, vendors of services provided to theatres, so long as such promotion is incidental to the vendor’s service. Additionally, subject to certain limitations, the lobby entertainment network programming includes up to two minutes, one minute of which we provide to the founding member at no cost and one minute of which the founding member may purchase, to promote certain non-exclusive cross-marketing relationships entered into by the founding members for the purpose of increasing attendance or revenue, other than from advertising, which we call strategic programs.</w:t>
      </w:r>
    </w:p>
    <w:p>
      <w:pPr>
        <w:spacing w:after="0" w:line="111"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Under the terms of the exhibitor services agreements, the founding members also have the right to install additional screens in their theatre lobbies, which would not display our lobby entertainment network programming, and would be used to promote their theatre concessions, ticketing partners, gift card and loyalty programs, special events presented by the founding member and vendors of services provided to theatres, so long as such promotion is incidental to the vendor’s service.</w:t>
      </w:r>
    </w:p>
    <w:p>
      <w:pPr>
        <w:spacing w:after="0" w:line="102"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i w:val="1"/>
          <w:iCs w:val="1"/>
          <w:color w:val="auto"/>
        </w:rPr>
        <w:t xml:space="preserve">Lobby Promotions. </w:t>
      </w:r>
      <w:r>
        <w:rPr>
          <w:rFonts w:ascii="Arial" w:cs="Arial" w:eastAsia="Arial" w:hAnsi="Arial"/>
          <w:sz w:val="14"/>
          <w:szCs w:val="14"/>
          <w:color w:val="auto"/>
        </w:rPr>
        <w:t>We also sell a wide variety of advertising and promotional products in our theatre lobbies. These products can be sold individually or bundled with an on-screen or lobby</w:t>
      </w:r>
      <w:r>
        <w:rPr>
          <w:rFonts w:ascii="Arial" w:cs="Arial" w:eastAsia="Arial" w:hAnsi="Arial"/>
          <w:sz w:val="14"/>
          <w:szCs w:val="14"/>
          <w:i w:val="1"/>
          <w:iCs w:val="1"/>
          <w:color w:val="auto"/>
        </w:rPr>
        <w:t xml:space="preserve"> </w:t>
      </w:r>
      <w:r>
        <w:rPr>
          <w:rFonts w:ascii="Arial" w:cs="Arial" w:eastAsia="Arial" w:hAnsi="Arial"/>
          <w:sz w:val="14"/>
          <w:szCs w:val="14"/>
          <w:color w:val="auto"/>
        </w:rPr>
        <w:t>entertainment network advertising package. Lobby promotions typically include:</w:t>
      </w:r>
    </w:p>
    <w:p>
      <w:pPr>
        <w:spacing w:after="0" w:line="28" w:lineRule="exact"/>
        <w:rPr>
          <w:sz w:val="20"/>
          <w:szCs w:val="20"/>
          <w:color w:val="auto"/>
        </w:rPr>
      </w:pPr>
    </w:p>
    <w:p>
      <w:pPr>
        <w:ind w:left="780" w:hanging="240"/>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advertising on tickets and concession items such as beverage cups, popcorn bags and kids’ trays;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coupons and promotional materials, which are customizable by film or film rating category and are distributed to ticket buyers at the box office;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product sampling and display;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signage throughout the lobbies, including posters, banners, counter cards, danglers, floor mats, standees and window clings.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Under the terms of the exhibitor services agreements, the founding members may conduct a limited number of lobby promotions at no charge in connection with their strategic programs.</w:t>
      </w:r>
    </w:p>
    <w:p>
      <w:pPr>
        <w:spacing w:after="0" w:line="157"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CineMeetings</w:t>
      </w:r>
    </w:p>
    <w:p>
      <w:pPr>
        <w:spacing w:after="0" w:line="79"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Our CineMeetings business facilitates live and pre-recorded networked and single-site business meetings and corporate events in movie theatres. These events are typically scheduled from Monday through Thursday during off-peak hours while theatre attendance for movies is traditionally low. Clients can communicate on a live basis to audiences located in auditoriums connected to our cinema broadcast network. As of September 28, 2006, there were 119 locations set up to accommodate live broadcasts. At our digital content network locations, in-person presentations or pre-recorded content can be presented. Event content broadcast over our cinema broadcast network or digital content network is encrypted to protect against piracy.</w:t>
      </w:r>
    </w:p>
    <w:p>
      <w:pPr>
        <w:spacing w:after="0" w:line="91"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We offer meetings that enhance the educational and entertainment value of a presentation by utilizing the big screen, stadium seating, high-resolution digital projection and audio. Our network also facilitates large meetings in multiple locations across the U.S. We provide centralized event management including booking,</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20" w:top="399" w:right="2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60"/>
        <w:spacing w:after="0" w:line="305" w:lineRule="auto"/>
        <w:rPr>
          <w:sz w:val="20"/>
          <w:szCs w:val="20"/>
          <w:color w:val="auto"/>
        </w:rPr>
      </w:pPr>
      <w:r>
        <w:rPr>
          <w:rFonts w:ascii="Arial" w:cs="Arial" w:eastAsia="Arial" w:hAnsi="Arial"/>
          <w:sz w:val="13"/>
          <w:szCs w:val="13"/>
          <w:color w:val="auto"/>
        </w:rPr>
        <w:t>event coordination and execution, technical support, promotional tools, advanced audio/visual technologies and catering services. We are able to offer customers a single point of contact and standardized pricing across our network, which dramatically increases the efficiency of booking multi-location events for our clients. We promote our CineMeetings business throughout the theatre. Recent CineMeetings events have included corporate meetings, training seminars, product launches, religious services and sales and marketing events.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Digital Programming Events</w:t>
      </w:r>
    </w:p>
    <w:p>
      <w:pPr>
        <w:spacing w:after="0" w:line="79" w:lineRule="exact"/>
        <w:rPr>
          <w:sz w:val="20"/>
          <w:szCs w:val="20"/>
          <w:color w:val="auto"/>
        </w:rPr>
      </w:pPr>
    </w:p>
    <w:p>
      <w:pPr>
        <w:ind w:right="120" w:firstLine="458"/>
        <w:spacing w:after="0" w:line="290" w:lineRule="auto"/>
        <w:rPr>
          <w:sz w:val="20"/>
          <w:szCs w:val="20"/>
          <w:color w:val="auto"/>
        </w:rPr>
      </w:pPr>
      <w:r>
        <w:rPr>
          <w:rFonts w:ascii="Arial" w:cs="Arial" w:eastAsia="Arial" w:hAnsi="Arial"/>
          <w:sz w:val="13"/>
          <w:szCs w:val="13"/>
          <w:color w:val="auto"/>
        </w:rPr>
        <w:t xml:space="preserve">Our digital programming events business focuses on the licensing and distribution of entertainment programming products and the sale of sponsorships associated with live or pre-recorded programming on an event-by-event basis or for a series of events. Our digital content network provides a highly attractive high-definition distribution network for this type of programming and promotional opportunities for national brands. Our digital programming events include live and pre-recorded concerts and music events, DVD product releases, marketing events, theatrical premieres, Broadway plays, live sporting events and other special events. Recent events have included concerts by musical performers such as Bruce Springsteen, the Rolling Stones, Phish and Prince, and broadcasts of sporting events such as the Tour de France and marketing events for the DVD releases of </w:t>
      </w:r>
      <w:r>
        <w:rPr>
          <w:rFonts w:ascii="Arial" w:cs="Arial" w:eastAsia="Arial" w:hAnsi="Arial"/>
          <w:sz w:val="13"/>
          <w:szCs w:val="13"/>
          <w:i w:val="1"/>
          <w:iCs w:val="1"/>
          <w:color w:val="auto"/>
        </w:rPr>
        <w:t>Wedding Crashers</w:t>
      </w:r>
      <w:r>
        <w:rPr>
          <w:rFonts w:ascii="Arial" w:cs="Arial" w:eastAsia="Arial" w:hAnsi="Arial"/>
          <w:sz w:val="13"/>
          <w:szCs w:val="13"/>
          <w:color w:val="auto"/>
        </w:rPr>
        <w:t xml:space="preserve"> and </w:t>
      </w:r>
      <w:r>
        <w:rPr>
          <w:rFonts w:ascii="Arial" w:cs="Arial" w:eastAsia="Arial" w:hAnsi="Arial"/>
          <w:sz w:val="13"/>
          <w:szCs w:val="13"/>
          <w:i w:val="1"/>
          <w:iCs w:val="1"/>
          <w:color w:val="auto"/>
        </w:rPr>
        <w:t>The Boondock Saints</w:t>
      </w:r>
      <w:r>
        <w:rPr>
          <w:rFonts w:ascii="Arial" w:cs="Arial" w:eastAsia="Arial" w:hAnsi="Arial"/>
          <w:sz w:val="13"/>
          <w:szCs w:val="13"/>
          <w:color w:val="auto"/>
        </w:rPr>
        <w:t>. Event content is broadcast over either our cinema broadcast network or our digital content network and encrypted for piracy protection. As of September 28, 2006, our network has the capability to deliver:</w:t>
      </w:r>
    </w:p>
    <w:p>
      <w:pPr>
        <w:spacing w:after="0" w:line="31" w:lineRule="exact"/>
        <w:rPr>
          <w:sz w:val="20"/>
          <w:szCs w:val="20"/>
          <w:color w:val="auto"/>
        </w:rPr>
      </w:pPr>
    </w:p>
    <w:p>
      <w:pPr>
        <w:ind w:left="780" w:hanging="240"/>
        <w:spacing w:after="0"/>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live high-definition content to 119 theatres with up to four screens per theatre;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live standard definition content to 173 theatres with up to four screens per theatre;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high-definition pre-recorded content to virtually all of the 11,077 digital screens in our network.</w:t>
      </w:r>
    </w:p>
    <w:p>
      <w:pPr>
        <w:spacing w:after="0" w:line="145"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 xml:space="preserve">We advertise digital programming events on our network either through a digital trailer shown after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or during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using unsold advertising inventory. Clients who buy event sponsorships associated with digital programming events may use any one of our other advertising services in order to market their brands or products.</w:t>
      </w:r>
    </w:p>
    <w:p>
      <w:pPr>
        <w:spacing w:after="0" w:line="93"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In 2005, our digital programming events business held 15 events. In 2006, we held 22 events, and we have 13-15 events planned for the first half of 2007. In May 2006, we signed music content and cross-marketing agreements with Live Nation and Network LIVE, two of the largest concert promoters in the world, based on the number of tickets sold worldwide in 2005. We believe these new partnerships will provide us with a consistent supply of music programming and an additional marketing channel. In the fourth quarter of 2006, Network LIVE dissolved and NCM LLC began working with Control Room, which has taken over production of the content formerly produced by Network LIVE. NCM LLC intends to negotiate a term sheet with Control Room, and already has distributed content produced by Control Room across our network.</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our key competitive strengths include: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Superior, Targeted National Advertising Network</w:t>
      </w:r>
    </w:p>
    <w:p>
      <w:pPr>
        <w:spacing w:after="0" w:line="79"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Our national advertising network delivers a young and affluent audience that we believe allows for effective targeting of marketing messages and measurable results, yielding a superior return on investment for advertisers as compared to many traditional media platforms. As a result, we are able to compete effectively for marketing spending by advertisers and have developed relationships with a diversified group of local, regional and national advertising brands and agencies throughout the United States.</w:t>
      </w:r>
    </w:p>
    <w:p>
      <w:pPr>
        <w:spacing w:after="0" w:line="33" w:lineRule="exact"/>
        <w:rPr>
          <w:sz w:val="20"/>
          <w:szCs w:val="20"/>
          <w:color w:val="auto"/>
        </w:rPr>
      </w:pPr>
    </w:p>
    <w:p>
      <w:pPr>
        <w:ind w:left="780" w:right="60" w:hanging="240"/>
        <w:spacing w:after="0" w:line="295" w:lineRule="auto"/>
        <w:tabs>
          <w:tab w:leader="none" w:pos="78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Extensive National Market Coverage. </w:t>
      </w:r>
      <w:r>
        <w:rPr>
          <w:rFonts w:ascii="Arial" w:cs="Arial" w:eastAsia="Arial" w:hAnsi="Arial"/>
          <w:sz w:val="14"/>
          <w:szCs w:val="14"/>
          <w:color w:val="auto"/>
        </w:rPr>
        <w:t>Our contractual agreements with our founding members provide exclusive access, subject to limited exceptions, to the largest network of digitally</w:t>
      </w:r>
      <w:r>
        <w:rPr>
          <w:rFonts w:ascii="Arial" w:cs="Arial" w:eastAsia="Arial" w:hAnsi="Arial"/>
          <w:sz w:val="14"/>
          <w:szCs w:val="14"/>
          <w:b w:val="1"/>
          <w:bCs w:val="1"/>
          <w:color w:val="auto"/>
        </w:rPr>
        <w:t xml:space="preserve"> </w:t>
      </w:r>
      <w:r>
        <w:rPr>
          <w:rFonts w:ascii="Arial" w:cs="Arial" w:eastAsia="Arial" w:hAnsi="Arial"/>
          <w:sz w:val="14"/>
          <w:szCs w:val="14"/>
          <w:color w:val="auto"/>
        </w:rPr>
        <w:t>equipped theatres in the United States and allow us to sell advertising nationwide which we distribute using our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60"/>
          </w:cols>
          <w:pgMar w:left="220" w:top="398" w:right="21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right="100"/>
        <w:spacing w:after="0" w:line="274" w:lineRule="auto"/>
        <w:rPr>
          <w:sz w:val="20"/>
          <w:szCs w:val="20"/>
          <w:color w:val="auto"/>
        </w:rPr>
      </w:pPr>
      <w:r>
        <w:rPr>
          <w:rFonts w:ascii="Arial" w:cs="Arial" w:eastAsia="Arial" w:hAnsi="Arial"/>
          <w:sz w:val="13"/>
          <w:szCs w:val="13"/>
          <w:color w:val="auto"/>
        </w:rPr>
        <w:t>digital content network. We also have contractual agreements with our network affiliates that give us the exclusive right, subject to limited exceptions, to sell advertising on their theatre screens. As of September 28, 2006, our network included 11,077 digital screens and 12,973 screens in total, located in 1,033 theatres in 46 states and the District of Columbia. The attendance of the 946 theatres operated by our founding members totaled approximately 500 million during 2005, which represented approximately 36% of the total U.S. theatre attendance for that year, as reported by the MPAA. Our network also provides us with access to some of the most modern and highly attended theatres in the industry, as measured by screens per location and attendance per screen operated by our founding members. The average screens per theatre in our network was 12.6, twice the U.S. theatre industry average, the aggregate attendance per screen of theatres operated by our founding members as of September 28, 2006, was 41,482, 12% higher than the U.S. theatre industry of 37,096, as reported by the National Association of Theatre Owners, or NATO, as of December 31, 2005. Also, our theatre network has access to key media markets, including all of the top 25, as well as, 49 of the top 50, U.S. DMAs</w:t>
      </w:r>
      <w:r>
        <w:rPr>
          <w:rFonts w:ascii="Arial" w:cs="Arial" w:eastAsia="Arial" w:hAnsi="Arial"/>
          <w:sz w:val="17"/>
          <w:szCs w:val="17"/>
          <w:color w:val="auto"/>
          <w:vertAlign w:val="superscript"/>
        </w:rPr>
        <w:t>®</w:t>
      </w:r>
      <w:r>
        <w:rPr>
          <w:rFonts w:ascii="Arial" w:cs="Arial" w:eastAsia="Arial" w:hAnsi="Arial"/>
          <w:sz w:val="13"/>
          <w:szCs w:val="13"/>
          <w:color w:val="auto"/>
        </w:rPr>
        <w:t>, and 149 DMAs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total. Approximately 75% of our screens are located within the top 50 U.S. DMAs</w:t>
      </w:r>
      <w:r>
        <w:rPr>
          <w:rFonts w:ascii="Arial" w:cs="Arial" w:eastAsia="Arial" w:hAnsi="Arial"/>
          <w:sz w:val="17"/>
          <w:szCs w:val="17"/>
          <w:color w:val="auto"/>
          <w:vertAlign w:val="superscript"/>
        </w:rPr>
        <w:t>®</w:t>
      </w:r>
      <w:r>
        <w:rPr>
          <w:rFonts w:ascii="Arial" w:cs="Arial" w:eastAsia="Arial" w:hAnsi="Arial"/>
          <w:sz w:val="13"/>
          <w:szCs w:val="13"/>
          <w:color w:val="auto"/>
        </w:rPr>
        <w:t>. The addition of the Loews and Century theatres will expand our national market coverage and presence in key U.S. DMAs</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5" w:lineRule="exact"/>
        <w:rPr>
          <w:sz w:val="20"/>
          <w:szCs w:val="20"/>
          <w:color w:val="auto"/>
        </w:rPr>
      </w:pPr>
    </w:p>
    <w:p>
      <w:pPr>
        <w:ind w:left="780" w:right="140" w:hanging="240"/>
        <w:spacing w:after="0" w:line="308" w:lineRule="auto"/>
        <w:tabs>
          <w:tab w:leader="none" w:pos="780" w:val="left"/>
        </w:tabs>
        <w:numPr>
          <w:ilvl w:val="0"/>
          <w:numId w:val="67"/>
        </w:numPr>
        <w:rPr>
          <w:rFonts w:ascii="Arial" w:cs="Arial" w:eastAsia="Arial" w:hAnsi="Arial"/>
          <w:sz w:val="13"/>
          <w:szCs w:val="13"/>
          <w:color w:val="auto"/>
        </w:rPr>
      </w:pPr>
      <w:r>
        <w:rPr>
          <w:rFonts w:ascii="Arial" w:cs="Arial" w:eastAsia="Arial" w:hAnsi="Arial"/>
          <w:sz w:val="13"/>
          <w:szCs w:val="13"/>
          <w:b w:val="1"/>
          <w:bCs w:val="1"/>
          <w:color w:val="auto"/>
        </w:rPr>
        <w:t xml:space="preserve">Targeted, Flexible Advertising Medium. </w:t>
      </w:r>
      <w:r>
        <w:rPr>
          <w:rFonts w:ascii="Arial" w:cs="Arial" w:eastAsia="Arial" w:hAnsi="Arial"/>
          <w:sz w:val="13"/>
          <w:szCs w:val="13"/>
          <w:color w:val="auto"/>
        </w:rPr>
        <w:t>Our digital network technology gives us flexibility in distributing content to our entire audience, or to specific theatres, geographic regions, or</w:t>
      </w:r>
      <w:r>
        <w:rPr>
          <w:rFonts w:ascii="Arial" w:cs="Arial" w:eastAsia="Arial" w:hAnsi="Arial"/>
          <w:sz w:val="13"/>
          <w:szCs w:val="13"/>
          <w:b w:val="1"/>
          <w:bCs w:val="1"/>
          <w:color w:val="auto"/>
        </w:rPr>
        <w:t xml:space="preserve"> </w:t>
      </w:r>
      <w:r>
        <w:rPr>
          <w:rFonts w:ascii="Arial" w:cs="Arial" w:eastAsia="Arial" w:hAnsi="Arial"/>
          <w:sz w:val="13"/>
          <w:szCs w:val="13"/>
          <w:color w:val="auto"/>
        </w:rPr>
        <w:t>demographic groups based on film or film rating category. As a result, our clients can deliver a targeted advertising message utilizing sight, sound and motion across our expansive network. Our technology also shortens distribution lead times, reduces operating costs and enables us to respond quickly to client requests to change advertising content.</w:t>
      </w:r>
    </w:p>
    <w:p>
      <w:pPr>
        <w:spacing w:after="0" w:line="14" w:lineRule="exact"/>
        <w:rPr>
          <w:rFonts w:ascii="Arial" w:cs="Arial" w:eastAsia="Arial" w:hAnsi="Arial"/>
          <w:sz w:val="13"/>
          <w:szCs w:val="13"/>
          <w:color w:val="auto"/>
        </w:rPr>
      </w:pPr>
    </w:p>
    <w:p>
      <w:pPr>
        <w:ind w:left="780" w:right="100" w:hanging="240"/>
        <w:spacing w:after="0" w:line="272" w:lineRule="auto"/>
        <w:tabs>
          <w:tab w:leader="none" w:pos="780"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 xml:space="preserve">Access to a Highly Attractive Demographic Segment. </w:t>
      </w:r>
      <w:r>
        <w:rPr>
          <w:rFonts w:ascii="Arial" w:cs="Arial" w:eastAsia="Arial" w:hAnsi="Arial"/>
          <w:sz w:val="14"/>
          <w:szCs w:val="14"/>
          <w:color w:val="auto"/>
        </w:rPr>
        <w:t>We offer advertisers the ability to reach young and affluent consumers. According to a</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Nielsen Media Research</w:t>
      </w:r>
      <w:r>
        <w:rPr>
          <w:rFonts w:ascii="Arial" w:cs="Arial" w:eastAsia="Arial" w:hAnsi="Arial"/>
          <w:sz w:val="14"/>
          <w:szCs w:val="14"/>
          <w:b w:val="1"/>
          <w:bCs w:val="1"/>
          <w:color w:val="auto"/>
        </w:rPr>
        <w:t xml:space="preserve"> </w:t>
      </w:r>
      <w:r>
        <w:rPr>
          <w:rFonts w:ascii="Arial" w:cs="Arial" w:eastAsia="Arial" w:hAnsi="Arial"/>
          <w:sz w:val="14"/>
          <w:szCs w:val="14"/>
          <w:color w:val="auto"/>
        </w:rPr>
        <w:t>study conducted</w:t>
      </w:r>
      <w:r>
        <w:rPr>
          <w:rFonts w:ascii="Arial" w:cs="Arial" w:eastAsia="Arial" w:hAnsi="Arial"/>
          <w:sz w:val="14"/>
          <w:szCs w:val="14"/>
          <w:b w:val="1"/>
          <w:bCs w:val="1"/>
          <w:color w:val="auto"/>
        </w:rPr>
        <w:t xml:space="preserve"> </w:t>
      </w:r>
      <w:r>
        <w:rPr>
          <w:rFonts w:ascii="Arial" w:cs="Arial" w:eastAsia="Arial" w:hAnsi="Arial"/>
          <w:sz w:val="14"/>
          <w:szCs w:val="14"/>
          <w:color w:val="auto"/>
        </w:rPr>
        <w:t>in the first quarter of 2006, typical movie-goers are young, with 45% between the ages of 12-34; affluent, with a mean household income of over $67,000 compared to a national mean of $60,523; and well-educated, 39% having a college or post-graduate degree compared to 28% of the general population. We believe that this demographic is highly sought after by advertisers and is difficult to reach effectively using traditional media platforms.</w:t>
      </w:r>
    </w:p>
    <w:p>
      <w:pPr>
        <w:spacing w:after="0" w:line="35" w:lineRule="exact"/>
        <w:rPr>
          <w:rFonts w:ascii="Arial" w:cs="Arial" w:eastAsia="Arial" w:hAnsi="Arial"/>
          <w:sz w:val="14"/>
          <w:szCs w:val="14"/>
          <w:color w:val="auto"/>
        </w:rPr>
      </w:pPr>
    </w:p>
    <w:p>
      <w:pPr>
        <w:jc w:val="both"/>
        <w:ind w:left="780" w:right="60" w:hanging="240"/>
        <w:spacing w:after="0" w:line="278" w:lineRule="auto"/>
        <w:tabs>
          <w:tab w:leader="none" w:pos="780"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 xml:space="preserve">Engaged Theatre Audience. </w:t>
      </w:r>
      <w:r>
        <w:rPr>
          <w:rFonts w:ascii="Arial" w:cs="Arial" w:eastAsia="Arial" w:hAnsi="Arial"/>
          <w:sz w:val="14"/>
          <w:szCs w:val="14"/>
          <w:color w:val="auto"/>
        </w:rPr>
        <w:t>We believe that cinema advertising benefits from the visual quality and impact of the “big screen” and digital surround sound presented in a distraction-free</w:t>
      </w:r>
      <w:r>
        <w:rPr>
          <w:rFonts w:ascii="Arial" w:cs="Arial" w:eastAsia="Arial" w:hAnsi="Arial"/>
          <w:sz w:val="14"/>
          <w:szCs w:val="14"/>
          <w:b w:val="1"/>
          <w:bCs w:val="1"/>
          <w:color w:val="auto"/>
        </w:rPr>
        <w:t xml:space="preserve"> </w:t>
      </w:r>
      <w:r>
        <w:rPr>
          <w:rFonts w:ascii="Arial" w:cs="Arial" w:eastAsia="Arial" w:hAnsi="Arial"/>
          <w:sz w:val="14"/>
          <w:szCs w:val="14"/>
          <w:color w:val="auto"/>
        </w:rPr>
        <w:t>environment. According to industry studies, theatre advertising is five to six times more effective than advertising shown on television in terms of unaided recall rates. Cinema advertising is one of the few media platforms that the viewer does not have the ability to skip or turn off.</w:t>
      </w:r>
    </w:p>
    <w:p>
      <w:pPr>
        <w:spacing w:after="0" w:line="30" w:lineRule="exact"/>
        <w:rPr>
          <w:rFonts w:ascii="Arial" w:cs="Arial" w:eastAsia="Arial" w:hAnsi="Arial"/>
          <w:sz w:val="14"/>
          <w:szCs w:val="14"/>
          <w:color w:val="auto"/>
        </w:rPr>
      </w:pPr>
    </w:p>
    <w:p>
      <w:pPr>
        <w:ind w:left="780" w:hanging="240"/>
        <w:spacing w:after="0" w:line="269" w:lineRule="auto"/>
        <w:tabs>
          <w:tab w:leader="none" w:pos="780"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 xml:space="preserve">Superior Audience Measurability. </w:t>
      </w:r>
      <w:r>
        <w:rPr>
          <w:rFonts w:ascii="Arial" w:cs="Arial" w:eastAsia="Arial" w:hAnsi="Arial"/>
          <w:sz w:val="14"/>
          <w:szCs w:val="14"/>
          <w:color w:val="auto"/>
        </w:rPr>
        <w:t>We receive film-by-film, rating-by-rating and theatre-by-theatre attendance information weekly from our founding members, which allows us to report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clients the audience size that viewed an advertisement. We believe this unique ability to provide advertisers with actual audience counts gives us a distinct competitive advantage over traditional media platforms. We also provide our advertisers with information regarding the demographics of the cinema audience and the effectiveness of a given advertisement using research from several third-party research companies such as </w:t>
      </w:r>
      <w:r>
        <w:rPr>
          <w:rFonts w:ascii="Arial" w:cs="Arial" w:eastAsia="Arial" w:hAnsi="Arial"/>
          <w:sz w:val="14"/>
          <w:szCs w:val="14"/>
          <w:i w:val="1"/>
          <w:iCs w:val="1"/>
          <w:color w:val="auto"/>
        </w:rPr>
        <w:t>Nielsen Media Research</w:t>
      </w:r>
      <w:r>
        <w:rPr>
          <w:rFonts w:ascii="Arial" w:cs="Arial" w:eastAsia="Arial" w:hAnsi="Arial"/>
          <w:sz w:val="14"/>
          <w:szCs w:val="14"/>
          <w:color w:val="auto"/>
        </w:rPr>
        <w:t xml:space="preserve"> and </w:t>
      </w:r>
      <w:r>
        <w:rPr>
          <w:rFonts w:ascii="Arial" w:cs="Arial" w:eastAsia="Arial" w:hAnsi="Arial"/>
          <w:sz w:val="14"/>
          <w:szCs w:val="14"/>
          <w:i w:val="1"/>
          <w:iCs w:val="1"/>
          <w:color w:val="auto"/>
        </w:rPr>
        <w:t>Arbitron</w:t>
      </w:r>
      <w:r>
        <w:rPr>
          <w:rFonts w:ascii="Arial" w:cs="Arial" w:eastAsia="Arial" w:hAnsi="Arial"/>
          <w:sz w:val="14"/>
          <w:szCs w:val="14"/>
          <w:color w:val="auto"/>
        </w:rPr>
        <w:t>. We also work closely with third-party research companies to measure the recall, likeability, and brand message of our cinema advertisements.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Innovative, Branded Digital Pre-Feature Content</w:t>
      </w:r>
    </w:p>
    <w:p>
      <w:pPr>
        <w:spacing w:after="0" w:line="79" w:lineRule="exact"/>
        <w:rPr>
          <w:sz w:val="20"/>
          <w:szCs w:val="20"/>
          <w:color w:val="auto"/>
        </w:rPr>
      </w:pPr>
    </w:p>
    <w:p>
      <w:pPr>
        <w:ind w:right="100" w:firstLine="458"/>
        <w:spacing w:after="0" w:line="305" w:lineRule="auto"/>
        <w:rPr>
          <w:sz w:val="20"/>
          <w:szCs w:val="20"/>
          <w:color w:val="auto"/>
        </w:rPr>
      </w:pPr>
      <w:r>
        <w:rPr>
          <w:rFonts w:ascii="Arial" w:cs="Arial" w:eastAsia="Arial" w:hAnsi="Arial"/>
          <w:sz w:val="13"/>
          <w:szCs w:val="13"/>
          <w:color w:val="auto"/>
        </w:rPr>
        <w:t xml:space="preserve">We believe that our digital entertainment and advertising pre-feature program, </w:t>
      </w:r>
      <w:r>
        <w:rPr>
          <w:rFonts w:ascii="Arial" w:cs="Arial" w:eastAsia="Arial" w:hAnsi="Arial"/>
          <w:sz w:val="13"/>
          <w:szCs w:val="13"/>
          <w:i w:val="1"/>
          <w:iCs w:val="1"/>
          <w:color w:val="auto"/>
        </w:rPr>
        <w:t>FirstLook,</w:t>
      </w:r>
      <w:r>
        <w:rPr>
          <w:rFonts w:ascii="Arial" w:cs="Arial" w:eastAsia="Arial" w:hAnsi="Arial"/>
          <w:sz w:val="13"/>
          <w:szCs w:val="13"/>
          <w:color w:val="auto"/>
        </w:rPr>
        <w:t xml:space="preserve"> provides a high-quality entertainment experience for patrons and an effective marketing platform for advertisers. We have branded our pre-feature show, </w:t>
      </w:r>
      <w:r>
        <w:rPr>
          <w:rFonts w:ascii="Arial" w:cs="Arial" w:eastAsia="Arial" w:hAnsi="Arial"/>
          <w:sz w:val="13"/>
          <w:szCs w:val="13"/>
          <w:i w:val="1"/>
          <w:iCs w:val="1"/>
          <w:color w:val="auto"/>
        </w:rPr>
        <w:t>FirstLook</w:t>
      </w:r>
      <w:r>
        <w:rPr>
          <w:rFonts w:ascii="Arial" w:cs="Arial" w:eastAsia="Arial" w:hAnsi="Arial"/>
          <w:sz w:val="13"/>
          <w:szCs w:val="13"/>
          <w:color w:val="auto"/>
        </w:rPr>
        <w:t>, to reinforce our goal of creating the “first release window” for advertising into the marketplace, similar to the way that films are released first in cinemas. This strategy will provide more original content for the audience and more impact for the advertiser. We have also designed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60"/>
          </w:cols>
          <w:pgMar w:left="220" w:top="399" w:right="21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80"/>
        <w:spacing w:after="0" w:line="275" w:lineRule="auto"/>
        <w:rPr>
          <w:sz w:val="20"/>
          <w:szCs w:val="20"/>
          <w:color w:val="auto"/>
        </w:rPr>
      </w:pPr>
      <w:r>
        <w:rPr>
          <w:rFonts w:ascii="Arial" w:cs="Arial" w:eastAsia="Arial" w:hAnsi="Arial"/>
          <w:sz w:val="14"/>
          <w:szCs w:val="14"/>
          <w:i w:val="1"/>
          <w:iCs w:val="1"/>
          <w:color w:val="auto"/>
        </w:rPr>
        <w:t xml:space="preserve">FirstLook </w:t>
      </w:r>
      <w:r>
        <w:rPr>
          <w:rFonts w:ascii="Arial" w:cs="Arial" w:eastAsia="Arial" w:hAnsi="Arial"/>
          <w:sz w:val="14"/>
          <w:szCs w:val="14"/>
          <w:color w:val="auto"/>
        </w:rPr>
        <w:t>program to ensure that advertisements of similar production quality are shown together and that all advertisements end by the advertised show time. According to customer research</w:t>
      </w:r>
      <w:r>
        <w:rPr>
          <w:rFonts w:ascii="Arial" w:cs="Arial" w:eastAsia="Arial" w:hAnsi="Arial"/>
          <w:sz w:val="14"/>
          <w:szCs w:val="14"/>
          <w:i w:val="1"/>
          <w:iCs w:val="1"/>
          <w:color w:val="auto"/>
        </w:rPr>
        <w:t xml:space="preserve"> </w:t>
      </w:r>
      <w:r>
        <w:rPr>
          <w:rFonts w:ascii="Arial" w:cs="Arial" w:eastAsia="Arial" w:hAnsi="Arial"/>
          <w:sz w:val="14"/>
          <w:szCs w:val="14"/>
          <w:color w:val="auto"/>
        </w:rPr>
        <w:t>conducted by us and independent research companies, the production of a higher quality branded pre-feature program improves the entertainment experience for patrons and the effectiveness of the advertising message.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Integrated Marketing Products</w:t>
      </w:r>
    </w:p>
    <w:p>
      <w:pPr>
        <w:spacing w:after="0" w:line="79"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In addition to providing on-screen advertising opportunities using our digital content network, we offer advertisers the opportunity to integrate and reinforce their on-screen advertisements with various in-lobby marketing. Our in-lobby marketing programs include advertisements sold on television or high-definition plasma screens, posters, tickets, box office coupon handouts, popcorn bags and beverage cups and on-site product sampling opportunities. By integrating our in-lobby marketing products with on-screen advertising, patrons are exposed to consistent marketing messages through multiple touch points during the entire movie-going experience. According to a study we commissioned in June 2005, movie patrons across our network theatres spend, on average, nine minutes in the theatre lobby prior to going into the auditorium, including time at the concession stand. By integrating on-screen advertising with our in-lobby marketing programs, we believe our advertisers can extend the exposure for their brands and products and create an interactive “relationship” with the consumer that is not available with broadcast television or traditional display advertising. Our marketing team assists advertisers in creating entertaining, fully integrated cinema marketing campaigns with maximum impact.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Scalable, State-of-the-Art Content Distribution Technology</w:t>
      </w:r>
    </w:p>
    <w:p>
      <w:pPr>
        <w:spacing w:after="0" w:line="79" w:lineRule="exact"/>
        <w:rPr>
          <w:sz w:val="20"/>
          <w:szCs w:val="20"/>
          <w:color w:val="auto"/>
        </w:rPr>
      </w:pPr>
    </w:p>
    <w:p>
      <w:pPr>
        <w:ind w:right="80" w:firstLine="458"/>
        <w:spacing w:after="0" w:line="287" w:lineRule="auto"/>
        <w:rPr>
          <w:sz w:val="20"/>
          <w:szCs w:val="20"/>
          <w:color w:val="auto"/>
        </w:rPr>
      </w:pPr>
      <w:r>
        <w:rPr>
          <w:rFonts w:ascii="Arial" w:cs="Arial" w:eastAsia="Arial" w:hAnsi="Arial"/>
          <w:sz w:val="13"/>
          <w:szCs w:val="13"/>
          <w:color w:val="auto"/>
        </w:rPr>
        <w:t xml:space="preserve">Our proprietary software provides many distribution, scheduling, reporting and auditing features. The flexibility of our digital content system allows us to create different versions of </w:t>
      </w:r>
      <w:r>
        <w:rPr>
          <w:rFonts w:ascii="Arial" w:cs="Arial" w:eastAsia="Arial" w:hAnsi="Arial"/>
          <w:sz w:val="13"/>
          <w:szCs w:val="13"/>
          <w:i w:val="1"/>
          <w:iCs w:val="1"/>
          <w:color w:val="auto"/>
        </w:rPr>
        <w:t>FirstLook</w:t>
      </w:r>
      <w:r>
        <w:rPr>
          <w:rFonts w:ascii="Arial" w:cs="Arial" w:eastAsia="Arial" w:hAnsi="Arial"/>
          <w:sz w:val="13"/>
          <w:szCs w:val="13"/>
          <w:color w:val="auto"/>
        </w:rPr>
        <w:t xml:space="preserve"> and our lobby entertainment network programming and to distribute these programs by theatre, region, film or film rating category. Our technology also provides the ability to electronically change advertisements from our network operations center as needed by advertising clients which shortens lead times, provides increased flexibility to change messages or target specific audiences, facilitate two-way interaction amongst participants attending meetings in our auditoriums and significantly reduces the cost as compared to distributing advertisements on 35 mm film. Our network operations center, digital content system and other network software provide us with the capability to monitor over 35,000 network devices and more than 143,000 alarm points within our theatre network on a real-time 24/7 basis, providing the high network reliability and timely reporting required by our advertising clients. Our use of satellite network technology, combined with the design and functionality of our digital content system software and network operations center infrastructure make our network efficient and scalable, providing the capacity to expand as needed. While our network capabilities are now primarily used within the theatre environment, we believe they could be easily adapted to other out-of-home environments.</w:t>
      </w:r>
    </w:p>
    <w:p>
      <w:pPr>
        <w:spacing w:after="0" w:line="100" w:lineRule="exact"/>
        <w:rPr>
          <w:sz w:val="20"/>
          <w:szCs w:val="20"/>
          <w:color w:val="auto"/>
        </w:rPr>
      </w:pPr>
    </w:p>
    <w:p>
      <w:pPr>
        <w:jc w:val="both"/>
        <w:ind w:right="100" w:firstLine="458"/>
        <w:spacing w:after="0" w:line="275" w:lineRule="auto"/>
        <w:rPr>
          <w:sz w:val="20"/>
          <w:szCs w:val="20"/>
          <w:color w:val="auto"/>
        </w:rPr>
      </w:pPr>
      <w:r>
        <w:rPr>
          <w:rFonts w:ascii="Arial" w:cs="Arial" w:eastAsia="Arial" w:hAnsi="Arial"/>
          <w:sz w:val="14"/>
          <w:szCs w:val="14"/>
          <w:color w:val="auto"/>
        </w:rPr>
        <w:t>We believe that our business is scalable because we can add new theatres to our digital content network without incurring significant operating costs or making significant capital expenditures. Since we have already made investments in our network operations center, satellite bandwidth and other network infrastructure, a new theatre may be connected to our digital content network with the installation of a minimal amount of additional equipment.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Strong Operating Margins with Limited Capital Requirements</w:t>
      </w:r>
    </w:p>
    <w:p>
      <w:pPr>
        <w:spacing w:after="0" w:line="79"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A significant portion of our advertising inventory is covered by multi-year contracts with our content partners and arrangements to satisfy our founding members’ on-screen marketing obligations to their beverage concessionaires. These contracts accounted for 30.0% of our total pro forma revenue in the three months ended September 28, 2006, and 37.8% of our total pro forma revenue in the nine months ended September 28, 2006, each on a pro forma basis. Our operating margins, before circuit share expense to our founding members, have been consistently strong since our inception, at 68.8% for the three months ended September 28, 2006, and 64.1% in the nine months ended September 28, 2006, on a pro forma basis. Our founding members have also invested substantial capital to deploy, expand and upgrade the network within their theatres. Due to the network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60"/>
          </w:cols>
          <w:pgMar w:left="220" w:top="398" w:right="21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investments made by our founding members in new and acquired theatres and the scalable nature of our business model, we do not expect to make major capital investments to grow our operations as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our network of theatres expands. The combination of our strong operating margins and our limited capital expenditures has allowed us to generate significant free cash flow (defined as net income (or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loss) plus depreciation and amortization and minus capital expenditures) before distributions to our founding members. In the nine months ended September 28, 2006, our capital expenditures were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$4.3 million. We believe our expected level of free cash flow generation will provide us with the strategic and financial flexibility to pursue growth opportunities, support our debt payments and make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dividend payments to our stockholders.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Experienced Management Team</w:t>
      </w:r>
    </w:p>
    <w:p>
      <w:pPr>
        <w:spacing w:after="0" w:line="79"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Our management team has significant experience in advertising sales and marketing, theatre operations, digital network design and operations, and finance. The majority of our senior management team was assembled during the formation of RCM, our predecessor company, in early 2002 and thus has worked together for several years building our business. Our senior management has many years of experience in their respective areas of expertise. We believe that our senior management team will be able to effectively grow our business through continued operating improvement and expansion of our products and services.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primary strategic initiatives are to: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Increase Inventory Utilization</w:t>
      </w:r>
    </w:p>
    <w:p>
      <w:pPr>
        <w:spacing w:after="0" w:line="79" w:lineRule="exact"/>
        <w:rPr>
          <w:sz w:val="20"/>
          <w:szCs w:val="20"/>
          <w:color w:val="auto"/>
        </w:rPr>
      </w:pPr>
    </w:p>
    <w:p>
      <w:pPr>
        <w:ind w:right="60" w:firstLine="458"/>
        <w:spacing w:after="0" w:line="263" w:lineRule="auto"/>
        <w:rPr>
          <w:sz w:val="20"/>
          <w:szCs w:val="20"/>
          <w:color w:val="auto"/>
        </w:rPr>
      </w:pPr>
      <w:r>
        <w:rPr>
          <w:rFonts w:ascii="Arial" w:cs="Arial" w:eastAsia="Arial" w:hAnsi="Arial"/>
          <w:sz w:val="14"/>
          <w:szCs w:val="14"/>
          <w:color w:val="auto"/>
        </w:rPr>
        <w:t>We intend to increase our market share of U.S. advertising spending by expanding commercial relationships with our existing advertising clients and by growing our advertising client base. We also intend to continue to improve our level of client service, including the development of new research and return on investment, or ROI, measurement tools. While an increasing number of companies now make cinema advertising part of their media</w:t>
      </w:r>
    </w:p>
    <w:p>
      <w:pPr>
        <w:spacing w:after="0" w:line="1"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buying plan, there are still many large advertisers and product categories, such as packaged goods companies, quick—service restaurants, big-box retailers and financial services firms, that do not yet include meaningful cinema advertising expenditures in their marketing budgets. We believe that over time, as awareness of and third-party data on the effectiveness of cinema advertising grows, we will be able to increase our revenue from these advertising categories.</w:t>
      </w:r>
    </w:p>
    <w:p>
      <w:pPr>
        <w:spacing w:after="0" w:line="105"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color w:val="auto"/>
        </w:rPr>
        <w:t>Since our formation, we increased the amount of regional advertising in our pre-feature show from those of our predecessor company and have begun to more aggressively market and grow our local and regional advertising business. For example, we recently created a new senior sales position to focus exclusively on larger regional clients such as car dealer associations, and quick-service restaurant advertising co-ops. We have also started to experiment with direct marketing campaigns to businesses within a specified radius of our network theatres, with very positive results. For example, we created a marketing plan for Six Flags, Inc. by selling advertising on screens within a 150-mile radius of all of its theme parks. This campaign was combined with theatre lobby promotions and advertising. Due to the relatively low percentage of local and regional advertising inventory sold today, we believe that a growth opportunity exists for further development of this business segment.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Increase Our National CPM</w:t>
      </w:r>
    </w:p>
    <w:p>
      <w:pPr>
        <w:spacing w:after="0" w:line="79" w:lineRule="exact"/>
        <w:rPr>
          <w:sz w:val="20"/>
          <w:szCs w:val="20"/>
          <w:color w:val="auto"/>
        </w:rPr>
      </w:pPr>
    </w:p>
    <w:p>
      <w:pPr>
        <w:ind w:right="60" w:firstLine="458"/>
        <w:spacing w:after="0" w:line="305" w:lineRule="auto"/>
        <w:rPr>
          <w:sz w:val="20"/>
          <w:szCs w:val="20"/>
          <w:color w:val="auto"/>
        </w:rPr>
      </w:pPr>
      <w:r>
        <w:rPr>
          <w:rFonts w:ascii="Arial" w:cs="Arial" w:eastAsia="Arial" w:hAnsi="Arial"/>
          <w:sz w:val="13"/>
          <w:szCs w:val="13"/>
          <w:color w:val="auto"/>
        </w:rPr>
        <w:t xml:space="preserve">In 2005, our national on-screen advertising CPM was approximately 1.2 times the average U.S. primetime network television CPM as reported by </w:t>
      </w:r>
      <w:r>
        <w:rPr>
          <w:rFonts w:ascii="Arial" w:cs="Arial" w:eastAsia="Arial" w:hAnsi="Arial"/>
          <w:sz w:val="13"/>
          <w:szCs w:val="13"/>
          <w:i w:val="1"/>
          <w:iCs w:val="1"/>
          <w:color w:val="auto"/>
        </w:rPr>
        <w:t>Media Dynamics, Inc</w:t>
      </w:r>
      <w:r>
        <w:rPr>
          <w:rFonts w:ascii="Arial" w:cs="Arial" w:eastAsia="Arial" w:hAnsi="Arial"/>
          <w:sz w:val="13"/>
          <w:szCs w:val="13"/>
          <w:color w:val="auto"/>
        </w:rPr>
        <w:t xml:space="preserve">. We believe that this premium does not yet fully reflect the highly targeted nature of our impressions, higher recall rates, ability to provide informative audience data to our clients and, most importantly, the inability to turn off or skip our advertising messages. According to a </w:t>
      </w:r>
      <w:r>
        <w:rPr>
          <w:rFonts w:ascii="Arial" w:cs="Arial" w:eastAsia="Arial" w:hAnsi="Arial"/>
          <w:sz w:val="13"/>
          <w:szCs w:val="13"/>
          <w:i w:val="1"/>
          <w:iCs w:val="1"/>
          <w:color w:val="auto"/>
        </w:rPr>
        <w:t>World Advertising Research Center</w:t>
      </w:r>
      <w:r>
        <w:rPr>
          <w:rFonts w:ascii="Arial" w:cs="Arial" w:eastAsia="Arial" w:hAnsi="Arial"/>
          <w:sz w:val="13"/>
          <w:szCs w:val="13"/>
          <w:color w:val="auto"/>
        </w:rPr>
        <w:t xml:space="preserve"> study, cinema advertising CPMs as a multiple of primetime network</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60"/>
          </w:cols>
          <w:pgMar w:left="220" w:top="399" w:right="21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television CPMs in more mature cinema advertising markets such as Europe and Australia are as much as 7 times</w:t>
      </w:r>
    </w:p>
    <w:p>
      <w:pPr>
        <w:spacing w:after="0" w:line="20"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higher than they are in the United States. Therefore, we believe that there is an opportunity for continued CPM growth, especially as our inventory utilization increases, providing a more favorable supply-demand dynamic.</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Expand Our Geographic Coverage and Reach</w:t>
      </w:r>
    </w:p>
    <w:p>
      <w:pPr>
        <w:spacing w:after="0" w:line="79"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We intend to expand the reach and geographic coverage of our national digital network by connecting additional theatres to our network that our founding members buy or build and through additional network affiliate agreements with other theatre circuits. Our strategy for attracting new network affiliates is to focus primarily on larger regional circuits in the larger metropolitan areas or in geographic areas where we do not currently have significant market coverage.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Provide Integrated Marketing Solutions to our Clients</w:t>
      </w:r>
    </w:p>
    <w:p>
      <w:pPr>
        <w:spacing w:after="0" w:line="79" w:lineRule="exact"/>
        <w:rPr>
          <w:sz w:val="20"/>
          <w:szCs w:val="20"/>
          <w:color w:val="auto"/>
        </w:rPr>
      </w:pPr>
    </w:p>
    <w:p>
      <w:pPr>
        <w:jc w:val="both"/>
        <w:ind w:right="80" w:firstLine="458"/>
        <w:spacing w:after="0" w:line="293" w:lineRule="auto"/>
        <w:rPr>
          <w:sz w:val="20"/>
          <w:szCs w:val="20"/>
          <w:color w:val="auto"/>
        </w:rPr>
      </w:pPr>
      <w:r>
        <w:rPr>
          <w:rFonts w:ascii="Arial" w:cs="Arial" w:eastAsia="Arial" w:hAnsi="Arial"/>
          <w:sz w:val="13"/>
          <w:szCs w:val="13"/>
          <w:color w:val="auto"/>
        </w:rPr>
        <w:t>We strive to differentiate ourselves amongst other media platforms. Advertising clients are increasingly seeking new ways to create direct relationships and touch points with customers, which our lobby advertising facilitates. We allow clients to benefit from the brand exposure provided by the high impact of the “big screen,” while at the same time allowing theatre patrons an opportunity to actually experience the advertised product through sampling or displays in the lobbies. We believe that our ability to provide both sight, sound and motion brand advertising and direct consumer touch points on an integrated basis in the same location is something that no other advertising medium can provide as effectively. Also, since many of these lobby products have not been available across our entire network until recently, we believe that there is an opportunity to further increase the sale of these products in the future.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Increase Market Awareness Of Our CineMeetings Business to Expand Our Client Base and Increase Revenue</w:t>
      </w:r>
    </w:p>
    <w:p>
      <w:pPr>
        <w:spacing w:after="0" w:line="79"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Our CineMeetings business provides a new type of venue for corporate meetings that offers advantages over hotels and other traditional meeting venues. Unlike traditional venues, we provide a single point of contact for national event booking and coordination and utilize digital distribution and projection technology. In addition we also have the ability to bundle meetings with the screening of a film, sometimes before the film opens to the general public, in a product known as “Meeting and a Movie.</w:t>
      </w:r>
      <w:r>
        <w:rPr>
          <w:rFonts w:ascii="Arial" w:cs="Arial" w:eastAsia="Arial" w:hAnsi="Arial"/>
          <w:sz w:val="14"/>
          <w:szCs w:val="14"/>
          <w:i w:val="1"/>
          <w:iCs w:val="1"/>
          <w:color w:val="auto"/>
        </w:rPr>
        <w:t>”</w:t>
      </w:r>
      <w:r>
        <w:rPr>
          <w:rFonts w:ascii="Arial" w:cs="Arial" w:eastAsia="Arial" w:hAnsi="Arial"/>
          <w:sz w:val="14"/>
          <w:szCs w:val="14"/>
          <w:color w:val="auto"/>
        </w:rPr>
        <w:t xml:space="preserve"> We believe we can attract more clients to our network theatres and increase the revenue of our CineMeetings business by raising market awareness of the unique benefits of hosting meetings at our locations and increasing the number of theatres equipped to host live broadcasts. We have employed several local and national marketing strategies to communicate the value proposition associated with our CineMeetings business, including advertising in theatres within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pre-show program, improving the focus of our Internet advertising, implementing a direct mailing effort to Fortune 500 CEOs and holding demand generation seminars for meeting planners in our network theatres.</w:t>
      </w:r>
    </w:p>
    <w:p>
      <w:pPr>
        <w:spacing w:after="0" w:line="111"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These and other marketing strategies, including more aggressive efforts by our CineMeetings sales force and cross-selling by our advertising sales force, have lead to an expansion of our client base and a 38.3% and 94.4% increase in CineMeetings event sites and revenue, respectively, for the three months ended September 28, 2006 versus the three months ended September 29, 2005. In addition, during August 2006, we contracted with a nationally recognized company to host the largest event in the history of the CineMeetings business for approximately 2,200 meeting sites during the fourth quarter.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Expand Our Live and Pre-Recorded Digital Programming Events Businesses</w:t>
      </w:r>
    </w:p>
    <w:p>
      <w:pPr>
        <w:spacing w:after="0" w:line="79"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We will continue to expand and improve the technical capabilities of our digital content network and cinema broadcast network. Today, virtually all of our digitally equipped screens have the capability to show pre-recorded content. We are upgrading our digital content system software so that it can handle distribution of large digital files associated with our digital programming events business. While the opportunity to participate in distribution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60"/>
          </w:cols>
          <w:pgMar w:left="220" w:top="398" w:right="21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of content in a digital cinema environment is in its infancy today, we believe that our existing network and digital content network technology position us well to be able to expand these uses of our network theatres in the future. We expect the improvements to and expansion of our network will broaden our capabilities to distribute various kinds of live and pre-recorded meeting services and entertainment programming to a larger audience. By expanding our live distribution capabilities, we believe we will be able to attract more non-film live and pre-recorded digital programming events, and, as a result, increase our event ticket and sponsorship revenue. We will also look to form strategic alliances to gain access to high quality content. For example, in May 2006, we signed content supply and cross-marketing agreements with Live Nation and Network LIVE. In fall 2006, Network LIVE dissolved and NCM LLC began working with Control Room, which has taken over production of the content formerly produced by Network LIVE. NCM LLC intends to negotiate a term sheet with Control Room, and already has distributed content produced by Control Room across our network.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Upgrade our Advertising Sales and Inventory Management Systems</w:t>
      </w:r>
    </w:p>
    <w:p>
      <w:pPr>
        <w:spacing w:after="0" w:line="79" w:lineRule="exact"/>
        <w:rPr>
          <w:sz w:val="20"/>
          <w:szCs w:val="20"/>
          <w:color w:val="auto"/>
        </w:rPr>
      </w:pPr>
    </w:p>
    <w:p>
      <w:pPr>
        <w:jc w:val="both"/>
        <w:ind w:right="40" w:firstLine="458"/>
        <w:spacing w:after="0" w:line="275" w:lineRule="auto"/>
        <w:rPr>
          <w:sz w:val="20"/>
          <w:szCs w:val="20"/>
          <w:color w:val="auto"/>
        </w:rPr>
      </w:pPr>
      <w:r>
        <w:rPr>
          <w:rFonts w:ascii="Arial" w:cs="Arial" w:eastAsia="Arial" w:hAnsi="Arial"/>
          <w:sz w:val="14"/>
          <w:szCs w:val="14"/>
          <w:color w:val="auto"/>
        </w:rPr>
        <w:t>We are currently upgrading and improving our advertising sales and inventory management systems. We believe that these upgrades and improvements will enable us to respond more promptly to client requests for proposals, and will provide real-time access to pricing and availability information that allows us to manage our inventory more efficiently, improve our management reporting and data analysis and increase the number of our network affiliates at a quicker pace.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Develop New Marketing and Distribution Platforms that Leverage Our Existing Assets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exploring several initiatives that are meant to leverage our existing technology, distribution platform and sales and marketing infrastructure, including the following:</w:t>
      </w:r>
    </w:p>
    <w:p>
      <w:pPr>
        <w:spacing w:after="0" w:line="79" w:lineRule="exact"/>
        <w:rPr>
          <w:sz w:val="20"/>
          <w:szCs w:val="20"/>
          <w:color w:val="auto"/>
        </w:rPr>
      </w:pPr>
    </w:p>
    <w:p>
      <w:pPr>
        <w:ind w:left="460" w:right="120" w:firstLine="440"/>
        <w:spacing w:after="0" w:line="297" w:lineRule="auto"/>
        <w:rPr>
          <w:sz w:val="20"/>
          <w:szCs w:val="20"/>
          <w:color w:val="auto"/>
        </w:rPr>
      </w:pPr>
      <w:r>
        <w:rPr>
          <w:rFonts w:ascii="Arial" w:cs="Arial" w:eastAsia="Arial" w:hAnsi="Arial"/>
          <w:sz w:val="13"/>
          <w:szCs w:val="13"/>
          <w:i w:val="1"/>
          <w:iCs w:val="1"/>
          <w:color w:val="auto"/>
        </w:rPr>
        <w:t>Entertainment Magazine</w:t>
      </w:r>
      <w:r>
        <w:rPr>
          <w:rFonts w:ascii="Arial" w:cs="Arial" w:eastAsia="Arial" w:hAnsi="Arial"/>
          <w:sz w:val="13"/>
          <w:szCs w:val="13"/>
          <w:color w:val="auto"/>
        </w:rPr>
        <w:t>—We are currently negotiating a joint venture with a well-known entertainment magazine to create a similar entertainment magazine that will be distributed in</w:t>
      </w:r>
      <w:r>
        <w:rPr>
          <w:rFonts w:ascii="Arial" w:cs="Arial" w:eastAsia="Arial" w:hAnsi="Arial"/>
          <w:sz w:val="13"/>
          <w:szCs w:val="13"/>
          <w:i w:val="1"/>
          <w:iCs w:val="1"/>
          <w:color w:val="auto"/>
        </w:rPr>
        <w:t xml:space="preserve"> </w:t>
      </w:r>
      <w:r>
        <w:rPr>
          <w:rFonts w:ascii="Arial" w:cs="Arial" w:eastAsia="Arial" w:hAnsi="Arial"/>
          <w:sz w:val="13"/>
          <w:szCs w:val="13"/>
          <w:color w:val="auto"/>
        </w:rPr>
        <w:t>our founding members’ theatres in the United States. This magazine is already a successful publication in the film exhibition market outside of the United States. The magazine will include advertising sold by the joint venture’s sales force and by our sales force. We currently intend to launch the magazine late in 2007. In exchange for making the theatres in our network available for distribution of the magazine, we will receive an ownership interest in the venture, which we expect to be funded by private equity or a strategic partner.</w:t>
      </w:r>
    </w:p>
    <w:p>
      <w:pPr>
        <w:spacing w:after="0" w:line="25" w:lineRule="exact"/>
        <w:rPr>
          <w:sz w:val="20"/>
          <w:szCs w:val="20"/>
          <w:color w:val="auto"/>
        </w:rPr>
      </w:pPr>
    </w:p>
    <w:p>
      <w:pPr>
        <w:ind w:left="460" w:right="140" w:firstLine="440"/>
        <w:spacing w:after="0" w:line="270" w:lineRule="auto"/>
        <w:rPr>
          <w:sz w:val="20"/>
          <w:szCs w:val="20"/>
          <w:color w:val="auto"/>
        </w:rPr>
      </w:pPr>
      <w:r>
        <w:rPr>
          <w:rFonts w:ascii="Arial" w:cs="Arial" w:eastAsia="Arial" w:hAnsi="Arial"/>
          <w:sz w:val="14"/>
          <w:szCs w:val="14"/>
          <w:i w:val="1"/>
          <w:iCs w:val="1"/>
          <w:color w:val="auto"/>
        </w:rPr>
        <w:t>New Out-of-Home Networks</w:t>
      </w:r>
      <w:r>
        <w:rPr>
          <w:rFonts w:ascii="Arial" w:cs="Arial" w:eastAsia="Arial" w:hAnsi="Arial"/>
          <w:sz w:val="14"/>
          <w:szCs w:val="14"/>
          <w:color w:val="auto"/>
        </w:rPr>
        <w:t>—Retail businesses including department stores, convenience stores and health clubs have begun to deploy advertising networks consisting of in-store</w:t>
      </w:r>
      <w:r>
        <w:rPr>
          <w:rFonts w:ascii="Arial" w:cs="Arial" w:eastAsia="Arial" w:hAnsi="Arial"/>
          <w:sz w:val="14"/>
          <w:szCs w:val="14"/>
          <w:i w:val="1"/>
          <w:iCs w:val="1"/>
          <w:color w:val="auto"/>
        </w:rPr>
        <w:t xml:space="preserve"> </w:t>
      </w:r>
      <w:r>
        <w:rPr>
          <w:rFonts w:ascii="Arial" w:cs="Arial" w:eastAsia="Arial" w:hAnsi="Arial"/>
          <w:sz w:val="14"/>
          <w:szCs w:val="14"/>
          <w:color w:val="auto"/>
        </w:rPr>
        <w:t>televisions and plasma screens. We believe that targeted advertising will continue to grow in importance as a percentage of advertising spending and that networks in other retail environments will continue to develop. Importantly, we believe that our distribution technology, sales force, other existing operating infrastructure and client relationships could create growth opportunities for us in these other retail environments.</w:t>
      </w:r>
    </w:p>
    <w:p>
      <w:pPr>
        <w:spacing w:after="0" w:line="41" w:lineRule="exact"/>
        <w:rPr>
          <w:sz w:val="20"/>
          <w:szCs w:val="20"/>
          <w:color w:val="auto"/>
        </w:rPr>
      </w:pPr>
    </w:p>
    <w:p>
      <w:pPr>
        <w:ind w:left="460" w:firstLine="440"/>
        <w:spacing w:after="0" w:line="267" w:lineRule="auto"/>
        <w:rPr>
          <w:sz w:val="20"/>
          <w:szCs w:val="20"/>
          <w:color w:val="auto"/>
        </w:rPr>
      </w:pPr>
      <w:r>
        <w:rPr>
          <w:rFonts w:ascii="Arial" w:cs="Arial" w:eastAsia="Arial" w:hAnsi="Arial"/>
          <w:sz w:val="14"/>
          <w:szCs w:val="14"/>
          <w:i w:val="1"/>
          <w:iCs w:val="1"/>
          <w:color w:val="auto"/>
        </w:rPr>
        <w:t>Internet Sites</w:t>
      </w:r>
      <w:r>
        <w:rPr>
          <w:rFonts w:ascii="Arial" w:cs="Arial" w:eastAsia="Arial" w:hAnsi="Arial"/>
          <w:sz w:val="14"/>
          <w:szCs w:val="14"/>
          <w:color w:val="auto"/>
        </w:rPr>
        <w:t>—We have developed and maintain several web sites including our corporate site and sites for our various businesses. As we expand some of our consumer-oriented</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businesses such as our planned magazine business and digital programming events business, we expect that the traffic on those sites to increase to a level that could provide an opportunity to sell advertising and provide research data. For example, we plan to create a branded entertainment web site in connection with the entertainment magazine, on which we and the venture will sell advertising. By selling the advertising through our existing sales forces and bundling the Internet offerings with our existing in-theatre advertising products, we believe that a new high margin revenue stream could be developed.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with Our Founding Members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Exhibitor Services Agreements</w:t>
      </w:r>
    </w:p>
    <w:p>
      <w:pPr>
        <w:spacing w:after="0" w:line="7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NCM LLC has been the exclusive provider of in-theatre advertising (subject to certain pre-existing contractual obligations for on-screen advertising and other limited exceptions for the benefit of the founding</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60"/>
          </w:cols>
          <w:pgMar w:left="220" w:top="398" w:right="21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members) in the founding members’ theatres pursuant to agreements entered into with AMC and Regal in March 2005 and with Cinemark in July 2005. These agreements contain NCM LLC’s obligation to provide on-screen and lobby advertising and the founding members’ obligation to exhibit advertising on the theatre and lobby screens and in theatre lobbies. They also set forth the terms on which the founding members participate in our CineMeetings and digital programming events businesses.</w:t>
      </w:r>
    </w:p>
    <w:p>
      <w:pPr>
        <w:spacing w:after="0" w:line="102"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In connection with the completion of this offering, we will enter into amended and restated exhibitor services agreements with our founding members. Key provisions of the new agreements will include:</w:t>
      </w:r>
    </w:p>
    <w:p>
      <w:pPr>
        <w:spacing w:after="0" w:line="28" w:lineRule="exact"/>
        <w:rPr>
          <w:sz w:val="20"/>
          <w:szCs w:val="20"/>
          <w:color w:val="auto"/>
        </w:rPr>
      </w:pPr>
    </w:p>
    <w:p>
      <w:pPr>
        <w:ind w:left="780" w:right="280" w:hanging="240"/>
        <w:spacing w:after="0" w:line="289" w:lineRule="auto"/>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term of 30 years (the term relating to CineMeetings and digital programming will be approximately five years with provisions for automatic renewal if certain financial performance conditions are met);</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five-year right of first refusal, which begins one year prior to the end of the term of the exhibitor services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exclusive rights to provide advertising for the founding members’ theatres subject to the founding members’ rights to do the following on a limited basis:</w:t>
      </w:r>
    </w:p>
    <w:p>
      <w:pPr>
        <w:spacing w:after="0" w:line="79" w:lineRule="exact"/>
        <w:rPr>
          <w:rFonts w:ascii="Arial" w:cs="Arial" w:eastAsia="Arial" w:hAnsi="Arial"/>
          <w:sz w:val="14"/>
          <w:szCs w:val="14"/>
          <w:color w:val="auto"/>
        </w:rPr>
      </w:pPr>
    </w:p>
    <w:p>
      <w:pPr>
        <w:ind w:left="1360" w:right="120" w:hanging="361"/>
        <w:spacing w:after="0" w:line="289" w:lineRule="auto"/>
        <w:rPr>
          <w:rFonts w:ascii="Arial" w:cs="Arial" w:eastAsia="Arial" w:hAnsi="Arial"/>
          <w:sz w:val="14"/>
          <w:szCs w:val="14"/>
          <w:color w:val="auto"/>
        </w:rPr>
      </w:pPr>
      <w:r>
        <w:rPr>
          <w:rFonts w:ascii="Arial" w:cs="Arial" w:eastAsia="Arial" w:hAnsi="Arial"/>
          <w:sz w:val="14"/>
          <w:szCs w:val="14"/>
          <w:color w:val="auto"/>
        </w:rPr>
        <w:t>— promote activities associated with theatre operations, on screen, on the lobby entertainment network and in the lobby (including on additional video screens in theatre lobbies); and</w:t>
      </w:r>
    </w:p>
    <w:p>
      <w:pPr>
        <w:spacing w:after="0" w:line="27" w:lineRule="exact"/>
        <w:rPr>
          <w:rFonts w:ascii="Arial" w:cs="Arial" w:eastAsia="Arial" w:hAnsi="Arial"/>
          <w:sz w:val="14"/>
          <w:szCs w:val="14"/>
          <w:color w:val="auto"/>
        </w:rPr>
      </w:pPr>
    </w:p>
    <w:p>
      <w:pPr>
        <w:ind w:left="1360" w:right="280" w:hanging="361"/>
        <w:spacing w:after="0" w:line="289" w:lineRule="auto"/>
        <w:rPr>
          <w:rFonts w:ascii="Arial" w:cs="Arial" w:eastAsia="Arial" w:hAnsi="Arial"/>
          <w:sz w:val="14"/>
          <w:szCs w:val="14"/>
          <w:color w:val="auto"/>
        </w:rPr>
      </w:pPr>
      <w:r>
        <w:rPr>
          <w:rFonts w:ascii="Arial" w:cs="Arial" w:eastAsia="Arial" w:hAnsi="Arial"/>
          <w:sz w:val="14"/>
          <w:szCs w:val="14"/>
          <w:color w:val="auto"/>
        </w:rPr>
        <w:t>— promote, on the lobby entertainment network and in theatre lobbies only, certain non-exclusive cross-marketing arrangements with third parties entered into by the founding members which are designed to promote the theatres and the movie-going experience to increase attendance and revenue;</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payment of a monthly theatre access fee to the founding members;</w:t>
      </w:r>
    </w:p>
    <w:p>
      <w:pPr>
        <w:spacing w:after="0" w:line="79" w:lineRule="exact"/>
        <w:rPr>
          <w:rFonts w:ascii="Arial" w:cs="Arial" w:eastAsia="Arial" w:hAnsi="Arial"/>
          <w:sz w:val="14"/>
          <w:szCs w:val="14"/>
          <w:color w:val="auto"/>
        </w:rPr>
      </w:pPr>
    </w:p>
    <w:p>
      <w:pPr>
        <w:ind w:left="780" w:right="80" w:hanging="240"/>
        <w:spacing w:after="0" w:line="275" w:lineRule="auto"/>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requirement that the founding members purchase up to 90 seconds of on-screen advertising time during the pre-feature program at a negotiated rate (intended to approximate a market rate) in order to satisfy the founding members’ obligation to provide certain on-screen advertising to their beverage concessionaires pursuant to their beverage concessionaire agreements; and</w:t>
      </w:r>
    </w:p>
    <w:p>
      <w:pPr>
        <w:spacing w:after="0" w:line="36" w:lineRule="exact"/>
        <w:rPr>
          <w:rFonts w:ascii="Arial" w:cs="Arial" w:eastAsia="Arial" w:hAnsi="Arial"/>
          <w:sz w:val="14"/>
          <w:szCs w:val="14"/>
          <w:color w:val="auto"/>
        </w:rPr>
      </w:pPr>
    </w:p>
    <w:p>
      <w:pPr>
        <w:ind w:left="780" w:right="220" w:hanging="240"/>
        <w:spacing w:after="0" w:line="289" w:lineRule="auto"/>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primary responsibility of NCM LLC to obtain, repair and replace the equipment necessary to operate the digital content network and primary responsibility of the founding members to fund the installation and replacement of the equipment.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See “Certain Relationships and Related Party Transactions—Transactions with Founding Members—Exhibitor Services Agreements” below.</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with Our Network Affiliates</w:t>
      </w:r>
    </w:p>
    <w:p>
      <w:pPr>
        <w:spacing w:after="0" w:line="83"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NCM LLC has assumed agreements with certain network affiliates from a subsidiary of AMC, pursuant to which NCM LLC provides them with advertising services. The relationship between NCM LLC and three of the network affiliates is governed by the terms of three substantially similar agreements. Each of these three agreements provides that NCM LLC will pay the network affiliate a portion of the revenue from the advertising sold by NCM LLC, or at least a minimum annual payment per screen per year in exchange for showing NCM LLC advertisements in the theatres. The agreements allow for NCM LLC to be the exclusive provider of on-screen advertising for the network affiliates, subject to certain limitations, and each agreement expires during 2007. Pursuant to the fourth agreement, NCM LLC agrees to pay this network affiliate a monthly share of the proceeds from advertising sold by NCM LLC, or at least a minimum annual payment. The network affiliate agrees not to distribute any on-screen or in-theatre advertising product that competes with NCM LLC. This agreement will renew for a three-year term on December 31, 2007, unless written notice is given at least 90 days before December 31, 2007. Pursuant to the fifth agreement, NCM LLC agrees to pay this network affiliate a monthly share of the proceeds from advertising sold by NCM LLC, or at least a minimum annual payment. NCM LLC is the exclusive provider of any on-screen 35 mm “rolling stock” advertising for this network affiliate. This agreement expired December 31, 2006 and NCM LLC is currently negotiating an extension. NCM</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40"/>
          </w:cols>
          <w:pgMar w:left="220" w:top="399" w:right="23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auto"/>
        </w:rPr>
        <w:t>LLC has six-month run out rights which will allow NCM LLC to display advertising sold on or before December 31, 2006 on the network affiliate screens through June 30, 2007. NCM had assumed from a subsidiary of AMC agreements with two additional network affiliates. These agreements were terminated in 2005 and 2006.</w:t>
      </w:r>
    </w:p>
    <w:p>
      <w:pPr>
        <w:spacing w:after="0" w:line="93"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In addition, NCM LLC has assumed from a subsidiary of Regal an agreement with an additional network affiliate that had the digital content network installed. Pursuant to this agreement, NCM LLC agrees to pay the network affiliate a percentage of the revenue generated by the advertising offset by a minimum annual payment paid to the network affiliate annually. NCM LLC is the exclusive representative with respect to procurement of advertising for the pre-feature program and video display program in the network affiliate’s theatres. This agreement expires on September 16, 2009, or upon giving notice in specified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Digital Cinema Services Agreement</w:t>
      </w:r>
    </w:p>
    <w:p>
      <w:pPr>
        <w:spacing w:after="0" w:line="83"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In connection with the completion of this offering, we anticipate that we will enter into the digital cinema services agreement with a newly-formed entity to be formed and owned by our founding members, to govern our activities related to design, planning and management related to development and procurement of digital cinema systems for our founding members. This effort will include system design, equipment procurement and the development of financing agreements with the studios and third-party financing sources. Prior to the completion of the offering, we will assign to the newly formed entity an engagement letter we have entered into with J.P. Morgan Securities Inc. and a consulting contract we have entered into with Travis Reid, former Loews Cineplex Entertainment President and CEO, who is leading the effort to create a business plan and financing model for digital cinema with the major motion picture studios. We anticipate that the newly formed entity will manage the implementation of the business plan, including the establishment of an unrelated entity to purchase digital cinema equipment and enter into the associated financings. Neither NCM Inc. nor any of our subsidiaries will have an ownership interest in the unrelated entity. The financing arrangements are intended to be non-recourse to us. These future developments are subject to the plans of our founding members.</w:t>
      </w:r>
    </w:p>
    <w:p>
      <w:pPr>
        <w:spacing w:after="0" w:line="113"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Our provision of services to this venture could provide us with several benefits, including additional revenue from the digital cinema services agreement. If our founding members choose to deploy the plans that we develop, we will be better positioned to integrate the operational and technological needs of our advertising and digital programming events businesses into the digital cinema systems that may be deployed into theatres.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In-Theatre Advertising</w:t>
      </w:r>
      <w:r>
        <w:rPr>
          <w:rFonts w:ascii="Arial" w:cs="Arial" w:eastAsia="Arial" w:hAnsi="Arial"/>
          <w:sz w:val="14"/>
          <w:szCs w:val="14"/>
          <w:color w:val="auto"/>
        </w:rPr>
        <w:t>. We sell and market our in-theatre advertising through our national and regional/local sales and marketing groups.</w:t>
      </w:r>
    </w:p>
    <w:p>
      <w:pPr>
        <w:spacing w:after="0" w:line="145"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Our national sales staff of 29 people as of September 28, 2006, is located across the country in our four national sales offices in New York, Woodland Hills (outside Los Angeles), Chicago and Detroit. Approximately 33% of the compensation for the national sales staff is variable and commission-based, with commissions shared across the team in order to enhance coordination and teamwork. Our national sales organization is highly scalable and has successfully increased sales per person by approximately 28% since March 2005. We expect this trend to continue as our products and services gain greater acceptance by advertisers and continue to expand our customer and revenue base.</w:t>
      </w:r>
    </w:p>
    <w:p>
      <w:pPr>
        <w:spacing w:after="0" w:line="106"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Our regional and local sales staff of 107 people as of September 28, 2006, is located throughout the country, covering approximately 121 screens each and selling directly to our regional and local clients. Approximately 75% of the compensation for local sales staff is variable based on a commission of collected sales.</w:t>
      </w:r>
    </w:p>
    <w:p>
      <w:pPr>
        <w:spacing w:after="0" w:line="93" w:lineRule="exact"/>
        <w:rPr>
          <w:sz w:val="20"/>
          <w:szCs w:val="20"/>
          <w:color w:val="auto"/>
        </w:rPr>
      </w:pPr>
    </w:p>
    <w:p>
      <w:pPr>
        <w:ind w:right="520" w:firstLine="458"/>
        <w:spacing w:after="0" w:line="330" w:lineRule="auto"/>
        <w:rPr>
          <w:sz w:val="20"/>
          <w:szCs w:val="20"/>
          <w:color w:val="auto"/>
        </w:rPr>
      </w:pPr>
      <w:r>
        <w:rPr>
          <w:rFonts w:ascii="Arial" w:cs="Arial" w:eastAsia="Arial" w:hAnsi="Arial"/>
          <w:sz w:val="13"/>
          <w:szCs w:val="13"/>
          <w:color w:val="auto"/>
        </w:rPr>
        <w:t>During 2005, we created a new senior sales position to focus exclusively on larger regional clients (such as car dealer associations, quick-service restaurant advertising co-ops and state lotteries). We believe sales to regional clients represent a significant growth opportunity and will allow us to increase utilization in the earlier segments of our pre-feature show.</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40"/>
          </w:cols>
          <w:pgMar w:left="220" w:top="398" w:right="23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93" w:lineRule="auto"/>
        <w:rPr>
          <w:sz w:val="20"/>
          <w:szCs w:val="20"/>
          <w:color w:val="auto"/>
        </w:rPr>
      </w:pPr>
      <w:r>
        <w:rPr>
          <w:rFonts w:ascii="Arial" w:cs="Arial" w:eastAsia="Arial" w:hAnsi="Arial"/>
          <w:sz w:val="13"/>
          <w:szCs w:val="13"/>
          <w:color w:val="auto"/>
        </w:rPr>
        <w:t>Over the past four years we have increased our advertising revenue base by expanding the number of clients and product categories through sales outreach. We aggressively plan meetings directly with clients and with advertising agencies to educate them on the merits of cinema advertising. We also have a three-person public relations department and a seven-person research department and have commissioned third-party market research on the effectiveness of cinema advertising. This research has provided our customers with compelling statistical evidence of the superiority of our product relative to other broadcast advertising based on metrics such as brand recognition, message recall, and likeability. We believe we are making significant progress toward establishing cinema advertising as a more accountable and effective advertising medium relative to other traditional advertising media and capturing increasing market share from those media.</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CineMeetings</w:t>
      </w:r>
      <w:r>
        <w:rPr>
          <w:rFonts w:ascii="Arial" w:cs="Arial" w:eastAsia="Arial" w:hAnsi="Arial"/>
          <w:sz w:val="13"/>
          <w:szCs w:val="13"/>
          <w:color w:val="auto"/>
        </w:rPr>
        <w:t>. We have a staff of 41 people as of September 28, 2006, who are dedicated to sales and marketing of our meetings business. In fiscal 2005, we facilitated over 6,900 meetings.</w:t>
      </w:r>
    </w:p>
    <w:p>
      <w:pPr>
        <w:spacing w:after="0" w:line="157"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i w:val="1"/>
          <w:iCs w:val="1"/>
          <w:color w:val="auto"/>
        </w:rPr>
        <w:t>Digital Programming Events</w:t>
      </w:r>
      <w:r>
        <w:rPr>
          <w:rFonts w:ascii="Arial" w:cs="Arial" w:eastAsia="Arial" w:hAnsi="Arial"/>
          <w:sz w:val="14"/>
          <w:szCs w:val="14"/>
          <w:color w:val="auto"/>
        </w:rPr>
        <w:t>. We have a staff of eight people as of September 28, 2006, who are dedicated to sales and marketing of our digital programming events. Over the last year, we have</w:t>
      </w:r>
      <w:r>
        <w:rPr>
          <w:rFonts w:ascii="Arial" w:cs="Arial" w:eastAsia="Arial" w:hAnsi="Arial"/>
          <w:sz w:val="14"/>
          <w:szCs w:val="14"/>
          <w:i w:val="1"/>
          <w:iCs w:val="1"/>
          <w:color w:val="auto"/>
        </w:rPr>
        <w:t xml:space="preserve"> </w:t>
      </w:r>
      <w:r>
        <w:rPr>
          <w:rFonts w:ascii="Arial" w:cs="Arial" w:eastAsia="Arial" w:hAnsi="Arial"/>
          <w:sz w:val="14"/>
          <w:szCs w:val="14"/>
          <w:color w:val="auto"/>
        </w:rPr>
        <w:t>successfully expanded this business segment from 15 events attended by approximately 88,000 patrons throughout 2005, to 15 events attended by approximately 187,000 patrons in the first nine months of 2006.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and Creative Services</w:t>
      </w:r>
    </w:p>
    <w:p>
      <w:pPr>
        <w:spacing w:after="0" w:line="83" w:lineRule="exact"/>
        <w:rPr>
          <w:sz w:val="20"/>
          <w:szCs w:val="20"/>
          <w:color w:val="auto"/>
        </w:rPr>
      </w:pPr>
    </w:p>
    <w:p>
      <w:pPr>
        <w:ind w:right="20" w:firstLine="458"/>
        <w:spacing w:after="0" w:line="286" w:lineRule="auto"/>
        <w:rPr>
          <w:sz w:val="20"/>
          <w:szCs w:val="20"/>
          <w:color w:val="auto"/>
        </w:rPr>
      </w:pPr>
      <w:r>
        <w:rPr>
          <w:rFonts w:ascii="Arial" w:cs="Arial" w:eastAsia="Arial" w:hAnsi="Arial"/>
          <w:sz w:val="13"/>
          <w:szCs w:val="13"/>
          <w:color w:val="auto"/>
        </w:rPr>
        <w:t>Our media and creative services division uses state of the art, proprietary technologies and practices to ensure the highest possible cinema quality presentation of all on-screen content. We believe the expertise of this group in optimizing content for cinema playback has been instrumental in our ability to provide a better experience for the theatre patron and to enhance our ability to attract and retain our on-screen advertising customers. We provide a full spectrum of post-production services to our clients for a fee, including audio enhancements, color correction and noise reduction and will also upconvert standard definition content to the high-definition, surround sound cinema quality format we distribute over our digital content network, ensuring a pristine, high impact presentation of our clients’ content. Our expertise in tailoring advertisements developed for television for high-definition cinema playback facilitates the ability of national advertisers to display content that optimizes the big-screen format. We also offer creative services to our clients, developing full sight, sound and motion high-definition advertisements from concept to completion. Our founding members and significant number of regional advertisers engage us for the production of their on-screen advertisements. This service substantially reduces the obstacles for smaller clients to invest in cinema-quality advertising. Additionally, our media and creative services ensure the consistent image and sound quality of the pre-feature and event content distributed over our network, which we believe has a positive impact on the audience reaction to and recall of our content and the overall quality of movie-goers’ experience.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w:t>
      </w:r>
    </w:p>
    <w:p>
      <w:pPr>
        <w:spacing w:after="0" w:line="83"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We utilize digital media, software and network technologies to deliver high-quality cinema advertising, meeting services and digital programming events to screens at our network theatres. These technologies facilitate a higher quality entertainment experience than the slide projectors and 35 mm “rolling stock” traditionally used in cinema advertising. Moreover, our technology allows us to deliver targeted, measurable advertising messages to consumers and efficiently monitor the on-screen playback.</w:t>
      </w:r>
    </w:p>
    <w:p>
      <w:pPr>
        <w:spacing w:after="0" w:line="102" w:lineRule="exact"/>
        <w:rPr>
          <w:sz w:val="20"/>
          <w:szCs w:val="20"/>
          <w:color w:val="auto"/>
        </w:rPr>
      </w:pPr>
    </w:p>
    <w:p>
      <w:pPr>
        <w:jc w:val="both"/>
        <w:ind w:right="180" w:firstLine="458"/>
        <w:spacing w:after="0" w:line="341" w:lineRule="auto"/>
        <w:rPr>
          <w:sz w:val="20"/>
          <w:szCs w:val="20"/>
          <w:color w:val="auto"/>
        </w:rPr>
      </w:pPr>
      <w:r>
        <w:rPr>
          <w:rFonts w:ascii="Arial" w:cs="Arial" w:eastAsia="Arial" w:hAnsi="Arial"/>
          <w:sz w:val="12"/>
          <w:szCs w:val="12"/>
          <w:color w:val="auto"/>
        </w:rPr>
        <w:t xml:space="preserve">We employ two satellite networks to distribute content to our theatres. Our digital content network satellite, which is operated by Hughes, is used to distribute our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content to 11,077 screens, 833 theatres and over 2 million seats. Our cinema broadcast network satellite is used to support our digital programming efforts by broadcasting live feeds to 292 screens in 119 theatres and over 82,000 seats. We contract for transponder time on the cinema broadcast network satellite only when we have digital programming events to distribute over the cinema broadcast network.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60"/>
          </w:cols>
          <w:pgMar w:left="220" w:top="399" w:right="21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firstLine="458"/>
        <w:spacing w:after="0" w:line="328" w:lineRule="auto"/>
        <w:rPr>
          <w:sz w:val="20"/>
          <w:szCs w:val="20"/>
          <w:color w:val="auto"/>
        </w:rPr>
      </w:pPr>
      <w:r>
        <w:rPr>
          <w:rFonts w:ascii="Arial" w:cs="Arial" w:eastAsia="Arial" w:hAnsi="Arial"/>
          <w:sz w:val="12"/>
          <w:szCs w:val="12"/>
          <w:color w:val="auto"/>
        </w:rPr>
        <w:t>The satellite technology we use to deliver data provides a cost-effective means to deliver content to theatres. We employ a variety of technologies that “wrap” around the satellite process to help ensure uninterrupted service to theatres. For example, our digital content system has automated implementation capabilities that allow for data files to be multicast to theatres over a large footprint. Our digital content system interfaced with the Hughes software also possesses the ability to dynamically control the quality, timing and completeness of content. The integrated digital content network/digital content system is controlled by our network operations center, which supports and monitors over 35,000 in-theatre hardware devices and more than 143,000 alarm points on the network.</w:t>
      </w:r>
    </w:p>
    <w:p>
      <w:pPr>
        <w:spacing w:after="0" w:line="76"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Through our network operations center, we have access to and can monitor and initiate repairs to the equipment in our entire digital network of theatres. Our network operations center operates 24 hours a day, seven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64135</wp:posOffset>
            </wp:positionV>
            <wp:extent cx="4177665" cy="2421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77665" cy="242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As shown in the above diagram, the finalized content is uploaded from our network operations center through the digital content network to theatres well in advance of use. The content will be delivered via multicast technology to all theatres in our network and received by our theatre management system where it is held until displayed according to its contract terms in specified theatre auditoriums. Each theatre auditorium has a client-server architecture that controls the content to be shown in the auditoriums or in the lobby. After the theatre management system receives digital content from the digital content network, confirmation of content playback is returned via the Hughes satellite to our network operations center.</w:t>
      </w:r>
    </w:p>
    <w:p>
      <w:pPr>
        <w:spacing w:after="0" w:line="106" w:lineRule="exact"/>
        <w:rPr>
          <w:sz w:val="20"/>
          <w:szCs w:val="20"/>
          <w:color w:val="auto"/>
        </w:rPr>
      </w:pPr>
    </w:p>
    <w:p>
      <w:pPr>
        <w:jc w:val="both"/>
        <w:ind w:right="140" w:firstLine="458"/>
        <w:spacing w:after="0" w:line="305" w:lineRule="auto"/>
        <w:rPr>
          <w:sz w:val="20"/>
          <w:szCs w:val="20"/>
          <w:color w:val="auto"/>
        </w:rPr>
      </w:pPr>
      <w:r>
        <w:rPr>
          <w:rFonts w:ascii="Arial" w:cs="Arial" w:eastAsia="Arial" w:hAnsi="Arial"/>
          <w:sz w:val="13"/>
          <w:szCs w:val="13"/>
          <w:color w:val="auto"/>
        </w:rPr>
        <w:t>We have a disaster recovery project underway that will provide backup for critical applications at an off-site facility in the event of a catastrophic failure at our network operations center. This facility, to be located in Salt Lake City, will co-locate our servers in an environmentally secure data center. Installation of the data circuits, server and other equipment began in September 2006 and is expected to be completed by the end of the first quarter of 2007. We expect to execute the disaster recovery test plan in 2007 and execute it annually thereafter.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60"/>
          </w:cols>
          <w:pgMar w:left="220" w:top="398" w:right="21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83"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i w:val="1"/>
          <w:iCs w:val="1"/>
          <w:color w:val="auto"/>
        </w:rPr>
        <w:t xml:space="preserve">Advertising Customers. </w:t>
      </w:r>
      <w:r>
        <w:rPr>
          <w:rFonts w:ascii="Arial" w:cs="Arial" w:eastAsia="Arial" w:hAnsi="Arial"/>
          <w:sz w:val="14"/>
          <w:szCs w:val="14"/>
          <w:color w:val="auto"/>
        </w:rPr>
        <w:t>Our advertising business has a diverse customer base, consisting of national, regional and local advertisers. We have business relationships with many national</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advertisers across a wide variety of industries, such as apparel / accessories, automotive, confectionary, credit card, entertainment, personal care, retail, telecommunications and video games, as well as branches of the armed forces. We derived 76% of our advertising revenue from our national accounts during the nine months ended September 28, 2006. We also have relationships with many regional and local advertisers across the country and with advertising agencies.</w:t>
      </w:r>
    </w:p>
    <w:p>
      <w:pPr>
        <w:spacing w:after="0" w:line="106" w:lineRule="exact"/>
        <w:rPr>
          <w:sz w:val="20"/>
          <w:szCs w:val="20"/>
          <w:color w:val="auto"/>
        </w:rPr>
      </w:pPr>
    </w:p>
    <w:p>
      <w:pPr>
        <w:ind w:right="360" w:firstLine="458"/>
        <w:spacing w:after="0" w:line="270" w:lineRule="auto"/>
        <w:rPr>
          <w:sz w:val="20"/>
          <w:szCs w:val="20"/>
          <w:color w:val="auto"/>
        </w:rPr>
      </w:pPr>
      <w:r>
        <w:rPr>
          <w:rFonts w:ascii="Arial" w:cs="Arial" w:eastAsia="Arial" w:hAnsi="Arial"/>
          <w:sz w:val="14"/>
          <w:szCs w:val="14"/>
          <w:color w:val="auto"/>
        </w:rPr>
        <w:t>Each of our founding members have a relationship with a beverage concessionaire under which they are obligated to provide up to 90 seconds of on-screen advertising time as part of their agreement to purchase syrup. Under our prior agreements with our founding members, NCM LLC was to satisfy the founding members’ obligation without charge through December 2009. The exhibitor services agreements will provide for the founding members’ purchase of this on-screen advertising time at a negotiated rate (intended to approximate a market rate) in order to satisfy the founding members’ obligation to provide this advertising.</w:t>
      </w:r>
    </w:p>
    <w:p>
      <w:pPr>
        <w:spacing w:after="0" w:line="106"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i w:val="1"/>
          <w:iCs w:val="1"/>
          <w:color w:val="auto"/>
        </w:rPr>
        <w:t xml:space="preserve">Content Partners. </w:t>
      </w:r>
      <w:r>
        <w:rPr>
          <w:rFonts w:ascii="Arial" w:cs="Arial" w:eastAsia="Arial" w:hAnsi="Arial"/>
          <w:sz w:val="14"/>
          <w:szCs w:val="14"/>
          <w:color w:val="auto"/>
        </w:rPr>
        <w:t>We have contractual relationships that provide entertainment content segments in the</w:t>
      </w:r>
      <w:r>
        <w:rPr>
          <w:rFonts w:ascii="Arial" w:cs="Arial" w:eastAsia="Arial" w:hAnsi="Arial"/>
          <w:sz w:val="14"/>
          <w:szCs w:val="14"/>
          <w:i w:val="1"/>
          <w:iCs w:val="1"/>
          <w:color w:val="auto"/>
        </w:rPr>
        <w:t xml:space="preserve"> FirstLook </w:t>
      </w:r>
      <w:r>
        <w:rPr>
          <w:rFonts w:ascii="Arial" w:cs="Arial" w:eastAsia="Arial" w:hAnsi="Arial"/>
          <w:sz w:val="14"/>
          <w:szCs w:val="14"/>
          <w:color w:val="auto"/>
        </w:rPr>
        <w:t>program and minimum annual advertising spending commitments with</w:t>
      </w:r>
      <w:r>
        <w:rPr>
          <w:rFonts w:ascii="Arial" w:cs="Arial" w:eastAsia="Arial" w:hAnsi="Arial"/>
          <w:sz w:val="14"/>
          <w:szCs w:val="14"/>
          <w:i w:val="1"/>
          <w:iCs w:val="1"/>
          <w:color w:val="auto"/>
        </w:rPr>
        <w:t xml:space="preserve"> </w:t>
      </w:r>
      <w:r>
        <w:rPr>
          <w:rFonts w:ascii="Arial" w:cs="Arial" w:eastAsia="Arial" w:hAnsi="Arial"/>
          <w:sz w:val="14"/>
          <w:szCs w:val="14"/>
          <w:color w:val="auto"/>
        </w:rPr>
        <w:t>Discovery, NBC, Sony, TBS and Universal. These agreements generally provide that the non-commercial content segments are to be entertaining, informative or educational in nature. Each of the agreements provides for the purchase of a specified amount of advertising over a two-year period with options to renew, exercisable at the content partner’s option. Each of the five agreements expires at the end of the 2007 or 2008 calendar year.</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83"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We compete in the $240 billion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mass media to more targeted forms of media. As the number of media platforms continues to increase, the ability to target narrow consumer demographics and to provide measurable third-party marketing information has become increasingly important. We believe that proliferation of digital technology enabling improved data collection and ROI measurement will increase advertisers’ demand for digital advertising platforms and that cinema advertising is well positioned to address these trends.</w:t>
      </w:r>
    </w:p>
    <w:p>
      <w:pPr>
        <w:spacing w:after="0" w:line="110"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We also compete with other providers of cinema advertising, which vary substantially in size, including Screenvision and Unique Screen Media. As one of the largest providers of cinema advertising in the United States, we believe that we are able to generate economies of scale, operating efficiencies and enhanced opportunities for our customers to access a national and regional audience, giving us a competitive advantage over many of our cinema advertising competitors. Through the visual quality and impact of the “big screen” and surround sound, we are able to display high impact impressions to our audiences. According to industry studies, our cinema advertising generated recall rates five to six times greater than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platform for advertisers.</w:t>
      </w:r>
    </w:p>
    <w:p>
      <w:pPr>
        <w:spacing w:after="0" w:line="110"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Our CineMeetings business competes with a number of venues including hotels, conference facilities, restaurants, arenas and other convention properties, as well as virtual meetings hosted on-line and across private teleconferencing networks. We believe that the combination of our ability to offer clients access to conveniently located theatres with big screens, stadium seating, high-resolution digital projection and audio in multiple locations offers customers an attractive venue for meetings. Also, we offer a single point of contact and standardized pricing for our services, which is a competitive advantage when booking multi-location events. In addition, we offer clients the ability to combine a movie with the meeting, which also differentiates us from other meeting venues.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60"/>
          </w:cols>
          <w:pgMar w:left="220" w:top="399" w:right="21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color w:val="auto"/>
        </w:rPr>
        <w:t>Our digital programming events business competes with other broadcast and cable networks, large-scale public venues, including concert halls and other public meeting venues and on-demand events. We believe that the combination of our national theatre network, geographic distribution and high quality sight and sound presentation offers content owners and sponsors an effective venue for events such as concerts and sporting events.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 Rights</w:t>
      </w:r>
    </w:p>
    <w:p>
      <w:pPr>
        <w:spacing w:after="0" w:line="83"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We have been granted a perpetual, royalty-free license from our founding members to use certain proprietary software for the delivery of digital advertising content through our digital content network to specific screens or markets throughout our national theatre network. We have made improvements to this software and we own those improvements, except for improvements that were developed jointly by us and the founding members.</w:t>
      </w:r>
    </w:p>
    <w:p>
      <w:pPr>
        <w:spacing w:after="0" w:line="102" w:lineRule="exact"/>
        <w:rPr>
          <w:sz w:val="20"/>
          <w:szCs w:val="20"/>
          <w:color w:val="auto"/>
        </w:rPr>
      </w:pPr>
    </w:p>
    <w:p>
      <w:pPr>
        <w:ind w:right="220" w:firstLine="458"/>
        <w:spacing w:after="0" w:line="275" w:lineRule="auto"/>
        <w:rPr>
          <w:sz w:val="20"/>
          <w:szCs w:val="20"/>
          <w:color w:val="auto"/>
        </w:rPr>
      </w:pPr>
      <w:r>
        <w:rPr>
          <w:rFonts w:ascii="Arial" w:cs="Arial" w:eastAsia="Arial" w:hAnsi="Arial"/>
          <w:sz w:val="14"/>
          <w:szCs w:val="14"/>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pre-reorganization license agreement. See “Certain Relationships and Related Party Transactions—Transactions with Founding Members—Software License Agreement.”</w:t>
      </w:r>
    </w:p>
    <w:p>
      <w:pPr>
        <w:spacing w:after="0" w:line="102" w:lineRule="exact"/>
        <w:rPr>
          <w:sz w:val="20"/>
          <w:szCs w:val="20"/>
          <w:color w:val="auto"/>
        </w:rPr>
      </w:pPr>
    </w:p>
    <w:p>
      <w:pPr>
        <w:ind w:right="60" w:firstLine="458"/>
        <w:spacing w:after="0" w:line="297" w:lineRule="auto"/>
        <w:rPr>
          <w:sz w:val="20"/>
          <w:szCs w:val="20"/>
          <w:color w:val="auto"/>
        </w:rPr>
      </w:pPr>
      <w:r>
        <w:rPr>
          <w:rFonts w:ascii="Arial" w:cs="Arial" w:eastAsia="Arial" w:hAnsi="Arial"/>
          <w:sz w:val="13"/>
          <w:szCs w:val="13"/>
          <w:color w:val="auto"/>
        </w:rPr>
        <w:t>We have applied for several U.S. trademark registrations, including for NATIONAL CINEMEDIA and FIRSTLOOK. It is our practice to defend our trademarks and the associated goodwill from infringement by others. We are aware of a number of other companies that use names and marks containing variations of the words contained in our existing trademarks. There could be potential trademark infringement claims brought against us by the users of these names and marks. If any of these infringement claims were to prove successful in preventing us from using our existing trademarks or preventing us from stopping a competitor from using our existing trademarks, our ability to build brand identity could be negatively impacted.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8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Currently, we are not subject to regulations specific to sale and distribution of cinema advertising that we need to comply with in our operations. We are subject to federal, state and local laws that govern businesses generally such as wage and hour and worker compensation laws.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83"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We employed 447 people as of September 28, 2006, with 249 employees engaged in overall management and general administration at our corporate headquarters in Centennial, Colorado, 72 people employed in our regional offices, 107 local advertising account executives and 19 field maintenance technicians. None of our employees are covered by collective bargaining agreements. We believe that our relationship with our employees is good.</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00"/>
          </w:cols>
          <w:pgMar w:left="220" w:top="398" w:right="27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Theatre Network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details our presence in the top 50 U.S. DMAs</w:t>
      </w:r>
      <w:r>
        <w:rPr>
          <w:rFonts w:ascii="Arial" w:cs="Arial" w:eastAsia="Arial" w:hAnsi="Arial"/>
          <w:sz w:val="18"/>
          <w:szCs w:val="18"/>
          <w:color w:val="auto"/>
          <w:vertAlign w:val="superscript"/>
        </w:rPr>
        <w:t>®</w:t>
      </w:r>
      <w:r>
        <w:rPr>
          <w:rFonts w:ascii="Arial" w:cs="Arial" w:eastAsia="Arial" w:hAnsi="Arial"/>
          <w:sz w:val="14"/>
          <w:szCs w:val="14"/>
          <w:color w:val="auto"/>
        </w:rPr>
        <w:t>, as of September 28, 2006 for NCM LLC and Loews, and as of October 20, 2006 for Century: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 LLC’s Presence in Top U.S. DMAs</w:t>
      </w:r>
      <w:r>
        <w:rPr>
          <w:rFonts w:ascii="Arial" w:cs="Arial" w:eastAsia="Arial" w:hAnsi="Arial"/>
          <w:sz w:val="18"/>
          <w:szCs w:val="18"/>
          <w:b w:val="1"/>
          <w:bCs w:val="1"/>
          <w:color w:val="auto"/>
          <w:vertAlign w:val="superscript"/>
        </w:rPr>
        <w:t>® (1)</w:t>
      </w:r>
    </w:p>
    <w:tbl>
      <w:tblPr>
        <w:tblLayout w:type="fixed"/>
        <w:tblInd w:w="0" w:type="dxa"/>
        <w:tblCellMar>
          <w:top w:w="0" w:type="dxa"/>
          <w:left w:w="0" w:type="dxa"/>
          <w:bottom w:w="0" w:type="dxa"/>
          <w:right w:w="0" w:type="dxa"/>
        </w:tblCellMar>
      </w:tblPr>
      <w:tr>
        <w:trPr>
          <w:trHeight w:val="99"/>
        </w:trPr>
        <w:tc>
          <w:tcPr>
            <w:tcW w:w="20" w:type="dxa"/>
            <w:vAlign w:val="bottom"/>
          </w:tcPr>
          <w:p>
            <w:pPr>
              <w:spacing w:after="0"/>
              <w:rPr>
                <w:sz w:val="8"/>
                <w:szCs w:val="8"/>
                <w:color w:val="auto"/>
              </w:rPr>
            </w:pPr>
          </w:p>
        </w:tc>
        <w:tc>
          <w:tcPr>
            <w:tcW w:w="28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205"/>
              <w:spacing w:after="0" w:line="99" w:lineRule="exact"/>
              <w:rPr>
                <w:sz w:val="20"/>
                <w:szCs w:val="20"/>
                <w:color w:val="auto"/>
              </w:rPr>
            </w:pPr>
            <w:r>
              <w:rPr>
                <w:rFonts w:ascii="Arial" w:cs="Arial" w:eastAsia="Arial" w:hAnsi="Arial"/>
                <w:sz w:val="11"/>
                <w:szCs w:val="11"/>
                <w:b w:val="1"/>
                <w:bCs w:val="1"/>
                <w:color w:val="auto"/>
              </w:rPr>
              <w:t>Share of Total</w:t>
            </w:r>
          </w:p>
        </w:tc>
        <w:tc>
          <w:tcPr>
            <w:tcW w:w="6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105"/>
              <w:spacing w:after="0" w:line="99" w:lineRule="exact"/>
              <w:rPr>
                <w:sz w:val="20"/>
                <w:szCs w:val="20"/>
                <w:color w:val="auto"/>
              </w:rPr>
            </w:pPr>
            <w:r>
              <w:rPr>
                <w:rFonts w:ascii="Arial" w:cs="Arial" w:eastAsia="Arial" w:hAnsi="Arial"/>
                <w:sz w:val="11"/>
                <w:szCs w:val="11"/>
                <w:b w:val="1"/>
                <w:bCs w:val="1"/>
                <w:color w:val="auto"/>
              </w:rPr>
              <w:t>NCM Admissions</w:t>
            </w: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rPr>
              <w:t>Screens</w:t>
            </w:r>
          </w:p>
        </w:tc>
        <w:tc>
          <w:tcPr>
            <w:tcW w:w="7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NCM Admissions</w:t>
            </w:r>
          </w:p>
        </w:tc>
        <w:tc>
          <w:tcPr>
            <w:tcW w:w="6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Share of DMA</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99"/>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jc w:val="center"/>
              <w:ind w:left="185"/>
              <w:spacing w:after="0" w:line="99" w:lineRule="exact"/>
              <w:rPr>
                <w:sz w:val="20"/>
                <w:szCs w:val="20"/>
                <w:color w:val="auto"/>
              </w:rPr>
            </w:pPr>
            <w:r>
              <w:rPr>
                <w:rFonts w:ascii="Arial" w:cs="Arial" w:eastAsia="Arial" w:hAnsi="Arial"/>
                <w:sz w:val="11"/>
                <w:szCs w:val="11"/>
                <w:b w:val="1"/>
                <w:bCs w:val="1"/>
                <w:color w:val="auto"/>
                <w:w w:val="98"/>
              </w:rPr>
              <w:t>Including</w:t>
            </w: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jc w:val="center"/>
              <w:ind w:left="105"/>
              <w:spacing w:after="0" w:line="99" w:lineRule="exact"/>
              <w:rPr>
                <w:sz w:val="20"/>
                <w:szCs w:val="20"/>
                <w:color w:val="auto"/>
              </w:rPr>
            </w:pPr>
            <w:r>
              <w:rPr>
                <w:rFonts w:ascii="Arial" w:cs="Arial" w:eastAsia="Arial" w:hAnsi="Arial"/>
                <w:sz w:val="11"/>
                <w:szCs w:val="11"/>
                <w:b w:val="1"/>
                <w:bCs w:val="1"/>
                <w:color w:val="auto"/>
              </w:rPr>
              <w:t>Including</w:t>
            </w: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jc w:val="center"/>
              <w:ind w:left="125"/>
              <w:spacing w:after="0" w:line="99" w:lineRule="exact"/>
              <w:rPr>
                <w:sz w:val="20"/>
                <w:szCs w:val="20"/>
                <w:color w:val="auto"/>
              </w:rPr>
            </w:pPr>
            <w:r>
              <w:rPr>
                <w:rFonts w:ascii="Arial" w:cs="Arial" w:eastAsia="Arial" w:hAnsi="Arial"/>
                <w:sz w:val="11"/>
                <w:szCs w:val="11"/>
                <w:b w:val="1"/>
                <w:bCs w:val="1"/>
                <w:color w:val="auto"/>
                <w:w w:val="98"/>
              </w:rPr>
              <w:t>Including</w:t>
            </w:r>
          </w:p>
        </w:tc>
        <w:tc>
          <w:tcPr>
            <w:tcW w:w="100" w:type="dxa"/>
            <w:vAlign w:val="bottom"/>
          </w:tcPr>
          <w:p>
            <w:pPr>
              <w:spacing w:after="0"/>
              <w:rPr>
                <w:sz w:val="8"/>
                <w:szCs w:val="8"/>
                <w:color w:val="auto"/>
              </w:rPr>
            </w:pPr>
          </w:p>
        </w:tc>
      </w:tr>
      <w:tr>
        <w:trPr>
          <w:trHeight w:val="120"/>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80" w:type="dxa"/>
            <w:vAlign w:val="bottom"/>
            <w:gridSpan w:val="2"/>
          </w:tcPr>
          <w:p>
            <w:pPr>
              <w:jc w:val="right"/>
              <w:ind w:right="260"/>
              <w:spacing w:after="0" w:line="121" w:lineRule="exact"/>
              <w:rPr>
                <w:sz w:val="20"/>
                <w:szCs w:val="20"/>
                <w:color w:val="auto"/>
              </w:rPr>
            </w:pPr>
            <w:r>
              <w:rPr>
                <w:rFonts w:ascii="Arial" w:cs="Arial" w:eastAsia="Arial" w:hAnsi="Arial"/>
                <w:sz w:val="11"/>
                <w:szCs w:val="11"/>
                <w:b w:val="1"/>
                <w:bCs w:val="1"/>
                <w:color w:val="auto"/>
              </w:rPr>
              <w:t>Current</w:t>
            </w:r>
          </w:p>
        </w:tc>
        <w:tc>
          <w:tcPr>
            <w:tcW w:w="960" w:type="dxa"/>
            <w:vAlign w:val="bottom"/>
          </w:tcPr>
          <w:p>
            <w:pPr>
              <w:jc w:val="right"/>
              <w:ind w:right="185"/>
              <w:spacing w:after="0" w:line="121" w:lineRule="exact"/>
              <w:rPr>
                <w:sz w:val="20"/>
                <w:szCs w:val="20"/>
                <w:color w:val="auto"/>
              </w:rPr>
            </w:pPr>
            <w:r>
              <w:rPr>
                <w:rFonts w:ascii="Arial" w:cs="Arial" w:eastAsia="Arial" w:hAnsi="Arial"/>
                <w:sz w:val="11"/>
                <w:szCs w:val="11"/>
                <w:b w:val="1"/>
                <w:bCs w:val="1"/>
                <w:color w:val="auto"/>
              </w:rPr>
              <w:t>Including</w:t>
            </w:r>
          </w:p>
        </w:tc>
        <w:tc>
          <w:tcPr>
            <w:tcW w:w="720" w:type="dxa"/>
            <w:vAlign w:val="bottom"/>
          </w:tcPr>
          <w:p>
            <w:pPr>
              <w:jc w:val="center"/>
              <w:ind w:left="205"/>
              <w:spacing w:after="0" w:line="121" w:lineRule="exact"/>
              <w:rPr>
                <w:sz w:val="20"/>
                <w:szCs w:val="20"/>
                <w:color w:val="auto"/>
              </w:rPr>
            </w:pPr>
            <w:r>
              <w:rPr>
                <w:rFonts w:ascii="Arial" w:cs="Arial" w:eastAsia="Arial" w:hAnsi="Arial"/>
                <w:sz w:val="11"/>
                <w:szCs w:val="11"/>
                <w:b w:val="1"/>
                <w:bCs w:val="1"/>
                <w:color w:val="auto"/>
              </w:rPr>
              <w:t>Century</w:t>
            </w:r>
          </w:p>
        </w:tc>
        <w:tc>
          <w:tcPr>
            <w:tcW w:w="480" w:type="dxa"/>
            <w:vAlign w:val="bottom"/>
          </w:tcPr>
          <w:p>
            <w:pPr>
              <w:spacing w:after="0"/>
              <w:rPr>
                <w:sz w:val="10"/>
                <w:szCs w:val="10"/>
                <w:color w:val="auto"/>
              </w:rPr>
            </w:pPr>
          </w:p>
        </w:tc>
        <w:tc>
          <w:tcPr>
            <w:tcW w:w="680" w:type="dxa"/>
            <w:vAlign w:val="bottom"/>
          </w:tcPr>
          <w:p>
            <w:pPr>
              <w:jc w:val="right"/>
              <w:ind w:right="205"/>
              <w:spacing w:after="0" w:line="121" w:lineRule="exact"/>
              <w:rPr>
                <w:sz w:val="20"/>
                <w:szCs w:val="20"/>
                <w:color w:val="auto"/>
              </w:rPr>
            </w:pPr>
            <w:r>
              <w:rPr>
                <w:rFonts w:ascii="Arial" w:cs="Arial" w:eastAsia="Arial" w:hAnsi="Arial"/>
                <w:sz w:val="11"/>
                <w:szCs w:val="11"/>
                <w:b w:val="1"/>
                <w:bCs w:val="1"/>
                <w:color w:val="auto"/>
              </w:rPr>
              <w:t>Current</w:t>
            </w:r>
          </w:p>
        </w:tc>
        <w:tc>
          <w:tcPr>
            <w:tcW w:w="1220" w:type="dxa"/>
            <w:vAlign w:val="bottom"/>
          </w:tcPr>
          <w:p>
            <w:pPr>
              <w:jc w:val="right"/>
              <w:ind w:right="345"/>
              <w:spacing w:after="0" w:line="121" w:lineRule="exact"/>
              <w:rPr>
                <w:sz w:val="20"/>
                <w:szCs w:val="20"/>
                <w:color w:val="auto"/>
              </w:rPr>
            </w:pPr>
            <w:r>
              <w:rPr>
                <w:rFonts w:ascii="Arial" w:cs="Arial" w:eastAsia="Arial" w:hAnsi="Arial"/>
                <w:sz w:val="11"/>
                <w:szCs w:val="11"/>
                <w:b w:val="1"/>
                <w:bCs w:val="1"/>
                <w:color w:val="auto"/>
              </w:rPr>
              <w:t>Including</w:t>
            </w:r>
          </w:p>
        </w:tc>
        <w:tc>
          <w:tcPr>
            <w:tcW w:w="12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rPr>
              <w:t>Century</w:t>
            </w:r>
          </w:p>
        </w:tc>
        <w:tc>
          <w:tcPr>
            <w:tcW w:w="680" w:type="dxa"/>
            <w:vAlign w:val="bottom"/>
          </w:tcPr>
          <w:p>
            <w:pPr>
              <w:jc w:val="right"/>
              <w:ind w:right="205"/>
              <w:spacing w:after="0" w:line="121" w:lineRule="exact"/>
              <w:rPr>
                <w:sz w:val="20"/>
                <w:szCs w:val="20"/>
                <w:color w:val="auto"/>
              </w:rPr>
            </w:pPr>
            <w:r>
              <w:rPr>
                <w:rFonts w:ascii="Arial" w:cs="Arial" w:eastAsia="Arial" w:hAnsi="Arial"/>
                <w:sz w:val="11"/>
                <w:szCs w:val="11"/>
                <w:b w:val="1"/>
                <w:bCs w:val="1"/>
                <w:color w:val="auto"/>
              </w:rPr>
              <w:t>Current</w:t>
            </w:r>
          </w:p>
        </w:tc>
        <w:tc>
          <w:tcPr>
            <w:tcW w:w="1220" w:type="dxa"/>
            <w:vAlign w:val="bottom"/>
          </w:tcPr>
          <w:p>
            <w:pPr>
              <w:jc w:val="right"/>
              <w:ind w:right="345"/>
              <w:spacing w:after="0" w:line="121" w:lineRule="exact"/>
              <w:rPr>
                <w:sz w:val="20"/>
                <w:szCs w:val="20"/>
                <w:color w:val="auto"/>
              </w:rPr>
            </w:pPr>
            <w:r>
              <w:rPr>
                <w:rFonts w:ascii="Arial" w:cs="Arial" w:eastAsia="Arial" w:hAnsi="Arial"/>
                <w:sz w:val="11"/>
                <w:szCs w:val="11"/>
                <w:b w:val="1"/>
                <w:bCs w:val="1"/>
                <w:color w:val="auto"/>
              </w:rPr>
              <w:t>Including</w:t>
            </w:r>
          </w:p>
        </w:tc>
        <w:tc>
          <w:tcPr>
            <w:tcW w:w="760" w:type="dxa"/>
            <w:vAlign w:val="bottom"/>
            <w:gridSpan w:val="2"/>
          </w:tcPr>
          <w:p>
            <w:pPr>
              <w:jc w:val="center"/>
              <w:ind w:left="5"/>
              <w:spacing w:after="0" w:line="121" w:lineRule="exact"/>
              <w:rPr>
                <w:sz w:val="20"/>
                <w:szCs w:val="20"/>
                <w:color w:val="auto"/>
              </w:rPr>
            </w:pPr>
            <w:r>
              <w:rPr>
                <w:rFonts w:ascii="Arial" w:cs="Arial" w:eastAsia="Arial" w:hAnsi="Arial"/>
                <w:sz w:val="11"/>
                <w:szCs w:val="11"/>
                <w:b w:val="1"/>
                <w:bCs w:val="1"/>
                <w:color w:val="auto"/>
              </w:rPr>
              <w:t>Century</w:t>
            </w:r>
          </w:p>
        </w:tc>
      </w:tr>
      <w:tr>
        <w:trPr>
          <w:trHeight w:val="133"/>
        </w:trPr>
        <w:tc>
          <w:tcPr>
            <w:tcW w:w="20" w:type="dxa"/>
            <w:vAlign w:val="bottom"/>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96"/>
              </w:rPr>
              <w:t>Network</w:t>
            </w:r>
          </w:p>
        </w:tc>
        <w:tc>
          <w:tcPr>
            <w:tcW w:w="96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Century</w:t>
            </w:r>
          </w:p>
        </w:tc>
        <w:tc>
          <w:tcPr>
            <w:tcW w:w="720" w:type="dxa"/>
            <w:vAlign w:val="bottom"/>
            <w:tcBorders>
              <w:bottom w:val="single" w:sz="8" w:color="auto"/>
            </w:tcBorders>
          </w:tcPr>
          <w:p>
            <w:pPr>
              <w:jc w:val="center"/>
              <w:ind w:left="185"/>
              <w:spacing w:after="0"/>
              <w:rPr>
                <w:sz w:val="20"/>
                <w:szCs w:val="20"/>
                <w:color w:val="auto"/>
              </w:rPr>
            </w:pPr>
            <w:r>
              <w:rPr>
                <w:rFonts w:ascii="Arial" w:cs="Arial" w:eastAsia="Arial" w:hAnsi="Arial"/>
                <w:sz w:val="11"/>
                <w:szCs w:val="11"/>
                <w:b w:val="1"/>
                <w:bCs w:val="1"/>
                <w:color w:val="auto"/>
                <w:w w:val="97"/>
              </w:rPr>
              <w:t>&amp; Loews</w:t>
            </w:r>
          </w:p>
        </w:tc>
        <w:tc>
          <w:tcPr>
            <w:tcW w:w="4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w w:val="96"/>
              </w:rPr>
              <w:t>Network</w:t>
            </w:r>
          </w:p>
        </w:tc>
        <w:tc>
          <w:tcPr>
            <w:tcW w:w="122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Century</w:t>
            </w:r>
          </w:p>
        </w:tc>
        <w:tc>
          <w:tcPr>
            <w:tcW w:w="12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&amp; Loews</w:t>
            </w: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w w:val="96"/>
              </w:rPr>
              <w:t>Network</w:t>
            </w:r>
          </w:p>
        </w:tc>
        <w:tc>
          <w:tcPr>
            <w:tcW w:w="122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Century</w:t>
            </w:r>
          </w:p>
        </w:tc>
        <w:tc>
          <w:tcPr>
            <w:tcW w:w="760" w:type="dxa"/>
            <w:vAlign w:val="bottom"/>
            <w:tcBorders>
              <w:bottom w:val="single" w:sz="8" w:color="auto"/>
            </w:tcBorders>
            <w:gridSpan w:val="2"/>
          </w:tcPr>
          <w:p>
            <w:pPr>
              <w:jc w:val="center"/>
              <w:ind w:left="25"/>
              <w:spacing w:after="0"/>
              <w:rPr>
                <w:sz w:val="20"/>
                <w:szCs w:val="20"/>
                <w:color w:val="auto"/>
              </w:rPr>
            </w:pPr>
            <w:r>
              <w:rPr>
                <w:rFonts w:ascii="Arial" w:cs="Arial" w:eastAsia="Arial" w:hAnsi="Arial"/>
                <w:sz w:val="11"/>
                <w:szCs w:val="11"/>
                <w:b w:val="1"/>
                <w:bCs w:val="1"/>
                <w:color w:val="auto"/>
                <w:w w:val="97"/>
              </w:rPr>
              <w:t>&amp; Loews</w:t>
            </w:r>
          </w:p>
        </w:tc>
      </w:tr>
      <w:tr>
        <w:trPr>
          <w:trHeight w:val="111"/>
        </w:trPr>
        <w:tc>
          <w:tcPr>
            <w:tcW w:w="20" w:type="dxa"/>
            <w:vAlign w:val="bottom"/>
          </w:tcPr>
          <w:p>
            <w:pPr>
              <w:spacing w:after="0"/>
              <w:rPr>
                <w:sz w:val="9"/>
                <w:szCs w:val="9"/>
                <w:color w:val="auto"/>
              </w:rPr>
            </w:pPr>
          </w:p>
        </w:tc>
        <w:tc>
          <w:tcPr>
            <w:tcW w:w="2820" w:type="dxa"/>
            <w:vAlign w:val="bottom"/>
          </w:tcPr>
          <w:p>
            <w:pPr>
              <w:spacing w:after="0" w:line="111" w:lineRule="exact"/>
              <w:rPr>
                <w:sz w:val="20"/>
                <w:szCs w:val="20"/>
                <w:color w:val="auto"/>
              </w:rPr>
            </w:pPr>
            <w:r>
              <w:rPr>
                <w:rFonts w:ascii="Arial" w:cs="Arial" w:eastAsia="Arial" w:hAnsi="Arial"/>
                <w:sz w:val="11"/>
                <w:szCs w:val="11"/>
                <w:color w:val="auto"/>
              </w:rPr>
              <w:t>Top 10 DMAs</w:t>
            </w:r>
          </w:p>
        </w:tc>
        <w:tc>
          <w:tcPr>
            <w:tcW w:w="680" w:type="dxa"/>
            <w:vAlign w:val="bottom"/>
            <w:gridSpan w:val="2"/>
          </w:tcPr>
          <w:p>
            <w:pPr>
              <w:jc w:val="right"/>
              <w:ind w:right="240"/>
              <w:spacing w:after="0" w:line="111" w:lineRule="exact"/>
              <w:rPr>
                <w:sz w:val="20"/>
                <w:szCs w:val="20"/>
                <w:color w:val="auto"/>
              </w:rPr>
            </w:pPr>
            <w:r>
              <w:rPr>
                <w:rFonts w:ascii="Arial" w:cs="Arial" w:eastAsia="Arial" w:hAnsi="Arial"/>
                <w:sz w:val="11"/>
                <w:szCs w:val="11"/>
                <w:color w:val="auto"/>
              </w:rPr>
              <w:t>4,557</w:t>
            </w:r>
          </w:p>
        </w:tc>
        <w:tc>
          <w:tcPr>
            <w:tcW w:w="960" w:type="dxa"/>
            <w:vAlign w:val="bottom"/>
          </w:tcPr>
          <w:p>
            <w:pPr>
              <w:jc w:val="right"/>
              <w:ind w:right="185"/>
              <w:spacing w:after="0" w:line="111" w:lineRule="exact"/>
              <w:rPr>
                <w:sz w:val="20"/>
                <w:szCs w:val="20"/>
                <w:color w:val="auto"/>
              </w:rPr>
            </w:pPr>
            <w:r>
              <w:rPr>
                <w:rFonts w:ascii="Arial" w:cs="Arial" w:eastAsia="Arial" w:hAnsi="Arial"/>
                <w:sz w:val="11"/>
                <w:szCs w:val="11"/>
                <w:color w:val="auto"/>
              </w:rPr>
              <w:t>5,033</w:t>
            </w:r>
          </w:p>
        </w:tc>
        <w:tc>
          <w:tcPr>
            <w:tcW w:w="720" w:type="dxa"/>
            <w:vAlign w:val="bottom"/>
          </w:tcPr>
          <w:p>
            <w:pPr>
              <w:jc w:val="right"/>
              <w:spacing w:after="0" w:line="111" w:lineRule="exact"/>
              <w:rPr>
                <w:sz w:val="20"/>
                <w:szCs w:val="20"/>
                <w:color w:val="auto"/>
              </w:rPr>
            </w:pPr>
            <w:r>
              <w:rPr>
                <w:rFonts w:ascii="Arial" w:cs="Arial" w:eastAsia="Arial" w:hAnsi="Arial"/>
                <w:sz w:val="11"/>
                <w:szCs w:val="11"/>
                <w:color w:val="auto"/>
              </w:rPr>
              <w:t>5,890</w:t>
            </w:r>
          </w:p>
        </w:tc>
        <w:tc>
          <w:tcPr>
            <w:tcW w:w="1160" w:type="dxa"/>
            <w:vAlign w:val="bottom"/>
            <w:gridSpan w:val="2"/>
          </w:tcPr>
          <w:p>
            <w:pPr>
              <w:jc w:val="right"/>
              <w:ind w:right="85"/>
              <w:spacing w:after="0" w:line="111" w:lineRule="exact"/>
              <w:rPr>
                <w:sz w:val="20"/>
                <w:szCs w:val="20"/>
                <w:color w:val="auto"/>
              </w:rPr>
            </w:pPr>
            <w:r>
              <w:rPr>
                <w:rFonts w:ascii="Arial" w:cs="Arial" w:eastAsia="Arial" w:hAnsi="Arial"/>
                <w:sz w:val="11"/>
                <w:szCs w:val="11"/>
                <w:color w:val="auto"/>
              </w:rPr>
              <w:t>40%</w:t>
            </w:r>
          </w:p>
        </w:tc>
        <w:tc>
          <w:tcPr>
            <w:tcW w:w="1220" w:type="dxa"/>
            <w:vAlign w:val="bottom"/>
          </w:tcPr>
          <w:p>
            <w:pPr>
              <w:jc w:val="right"/>
              <w:ind w:right="245"/>
              <w:spacing w:after="0" w:line="111" w:lineRule="exact"/>
              <w:rPr>
                <w:sz w:val="20"/>
                <w:szCs w:val="20"/>
                <w:color w:val="auto"/>
              </w:rPr>
            </w:pPr>
            <w:r>
              <w:rPr>
                <w:rFonts w:ascii="Arial" w:cs="Arial" w:eastAsia="Arial" w:hAnsi="Arial"/>
                <w:sz w:val="11"/>
                <w:szCs w:val="11"/>
                <w:color w:val="auto"/>
              </w:rPr>
              <w:t>41%</w:t>
            </w:r>
          </w:p>
        </w:tc>
        <w:tc>
          <w:tcPr>
            <w:tcW w:w="1220" w:type="dxa"/>
            <w:vAlign w:val="bottom"/>
            <w:gridSpan w:val="2"/>
          </w:tcPr>
          <w:p>
            <w:pPr>
              <w:jc w:val="right"/>
              <w:ind w:right="460"/>
              <w:spacing w:after="0" w:line="111" w:lineRule="exact"/>
              <w:rPr>
                <w:sz w:val="20"/>
                <w:szCs w:val="20"/>
                <w:color w:val="auto"/>
              </w:rPr>
            </w:pPr>
            <w:r>
              <w:rPr>
                <w:rFonts w:ascii="Arial" w:cs="Arial" w:eastAsia="Arial" w:hAnsi="Arial"/>
                <w:sz w:val="11"/>
                <w:szCs w:val="11"/>
                <w:color w:val="auto"/>
              </w:rPr>
              <w:t>45%</w:t>
            </w:r>
          </w:p>
        </w:tc>
        <w:tc>
          <w:tcPr>
            <w:tcW w:w="680" w:type="dxa"/>
            <w:vAlign w:val="bottom"/>
          </w:tcPr>
          <w:p>
            <w:pPr>
              <w:jc w:val="right"/>
              <w:ind w:right="85"/>
              <w:spacing w:after="0" w:line="111" w:lineRule="exact"/>
              <w:rPr>
                <w:sz w:val="20"/>
                <w:szCs w:val="20"/>
                <w:color w:val="auto"/>
              </w:rPr>
            </w:pPr>
            <w:r>
              <w:rPr>
                <w:rFonts w:ascii="Arial" w:cs="Arial" w:eastAsia="Arial" w:hAnsi="Arial"/>
                <w:sz w:val="11"/>
                <w:szCs w:val="11"/>
                <w:color w:val="auto"/>
              </w:rPr>
              <w:t>52%</w:t>
            </w:r>
          </w:p>
        </w:tc>
        <w:tc>
          <w:tcPr>
            <w:tcW w:w="1220" w:type="dxa"/>
            <w:vAlign w:val="bottom"/>
          </w:tcPr>
          <w:p>
            <w:pPr>
              <w:jc w:val="right"/>
              <w:ind w:right="245"/>
              <w:spacing w:after="0" w:line="111" w:lineRule="exact"/>
              <w:rPr>
                <w:sz w:val="20"/>
                <w:szCs w:val="20"/>
                <w:color w:val="auto"/>
              </w:rPr>
            </w:pPr>
            <w:r>
              <w:rPr>
                <w:rFonts w:ascii="Arial" w:cs="Arial" w:eastAsia="Arial" w:hAnsi="Arial"/>
                <w:sz w:val="11"/>
                <w:szCs w:val="11"/>
                <w:color w:val="auto"/>
              </w:rPr>
              <w:t>55%</w:t>
            </w:r>
          </w:p>
        </w:tc>
        <w:tc>
          <w:tcPr>
            <w:tcW w:w="76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72%</w:t>
            </w:r>
          </w:p>
        </w:tc>
      </w:tr>
      <w:tr>
        <w:trPr>
          <w:trHeight w:val="120"/>
        </w:trPr>
        <w:tc>
          <w:tcPr>
            <w:tcW w:w="2840" w:type="dxa"/>
            <w:vAlign w:val="bottom"/>
            <w:gridSpan w:val="2"/>
          </w:tcPr>
          <w:p>
            <w:pPr>
              <w:spacing w:after="0" w:line="121" w:lineRule="exact"/>
              <w:rPr>
                <w:sz w:val="20"/>
                <w:szCs w:val="20"/>
                <w:color w:val="auto"/>
              </w:rPr>
            </w:pPr>
            <w:r>
              <w:rPr>
                <w:rFonts w:ascii="Arial" w:cs="Arial" w:eastAsia="Arial" w:hAnsi="Arial"/>
                <w:sz w:val="11"/>
                <w:szCs w:val="11"/>
                <w:color w:val="auto"/>
              </w:rPr>
              <w:t>Top 25 DMAs</w:t>
            </w:r>
          </w:p>
        </w:tc>
        <w:tc>
          <w:tcPr>
            <w:tcW w:w="680" w:type="dxa"/>
            <w:vAlign w:val="bottom"/>
            <w:gridSpan w:val="2"/>
          </w:tcPr>
          <w:p>
            <w:pPr>
              <w:jc w:val="right"/>
              <w:ind w:right="240"/>
              <w:spacing w:after="0" w:line="121" w:lineRule="exact"/>
              <w:rPr>
                <w:sz w:val="20"/>
                <w:szCs w:val="20"/>
                <w:color w:val="auto"/>
              </w:rPr>
            </w:pPr>
            <w:r>
              <w:rPr>
                <w:rFonts w:ascii="Arial" w:cs="Arial" w:eastAsia="Arial" w:hAnsi="Arial"/>
                <w:sz w:val="11"/>
                <w:szCs w:val="11"/>
                <w:color w:val="auto"/>
              </w:rPr>
              <w:t>7,575</w:t>
            </w:r>
          </w:p>
        </w:tc>
        <w:tc>
          <w:tcPr>
            <w:tcW w:w="960" w:type="dxa"/>
            <w:vAlign w:val="bottom"/>
          </w:tcPr>
          <w:p>
            <w:pPr>
              <w:jc w:val="right"/>
              <w:ind w:right="185"/>
              <w:spacing w:after="0" w:line="121" w:lineRule="exact"/>
              <w:rPr>
                <w:sz w:val="20"/>
                <w:szCs w:val="20"/>
                <w:color w:val="auto"/>
              </w:rPr>
            </w:pPr>
            <w:r>
              <w:rPr>
                <w:rFonts w:ascii="Arial" w:cs="Arial" w:eastAsia="Arial" w:hAnsi="Arial"/>
                <w:sz w:val="11"/>
                <w:szCs w:val="11"/>
                <w:color w:val="auto"/>
              </w:rPr>
              <w:t>8,196</w:t>
            </w:r>
          </w:p>
        </w:tc>
        <w:tc>
          <w:tcPr>
            <w:tcW w:w="720" w:type="dxa"/>
            <w:vAlign w:val="bottom"/>
          </w:tcPr>
          <w:p>
            <w:pPr>
              <w:jc w:val="right"/>
              <w:spacing w:after="0" w:line="121" w:lineRule="exact"/>
              <w:rPr>
                <w:sz w:val="20"/>
                <w:szCs w:val="20"/>
                <w:color w:val="auto"/>
              </w:rPr>
            </w:pPr>
            <w:r>
              <w:rPr>
                <w:rFonts w:ascii="Arial" w:cs="Arial" w:eastAsia="Arial" w:hAnsi="Arial"/>
                <w:sz w:val="11"/>
                <w:szCs w:val="11"/>
                <w:color w:val="auto"/>
              </w:rPr>
              <w:t>9,367</w:t>
            </w:r>
          </w:p>
        </w:tc>
        <w:tc>
          <w:tcPr>
            <w:tcW w:w="1160" w:type="dxa"/>
            <w:vAlign w:val="bottom"/>
            <w:gridSpan w:val="2"/>
          </w:tcPr>
          <w:p>
            <w:pPr>
              <w:jc w:val="right"/>
              <w:ind w:right="85"/>
              <w:spacing w:after="0" w:line="121" w:lineRule="exact"/>
              <w:rPr>
                <w:sz w:val="20"/>
                <w:szCs w:val="20"/>
                <w:color w:val="auto"/>
              </w:rPr>
            </w:pPr>
            <w:r>
              <w:rPr>
                <w:rFonts w:ascii="Arial" w:cs="Arial" w:eastAsia="Arial" w:hAnsi="Arial"/>
                <w:sz w:val="11"/>
                <w:szCs w:val="11"/>
                <w:color w:val="auto"/>
              </w:rPr>
              <w:t>61%</w:t>
            </w:r>
          </w:p>
        </w:tc>
        <w:tc>
          <w:tcPr>
            <w:tcW w:w="1220" w:type="dxa"/>
            <w:vAlign w:val="bottom"/>
          </w:tcPr>
          <w:p>
            <w:pPr>
              <w:jc w:val="right"/>
              <w:ind w:right="245"/>
              <w:spacing w:after="0" w:line="121" w:lineRule="exact"/>
              <w:rPr>
                <w:sz w:val="20"/>
                <w:szCs w:val="20"/>
                <w:color w:val="auto"/>
              </w:rPr>
            </w:pPr>
            <w:r>
              <w:rPr>
                <w:rFonts w:ascii="Arial" w:cs="Arial" w:eastAsia="Arial" w:hAnsi="Arial"/>
                <w:sz w:val="11"/>
                <w:szCs w:val="11"/>
                <w:color w:val="auto"/>
              </w:rPr>
              <w:t>62%</w:t>
            </w:r>
          </w:p>
        </w:tc>
        <w:tc>
          <w:tcPr>
            <w:tcW w:w="1220" w:type="dxa"/>
            <w:vAlign w:val="bottom"/>
            <w:gridSpan w:val="2"/>
          </w:tcPr>
          <w:p>
            <w:pPr>
              <w:jc w:val="right"/>
              <w:ind w:right="460"/>
              <w:spacing w:after="0" w:line="121" w:lineRule="exact"/>
              <w:rPr>
                <w:sz w:val="20"/>
                <w:szCs w:val="20"/>
                <w:color w:val="auto"/>
              </w:rPr>
            </w:pPr>
            <w:r>
              <w:rPr>
                <w:rFonts w:ascii="Arial" w:cs="Arial" w:eastAsia="Arial" w:hAnsi="Arial"/>
                <w:sz w:val="11"/>
                <w:szCs w:val="11"/>
                <w:color w:val="auto"/>
              </w:rPr>
              <w:t>67%</w:t>
            </w:r>
          </w:p>
        </w:tc>
        <w:tc>
          <w:tcPr>
            <w:tcW w:w="680" w:type="dxa"/>
            <w:vAlign w:val="bottom"/>
          </w:tcPr>
          <w:p>
            <w:pPr>
              <w:jc w:val="right"/>
              <w:ind w:right="85"/>
              <w:spacing w:after="0" w:line="121" w:lineRule="exact"/>
              <w:rPr>
                <w:sz w:val="20"/>
                <w:szCs w:val="20"/>
                <w:color w:val="auto"/>
              </w:rPr>
            </w:pPr>
            <w:r>
              <w:rPr>
                <w:rFonts w:ascii="Arial" w:cs="Arial" w:eastAsia="Arial" w:hAnsi="Arial"/>
                <w:sz w:val="11"/>
                <w:szCs w:val="11"/>
                <w:color w:val="auto"/>
              </w:rPr>
              <w:t>52%</w:t>
            </w:r>
          </w:p>
        </w:tc>
        <w:tc>
          <w:tcPr>
            <w:tcW w:w="1220" w:type="dxa"/>
            <w:vAlign w:val="bottom"/>
          </w:tcPr>
          <w:p>
            <w:pPr>
              <w:jc w:val="right"/>
              <w:ind w:right="245"/>
              <w:spacing w:after="0" w:line="121" w:lineRule="exact"/>
              <w:rPr>
                <w:sz w:val="20"/>
                <w:szCs w:val="20"/>
                <w:color w:val="auto"/>
              </w:rPr>
            </w:pPr>
            <w:r>
              <w:rPr>
                <w:rFonts w:ascii="Arial" w:cs="Arial" w:eastAsia="Arial" w:hAnsi="Arial"/>
                <w:sz w:val="11"/>
                <w:szCs w:val="11"/>
                <w:color w:val="auto"/>
              </w:rPr>
              <w:t>54%</w:t>
            </w:r>
          </w:p>
        </w:tc>
        <w:tc>
          <w:tcPr>
            <w:tcW w:w="76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69%</w:t>
            </w:r>
          </w:p>
        </w:tc>
      </w:tr>
      <w:tr>
        <w:trPr>
          <w:trHeight w:val="121"/>
        </w:trPr>
        <w:tc>
          <w:tcPr>
            <w:tcW w:w="2840" w:type="dxa"/>
            <w:vAlign w:val="bottom"/>
            <w:tcBorders>
              <w:bottom w:val="single" w:sz="8" w:color="auto"/>
            </w:tcBorders>
            <w:gridSpan w:val="2"/>
          </w:tcPr>
          <w:p>
            <w:pPr>
              <w:spacing w:after="0" w:line="121" w:lineRule="exact"/>
              <w:rPr>
                <w:sz w:val="20"/>
                <w:szCs w:val="20"/>
                <w:color w:val="auto"/>
              </w:rPr>
            </w:pPr>
            <w:r>
              <w:rPr>
                <w:rFonts w:ascii="Arial" w:cs="Arial" w:eastAsia="Arial" w:hAnsi="Arial"/>
                <w:sz w:val="11"/>
                <w:szCs w:val="11"/>
                <w:color w:val="auto"/>
              </w:rPr>
              <w:t>Top 50 DMAs</w:t>
            </w:r>
          </w:p>
        </w:tc>
        <w:tc>
          <w:tcPr>
            <w:tcW w:w="680" w:type="dxa"/>
            <w:vAlign w:val="bottom"/>
            <w:tcBorders>
              <w:bottom w:val="single" w:sz="8" w:color="auto"/>
            </w:tcBorders>
            <w:gridSpan w:val="2"/>
          </w:tcPr>
          <w:p>
            <w:pPr>
              <w:jc w:val="right"/>
              <w:ind w:right="240"/>
              <w:spacing w:after="0" w:line="121" w:lineRule="exact"/>
              <w:rPr>
                <w:sz w:val="20"/>
                <w:szCs w:val="20"/>
                <w:color w:val="auto"/>
              </w:rPr>
            </w:pPr>
            <w:r>
              <w:rPr>
                <w:rFonts w:ascii="Arial" w:cs="Arial" w:eastAsia="Arial" w:hAnsi="Arial"/>
                <w:sz w:val="11"/>
                <w:szCs w:val="11"/>
                <w:color w:val="auto"/>
              </w:rPr>
              <w:t>9,837</w:t>
            </w:r>
          </w:p>
        </w:tc>
        <w:tc>
          <w:tcPr>
            <w:tcW w:w="960" w:type="dxa"/>
            <w:vAlign w:val="bottom"/>
            <w:tcBorders>
              <w:bottom w:val="single" w:sz="8" w:color="auto"/>
            </w:tcBorders>
          </w:tcPr>
          <w:p>
            <w:pPr>
              <w:jc w:val="right"/>
              <w:ind w:right="185"/>
              <w:spacing w:after="0" w:line="121" w:lineRule="exact"/>
              <w:rPr>
                <w:sz w:val="20"/>
                <w:szCs w:val="20"/>
                <w:color w:val="auto"/>
              </w:rPr>
            </w:pPr>
            <w:r>
              <w:rPr>
                <w:rFonts w:ascii="Arial" w:cs="Arial" w:eastAsia="Arial" w:hAnsi="Arial"/>
                <w:sz w:val="11"/>
                <w:szCs w:val="11"/>
                <w:color w:val="auto"/>
              </w:rPr>
              <w:t>10,624</w:t>
            </w:r>
          </w:p>
        </w:tc>
        <w:tc>
          <w:tcPr>
            <w:tcW w:w="7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11,850</w:t>
            </w:r>
          </w:p>
        </w:tc>
        <w:tc>
          <w:tcPr>
            <w:tcW w:w="1160" w:type="dxa"/>
            <w:vAlign w:val="bottom"/>
            <w:tcBorders>
              <w:bottom w:val="single" w:sz="8" w:color="auto"/>
            </w:tcBorders>
            <w:gridSpan w:val="2"/>
          </w:tcPr>
          <w:p>
            <w:pPr>
              <w:jc w:val="right"/>
              <w:ind w:right="85"/>
              <w:spacing w:after="0" w:line="121" w:lineRule="exact"/>
              <w:rPr>
                <w:sz w:val="20"/>
                <w:szCs w:val="20"/>
                <w:color w:val="auto"/>
              </w:rPr>
            </w:pPr>
            <w:r>
              <w:rPr>
                <w:rFonts w:ascii="Arial" w:cs="Arial" w:eastAsia="Arial" w:hAnsi="Arial"/>
                <w:sz w:val="11"/>
                <w:szCs w:val="11"/>
                <w:color w:val="auto"/>
              </w:rPr>
              <w:t>78%</w:t>
            </w:r>
          </w:p>
        </w:tc>
        <w:tc>
          <w:tcPr>
            <w:tcW w:w="1220" w:type="dxa"/>
            <w:vAlign w:val="bottom"/>
            <w:tcBorders>
              <w:bottom w:val="single" w:sz="8" w:color="auto"/>
            </w:tcBorders>
          </w:tcPr>
          <w:p>
            <w:pPr>
              <w:jc w:val="right"/>
              <w:ind w:right="245"/>
              <w:spacing w:after="0" w:line="121" w:lineRule="exact"/>
              <w:rPr>
                <w:sz w:val="20"/>
                <w:szCs w:val="20"/>
                <w:color w:val="auto"/>
              </w:rPr>
            </w:pPr>
            <w:r>
              <w:rPr>
                <w:rFonts w:ascii="Arial" w:cs="Arial" w:eastAsia="Arial" w:hAnsi="Arial"/>
                <w:sz w:val="11"/>
                <w:szCs w:val="11"/>
                <w:color w:val="auto"/>
              </w:rPr>
              <w:t>78%</w:t>
            </w:r>
          </w:p>
        </w:tc>
        <w:tc>
          <w:tcPr>
            <w:tcW w:w="1220" w:type="dxa"/>
            <w:vAlign w:val="bottom"/>
            <w:tcBorders>
              <w:bottom w:val="single" w:sz="8" w:color="auto"/>
            </w:tcBorders>
            <w:gridSpan w:val="2"/>
          </w:tcPr>
          <w:p>
            <w:pPr>
              <w:jc w:val="right"/>
              <w:ind w:right="460"/>
              <w:spacing w:after="0" w:line="121" w:lineRule="exact"/>
              <w:rPr>
                <w:sz w:val="20"/>
                <w:szCs w:val="20"/>
                <w:color w:val="auto"/>
              </w:rPr>
            </w:pPr>
            <w:r>
              <w:rPr>
                <w:rFonts w:ascii="Arial" w:cs="Arial" w:eastAsia="Arial" w:hAnsi="Arial"/>
                <w:sz w:val="11"/>
                <w:szCs w:val="11"/>
                <w:color w:val="auto"/>
              </w:rPr>
              <w:t>81%</w:t>
            </w:r>
          </w:p>
        </w:tc>
        <w:tc>
          <w:tcPr>
            <w:tcW w:w="680" w:type="dxa"/>
            <w:vAlign w:val="bottom"/>
            <w:tcBorders>
              <w:bottom w:val="single" w:sz="8" w:color="auto"/>
            </w:tcBorders>
          </w:tcPr>
          <w:p>
            <w:pPr>
              <w:jc w:val="right"/>
              <w:ind w:right="85"/>
              <w:spacing w:after="0" w:line="121" w:lineRule="exact"/>
              <w:rPr>
                <w:sz w:val="20"/>
                <w:szCs w:val="20"/>
                <w:color w:val="auto"/>
              </w:rPr>
            </w:pPr>
            <w:r>
              <w:rPr>
                <w:rFonts w:ascii="Arial" w:cs="Arial" w:eastAsia="Arial" w:hAnsi="Arial"/>
                <w:sz w:val="11"/>
                <w:szCs w:val="11"/>
                <w:color w:val="auto"/>
              </w:rPr>
              <w:t>49%</w:t>
            </w:r>
          </w:p>
        </w:tc>
        <w:tc>
          <w:tcPr>
            <w:tcW w:w="1220" w:type="dxa"/>
            <w:vAlign w:val="bottom"/>
            <w:tcBorders>
              <w:bottom w:val="single" w:sz="8" w:color="auto"/>
            </w:tcBorders>
          </w:tcPr>
          <w:p>
            <w:pPr>
              <w:jc w:val="right"/>
              <w:ind w:right="245"/>
              <w:spacing w:after="0" w:line="121" w:lineRule="exact"/>
              <w:rPr>
                <w:sz w:val="20"/>
                <w:szCs w:val="20"/>
                <w:color w:val="auto"/>
              </w:rPr>
            </w:pPr>
            <w:r>
              <w:rPr>
                <w:rFonts w:ascii="Arial" w:cs="Arial" w:eastAsia="Arial" w:hAnsi="Arial"/>
                <w:sz w:val="11"/>
                <w:szCs w:val="11"/>
                <w:color w:val="auto"/>
              </w:rPr>
              <w:t>52%</w:t>
            </w:r>
          </w:p>
        </w:tc>
        <w:tc>
          <w:tcPr>
            <w:tcW w:w="7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1"/>
                <w:szCs w:val="11"/>
                <w:color w:val="auto"/>
              </w:rPr>
              <w:t>63%</w:t>
            </w:r>
          </w:p>
        </w:tc>
      </w:tr>
      <w:tr>
        <w:trPr>
          <w:trHeight w:val="111"/>
        </w:trPr>
        <w:tc>
          <w:tcPr>
            <w:tcW w:w="2840" w:type="dxa"/>
            <w:vAlign w:val="bottom"/>
            <w:tcBorders>
              <w:bottom w:val="single" w:sz="8" w:color="auto"/>
            </w:tcBorders>
            <w:gridSpan w:val="2"/>
          </w:tcPr>
          <w:p>
            <w:pPr>
              <w:spacing w:after="0" w:line="111" w:lineRule="exact"/>
              <w:rPr>
                <w:sz w:val="20"/>
                <w:szCs w:val="20"/>
                <w:color w:val="auto"/>
              </w:rPr>
            </w:pPr>
            <w:r>
              <w:rPr>
                <w:rFonts w:ascii="Arial" w:cs="Arial" w:eastAsia="Arial" w:hAnsi="Arial"/>
                <w:sz w:val="11"/>
                <w:szCs w:val="11"/>
                <w:color w:val="auto"/>
              </w:rPr>
              <w:t>All DMAs</w:t>
            </w:r>
          </w:p>
        </w:tc>
        <w:tc>
          <w:tcPr>
            <w:tcW w:w="680" w:type="dxa"/>
            <w:vAlign w:val="bottom"/>
            <w:tcBorders>
              <w:bottom w:val="single" w:sz="8" w:color="auto"/>
            </w:tcBorders>
            <w:gridSpan w:val="2"/>
          </w:tcPr>
          <w:p>
            <w:pPr>
              <w:jc w:val="right"/>
              <w:ind w:right="240"/>
              <w:spacing w:after="0" w:line="111" w:lineRule="exact"/>
              <w:rPr>
                <w:sz w:val="20"/>
                <w:szCs w:val="20"/>
                <w:color w:val="auto"/>
              </w:rPr>
            </w:pPr>
            <w:r>
              <w:rPr>
                <w:rFonts w:ascii="Arial" w:cs="Arial" w:eastAsia="Arial" w:hAnsi="Arial"/>
                <w:sz w:val="11"/>
                <w:szCs w:val="11"/>
                <w:color w:val="auto"/>
              </w:rPr>
              <w:t>12,973</w:t>
            </w:r>
          </w:p>
        </w:tc>
        <w:tc>
          <w:tcPr>
            <w:tcW w:w="960" w:type="dxa"/>
            <w:vAlign w:val="bottom"/>
            <w:tcBorders>
              <w:bottom w:val="single" w:sz="8" w:color="auto"/>
            </w:tcBorders>
          </w:tcPr>
          <w:p>
            <w:pPr>
              <w:jc w:val="right"/>
              <w:ind w:right="185"/>
              <w:spacing w:after="0" w:line="111" w:lineRule="exact"/>
              <w:rPr>
                <w:sz w:val="20"/>
                <w:szCs w:val="20"/>
                <w:color w:val="auto"/>
              </w:rPr>
            </w:pPr>
            <w:r>
              <w:rPr>
                <w:rFonts w:ascii="Arial" w:cs="Arial" w:eastAsia="Arial" w:hAnsi="Arial"/>
                <w:sz w:val="11"/>
                <w:szCs w:val="11"/>
                <w:color w:val="auto"/>
              </w:rPr>
              <w:t>13,990</w:t>
            </w:r>
          </w:p>
        </w:tc>
        <w:tc>
          <w:tcPr>
            <w:tcW w:w="7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15,265</w:t>
            </w:r>
          </w:p>
        </w:tc>
        <w:tc>
          <w:tcPr>
            <w:tcW w:w="1160" w:type="dxa"/>
            <w:vAlign w:val="bottom"/>
            <w:tcBorders>
              <w:bottom w:val="single" w:sz="8" w:color="auto"/>
            </w:tcBorders>
            <w:gridSpan w:val="2"/>
          </w:tcPr>
          <w:p>
            <w:pPr>
              <w:jc w:val="right"/>
              <w:ind w:right="85"/>
              <w:spacing w:after="0" w:line="111" w:lineRule="exact"/>
              <w:rPr>
                <w:sz w:val="20"/>
                <w:szCs w:val="20"/>
                <w:color w:val="auto"/>
              </w:rPr>
            </w:pPr>
            <w:r>
              <w:rPr>
                <w:rFonts w:ascii="Arial" w:cs="Arial" w:eastAsia="Arial" w:hAnsi="Arial"/>
                <w:sz w:val="11"/>
                <w:szCs w:val="11"/>
                <w:color w:val="auto"/>
              </w:rPr>
              <w:t>100%</w:t>
            </w:r>
          </w:p>
        </w:tc>
        <w:tc>
          <w:tcPr>
            <w:tcW w:w="1220" w:type="dxa"/>
            <w:vAlign w:val="bottom"/>
            <w:tcBorders>
              <w:bottom w:val="single" w:sz="8" w:color="auto"/>
            </w:tcBorders>
          </w:tcPr>
          <w:p>
            <w:pPr>
              <w:jc w:val="right"/>
              <w:ind w:right="245"/>
              <w:spacing w:after="0" w:line="111" w:lineRule="exact"/>
              <w:rPr>
                <w:sz w:val="20"/>
                <w:szCs w:val="20"/>
                <w:color w:val="auto"/>
              </w:rPr>
            </w:pPr>
            <w:r>
              <w:rPr>
                <w:rFonts w:ascii="Arial" w:cs="Arial" w:eastAsia="Arial" w:hAnsi="Arial"/>
                <w:sz w:val="11"/>
                <w:szCs w:val="11"/>
                <w:color w:val="auto"/>
              </w:rPr>
              <w:t>100%</w:t>
            </w:r>
          </w:p>
        </w:tc>
        <w:tc>
          <w:tcPr>
            <w:tcW w:w="1220" w:type="dxa"/>
            <w:vAlign w:val="bottom"/>
            <w:tcBorders>
              <w:bottom w:val="single" w:sz="8" w:color="auto"/>
            </w:tcBorders>
            <w:gridSpan w:val="2"/>
          </w:tcPr>
          <w:p>
            <w:pPr>
              <w:jc w:val="right"/>
              <w:ind w:right="460"/>
              <w:spacing w:after="0" w:line="111" w:lineRule="exact"/>
              <w:rPr>
                <w:sz w:val="20"/>
                <w:szCs w:val="20"/>
                <w:color w:val="auto"/>
              </w:rPr>
            </w:pPr>
            <w:r>
              <w:rPr>
                <w:rFonts w:ascii="Arial" w:cs="Arial" w:eastAsia="Arial" w:hAnsi="Arial"/>
                <w:sz w:val="11"/>
                <w:szCs w:val="11"/>
                <w:color w:val="auto"/>
              </w:rPr>
              <w:t>100%</w:t>
            </w:r>
          </w:p>
        </w:tc>
        <w:tc>
          <w:tcPr>
            <w:tcW w:w="680" w:type="dxa"/>
            <w:vAlign w:val="bottom"/>
            <w:tcBorders>
              <w:bottom w:val="single" w:sz="8" w:color="auto"/>
            </w:tcBorders>
          </w:tcPr>
          <w:p>
            <w:pPr>
              <w:jc w:val="right"/>
              <w:ind w:right="85"/>
              <w:spacing w:after="0" w:line="111" w:lineRule="exact"/>
              <w:rPr>
                <w:sz w:val="20"/>
                <w:szCs w:val="20"/>
                <w:color w:val="auto"/>
              </w:rPr>
            </w:pPr>
            <w:r>
              <w:rPr>
                <w:rFonts w:ascii="Arial" w:cs="Arial" w:eastAsia="Arial" w:hAnsi="Arial"/>
                <w:sz w:val="11"/>
                <w:szCs w:val="11"/>
                <w:color w:val="auto"/>
              </w:rPr>
              <w:t>46%</w:t>
            </w:r>
          </w:p>
        </w:tc>
        <w:tc>
          <w:tcPr>
            <w:tcW w:w="1220" w:type="dxa"/>
            <w:vAlign w:val="bottom"/>
            <w:tcBorders>
              <w:bottom w:val="single" w:sz="8" w:color="auto"/>
            </w:tcBorders>
          </w:tcPr>
          <w:p>
            <w:pPr>
              <w:jc w:val="right"/>
              <w:ind w:right="245"/>
              <w:spacing w:after="0" w:line="111" w:lineRule="exact"/>
              <w:rPr>
                <w:sz w:val="20"/>
                <w:szCs w:val="20"/>
                <w:color w:val="auto"/>
              </w:rPr>
            </w:pPr>
            <w:r>
              <w:rPr>
                <w:rFonts w:ascii="Arial" w:cs="Arial" w:eastAsia="Arial" w:hAnsi="Arial"/>
                <w:sz w:val="11"/>
                <w:szCs w:val="11"/>
                <w:color w:val="auto"/>
              </w:rPr>
              <w:t>48%</w:t>
            </w:r>
          </w:p>
        </w:tc>
        <w:tc>
          <w:tcPr>
            <w:tcW w:w="760" w:type="dxa"/>
            <w:vAlign w:val="bottom"/>
            <w:tcBorders>
              <w:bottom w:val="single" w:sz="8" w:color="auto"/>
            </w:tcBorders>
            <w:gridSpan w:val="2"/>
          </w:tcPr>
          <w:p>
            <w:pPr>
              <w:jc w:val="right"/>
              <w:spacing w:after="0" w:line="111" w:lineRule="exact"/>
              <w:rPr>
                <w:sz w:val="20"/>
                <w:szCs w:val="20"/>
                <w:color w:val="auto"/>
              </w:rPr>
            </w:pPr>
            <w:r>
              <w:rPr>
                <w:rFonts w:ascii="Arial" w:cs="Arial" w:eastAsia="Arial" w:hAnsi="Arial"/>
                <w:sz w:val="11"/>
                <w:szCs w:val="11"/>
                <w:color w:val="auto"/>
              </w:rPr>
              <w:t>57%</w:t>
            </w:r>
          </w:p>
        </w:tc>
      </w:tr>
      <w:tr>
        <w:trPr>
          <w:trHeight w:val="78"/>
        </w:trPr>
        <w:tc>
          <w:tcPr>
            <w:tcW w:w="20" w:type="dxa"/>
            <w:vAlign w:val="bottom"/>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80" w:lineRule="exact"/>
        <w:rPr>
          <w:sz w:val="20"/>
          <w:szCs w:val="20"/>
          <w:color w:val="auto"/>
        </w:rPr>
      </w:pPr>
    </w:p>
    <w:p>
      <w:pPr>
        <w:ind w:left="440" w:hanging="380"/>
        <w:spacing w:after="0"/>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Loews screens join NCM LLC’s network on an exclusive basis on June 1, 2008, subject to run-out of existing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with respect to our corporate headquarters and regional offices is presented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Location</w:t>
            </w:r>
          </w:p>
        </w:tc>
        <w:tc>
          <w:tcPr>
            <w:tcW w:w="220" w:type="dxa"/>
            <w:vAlign w:val="bottom"/>
          </w:tcPr>
          <w:p>
            <w:pPr>
              <w:spacing w:after="0"/>
              <w:rPr>
                <w:sz w:val="13"/>
                <w:szCs w:val="13"/>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Facility</w:t>
            </w:r>
          </w:p>
        </w:tc>
        <w:tc>
          <w:tcPr>
            <w:tcW w:w="220" w:type="dxa"/>
            <w:vAlign w:val="bottom"/>
          </w:tcPr>
          <w:p>
            <w:pPr>
              <w:spacing w:after="0"/>
              <w:rPr>
                <w:sz w:val="13"/>
                <w:szCs w:val="13"/>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Size</w:t>
            </w: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Centennial, CO(1)</w:t>
            </w:r>
          </w:p>
        </w:tc>
        <w:tc>
          <w:tcPr>
            <w:tcW w:w="4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Headquarters (including the network operations center)</w:t>
            </w:r>
          </w:p>
        </w:tc>
        <w:tc>
          <w:tcPr>
            <w:tcW w:w="220" w:type="dxa"/>
            <w:vAlign w:val="bottom"/>
          </w:tcPr>
          <w:p>
            <w:pPr>
              <w:spacing w:after="0"/>
              <w:rPr>
                <w:sz w:val="12"/>
                <w:szCs w:val="12"/>
                <w:color w:val="auto"/>
              </w:rPr>
            </w:pPr>
          </w:p>
        </w:tc>
        <w:tc>
          <w:tcPr>
            <w:tcW w:w="12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58,894 sq. ft.</w:t>
            </w:r>
          </w:p>
        </w:tc>
        <w:tc>
          <w:tcPr>
            <w:tcW w:w="20" w:type="dxa"/>
            <w:vAlign w:val="bottom"/>
          </w:tcPr>
          <w:p>
            <w:pPr>
              <w:spacing w:after="0"/>
              <w:rPr>
                <w:sz w:val="12"/>
                <w:szCs w:val="12"/>
                <w:color w:val="auto"/>
              </w:rPr>
            </w:pP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Chicago, IL(2)</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1,936 sq. ft.</w:t>
            </w: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New York, NY(3)</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7,966 sq. ft.</w:t>
            </w: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Woodland Hills, CA(4)</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5,700 sq. ft.</w:t>
            </w: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Detroit, MI(5)</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721 sq. ft.</w:t>
            </w:r>
          </w:p>
        </w:tc>
      </w:tr>
      <w:tr>
        <w:trPr>
          <w:trHeight w:val="181"/>
        </w:trPr>
        <w:tc>
          <w:tcPr>
            <w:tcW w:w="5040" w:type="dxa"/>
            <w:vAlign w:val="bottom"/>
          </w:tcPr>
          <w:p>
            <w:pPr>
              <w:spacing w:after="0"/>
              <w:rPr>
                <w:sz w:val="20"/>
                <w:szCs w:val="20"/>
                <w:color w:val="auto"/>
              </w:rPr>
            </w:pPr>
            <w:r>
              <w:rPr>
                <w:rFonts w:ascii="Arial" w:cs="Arial" w:eastAsia="Arial" w:hAnsi="Arial"/>
                <w:sz w:val="14"/>
                <w:szCs w:val="14"/>
                <w:color w:val="auto"/>
              </w:rPr>
              <w:t>Minneapolis, MN(6)</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10,363 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40" w:hanging="380"/>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facility is leased through December 31, 2013 with a termination option at December 31, 2010 and an option to extend the lease until December 31, 2018.</w:t>
      </w:r>
    </w:p>
    <w:p>
      <w:pPr>
        <w:spacing w:after="0" w:line="19" w:lineRule="exact"/>
        <w:rPr>
          <w:rFonts w:ascii="Arial" w:cs="Arial" w:eastAsia="Arial" w:hAnsi="Arial"/>
          <w:sz w:val="14"/>
          <w:szCs w:val="14"/>
          <w:color w:val="auto"/>
        </w:rPr>
      </w:pPr>
    </w:p>
    <w:p>
      <w:pPr>
        <w:ind w:left="440" w:hanging="380"/>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facility is subleased from RCM through July 31, 2009.</w:t>
      </w:r>
    </w:p>
    <w:p>
      <w:pPr>
        <w:spacing w:after="0" w:line="13" w:lineRule="exact"/>
        <w:rPr>
          <w:rFonts w:ascii="Arial" w:cs="Arial" w:eastAsia="Arial" w:hAnsi="Arial"/>
          <w:sz w:val="14"/>
          <w:szCs w:val="14"/>
          <w:color w:val="auto"/>
        </w:rPr>
      </w:pPr>
    </w:p>
    <w:p>
      <w:pPr>
        <w:ind w:left="440" w:hanging="380"/>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facility is subleased from RCM through April 30, 2010.</w:t>
      </w:r>
    </w:p>
    <w:p>
      <w:pPr>
        <w:spacing w:after="0" w:line="13" w:lineRule="exact"/>
        <w:rPr>
          <w:rFonts w:ascii="Arial" w:cs="Arial" w:eastAsia="Arial" w:hAnsi="Arial"/>
          <w:sz w:val="14"/>
          <w:szCs w:val="14"/>
          <w:color w:val="auto"/>
        </w:rPr>
      </w:pPr>
    </w:p>
    <w:p>
      <w:pPr>
        <w:ind w:left="440" w:right="100" w:hanging="380"/>
        <w:spacing w:after="0" w:line="260"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facility is subleased from American Multi-Cinema, Inc. through May 30, 2007. On June 6, 2006, NCM LLC entered into a lease for the property with a term from June 1, 2007 to May 31, 2012.</w:t>
      </w:r>
    </w:p>
    <w:p>
      <w:pPr>
        <w:ind w:left="440" w:hanging="380"/>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facility is leased through December 31, 2009.</w:t>
      </w:r>
    </w:p>
    <w:p>
      <w:pPr>
        <w:spacing w:after="0" w:line="13" w:lineRule="exact"/>
        <w:rPr>
          <w:rFonts w:ascii="Arial" w:cs="Arial" w:eastAsia="Arial" w:hAnsi="Arial"/>
          <w:sz w:val="14"/>
          <w:szCs w:val="14"/>
          <w:color w:val="auto"/>
        </w:rPr>
      </w:pPr>
    </w:p>
    <w:p>
      <w:pPr>
        <w:ind w:left="440" w:hanging="380"/>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facility is leased through December 31, 2007, with an option to extend the lease for two additional five-year periods.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60"/>
          </w:cols>
          <w:pgMar w:left="220" w:top="399" w:right="21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sometimes involved in legal proceedings arising in the ordinary course of business. We are not aware of any litigation currently pending.</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83" w:lineRule="exact"/>
        <w:rPr>
          <w:sz w:val="20"/>
          <w:szCs w:val="20"/>
          <w:color w:val="auto"/>
        </w:rPr>
      </w:pPr>
    </w:p>
    <w:p>
      <w:pPr>
        <w:ind w:right="100" w:firstLine="458"/>
        <w:spacing w:after="0" w:line="266" w:lineRule="auto"/>
        <w:rPr>
          <w:sz w:val="20"/>
          <w:szCs w:val="20"/>
          <w:color w:val="auto"/>
        </w:rPr>
      </w:pPr>
      <w:r>
        <w:rPr>
          <w:rFonts w:ascii="Arial" w:cs="Arial" w:eastAsia="Arial" w:hAnsi="Arial"/>
          <w:sz w:val="14"/>
          <w:szCs w:val="14"/>
          <w:color w:val="auto"/>
        </w:rPr>
        <w:t>Our revenue and operating results are seasonal in nature, coinciding with the attendance patterns within the film exhibition industry as well as the timing of marketing expenditures by our advertising clients. Theatrical attendance is generally highest during the summer and year-end holiday season coinciding with the release of blockbuster films. Advertising expenditures tend to be higher during the second, third, and fourth fiscal quarters and are correlated to new product releases and marketing cycles. As a result, our first quarter typically has less revenue than the other quarters of a given year. To illustrate the seasonality of our operations, we analyzed the four consecutive quarters that we felt best represented our business on a comparable screen and attendance basis. Other quarters are less comparable due to the substantial growth in screens and attendance resulting primarily from acquisitions by founding members. This analysis is based on the combination of our quarterly advertising contract value, meetings and events and other revenues.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3"/>
          </w:tcPr>
          <w:p>
            <w:pPr>
              <w:jc w:val="right"/>
              <w:ind w:right="1740"/>
              <w:spacing w:after="0"/>
              <w:rPr>
                <w:sz w:val="20"/>
                <w:szCs w:val="20"/>
                <w:color w:val="auto"/>
              </w:rPr>
            </w:pPr>
            <w:r>
              <w:rPr>
                <w:rFonts w:ascii="Arial" w:cs="Arial" w:eastAsia="Arial" w:hAnsi="Arial"/>
                <w:sz w:val="11"/>
                <w:szCs w:val="11"/>
                <w:b w:val="1"/>
                <w:bCs w:val="1"/>
                <w:color w:val="auto"/>
                <w:w w:val="91"/>
              </w:rPr>
              <w:t>Quarter ending</w:t>
            </w: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000" w:type="dxa"/>
            <w:vAlign w:val="bottom"/>
            <w:vMerge w:val="restart"/>
          </w:tcPr>
          <w:p>
            <w:pPr>
              <w:spacing w:after="0"/>
              <w:rPr>
                <w:sz w:val="20"/>
                <w:szCs w:val="20"/>
                <w:color w:val="auto"/>
              </w:rPr>
            </w:pPr>
            <w:r>
              <w:rPr>
                <w:rFonts w:ascii="Arial" w:cs="Arial" w:eastAsia="Arial" w:hAnsi="Arial"/>
                <w:sz w:val="14"/>
                <w:szCs w:val="14"/>
                <w:color w:val="auto"/>
              </w:rPr>
              <w:t>% of Total</w:t>
            </w:r>
          </w:p>
        </w:tc>
        <w:tc>
          <w:tcPr>
            <w:tcW w:w="48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6"/>
              </w:rPr>
              <w:t>June 2005</w:t>
            </w:r>
          </w:p>
        </w:tc>
        <w:tc>
          <w:tcPr>
            <w:tcW w:w="940" w:type="dxa"/>
            <w:vAlign w:val="bottom"/>
          </w:tcPr>
          <w:p>
            <w:pPr>
              <w:spacing w:after="0"/>
              <w:rPr>
                <w:sz w:val="9"/>
                <w:szCs w:val="9"/>
                <w:color w:val="auto"/>
              </w:rPr>
            </w:pPr>
          </w:p>
        </w:tc>
        <w:tc>
          <w:tcPr>
            <w:tcW w:w="7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7"/>
              </w:rPr>
              <w:t>September 2005</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6"/>
              </w:rPr>
              <w:t>December 2005</w:t>
            </w:r>
          </w:p>
        </w:tc>
        <w:tc>
          <w:tcPr>
            <w:tcW w:w="940" w:type="dxa"/>
            <w:vAlign w:val="bottom"/>
          </w:tcPr>
          <w:p>
            <w:pPr>
              <w:spacing w:after="0"/>
              <w:rPr>
                <w:sz w:val="9"/>
                <w:szCs w:val="9"/>
                <w:color w:val="auto"/>
              </w:rPr>
            </w:pPr>
          </w:p>
        </w:tc>
        <w:tc>
          <w:tcPr>
            <w:tcW w:w="5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90"/>
              </w:rPr>
              <w:t>March 2006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000" w:type="dxa"/>
            <w:vAlign w:val="bottom"/>
            <w:vMerge w:val="continue"/>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color w:val="auto"/>
              </w:rPr>
              <w:t>26.5%</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25.7%</w:t>
            </w:r>
          </w:p>
        </w:tc>
        <w:tc>
          <w:tcPr>
            <w:tcW w:w="820" w:type="dxa"/>
            <w:vAlign w:val="bottom"/>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color w:val="auto"/>
              </w:rPr>
              <w:t>31.4%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Importantly, the results of one quarter are not necessarily indicative of results for the next or any future quarter.</w:t>
      </w:r>
    </w:p>
    <w:p>
      <w:pPr>
        <w:spacing w:after="0" w:line="13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60"/>
          </w:cols>
          <w:pgMar w:left="220" w:top="399" w:right="21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and Directors</w:t>
      </w:r>
    </w:p>
    <w:p>
      <w:pPr>
        <w:spacing w:after="0" w:line="8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Set forth below is certain information with respect to NCM Inc.’s current executive officers and directors. We expect to appoint additional directors who are not our employees or employees of our founding members. See “— Board Composition Following the Offering”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20" w:type="dxa"/>
            <w:vAlign w:val="bottom"/>
          </w:tcPr>
          <w:p>
            <w:pPr>
              <w:spacing w:after="0"/>
              <w:rPr>
                <w:sz w:val="13"/>
                <w:szCs w:val="13"/>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Age</w:t>
            </w:r>
          </w:p>
        </w:tc>
        <w:tc>
          <w:tcPr>
            <w:tcW w:w="7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Position</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Kurt C. Hall</w:t>
            </w:r>
          </w:p>
        </w:tc>
        <w:tc>
          <w:tcPr>
            <w:tcW w:w="220" w:type="dxa"/>
            <w:vAlign w:val="bottom"/>
          </w:tcPr>
          <w:p>
            <w:pPr>
              <w:spacing w:after="0"/>
              <w:rPr>
                <w:sz w:val="12"/>
                <w:szCs w:val="12"/>
                <w:color w:val="auto"/>
              </w:rPr>
            </w:pPr>
          </w:p>
        </w:tc>
        <w:tc>
          <w:tcPr>
            <w:tcW w:w="260" w:type="dxa"/>
            <w:vAlign w:val="bottom"/>
            <w:tcBorders>
              <w:top w:val="single" w:sz="8" w:color="auto"/>
            </w:tcBorders>
          </w:tcPr>
          <w:p>
            <w:pPr>
              <w:ind w:left="120"/>
              <w:spacing w:after="0" w:line="149" w:lineRule="exact"/>
              <w:rPr>
                <w:sz w:val="20"/>
                <w:szCs w:val="20"/>
                <w:color w:val="auto"/>
              </w:rPr>
            </w:pPr>
            <w:r>
              <w:rPr>
                <w:rFonts w:ascii="Arial" w:cs="Arial" w:eastAsia="Arial" w:hAnsi="Arial"/>
                <w:sz w:val="14"/>
                <w:szCs w:val="14"/>
                <w:color w:val="auto"/>
                <w:w w:val="76"/>
              </w:rPr>
              <w:t>47</w:t>
            </w:r>
          </w:p>
        </w:tc>
        <w:tc>
          <w:tcPr>
            <w:tcW w:w="2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President, Chief Executive Officer and Chairman</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Clifford E. Marks</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45</w:t>
            </w:r>
          </w:p>
        </w:tc>
        <w:tc>
          <w:tcPr>
            <w:tcW w:w="7220" w:type="dxa"/>
            <w:vAlign w:val="bottom"/>
          </w:tcPr>
          <w:p>
            <w:pPr>
              <w:spacing w:after="0"/>
              <w:rPr>
                <w:sz w:val="20"/>
                <w:szCs w:val="20"/>
                <w:color w:val="auto"/>
              </w:rPr>
            </w:pPr>
            <w:r>
              <w:rPr>
                <w:rFonts w:ascii="Arial" w:cs="Arial" w:eastAsia="Arial" w:hAnsi="Arial"/>
                <w:sz w:val="14"/>
                <w:szCs w:val="14"/>
                <w:color w:val="auto"/>
              </w:rPr>
              <w:t>President of Sales and Chief Marketing Officer</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Gary W. Ferrera</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44</w:t>
            </w:r>
          </w:p>
        </w:tc>
        <w:tc>
          <w:tcPr>
            <w:tcW w:w="7220" w:type="dxa"/>
            <w:vAlign w:val="bottom"/>
          </w:tcPr>
          <w:p>
            <w:pPr>
              <w:spacing w:after="0"/>
              <w:rPr>
                <w:sz w:val="20"/>
                <w:szCs w:val="20"/>
                <w:color w:val="auto"/>
              </w:rPr>
            </w:pPr>
            <w:r>
              <w:rPr>
                <w:rFonts w:ascii="Arial" w:cs="Arial" w:eastAsia="Arial" w:hAnsi="Arial"/>
                <w:sz w:val="14"/>
                <w:szCs w:val="14"/>
                <w:color w:val="auto"/>
              </w:rPr>
              <w:t>Executive Vice President and Chief Financial Officer</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Thomas C. Galley</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51</w:t>
            </w:r>
          </w:p>
        </w:tc>
        <w:tc>
          <w:tcPr>
            <w:tcW w:w="7220" w:type="dxa"/>
            <w:vAlign w:val="bottom"/>
          </w:tcPr>
          <w:p>
            <w:pPr>
              <w:spacing w:after="0"/>
              <w:rPr>
                <w:sz w:val="20"/>
                <w:szCs w:val="20"/>
                <w:color w:val="auto"/>
              </w:rPr>
            </w:pPr>
            <w:r>
              <w:rPr>
                <w:rFonts w:ascii="Arial" w:cs="Arial" w:eastAsia="Arial" w:hAnsi="Arial"/>
                <w:sz w:val="14"/>
                <w:szCs w:val="14"/>
                <w:color w:val="auto"/>
              </w:rPr>
              <w:t>Executive Vice President and Chief Technology and Operations Officer</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Ralph E. Hardy</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55</w:t>
            </w:r>
          </w:p>
        </w:tc>
        <w:tc>
          <w:tcPr>
            <w:tcW w:w="7220" w:type="dxa"/>
            <w:vAlign w:val="bottom"/>
          </w:tcPr>
          <w:p>
            <w:pPr>
              <w:spacing w:after="0"/>
              <w:rPr>
                <w:sz w:val="20"/>
                <w:szCs w:val="20"/>
                <w:color w:val="auto"/>
              </w:rPr>
            </w:pPr>
            <w:r>
              <w:rPr>
                <w:rFonts w:ascii="Arial" w:cs="Arial" w:eastAsia="Arial" w:hAnsi="Arial"/>
                <w:sz w:val="14"/>
                <w:szCs w:val="14"/>
                <w:color w:val="auto"/>
              </w:rPr>
              <w:t>Executive Vice President and General Counsel</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Peter C. Brown</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48</w:t>
            </w:r>
          </w:p>
        </w:tc>
        <w:tc>
          <w:tcPr>
            <w:tcW w:w="7220" w:type="dxa"/>
            <w:vAlign w:val="bottom"/>
          </w:tcPr>
          <w:p>
            <w:pPr>
              <w:spacing w:after="0"/>
              <w:rPr>
                <w:sz w:val="20"/>
                <w:szCs w:val="20"/>
                <w:color w:val="auto"/>
              </w:rPr>
            </w:pPr>
            <w:r>
              <w:rPr>
                <w:rFonts w:ascii="Arial" w:cs="Arial" w:eastAsia="Arial" w:hAnsi="Arial"/>
                <w:sz w:val="14"/>
                <w:szCs w:val="14"/>
                <w:color w:val="auto"/>
              </w:rPr>
              <w:t>Director</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Michael L. Campbell</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52</w:t>
            </w:r>
          </w:p>
        </w:tc>
        <w:tc>
          <w:tcPr>
            <w:tcW w:w="7220" w:type="dxa"/>
            <w:vAlign w:val="bottom"/>
          </w:tcPr>
          <w:p>
            <w:pPr>
              <w:spacing w:after="0"/>
              <w:rPr>
                <w:sz w:val="20"/>
                <w:szCs w:val="20"/>
                <w:color w:val="auto"/>
              </w:rPr>
            </w:pPr>
            <w:r>
              <w:rPr>
                <w:rFonts w:ascii="Arial" w:cs="Arial" w:eastAsia="Arial" w:hAnsi="Arial"/>
                <w:sz w:val="14"/>
                <w:szCs w:val="14"/>
                <w:color w:val="auto"/>
              </w:rPr>
              <w:t>Director</w:t>
            </w:r>
          </w:p>
        </w:tc>
      </w:tr>
      <w:tr>
        <w:trPr>
          <w:trHeight w:val="181"/>
        </w:trPr>
        <w:tc>
          <w:tcPr>
            <w:tcW w:w="3540" w:type="dxa"/>
            <w:vAlign w:val="bottom"/>
          </w:tcPr>
          <w:p>
            <w:pPr>
              <w:spacing w:after="0"/>
              <w:rPr>
                <w:sz w:val="20"/>
                <w:szCs w:val="20"/>
                <w:color w:val="auto"/>
              </w:rPr>
            </w:pPr>
            <w:r>
              <w:rPr>
                <w:rFonts w:ascii="Arial" w:cs="Arial" w:eastAsia="Arial" w:hAnsi="Arial"/>
                <w:sz w:val="14"/>
                <w:szCs w:val="14"/>
                <w:color w:val="auto"/>
              </w:rPr>
              <w:t>Lee Roy Mitchell</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69</w:t>
            </w:r>
          </w:p>
        </w:tc>
        <w:tc>
          <w:tcPr>
            <w:tcW w:w="7220" w:type="dxa"/>
            <w:vAlign w:val="bottom"/>
          </w:tcPr>
          <w:p>
            <w:pPr>
              <w:spacing w:after="0"/>
              <w:rPr>
                <w:sz w:val="20"/>
                <w:szCs w:val="20"/>
                <w:color w:val="auto"/>
              </w:rPr>
            </w:pPr>
            <w:r>
              <w:rPr>
                <w:rFonts w:ascii="Arial" w:cs="Arial" w:eastAsia="Arial" w:hAnsi="Arial"/>
                <w:sz w:val="14"/>
                <w:szCs w:val="14"/>
                <w:color w:val="auto"/>
              </w:rPr>
              <w:t>Director</w:t>
            </w:r>
          </w:p>
        </w:tc>
      </w:tr>
    </w:tbl>
    <w:p>
      <w:pPr>
        <w:spacing w:after="0" w:line="125"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i w:val="1"/>
          <w:iCs w:val="1"/>
          <w:color w:val="auto"/>
        </w:rPr>
        <w:t xml:space="preserve">Kurt C. Hall. </w:t>
      </w:r>
      <w:r>
        <w:rPr>
          <w:rFonts w:ascii="Arial" w:cs="Arial" w:eastAsia="Arial" w:hAnsi="Arial"/>
          <w:sz w:val="13"/>
          <w:szCs w:val="13"/>
          <w:color w:val="auto"/>
        </w:rPr>
        <w:t>Mr. Hall was appointed President, Chief Executive Officer and Chairman of NCM LLC in March 2005 and following the completion of this offering, will assume those positions</w:t>
      </w:r>
      <w:r>
        <w:rPr>
          <w:rFonts w:ascii="Arial" w:cs="Arial" w:eastAsia="Arial" w:hAnsi="Arial"/>
          <w:sz w:val="13"/>
          <w:szCs w:val="13"/>
          <w:i w:val="1"/>
          <w:iCs w:val="1"/>
          <w:color w:val="auto"/>
        </w:rPr>
        <w:t xml:space="preserve"> </w:t>
      </w:r>
      <w:r>
        <w:rPr>
          <w:rFonts w:ascii="Arial" w:cs="Arial" w:eastAsia="Arial" w:hAnsi="Arial"/>
          <w:sz w:val="13"/>
          <w:szCs w:val="13"/>
          <w:color w:val="auto"/>
        </w:rPr>
        <w:t>with NCM Inc. He has also served as Chairman of NCM Inc. since October 2006. Prior to his current position, from May 2002 to May 2005, Mr. Hall served as Co-Chairman and Co-Chief Executive Officer of Regal Entertainment Group and President and Chief Executive Officer of its media subsidiary Regal CineMedia Corporation. Mr. Hall served as President and Chief Executive Officer of United Artists Theatre Company from March 1998 to August 2002, and a director from May 1992 to August 2002. Mr. Hall served as Chief Operating Officer of United Artists Theatre Company from February 1997 to March 1998, and as Executive Vice President and Chief Financial Officer of United Artists Theatre Company from May 1992 to March 1998.</w:t>
      </w:r>
    </w:p>
    <w:p>
      <w:pPr>
        <w:spacing w:after="0" w:line="93"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i w:val="1"/>
          <w:iCs w:val="1"/>
          <w:color w:val="auto"/>
        </w:rPr>
        <w:t xml:space="preserve">Clifford E. Marks. </w:t>
      </w:r>
      <w:r>
        <w:rPr>
          <w:rFonts w:ascii="Arial" w:cs="Arial" w:eastAsia="Arial" w:hAnsi="Arial"/>
          <w:sz w:val="14"/>
          <w:szCs w:val="14"/>
          <w:color w:val="auto"/>
        </w:rPr>
        <w:t>Mr. Marks was appointed NCM LLC’s President of Sales and Chief Marketing Officer in March 2005 and following the completion of this offering, will assume those</w:t>
      </w:r>
      <w:r>
        <w:rPr>
          <w:rFonts w:ascii="Arial" w:cs="Arial" w:eastAsia="Arial" w:hAnsi="Arial"/>
          <w:sz w:val="14"/>
          <w:szCs w:val="14"/>
          <w:i w:val="1"/>
          <w:iCs w:val="1"/>
          <w:color w:val="auto"/>
        </w:rPr>
        <w:t xml:space="preserve"> </w:t>
      </w:r>
      <w:r>
        <w:rPr>
          <w:rFonts w:ascii="Arial" w:cs="Arial" w:eastAsia="Arial" w:hAnsi="Arial"/>
          <w:sz w:val="14"/>
          <w:szCs w:val="14"/>
          <w:color w:val="auto"/>
        </w:rPr>
        <w:t>positions with NCM Inc. He has been an advertising, marketing and sales professional for 23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 Mr. Marks joined ESPN in April 1989 and served in a variety of sales and marketing positions throughout his tenure. From 1986 through 1989, Mr. Marks was an advertising sales executive at The Nashville Network (now known as Spike TV). He began his career at the New York advertising agencies Young &amp; Rubicam (1985-86) and BBDO (1983-85).</w:t>
      </w:r>
    </w:p>
    <w:p>
      <w:pPr>
        <w:spacing w:after="0" w:line="110"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i w:val="1"/>
          <w:iCs w:val="1"/>
          <w:color w:val="auto"/>
        </w:rPr>
        <w:t xml:space="preserve">Gary W. Ferrera. </w:t>
      </w:r>
      <w:r>
        <w:rPr>
          <w:rFonts w:ascii="Arial" w:cs="Arial" w:eastAsia="Arial" w:hAnsi="Arial"/>
          <w:sz w:val="14"/>
          <w:szCs w:val="14"/>
          <w:color w:val="auto"/>
        </w:rPr>
        <w:t>Mr. Ferrera joined NCM LLC in May 2006 as Executive Vice President and Chief Financial Officer and following the completion of this offering, will assume those positions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with NCM Inc. Mr. Ferrera has held positions in accounting and finance since 1991. From October 2005 to May 2006, he served as an independent consultant. Mr. Ferrera served as the interim Chief Financial Officer of the German cable company iesy Hessen, GmbH (now known as Unity Media), from March to October 2005. From February 2000 to February 2005, Mr. Ferrera held positions in both the United States and Europe with Citigroup’s Global Corporate and Investment Bank where he spent the majority of that time advising and financing European media companies. Mr. Ferrera also held positions as an investment banker at Bear Stearns and as an international tax consultant at Arthur Andersen. Prior to his business career, Mr. Ferrera served for over seven years in U.S. Army Special Operations and Intelligence. Mr. Ferrera graduated </w:t>
      </w:r>
      <w:r>
        <w:rPr>
          <w:rFonts w:ascii="Arial" w:cs="Arial" w:eastAsia="Arial" w:hAnsi="Arial"/>
          <w:sz w:val="14"/>
          <w:szCs w:val="14"/>
          <w:i w:val="1"/>
          <w:iCs w:val="1"/>
          <w:color w:val="auto"/>
        </w:rPr>
        <w:t>magna cum laude</w:t>
      </w:r>
      <w:r>
        <w:rPr>
          <w:rFonts w:ascii="Arial" w:cs="Arial" w:eastAsia="Arial" w:hAnsi="Arial"/>
          <w:sz w:val="14"/>
          <w:szCs w:val="14"/>
          <w:color w:val="auto"/>
        </w:rPr>
        <w:t xml:space="preserve"> with a BS in Accounting from Bentley College and received an MBA from the Kellogg School of Management, Northwestern University.</w:t>
      </w:r>
    </w:p>
    <w:p>
      <w:pPr>
        <w:spacing w:after="0" w:line="111"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i w:val="1"/>
          <w:iCs w:val="1"/>
          <w:color w:val="auto"/>
        </w:rPr>
        <w:t xml:space="preserve">Thomas C. Galley. </w:t>
      </w:r>
      <w:r>
        <w:rPr>
          <w:rFonts w:ascii="Arial" w:cs="Arial" w:eastAsia="Arial" w:hAnsi="Arial"/>
          <w:sz w:val="14"/>
          <w:szCs w:val="14"/>
          <w:color w:val="auto"/>
        </w:rPr>
        <w:t>Mr. Galley joined NCM LLC in March 2005 as Executive Vice President and Chief Technology and Operations Officer and following the completion of this offering, will</w:t>
      </w:r>
      <w:r>
        <w:rPr>
          <w:rFonts w:ascii="Arial" w:cs="Arial" w:eastAsia="Arial" w:hAnsi="Arial"/>
          <w:sz w:val="14"/>
          <w:szCs w:val="14"/>
          <w:i w:val="1"/>
          <w:iCs w:val="1"/>
          <w:color w:val="auto"/>
        </w:rPr>
        <w:t xml:space="preserve"> </w:t>
      </w:r>
      <w:r>
        <w:rPr>
          <w:rFonts w:ascii="Arial" w:cs="Arial" w:eastAsia="Arial" w:hAnsi="Arial"/>
          <w:sz w:val="14"/>
          <w:szCs w:val="14"/>
          <w:color w:val="auto"/>
        </w:rPr>
        <w:t>assume those positions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60"/>
          </w:cols>
          <w:pgMar w:left="220" w:top="398" w:right="21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with NCM Inc. In this role, Mr. Galley oversees all operational, technical and production divisions for National CineMedia. He also manages the CineMeetings and digital programming events divisions. Mr. Galley led the original development of National CineMedia’s Digital Content Network, a high definition digital and satellite distribution system linking AMC, Cinemark and Regal theatres nationwide. Prior to his current position, after joining United Artists Theatre Company in January 2002 as Executive Vice President of Technology, Mr. Galley served as Chief Technology Officer with Regal Entertainment Group’s media subsidiary, Regal CineMedia Corporation, from January 2002 to May 2005. From 2000 to January 2002, he served as an independent consultant. From 1986 to 2000, Mr. Galley was President and Chief Executive Officer and co-founder of Internet Communications Corporation, a network (WAN/LAN) systems integration company, where he developed business applications, sales, marketing, technology, operations and revenue centers around technology.</w:t>
      </w:r>
    </w:p>
    <w:p>
      <w:pPr>
        <w:spacing w:after="0" w:line="110"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i w:val="1"/>
          <w:iCs w:val="1"/>
          <w:color w:val="auto"/>
        </w:rPr>
        <w:t xml:space="preserve">Ralph E. Hardy. </w:t>
      </w:r>
      <w:r>
        <w:rPr>
          <w:rFonts w:ascii="Arial" w:cs="Arial" w:eastAsia="Arial" w:hAnsi="Arial"/>
          <w:sz w:val="14"/>
          <w:szCs w:val="14"/>
          <w:color w:val="auto"/>
        </w:rPr>
        <w:t>Mr. Hardy joined NCM LLC in March 2005 as Executive Vice President and General Counsel and following the completion of this offering, will assume those positions with</w:t>
      </w:r>
      <w:r>
        <w:rPr>
          <w:rFonts w:ascii="Arial" w:cs="Arial" w:eastAsia="Arial" w:hAnsi="Arial"/>
          <w:sz w:val="14"/>
          <w:szCs w:val="14"/>
          <w:i w:val="1"/>
          <w:iCs w:val="1"/>
          <w:color w:val="auto"/>
        </w:rPr>
        <w:t xml:space="preserve"> </w:t>
      </w:r>
      <w:r>
        <w:rPr>
          <w:rFonts w:ascii="Arial" w:cs="Arial" w:eastAsia="Arial" w:hAnsi="Arial"/>
          <w:sz w:val="14"/>
          <w:szCs w:val="14"/>
          <w:color w:val="auto"/>
        </w:rPr>
        <w:t>NCM Inc. Prior to his current position, from May 2002 to May 2005, Mr. Hardy served as Executive Vice President and General Counsel for Regal CineMedia Corporation. Previously, from September 1994 to May 2002, Mr. Hardy was Executive Vice President, General Counsel and Secretary of United Artists Theatre Circuit, Inc., and was Senior Vice President, General Counsel and Secretary of United Artists Theatre Circuit, Inc. from May 1992 to September 1994.</w:t>
      </w:r>
    </w:p>
    <w:p>
      <w:pPr>
        <w:spacing w:after="0" w:line="106"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i w:val="1"/>
          <w:iCs w:val="1"/>
          <w:color w:val="auto"/>
        </w:rPr>
        <w:t xml:space="preserve">Peter C. Brown. </w:t>
      </w:r>
      <w:r>
        <w:rPr>
          <w:rFonts w:ascii="Arial" w:cs="Arial" w:eastAsia="Arial" w:hAnsi="Arial"/>
          <w:sz w:val="14"/>
          <w:szCs w:val="14"/>
          <w:color w:val="auto"/>
        </w:rPr>
        <w:t>Mr. Brown has served as a director of NCM LLC since March 2005 and as a director of NCM Inc. since October 2006. Mr. Brown has served as a director of AMC</w:t>
      </w:r>
      <w:r>
        <w:rPr>
          <w:rFonts w:ascii="Arial" w:cs="Arial" w:eastAsia="Arial" w:hAnsi="Arial"/>
          <w:sz w:val="14"/>
          <w:szCs w:val="14"/>
          <w:i w:val="1"/>
          <w:iCs w:val="1"/>
          <w:color w:val="auto"/>
        </w:rPr>
        <w:t xml:space="preserve"> </w:t>
      </w:r>
      <w:r>
        <w:rPr>
          <w:rFonts w:ascii="Arial" w:cs="Arial" w:eastAsia="Arial" w:hAnsi="Arial"/>
          <w:sz w:val="14"/>
          <w:szCs w:val="14"/>
          <w:color w:val="auto"/>
        </w:rPr>
        <w:t>Entertainment Inc. (AMCE) and American Multi-Cinema, Inc., a subsidiary of AMCE, since November 1992, as Chairman of the Board and Chief Executive Officer of AMCE since July 1999 and as President of AMCE since January 1997. Mr. Brown served as Co-Chairman of the Board of AMCE from May 1998 through July 1999 and as Executive Vice President of AMCE from August 1994 to January 1997. Mr. Brown is also Chairman of the Board, Chief Executive Officer and a Director of American Multi-Cinema, Inc. Mr. Brown serves as a director of Embarq Corporation, Midway Games, Inc., and MovieTickets.com. Mr. Brown is also on the Board of Directors of the National Association of Theatre Owners, is a member of the executive committee and became Vice-Chairman of the organization in January 2007.</w:t>
      </w:r>
    </w:p>
    <w:p>
      <w:pPr>
        <w:spacing w:after="0" w:line="110" w:lineRule="exact"/>
        <w:rPr>
          <w:sz w:val="20"/>
          <w:szCs w:val="20"/>
          <w:color w:val="auto"/>
        </w:rPr>
      </w:pPr>
    </w:p>
    <w:p>
      <w:pPr>
        <w:ind w:right="140" w:firstLine="458"/>
        <w:spacing w:after="0" w:line="266" w:lineRule="auto"/>
        <w:rPr>
          <w:sz w:val="20"/>
          <w:szCs w:val="20"/>
          <w:color w:val="auto"/>
        </w:rPr>
      </w:pPr>
      <w:r>
        <w:rPr>
          <w:rFonts w:ascii="Arial" w:cs="Arial" w:eastAsia="Arial" w:hAnsi="Arial"/>
          <w:sz w:val="14"/>
          <w:szCs w:val="14"/>
          <w:i w:val="1"/>
          <w:iCs w:val="1"/>
          <w:color w:val="auto"/>
        </w:rPr>
        <w:t xml:space="preserve">Michael L. Campbell. </w:t>
      </w:r>
      <w:r>
        <w:rPr>
          <w:rFonts w:ascii="Arial" w:cs="Arial" w:eastAsia="Arial" w:hAnsi="Arial"/>
          <w:sz w:val="14"/>
          <w:szCs w:val="14"/>
          <w:color w:val="auto"/>
        </w:rPr>
        <w:t>Mr. Campbell has served as a director of NCM LLC since March 2005 and as a director of NCM Inc. since October 2006. Mr. Campbell has served as Chairman and</w:t>
      </w:r>
      <w:r>
        <w:rPr>
          <w:rFonts w:ascii="Arial" w:cs="Arial" w:eastAsia="Arial" w:hAnsi="Arial"/>
          <w:sz w:val="14"/>
          <w:szCs w:val="14"/>
          <w:i w:val="1"/>
          <w:iCs w:val="1"/>
          <w:color w:val="auto"/>
        </w:rPr>
        <w:t xml:space="preserve"> </w:t>
      </w:r>
      <w:r>
        <w:rPr>
          <w:rFonts w:ascii="Arial" w:cs="Arial" w:eastAsia="Arial" w:hAnsi="Arial"/>
          <w:sz w:val="14"/>
          <w:szCs w:val="14"/>
          <w:color w:val="auto"/>
        </w:rPr>
        <w:t>Chief Executive Officer of Regal Entertainment Group since May 2005 and as a director since March 2002. Prior thereto, Mr. Campbell served as Regal Entertainment Group’s Co-Chairman and Co-Chief Executive Officer. Mr. Campbell also has served as Chief Executive Officer of Regal Cinemas Corporation since January 2002. Mr. Campbell founded Regal Cinemas, Inc. in November 1989, and has served as Chief Executive Officer of Regal Cinemas, Inc. since its inception. Mr. Campbell served as a director and executive officer of Regal Cinemas, Inc. when it filed for bankruptcy on October 11, 2001 and throughout its bankruptcy proceedings. Mr. Campbell currently serves as a director of the National Association of Theatre Owners, Fandango, Inc. and Regal Entertainment Group.</w:t>
      </w:r>
    </w:p>
    <w:p>
      <w:pPr>
        <w:spacing w:after="0" w:line="110" w:lineRule="exact"/>
        <w:rPr>
          <w:sz w:val="20"/>
          <w:szCs w:val="20"/>
          <w:color w:val="auto"/>
        </w:rPr>
      </w:pPr>
    </w:p>
    <w:p>
      <w:pPr>
        <w:ind w:right="180" w:firstLine="458"/>
        <w:spacing w:after="0" w:line="270" w:lineRule="auto"/>
        <w:rPr>
          <w:sz w:val="20"/>
          <w:szCs w:val="20"/>
          <w:color w:val="auto"/>
        </w:rPr>
      </w:pPr>
      <w:r>
        <w:rPr>
          <w:rFonts w:ascii="Arial" w:cs="Arial" w:eastAsia="Arial" w:hAnsi="Arial"/>
          <w:sz w:val="14"/>
          <w:szCs w:val="14"/>
          <w:i w:val="1"/>
          <w:iCs w:val="1"/>
          <w:color w:val="auto"/>
        </w:rPr>
        <w:t xml:space="preserve">Lee Roy Mitchell. </w:t>
      </w:r>
      <w:r>
        <w:rPr>
          <w:rFonts w:ascii="Arial" w:cs="Arial" w:eastAsia="Arial" w:hAnsi="Arial"/>
          <w:sz w:val="14"/>
          <w:szCs w:val="14"/>
          <w:color w:val="auto"/>
        </w:rPr>
        <w:t>Mr. Mitchell has served as a director of NCM LLC since July 2005 and as a director of NCM Inc. since October 2006. Mr. Mitchell has served as Chairman of the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Cinemark USA, Inc. since March 1996 and as a Director and Chief Executive Officer of Cinemark USA, Inc. since its inception in 1987. Mr. Mitchell has served as Chairman of the Board and Chief Executive Officer of Cinemark, Inc. since its inception in May 2002. Mr. Mitchell serves on the Board of Directors of Texas Capital Bancshares, Inc., Champions for Life and Dallas County Community College.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 Following the Offering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Upon the completion of this offering, NCM Inc. will become a member and the sole manager of NCM LLC. NCM LLC’s board will cease to exist at that time.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40"/>
          </w:cols>
          <w:pgMar w:left="220" w:top="399" w:right="23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97" w:lineRule="auto"/>
        <w:rPr>
          <w:sz w:val="20"/>
          <w:szCs w:val="20"/>
          <w:color w:val="auto"/>
        </w:rPr>
      </w:pPr>
      <w:r>
        <w:rPr>
          <w:rFonts w:ascii="Arial" w:cs="Arial" w:eastAsia="Arial" w:hAnsi="Arial"/>
          <w:sz w:val="13"/>
          <w:szCs w:val="13"/>
          <w:color w:val="auto"/>
        </w:rPr>
        <w:t>NCM Inc.’s bylaws will authorize no more than ten directors to serve on our board of directors. The directors will be divided into three classes, designated as Class I, Class II and Class III. The members of each class shall serve for a staggered three-year term, except that Class I directors in the initial term immediately following the offering will serve for one year and the Class II directors in the initial term immediately following the offering will serve for two years. Each director will be elected to serve until the election of the director’s successor at an annual meeting of stockholders for the election of directors for the year in which the director’s term expires or at a special meeting called for that purpose. Directors may be removed only for cause.</w:t>
      </w:r>
    </w:p>
    <w:p>
      <w:pPr>
        <w:spacing w:after="0" w:line="91"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See “Corporate History and Reorganization—Corporate Governance Matters” for additional details on how such 5% threshold is calculated.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One of the two designees from each of the founding members must qualify as an independent director under Nasdaq rules.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expect that, upon completion of this offering, our board of directors will consist of ten directors, as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20" w:type="dxa"/>
            <w:vAlign w:val="bottom"/>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Age</w:t>
            </w:r>
          </w:p>
        </w:tc>
        <w:tc>
          <w:tcPr>
            <w:tcW w:w="220" w:type="dxa"/>
            <w:vAlign w:val="bottom"/>
          </w:tcPr>
          <w:p>
            <w:pPr>
              <w:spacing w:after="0"/>
              <w:rPr>
                <w:sz w:val="13"/>
                <w:szCs w:val="13"/>
                <w:color w:val="auto"/>
              </w:rPr>
            </w:pPr>
          </w:p>
        </w:tc>
        <w:tc>
          <w:tcPr>
            <w:tcW w:w="5260" w:type="dxa"/>
            <w:vAlign w:val="bottom"/>
            <w:tcBorders>
              <w:bottom w:val="single" w:sz="8" w:color="auto"/>
            </w:tcBorders>
          </w:tcPr>
          <w:p>
            <w:pPr>
              <w:ind w:left="2440"/>
              <w:spacing w:after="0"/>
              <w:rPr>
                <w:sz w:val="20"/>
                <w:szCs w:val="20"/>
                <w:color w:val="auto"/>
              </w:rPr>
            </w:pPr>
            <w:r>
              <w:rPr>
                <w:rFonts w:ascii="Arial" w:cs="Arial" w:eastAsia="Arial" w:hAnsi="Arial"/>
                <w:sz w:val="11"/>
                <w:szCs w:val="11"/>
                <w:b w:val="1"/>
                <w:bCs w:val="1"/>
                <w:color w:val="auto"/>
              </w:rPr>
              <w:t>Position</w:t>
            </w: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Kurt C. Hall</w:t>
            </w:r>
          </w:p>
        </w:tc>
        <w:tc>
          <w:tcPr>
            <w:tcW w:w="2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President, Chief Executive Officer and Chairman (Class 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Peter C. Brown</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Michael L. Campbell</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Lawrence A. Goodman</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David R. Haas</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James R. Holland, Jr.</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Stephen L. Lanning</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Edward H. Meyer</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Lee Roy Mitchell</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III)</w:t>
            </w:r>
          </w:p>
        </w:tc>
      </w:tr>
      <w:tr>
        <w:trPr>
          <w:trHeight w:val="181"/>
        </w:trPr>
        <w:tc>
          <w:tcPr>
            <w:tcW w:w="5500" w:type="dxa"/>
            <w:vAlign w:val="bottom"/>
          </w:tcPr>
          <w:p>
            <w:pPr>
              <w:spacing w:after="0"/>
              <w:rPr>
                <w:sz w:val="20"/>
                <w:szCs w:val="20"/>
                <w:color w:val="auto"/>
              </w:rPr>
            </w:pPr>
            <w:r>
              <w:rPr>
                <w:rFonts w:ascii="Arial" w:cs="Arial" w:eastAsia="Arial" w:hAnsi="Arial"/>
                <w:sz w:val="14"/>
                <w:szCs w:val="14"/>
                <w:color w:val="auto"/>
              </w:rPr>
              <w:t>Scott N. Schneider</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w:t>
            </w:r>
          </w:p>
        </w:tc>
      </w:tr>
    </w:tbl>
    <w:p>
      <w:pPr>
        <w:spacing w:after="0" w:line="125" w:lineRule="exact"/>
        <w:rPr>
          <w:sz w:val="20"/>
          <w:szCs w:val="20"/>
          <w:color w:val="auto"/>
        </w:rPr>
      </w:pPr>
    </w:p>
    <w:p>
      <w:pPr>
        <w:ind w:right="460" w:firstLine="458"/>
        <w:spacing w:after="0" w:line="289" w:lineRule="auto"/>
        <w:rPr>
          <w:sz w:val="20"/>
          <w:szCs w:val="20"/>
          <w:color w:val="auto"/>
        </w:rPr>
      </w:pPr>
      <w:r>
        <w:rPr>
          <w:rFonts w:ascii="Arial" w:cs="Arial" w:eastAsia="Arial" w:hAnsi="Arial"/>
          <w:sz w:val="14"/>
          <w:szCs w:val="14"/>
          <w:color w:val="auto"/>
        </w:rPr>
        <w:t>Set forth below is a brief description of the business experience of each of the individuals that we expect to become directors at the time of this offering. For a description of the business experience of Messrs. Hall, Brown, Campbell and Mitchell, see “—Executive Officers and Directors” above.</w:t>
      </w:r>
    </w:p>
    <w:p>
      <w:pPr>
        <w:spacing w:after="0" w:line="93"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i w:val="1"/>
          <w:iCs w:val="1"/>
          <w:color w:val="auto"/>
        </w:rPr>
        <w:t xml:space="preserve">Lawrence A. Goodman. </w:t>
      </w:r>
      <w:r>
        <w:rPr>
          <w:rFonts w:ascii="Arial" w:cs="Arial" w:eastAsia="Arial" w:hAnsi="Arial"/>
          <w:sz w:val="14"/>
          <w:szCs w:val="14"/>
          <w:color w:val="auto"/>
        </w:rPr>
        <w:t>Mr. Goodman founded White Mountain Media, a media consulting company, in July 2004 and has served as its president since inception. From July 2003 to July 2004,</w:t>
      </w:r>
      <w:r>
        <w:rPr>
          <w:rFonts w:ascii="Arial" w:cs="Arial" w:eastAsia="Arial" w:hAnsi="Arial"/>
          <w:sz w:val="14"/>
          <w:szCs w:val="14"/>
          <w:i w:val="1"/>
          <w:iCs w:val="1"/>
          <w:color w:val="auto"/>
        </w:rPr>
        <w:t xml:space="preserve"> </w:t>
      </w:r>
      <w:r>
        <w:rPr>
          <w:rFonts w:ascii="Arial" w:cs="Arial" w:eastAsia="Arial" w:hAnsi="Arial"/>
          <w:sz w:val="14"/>
          <w:szCs w:val="14"/>
          <w:color w:val="auto"/>
        </w:rPr>
        <w:t>Mr. Goodman was retired</w:t>
      </w:r>
      <w:r>
        <w:rPr>
          <w:rFonts w:ascii="Arial" w:cs="Arial" w:eastAsia="Arial" w:hAnsi="Arial"/>
          <w:sz w:val="14"/>
          <w:szCs w:val="14"/>
          <w:b w:val="1"/>
          <w:bCs w:val="1"/>
          <w:color w:val="auto"/>
        </w:rPr>
        <w:t>.</w:t>
      </w:r>
      <w:r>
        <w:rPr>
          <w:rFonts w:ascii="Arial" w:cs="Arial" w:eastAsia="Arial" w:hAnsi="Arial"/>
          <w:sz w:val="14"/>
          <w:szCs w:val="14"/>
          <w:color w:val="auto"/>
        </w:rPr>
        <w:t xml:space="preserve"> From March 1995 to July 2003, Mr. Goodman was the President of Sales and Marketing for CNN, a division of Turner Broadcasting System, Inc. Mr. Goodman currently serves as a director of Teletrax and The Westchester Institute for Human Development.</w:t>
      </w:r>
    </w:p>
    <w:p>
      <w:pPr>
        <w:spacing w:after="0" w:line="102"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i w:val="1"/>
          <w:iCs w:val="1"/>
          <w:color w:val="auto"/>
        </w:rPr>
        <w:t xml:space="preserve">David R. Haas. </w:t>
      </w:r>
      <w:r>
        <w:rPr>
          <w:rFonts w:ascii="Arial" w:cs="Arial" w:eastAsia="Arial" w:hAnsi="Arial"/>
          <w:sz w:val="14"/>
          <w:szCs w:val="14"/>
          <w:color w:val="auto"/>
        </w:rPr>
        <w:t>Mr. Haas has been a private investor and financial consultant since January 1995. Mr. Haas was a Senior Vice President and Controller for Time Warner, Inc. from January 1990</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December 1994. Prior thereto, Mr. Haas was at Warner Communications for 14 years and held several positions at the company. Mr. Haas served as a director of Information Holdings, Inc. from July 1988 through December 2004. Mr. Haas currently serves as a director and chair of the audit committee of Armor Holdings, Inc.</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60"/>
          </w:cols>
          <w:pgMar w:left="220" w:top="398" w:right="21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i w:val="1"/>
          <w:iCs w:val="1"/>
          <w:color w:val="auto"/>
        </w:rPr>
        <w:t>James R. Holland, Jr</w:t>
      </w:r>
      <w:r>
        <w:rPr>
          <w:rFonts w:ascii="Arial" w:cs="Arial" w:eastAsia="Arial" w:hAnsi="Arial"/>
          <w:sz w:val="14"/>
          <w:szCs w:val="14"/>
          <w:color w:val="auto"/>
        </w:rPr>
        <w:t>. Mr. Holland has been the President and Chief Executive Officer of Unity Hunt, Inc., a diversified holding company, since September 1991, and also serves on its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He also serves as lead director of Texas Capital Bancshares, Inc., and as a director of Placid Holding Co. and Hunt Midwest Enterprises, Inc.</w:t>
      </w:r>
    </w:p>
    <w:p>
      <w:pPr>
        <w:spacing w:after="0" w:line="93"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i w:val="1"/>
          <w:iCs w:val="1"/>
          <w:color w:val="auto"/>
        </w:rPr>
        <w:t xml:space="preserve">Stephen L. Lanning. </w:t>
      </w:r>
      <w:r>
        <w:rPr>
          <w:rFonts w:ascii="Arial" w:cs="Arial" w:eastAsia="Arial" w:hAnsi="Arial"/>
          <w:sz w:val="14"/>
          <w:szCs w:val="14"/>
          <w:color w:val="auto"/>
        </w:rPr>
        <w:t>Mr. Lanning is a an independent consultant. Mr. Lanning was employed by the United States Air Force from June 1977 until October 2006. From July 2005 to July 2006,</w:t>
      </w:r>
      <w:r>
        <w:rPr>
          <w:rFonts w:ascii="Arial" w:cs="Arial" w:eastAsia="Arial" w:hAnsi="Arial"/>
          <w:sz w:val="14"/>
          <w:szCs w:val="14"/>
          <w:i w:val="1"/>
          <w:iCs w:val="1"/>
          <w:color w:val="auto"/>
        </w:rPr>
        <w:t xml:space="preserve"> </w:t>
      </w:r>
      <w:r>
        <w:rPr>
          <w:rFonts w:ascii="Arial" w:cs="Arial" w:eastAsia="Arial" w:hAnsi="Arial"/>
          <w:sz w:val="14"/>
          <w:szCs w:val="14"/>
          <w:color w:val="auto"/>
        </w:rPr>
        <w:t>Mr. Lanning was a Director, Logistics and Warfighting Integration, Chief Information Officer and Chief Sustainment Officer for the United States Air Force Space Command. Mr. Lanning was a Principal Director of the Defense Information Systems Agency from July 2002 to July 2005. Mr. Lanning was a Deputy Operations Director at the United States Space Command from June 2001 to July 2002.</w:t>
      </w:r>
    </w:p>
    <w:p>
      <w:pPr>
        <w:spacing w:after="0" w:line="106"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i w:val="1"/>
          <w:iCs w:val="1"/>
          <w:color w:val="auto"/>
        </w:rPr>
        <w:t>Edward H. Meyer</w:t>
      </w:r>
      <w:r>
        <w:rPr>
          <w:rFonts w:ascii="Arial" w:cs="Arial" w:eastAsia="Arial" w:hAnsi="Arial"/>
          <w:sz w:val="14"/>
          <w:szCs w:val="14"/>
          <w:color w:val="auto"/>
        </w:rPr>
        <w:t>. Mr. Meyer served as Chairman, Chief Executive Officer and President of Grey Global Group, Inc., a global advertising and marketing services company, from 1970 to</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2006. Mr. Meyer joined Grey Global in 1956 and was elected President in 1968 and Chairman in 1972. He also serves as a director and member of the compensation and audit committees of Harman International Industries, Inc. and as a director of Ethan Allen Interiors Inc. and Jim Pattison Ltd.</w:t>
      </w:r>
    </w:p>
    <w:p>
      <w:pPr>
        <w:spacing w:after="0" w:line="102"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i w:val="1"/>
          <w:iCs w:val="1"/>
          <w:color w:val="auto"/>
        </w:rPr>
        <w:t>Scott N. Schneider</w:t>
      </w:r>
      <w:r>
        <w:rPr>
          <w:rFonts w:ascii="Arial" w:cs="Arial" w:eastAsia="Arial" w:hAnsi="Arial"/>
          <w:sz w:val="14"/>
          <w:szCs w:val="14"/>
          <w:color w:val="auto"/>
        </w:rPr>
        <w:t>. Mr. Schneider has served as Chairman, Media and Communications, of Diamond Castle Holdings, a private equity firm, since January 2004. From October 1999 to August</w:t>
      </w:r>
      <w:r>
        <w:rPr>
          <w:rFonts w:ascii="Arial" w:cs="Arial" w:eastAsia="Arial" w:hAnsi="Arial"/>
          <w:sz w:val="14"/>
          <w:szCs w:val="14"/>
          <w:i w:val="1"/>
          <w:iCs w:val="1"/>
          <w:color w:val="auto"/>
        </w:rPr>
        <w:t xml:space="preserve"> </w:t>
      </w:r>
      <w:r>
        <w:rPr>
          <w:rFonts w:ascii="Arial" w:cs="Arial" w:eastAsia="Arial" w:hAnsi="Arial"/>
          <w:sz w:val="14"/>
          <w:szCs w:val="14"/>
          <w:color w:val="auto"/>
        </w:rPr>
        <w:t>2004, Mr. Schneider served in various senior executive capacities including President, Chief Operating Officer and Vice Chairman of the Board of Citizens Communications Company. Prior thereto, Mr. Schneider served as Chief Financial Officer and a member of the board of directors of Centennial Communications Corp. from 1991 to 2001, and as Chief Financial Officer and a member of the board of directors of Century Communications Corp. from 1981 to 2000 Mr. Schneider currently serves as a director of Centennial Communications Corp. and, until its merger with SES during April 2006, as a director of NuSkies Holdings. He also serves on a variety of philanthropic boards.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83"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Our board of directors will have an audit committee, a compensation committee and a nominating and corporate governance committee. The board of directors also will establish such other committees as it deems appropriate, in accordance with applicable law and our certificate of incorporation and bylaws.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Audit Committee</w:t>
      </w:r>
    </w:p>
    <w:p>
      <w:pPr>
        <w:spacing w:after="0" w:line="79" w:lineRule="exact"/>
        <w:rPr>
          <w:sz w:val="20"/>
          <w:szCs w:val="20"/>
          <w:color w:val="auto"/>
        </w:rPr>
      </w:pPr>
    </w:p>
    <w:p>
      <w:pPr>
        <w:ind w:right="220" w:firstLine="458"/>
        <w:spacing w:after="0" w:line="267" w:lineRule="auto"/>
        <w:rPr>
          <w:sz w:val="20"/>
          <w:szCs w:val="20"/>
          <w:color w:val="auto"/>
        </w:rPr>
      </w:pPr>
      <w:r>
        <w:rPr>
          <w:rFonts w:ascii="Arial" w:cs="Arial" w:eastAsia="Arial" w:hAnsi="Arial"/>
          <w:sz w:val="14"/>
          <w:szCs w:val="14"/>
          <w:color w:val="auto"/>
        </w:rPr>
        <w:t>We expect that the members of the audit committee following this offering will be Messrs. Haas, Holland and Schneider, with Mr. Haas serving as chair. All of the proposed members of the audit committee are independent, as determined in accordance with Nasdaq rules and relevant federal securities laws and regulations. Our board has determined that Mr. Haas qualifies as an “audit committee financial expert” as defined in the federal securities laws and regulations. The audit committee will assist our board of directors in monitoring the integrity of the financial statements, the independent auditors’ qualifications, independence and performance, the performance of our company’s internal audit function and compliance by our company with certain legal and regulatory requirements.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79" w:lineRule="exact"/>
        <w:rPr>
          <w:sz w:val="20"/>
          <w:szCs w:val="20"/>
          <w:color w:val="auto"/>
        </w:rPr>
      </w:pPr>
    </w:p>
    <w:p>
      <w:pPr>
        <w:ind w:right="280" w:firstLine="458"/>
        <w:spacing w:after="0" w:line="267" w:lineRule="auto"/>
        <w:rPr>
          <w:sz w:val="20"/>
          <w:szCs w:val="20"/>
          <w:color w:val="auto"/>
        </w:rPr>
      </w:pPr>
      <w:r>
        <w:rPr>
          <w:rFonts w:ascii="Arial" w:cs="Arial" w:eastAsia="Arial" w:hAnsi="Arial"/>
          <w:sz w:val="14"/>
          <w:szCs w:val="14"/>
          <w:color w:val="auto"/>
        </w:rPr>
        <w:t>We expect that the members of the compensation committee following this offering will be Messrs. Goodman, Lanning and Meyer, with Mr. Goodman serving as chair. All of the proposed members of our compensation committee are independent, as determined in accordance with Nasdaq rules and relevant federal securities laws and regulations. The compensation committee will oversee the compensation plans, policies and programs of our company and will have full authority to determine and approve the compensation of our chief executive officer, as well as to make recommendations with respect to compensation of our other executive officers. The compensation committee also will be responsible for producing an annual report on executive compensation for inclusion in our proxy statement.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20"/>
          </w:cols>
          <w:pgMar w:left="220" w:top="399" w:right="25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79"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We expect that the members of the nominating and corporate governance committee following this offering will be Messrs. Goodman, Lanning and Meyer, with Mr. Lanning serving as chair. All of the proposed members of our nominating and corporate governance committee are independent as determined in accordance with Nasdaq rules and relevant federal securities laws and regulations. The nominating and corporate governance committee will assist our board of directors in promoting the best interests of our company and our stockholders through the implementation of sound corporate governance principles and practices.</w:t>
      </w:r>
    </w:p>
    <w:p>
      <w:pPr>
        <w:spacing w:after="0" w:line="106"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Other than the director candidates designated by our founding members, the nominating and corporate governance committee will identify individuals qualified to become board members and recommend to our board of directors the director nominees for each annual meeting of stockholders. It also will review the qualifications and independence of the members of our board of directors and its various committees on a regular basis and make any recommendations the committee members may deem appropriate from time to time concerning any changes in the composition of our board of directors and its committees. The nominating and corporate governance committee also will recommend to our board of directors the corporate governance guidelines and standards regarding the independence of outside directors applicable to our company and review such guidelines and standards and the provisions of the nominating and corporate governance committee charter on a regular basis to confirm that such guidelines, standards and charter remain consistent with sound corporate governance practices and with any legal, regulatory or Nasdaq requirements. The nominating and corporate governance committee also will monitor our board of directors and our company’s compliance with any commitments made to regulators or otherwise regarding changes in corporate governance practices and will lead our board of directors in its annual review of our board of directors’ performance.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79"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We do not anticipate any interlocking relationships between any member of our compensation committee or our nominating and corporate governance committee and any of our executive officers that would require disclosure under the applicable rules promulgated under the U.S. federal securities laws.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440"/>
          </w:cols>
          <w:pgMar w:left="220" w:top="398" w:right="23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COMPENSATION DISCUSSION AND ANALYSIS</w:t>
      </w:r>
    </w:p>
    <w:p>
      <w:pPr>
        <w:spacing w:after="0" w:line="149"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The primary goals of the compensation committee of our board of directors with respect to executive compensation are to attract, retain, motivate and reward the most talented executives possible, to tie annual and long-term compensation incentives to achievement of specified performance objectives, and to achieve the goal of long-term creation of value for our stockholders by aligning the interests of these individuals with our stockholders. To achieve these goals, the compensation committee and the board have implemented and intend to maintain compensation plans that tie a substantial portion of executives’ overall compensation to key strategic, operational and financial goals such as achievement of budgeted levels of revenues and EBITDA, and other non-financial goals that the board deems important. The compensation committee and the board evaluate individual executive performance with a goal of setting compensation at levels the board believes, based on their general business and industry knowledge and experience, are comparable with executives in other companies of similar size and stage of development operating in the advertising sales and digital media distribution industry, while taking into account our relative performance and our own strategic goals.</w:t>
      </w:r>
    </w:p>
    <w:p>
      <w:pPr>
        <w:spacing w:after="0" w:line="95"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We conduct an annual review of the aggregate level of our executive compensation as part of the annual budget review and annual performance review processes, which include determining the operating metrics and non-financial elements used to measure our performance and to compensate our executive officers. This review is based on our knowledge of how other advertising sales and media companies measure their executive performance and on the key operating metrics that are critical in our effort to increase the value of our company.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Elements of Compensation</w:t>
      </w:r>
    </w:p>
    <w:p>
      <w:pPr>
        <w:spacing w:after="0" w:line="83"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Executive compensation consists of the following elements. The compensation committee and board determine the portion of compensation allocated to each element for each individual named executive officer:</w:t>
      </w:r>
    </w:p>
    <w:p>
      <w:pPr>
        <w:spacing w:after="0" w:line="93"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b w:val="1"/>
          <w:bCs w:val="1"/>
          <w:i w:val="1"/>
          <w:iCs w:val="1"/>
          <w:color w:val="auto"/>
        </w:rPr>
        <w:t xml:space="preserve">Base Salary. </w:t>
      </w:r>
      <w:r>
        <w:rPr>
          <w:rFonts w:ascii="Arial" w:cs="Arial" w:eastAsia="Arial" w:hAnsi="Arial"/>
          <w:sz w:val="13"/>
          <w:szCs w:val="13"/>
          <w:color w:val="auto"/>
        </w:rPr>
        <w:t>Base salaries for our executives are established based on the scope of their responsibilities, taking into account competitive market compensation for similar positions,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seniority of the individual, our ability to replace the individual and other primarily judgmental factors deemed relevant by the board. Generally, we believe that executive base salaries should be targeted near the median of the range of salaries for executives in similar positions with similar responsibilities at comparable companies, in line with our compensation philosophy. Base salaries are reviewed annually by the compensation committee and the board, and adjusted from time to time pursuant to such review and/or in accordance with guidelines contained in the various employment agreements or at other appropriate times, to realign salaries with market levels after taking into account individual responsibilities, performance and experience. For 2007, this review will occur in two stages: in the fourth quarter of 2006 as part of our annual budgeting process and during the first quarter of 2007 as part of our annual performance review process.</w:t>
      </w:r>
    </w:p>
    <w:p>
      <w:pPr>
        <w:spacing w:after="0" w:line="96"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b w:val="1"/>
          <w:bCs w:val="1"/>
          <w:i w:val="1"/>
          <w:iCs w:val="1"/>
          <w:color w:val="auto"/>
        </w:rPr>
        <w:t xml:space="preserve">Discretionary Annual Performance Bonus. </w:t>
      </w:r>
      <w:r>
        <w:rPr>
          <w:rFonts w:ascii="Arial" w:cs="Arial" w:eastAsia="Arial" w:hAnsi="Arial"/>
          <w:sz w:val="14"/>
          <w:szCs w:val="14"/>
          <w:color w:val="auto"/>
        </w:rPr>
        <w:t>The board has the authority to award discretionary annual performance bonuses to our executive officers. The annual incentive bonuses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intended to compensate officers for achieving financial, operational and strategic goals and for achieving individual annual performance objectives. These objectives and goals vary and are set depending on the individual executive, but are generally allocated 25% to more subjective non-financial strategic factors such as the expansion of our digital network, maintenance of strong relationships with our founding members and the completion of various transactions, including for 2006 and 2007 the stock offering discussed herein, and 75% associated with financial factors such as achieving budgeted levels of revenues and EBITDA and managing levels of capital expenditures. These annual bonus amounts are intended to reward both overall company and individual performance during the year and, as such, can be highly variable from year to year.</w:t>
      </w:r>
    </w:p>
    <w:p>
      <w:pPr>
        <w:spacing w:after="0" w:line="110" w:lineRule="exact"/>
        <w:rPr>
          <w:sz w:val="20"/>
          <w:szCs w:val="20"/>
          <w:color w:val="auto"/>
        </w:rPr>
      </w:pPr>
    </w:p>
    <w:p>
      <w:pPr>
        <w:ind w:right="420" w:firstLine="458"/>
        <w:spacing w:after="0" w:line="289" w:lineRule="auto"/>
        <w:rPr>
          <w:sz w:val="20"/>
          <w:szCs w:val="20"/>
          <w:color w:val="auto"/>
        </w:rPr>
      </w:pPr>
      <w:r>
        <w:rPr>
          <w:rFonts w:ascii="Arial" w:cs="Arial" w:eastAsia="Arial" w:hAnsi="Arial"/>
          <w:sz w:val="14"/>
          <w:szCs w:val="14"/>
          <w:color w:val="auto"/>
        </w:rPr>
        <w:t>Our discretionary annual bonus is paid in cash in an amount reviewed and approved by the compensation committee and the board and ordinarily is paid in a single installment in the first quarter following the completion of a given fiscal year once the annual audit report is issued. Pursuant to current employment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60"/>
          </w:cols>
          <w:pgMar w:left="220" w:top="399" w:right="21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agreements, each named executive officer, is eligible for a discretionary annual bonus up to an amount equal to a specified percentage of such executive’s salary. However, the compensation committee and the board may increase the discretionary annual bonus paid to our executive officers using their judgment based on the company exceeding certain financial goals (“stretch bonus”). The compensation committee and the board have targeted discretionary bonus amounts to be paid in 2007 for performance during 2006 at 50-100% of base salary for each of our named executive officers, with an additional “stretch bonus” amount of up to 50% of the amount awarded for performance. The actual amount of discretionary bonus, which varies by individual, will be determined following a review of each executive’s individual performance and contribution to our strategic and financial goals, which will be conducted during the first quarter of 2007. The board has not fixed a minimum or maximum payout for any officers’ annual discretionary bonus.</w:t>
      </w:r>
    </w:p>
    <w:p>
      <w:pPr>
        <w:spacing w:after="0" w:line="110" w:lineRule="exact"/>
        <w:rPr>
          <w:sz w:val="20"/>
          <w:szCs w:val="20"/>
          <w:color w:val="auto"/>
        </w:rPr>
      </w:pPr>
    </w:p>
    <w:p>
      <w:pPr>
        <w:ind w:right="120" w:firstLine="458"/>
        <w:spacing w:after="0" w:line="265" w:lineRule="auto"/>
        <w:rPr>
          <w:sz w:val="20"/>
          <w:szCs w:val="20"/>
          <w:color w:val="auto"/>
        </w:rPr>
      </w:pPr>
      <w:r>
        <w:rPr>
          <w:rFonts w:ascii="Arial" w:cs="Arial" w:eastAsia="Arial" w:hAnsi="Arial"/>
          <w:sz w:val="14"/>
          <w:szCs w:val="14"/>
          <w:b w:val="1"/>
          <w:bCs w:val="1"/>
          <w:i w:val="1"/>
          <w:iCs w:val="1"/>
          <w:color w:val="auto"/>
        </w:rPr>
        <w:t xml:space="preserve">Long-Term Incentive Program. </w:t>
      </w:r>
      <w:r>
        <w:rPr>
          <w:rFonts w:ascii="Arial" w:cs="Arial" w:eastAsia="Arial" w:hAnsi="Arial"/>
          <w:sz w:val="14"/>
          <w:szCs w:val="14"/>
          <w:color w:val="auto"/>
        </w:rPr>
        <w:t>We believe that creating long-term value for our stockholders is achieved, in part, by aligning the interests of our executive officers with those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stockholders. Prior to the completion of this offering, we plan to adopt a new equity incentive plan, the National CineMedia Inc. 2007 Equity Incentive Plan, which we refer to as the “equity incentive plan.” The equity incentive plan will not only assist us in attracting, motivating, rewarding and retaining employees, including our named executive officers, but will promote the creation of long-term value for our stockholders by aligning the interests of these individuals with the interests of stockholders. We anticipate that the equity incentive plan will provide for the grant, at the discretion of our board and compensation committee, of stock options, stock appreciation rights, restricted stock, restricted stock units, and other equity-based and cash incentive awards to these officers, as well as directors, employees, consultants and other individuals (including board members) who perform services for us or for our affiliates. This equity incentive plan will replace the NCM LLC 2006 Unit Option Plan, discussed below.</w:t>
      </w:r>
    </w:p>
    <w:p>
      <w:pPr>
        <w:spacing w:after="0" w:line="111" w:lineRule="exact"/>
        <w:rPr>
          <w:sz w:val="20"/>
          <w:szCs w:val="20"/>
          <w:color w:val="auto"/>
        </w:rPr>
      </w:pPr>
    </w:p>
    <w:p>
      <w:pPr>
        <w:ind w:right="220" w:firstLine="458"/>
        <w:spacing w:after="0" w:line="341" w:lineRule="auto"/>
        <w:rPr>
          <w:sz w:val="20"/>
          <w:szCs w:val="20"/>
          <w:color w:val="auto"/>
        </w:rPr>
      </w:pPr>
      <w:r>
        <w:rPr>
          <w:rFonts w:ascii="Arial" w:cs="Arial" w:eastAsia="Arial" w:hAnsi="Arial"/>
          <w:sz w:val="12"/>
          <w:szCs w:val="12"/>
          <w:color w:val="auto"/>
        </w:rPr>
        <w:t>The compensation committee and board believe based on their general business and industry experience and knowledge that the use of the combination of base salary, discretionary annual performance bonus, and long-term incentive (including stock option or other stock-based awards) offers the best approach to achieving our compensation goals, including attracting and retaining the most talented and capable executives and motivating our executives and other officers to expend maximum effort to improve the business results, earnings and overall value of our business.</w:t>
      </w:r>
    </w:p>
    <w:p>
      <w:pPr>
        <w:spacing w:after="0" w:line="68"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b w:val="1"/>
          <w:bCs w:val="1"/>
          <w:i w:val="1"/>
          <w:iCs w:val="1"/>
          <w:color w:val="auto"/>
        </w:rPr>
        <w:t xml:space="preserve">NCM LLC Unit Option Plan. </w:t>
      </w:r>
      <w:r>
        <w:rPr>
          <w:rFonts w:ascii="Arial" w:cs="Arial" w:eastAsia="Arial" w:hAnsi="Arial"/>
          <w:sz w:val="13"/>
          <w:szCs w:val="13"/>
          <w:color w:val="auto"/>
        </w:rPr>
        <w:t>In connection with the completion of this offering, options previously granted by NCM LLC to its officer employees, including our named executive officers,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under the National CineMedia, LLC 2006 Unit Option Plan, which we refer to as the “NCM LLC Unit Option Plan,” that remain outstanding as of the date of the completion of this offering will be substituted with options granted under the equity incentive plan. In addition, pursuant to the NCM LLC Unit Option Plan, under certain conditions, it is provided that option holders will receive an additional equity award of options or restricted units at the time of an initial public offering, which we refer to as the “IPO awards”. The IPO awards are intended to ensure that the value of the NCM LLC unit options held just prior to the offering (and related debt issuance) are equal to the value of our stock options and restricted stock held just after the offering (and related debt issuance). We expect to issue options to purchase shares of our common stock and shares of restricted common stock under the equity incentive plan in substitution for options and restricted units granted under the NCM LLC Unit Option Plan. See “—Substitution of NCM LLC Options and Restricted Units” for additional information. In addition, we plan to grant options to acquire 218,000 shares of our common stock to our employees, and 6,316 shares of restricted stock to our non-employee independent directors, upon the completion of this offering.</w:t>
      </w:r>
    </w:p>
    <w:p>
      <w:pPr>
        <w:spacing w:after="0" w:line="100" w:lineRule="exact"/>
        <w:rPr>
          <w:sz w:val="20"/>
          <w:szCs w:val="20"/>
          <w:color w:val="auto"/>
        </w:rPr>
      </w:pPr>
    </w:p>
    <w:p>
      <w:pPr>
        <w:ind w:right="80" w:firstLine="458"/>
        <w:spacing w:after="0" w:line="297" w:lineRule="auto"/>
        <w:rPr>
          <w:sz w:val="20"/>
          <w:szCs w:val="20"/>
          <w:color w:val="auto"/>
        </w:rPr>
      </w:pPr>
      <w:r>
        <w:rPr>
          <w:rFonts w:ascii="Arial" w:cs="Arial" w:eastAsia="Arial" w:hAnsi="Arial"/>
          <w:sz w:val="13"/>
          <w:szCs w:val="13"/>
          <w:color w:val="auto"/>
        </w:rPr>
        <w:t>During 2006 and until the date of the offering, the NCM LLC Unit Option Plan authorizes us to grant options to purchase units of NCM LLC to our employees, directors and consultants. We granted unit options in conjunction with the adoption of the plan and then at the commencement of employment and, occasionally, following a significant change in job responsibilities or to meet other special retention or performance objectives. The compensation committee and board review and approve unit option awards to executive officers based upon a review of competitive compensation information, their assessment of individual performance, a review of each executive’s existing long-term incentives, and retention considerations. Periodic unit option grants can be made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60"/>
          </w:cols>
          <w:pgMar w:left="220" w:top="399" w:right="21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at the discretion of the compensation committee and the board to eligible employees and, in appropriate circumstances, the compensation committee and board in their discretion consider the recommendations of members of management, primarily Mr. Hall, our Chief Executive Officer. In 2006, the named executive officers were awarded unit options in the amounts indicated in the section entitled “Grants of Plan Based Awards”. These grants included grants made on April 4, 2006, in connection with the adoption of the NCM LLC Unit Option Plan and in recognition of exceptional contributions by the named executives and other NCM LLC officers since the NCM LLC’s formation in March 2005, and subsequently in connection with various hiring and other retention objectives. Unit options granted by us have an exercise price equal to a fair market value formula as of the grant date, typically begin vesting after a period of one year at 20% per annum thereafter based upon continued employment over a five-year period, and generally expire fifteen years after the date of grant.</w:t>
      </w:r>
    </w:p>
    <w:p>
      <w:pPr>
        <w:spacing w:after="0" w:line="110" w:lineRule="exact"/>
        <w:rPr>
          <w:sz w:val="20"/>
          <w:szCs w:val="20"/>
          <w:color w:val="auto"/>
        </w:rPr>
      </w:pPr>
    </w:p>
    <w:p>
      <w:pPr>
        <w:ind w:right="140" w:firstLine="458"/>
        <w:spacing w:after="0" w:line="290" w:lineRule="auto"/>
        <w:rPr>
          <w:sz w:val="20"/>
          <w:szCs w:val="20"/>
          <w:color w:val="auto"/>
        </w:rPr>
      </w:pPr>
      <w:r>
        <w:rPr>
          <w:rFonts w:ascii="Arial" w:cs="Arial" w:eastAsia="Arial" w:hAnsi="Arial"/>
          <w:sz w:val="13"/>
          <w:szCs w:val="13"/>
          <w:b w:val="1"/>
          <w:bCs w:val="1"/>
          <w:i w:val="1"/>
          <w:iCs w:val="1"/>
          <w:color w:val="auto"/>
        </w:rPr>
        <w:t xml:space="preserve">Other Compensation. </w:t>
      </w:r>
      <w:r>
        <w:rPr>
          <w:rFonts w:ascii="Arial" w:cs="Arial" w:eastAsia="Arial" w:hAnsi="Arial"/>
          <w:sz w:val="13"/>
          <w:szCs w:val="13"/>
          <w:color w:val="auto"/>
        </w:rPr>
        <w:t>Our executive officers who were parties to employment agreements prior to this offering will, following this offering, enter into new employment agreements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substantially the same terms as those discussed below, see “—Employment and Other Agreements”, under which NCM Inc. will be the employer. NCM LLC will also be a party to these new employment agreements. The compensation committee and board, in the future, may change such agreements as they determine, in their discretion, that revisions to such employment agreements are required to comply with new tax or accounting rules and are not detrimental to the interest of the named executives. In addition, consistent with our compensation philosophy, we intend to continue to maintain our current benefits and perquisites for our executive officers; however, the compensation committee in its discretion may revise, amend or add to the officer’s executive benefits and perquisites if it deems it advisable. We believe these benefits and perquisites are currently comparable to the median competitive levels for comparable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center"/>
              <w:ind w:left="46"/>
              <w:spacing w:after="0"/>
              <w:rPr>
                <w:sz w:val="20"/>
                <w:szCs w:val="20"/>
                <w:color w:val="auto"/>
              </w:rPr>
            </w:pPr>
            <w:r>
              <w:rPr>
                <w:rFonts w:ascii="Arial" w:cs="Arial" w:eastAsia="Arial" w:hAnsi="Arial"/>
                <w:sz w:val="11"/>
                <w:szCs w:val="11"/>
                <w:b w:val="1"/>
                <w:bCs w:val="1"/>
                <w:color w:val="auto"/>
                <w:w w:val="90"/>
              </w:rPr>
              <w:t>Change in</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tcPr>
          <w:p>
            <w:pPr>
              <w:jc w:val="center"/>
              <w:ind w:right="320"/>
              <w:spacing w:after="0" w:line="121" w:lineRule="exact"/>
              <w:rPr>
                <w:sz w:val="20"/>
                <w:szCs w:val="20"/>
                <w:color w:val="auto"/>
              </w:rPr>
            </w:pPr>
            <w:r>
              <w:rPr>
                <w:rFonts w:ascii="Arial" w:cs="Arial" w:eastAsia="Arial" w:hAnsi="Arial"/>
                <w:sz w:val="11"/>
                <w:szCs w:val="11"/>
                <w:b w:val="1"/>
                <w:bCs w:val="1"/>
                <w:color w:val="auto"/>
                <w:w w:val="87"/>
              </w:rPr>
              <w:t>Pension Value</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Non-Equity</w:t>
            </w:r>
          </w:p>
        </w:tc>
        <w:tc>
          <w:tcPr>
            <w:tcW w:w="340" w:type="dxa"/>
            <w:vAlign w:val="bottom"/>
          </w:tcPr>
          <w:p>
            <w:pPr>
              <w:spacing w:after="0"/>
              <w:rPr>
                <w:sz w:val="10"/>
                <w:szCs w:val="10"/>
                <w:color w:val="auto"/>
              </w:rPr>
            </w:pPr>
          </w:p>
        </w:tc>
        <w:tc>
          <w:tcPr>
            <w:tcW w:w="620" w:type="dxa"/>
            <w:vAlign w:val="bottom"/>
          </w:tcPr>
          <w:p>
            <w:pPr>
              <w:jc w:val="center"/>
              <w:ind w:left="66"/>
              <w:spacing w:after="0" w:line="121" w:lineRule="exact"/>
              <w:rPr>
                <w:sz w:val="20"/>
                <w:szCs w:val="20"/>
                <w:color w:val="auto"/>
              </w:rPr>
            </w:pPr>
            <w:r>
              <w:rPr>
                <w:rFonts w:ascii="Arial" w:cs="Arial" w:eastAsia="Arial" w:hAnsi="Arial"/>
                <w:sz w:val="11"/>
                <w:szCs w:val="11"/>
                <w:b w:val="1"/>
                <w:bCs w:val="1"/>
                <w:color w:val="auto"/>
                <w:w w:val="91"/>
              </w:rPr>
              <w:t>and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3"/>
          </w:tcPr>
          <w:p>
            <w:pPr>
              <w:jc w:val="center"/>
              <w:ind w:right="340"/>
              <w:spacing w:after="0" w:line="110" w:lineRule="exact"/>
              <w:rPr>
                <w:sz w:val="20"/>
                <w:szCs w:val="20"/>
                <w:color w:val="auto"/>
              </w:rPr>
            </w:pPr>
            <w:r>
              <w:rPr>
                <w:rFonts w:ascii="Arial" w:cs="Arial" w:eastAsia="Arial" w:hAnsi="Arial"/>
                <w:sz w:val="11"/>
                <w:szCs w:val="11"/>
                <w:b w:val="1"/>
                <w:bCs w:val="1"/>
                <w:color w:val="auto"/>
                <w:w w:val="89"/>
              </w:rPr>
              <w:t>Nonqualified</w:t>
            </w: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9"/>
              </w:rPr>
              <w:t>Stock</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90"/>
              </w:rPr>
              <w:t>Option</w:t>
            </w:r>
          </w:p>
        </w:tc>
        <w:tc>
          <w:tcPr>
            <w:tcW w:w="34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Incentive Plan</w:t>
            </w:r>
          </w:p>
        </w:tc>
        <w:tc>
          <w:tcPr>
            <w:tcW w:w="340" w:type="dxa"/>
            <w:vAlign w:val="bottom"/>
          </w:tcPr>
          <w:p>
            <w:pPr>
              <w:spacing w:after="0"/>
              <w:rPr>
                <w:sz w:val="10"/>
                <w:szCs w:val="10"/>
                <w:color w:val="auto"/>
              </w:rPr>
            </w:pPr>
          </w:p>
        </w:tc>
        <w:tc>
          <w:tcPr>
            <w:tcW w:w="620" w:type="dxa"/>
            <w:vAlign w:val="bottom"/>
          </w:tcPr>
          <w:p>
            <w:pPr>
              <w:jc w:val="center"/>
              <w:ind w:left="66"/>
              <w:spacing w:after="0" w:line="121" w:lineRule="exact"/>
              <w:rPr>
                <w:sz w:val="20"/>
                <w:szCs w:val="20"/>
                <w:color w:val="auto"/>
              </w:rPr>
            </w:pPr>
            <w:r>
              <w:rPr>
                <w:rFonts w:ascii="Arial" w:cs="Arial" w:eastAsia="Arial" w:hAnsi="Arial"/>
                <w:sz w:val="11"/>
                <w:szCs w:val="11"/>
                <w:b w:val="1"/>
                <w:bCs w:val="1"/>
                <w:color w:val="auto"/>
                <w:w w:val="92"/>
              </w:rPr>
              <w:t>Deferred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98"/>
              </w:rPr>
              <w:t>All Other</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Salary</w:t>
            </w:r>
          </w:p>
        </w:tc>
        <w:tc>
          <w:tcPr>
            <w:tcW w:w="340" w:type="dxa"/>
            <w:vAlign w:val="bottom"/>
          </w:tcPr>
          <w:p>
            <w:pPr>
              <w:spacing w:after="0"/>
              <w:rPr>
                <w:sz w:val="10"/>
                <w:szCs w:val="10"/>
                <w:color w:val="auto"/>
              </w:rPr>
            </w:pPr>
          </w:p>
        </w:tc>
        <w:tc>
          <w:tcPr>
            <w:tcW w:w="6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Bonus</w:t>
            </w:r>
          </w:p>
        </w:tc>
        <w:tc>
          <w:tcPr>
            <w:tcW w:w="3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85"/>
              </w:rPr>
              <w:t>Awards</w:t>
            </w:r>
          </w:p>
        </w:tc>
        <w:tc>
          <w:tcPr>
            <w:tcW w:w="340" w:type="dxa"/>
            <w:vAlign w:val="bottom"/>
          </w:tcPr>
          <w:p>
            <w:pPr>
              <w:spacing w:after="0"/>
              <w:rPr>
                <w:sz w:val="10"/>
                <w:szCs w:val="10"/>
                <w:color w:val="auto"/>
              </w:rPr>
            </w:pPr>
          </w:p>
        </w:tc>
        <w:tc>
          <w:tcPr>
            <w:tcW w:w="44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0"/>
              </w:rPr>
              <w:t>Awards</w:t>
            </w:r>
          </w:p>
        </w:tc>
        <w:tc>
          <w:tcPr>
            <w:tcW w:w="34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8"/>
              </w:rPr>
              <w:t>Compensation</w:t>
            </w:r>
          </w:p>
        </w:tc>
        <w:tc>
          <w:tcPr>
            <w:tcW w:w="340" w:type="dxa"/>
            <w:vAlign w:val="bottom"/>
          </w:tcPr>
          <w:p>
            <w:pPr>
              <w:spacing w:after="0"/>
              <w:rPr>
                <w:sz w:val="10"/>
                <w:szCs w:val="10"/>
                <w:color w:val="auto"/>
              </w:rPr>
            </w:pPr>
          </w:p>
        </w:tc>
        <w:tc>
          <w:tcPr>
            <w:tcW w:w="106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88"/>
              </w:rPr>
              <w:t>Compensation</w:t>
            </w:r>
          </w:p>
        </w:tc>
        <w:tc>
          <w:tcPr>
            <w:tcW w:w="108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86"/>
              </w:rPr>
              <w:t>Compensation</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and Principal Position</w:t>
            </w:r>
          </w:p>
        </w:tc>
        <w:tc>
          <w:tcPr>
            <w:tcW w:w="34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1"/>
                <w:szCs w:val="11"/>
                <w:b w:val="1"/>
                <w:bCs w:val="1"/>
                <w:color w:val="auto"/>
                <w:w w:val="83"/>
              </w:rPr>
              <w:t>Year</w:t>
            </w:r>
          </w:p>
        </w:tc>
        <w:tc>
          <w:tcPr>
            <w:tcW w:w="780" w:type="dxa"/>
            <w:vAlign w:val="bottom"/>
            <w:gridSpan w:val="2"/>
          </w:tcPr>
          <w:p>
            <w:pPr>
              <w:jc w:val="center"/>
              <w:ind w:left="285"/>
              <w:spacing w:after="0"/>
              <w:rPr>
                <w:sz w:val="20"/>
                <w:szCs w:val="20"/>
                <w:color w:val="auto"/>
              </w:rPr>
            </w:pPr>
            <w:r>
              <w:rPr>
                <w:rFonts w:ascii="Arial" w:cs="Arial" w:eastAsia="Arial" w:hAnsi="Arial"/>
                <w:sz w:val="11"/>
                <w:szCs w:val="11"/>
                <w:b w:val="1"/>
                <w:bCs w:val="1"/>
                <w:color w:val="auto"/>
                <w:w w:val="88"/>
              </w:rPr>
              <w:t>($)</w:t>
            </w: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3"/>
                <w:szCs w:val="13"/>
                <w:color w:val="auto"/>
              </w:rPr>
            </w:pPr>
          </w:p>
        </w:tc>
        <w:tc>
          <w:tcPr>
            <w:tcW w:w="220" w:type="dxa"/>
            <w:vAlign w:val="bottom"/>
          </w:tcPr>
          <w:p>
            <w:pPr>
              <w:ind w:left="140"/>
              <w:spacing w:after="0"/>
              <w:rPr>
                <w:sz w:val="20"/>
                <w:szCs w:val="20"/>
                <w:color w:val="auto"/>
              </w:rPr>
            </w:pPr>
            <w:r>
              <w:rPr>
                <w:rFonts w:ascii="Arial" w:cs="Arial" w:eastAsia="Arial" w:hAnsi="Arial"/>
                <w:sz w:val="9"/>
                <w:szCs w:val="9"/>
                <w:b w:val="1"/>
                <w:bCs w:val="1"/>
                <w:color w:val="auto"/>
                <w:w w:val="74"/>
              </w:rPr>
              <w:t>($</w:t>
            </w:r>
          </w:p>
        </w:tc>
        <w:tc>
          <w:tcPr>
            <w:tcW w:w="160" w:type="dxa"/>
            <w:vAlign w:val="bottom"/>
          </w:tcPr>
          <w:p>
            <w:pPr>
              <w:jc w:val="right"/>
              <w:ind w:right="68"/>
              <w:spacing w:after="0"/>
              <w:rPr>
                <w:sz w:val="20"/>
                <w:szCs w:val="20"/>
                <w:color w:val="auto"/>
              </w:rPr>
            </w:pPr>
            <w:r>
              <w:rPr>
                <w:rFonts w:ascii="Arial" w:cs="Arial" w:eastAsia="Arial" w:hAnsi="Arial"/>
                <w:sz w:val="8"/>
                <w:szCs w:val="8"/>
                <w:b w:val="1"/>
                <w:bCs w:val="1"/>
                <w:color w:val="auto"/>
                <w:w w:val="73"/>
              </w:rPr>
              <w: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center"/>
              <w:ind w:right="5"/>
              <w:spacing w:after="0"/>
              <w:rPr>
                <w:sz w:val="20"/>
                <w:szCs w:val="20"/>
                <w:color w:val="auto"/>
              </w:rPr>
            </w:pPr>
            <w:r>
              <w:rPr>
                <w:rFonts w:ascii="Arial" w:cs="Arial" w:eastAsia="Arial" w:hAnsi="Arial"/>
                <w:sz w:val="11"/>
                <w:szCs w:val="11"/>
                <w:b w:val="1"/>
                <w:bCs w:val="1"/>
                <w:color w:val="auto"/>
                <w:w w:val="93"/>
              </w:rPr>
              <w:t>($) (1)</w:t>
            </w:r>
          </w:p>
        </w:tc>
        <w:tc>
          <w:tcPr>
            <w:tcW w:w="1060" w:type="dxa"/>
            <w:vAlign w:val="bottom"/>
            <w:gridSpan w:val="2"/>
          </w:tcPr>
          <w:p>
            <w:pPr>
              <w:jc w:val="center"/>
              <w:ind w:left="285"/>
              <w:spacing w:after="0"/>
              <w:rPr>
                <w:sz w:val="20"/>
                <w:szCs w:val="20"/>
                <w:color w:val="auto"/>
              </w:rPr>
            </w:pPr>
            <w:r>
              <w:rPr>
                <w:rFonts w:ascii="Arial" w:cs="Arial" w:eastAsia="Arial" w:hAnsi="Arial"/>
                <w:sz w:val="11"/>
                <w:szCs w:val="11"/>
                <w:b w:val="1"/>
                <w:bCs w:val="1"/>
                <w:color w:val="auto"/>
                <w:w w:val="93"/>
              </w:rPr>
              <w:t>($) (2)</w:t>
            </w:r>
          </w:p>
        </w:tc>
        <w:tc>
          <w:tcPr>
            <w:tcW w:w="3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Earnings ($</w:t>
            </w:r>
          </w:p>
        </w:tc>
        <w:tc>
          <w:tcPr>
            <w:tcW w:w="100" w:type="dxa"/>
            <w:vAlign w:val="bottom"/>
          </w:tcPr>
          <w:p>
            <w:pPr>
              <w:jc w:val="right"/>
              <w:ind w:right="8"/>
              <w:spacing w:after="0"/>
              <w:rPr>
                <w:sz w:val="20"/>
                <w:szCs w:val="20"/>
                <w:color w:val="auto"/>
              </w:rPr>
            </w:pPr>
            <w:r>
              <w:rPr>
                <w:rFonts w:ascii="Arial" w:cs="Arial" w:eastAsia="Arial" w:hAnsi="Arial"/>
                <w:sz w:val="8"/>
                <w:szCs w:val="8"/>
                <w:b w:val="1"/>
                <w:bCs w:val="1"/>
                <w:color w:val="auto"/>
                <w:w w:val="73"/>
              </w:rPr>
              <w:t>)</w:t>
            </w:r>
          </w:p>
        </w:tc>
        <w:tc>
          <w:tcPr>
            <w:tcW w:w="3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ind w:right="165"/>
              <w:spacing w:after="0"/>
              <w:rPr>
                <w:sz w:val="20"/>
                <w:szCs w:val="20"/>
                <w:color w:val="auto"/>
              </w:rPr>
            </w:pPr>
            <w:r>
              <w:rPr>
                <w:rFonts w:ascii="Arial" w:cs="Arial" w:eastAsia="Arial" w:hAnsi="Arial"/>
                <w:sz w:val="11"/>
                <w:szCs w:val="11"/>
                <w:b w:val="1"/>
                <w:bCs w:val="1"/>
                <w:color w:val="auto"/>
                <w:w w:val="89"/>
              </w:rPr>
              <w:t>) (3)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8"/>
              </w:rPr>
              <w:t>Total ($)</w:t>
            </w:r>
          </w:p>
        </w:tc>
        <w:tc>
          <w:tcPr>
            <w:tcW w:w="0" w:type="dxa"/>
            <w:vAlign w:val="bottom"/>
          </w:tcPr>
          <w:p>
            <w:pPr>
              <w:spacing w:after="0"/>
              <w:rPr>
                <w:sz w:val="1"/>
                <w:szCs w:val="1"/>
                <w:color w:val="auto"/>
              </w:rPr>
            </w:pPr>
          </w:p>
        </w:tc>
      </w:tr>
      <w:tr>
        <w:trPr>
          <w:trHeight w:val="95"/>
        </w:trPr>
        <w:tc>
          <w:tcPr>
            <w:tcW w:w="3900" w:type="dxa"/>
            <w:vAlign w:val="bottom"/>
          </w:tcPr>
          <w:p>
            <w:pPr>
              <w:spacing w:after="0" w:line="95" w:lineRule="exact"/>
              <w:rPr>
                <w:sz w:val="20"/>
                <w:szCs w:val="20"/>
                <w:color w:val="auto"/>
              </w:rPr>
            </w:pPr>
            <w:r>
              <w:rPr>
                <w:rFonts w:ascii="Arial" w:cs="Arial" w:eastAsia="Arial" w:hAnsi="Arial"/>
                <w:sz w:val="11"/>
                <w:szCs w:val="11"/>
                <w:color w:val="auto"/>
              </w:rPr>
              <w:t>Kurt C. Hall</w:t>
            </w:r>
          </w:p>
        </w:tc>
        <w:tc>
          <w:tcPr>
            <w:tcW w:w="340" w:type="dxa"/>
            <w:vAlign w:val="bottom"/>
          </w:tcPr>
          <w:p>
            <w:pPr>
              <w:spacing w:after="0"/>
              <w:rPr>
                <w:sz w:val="8"/>
                <w:szCs w:val="8"/>
                <w:color w:val="auto"/>
              </w:rPr>
            </w:pPr>
          </w:p>
        </w:tc>
        <w:tc>
          <w:tcPr>
            <w:tcW w:w="220" w:type="dxa"/>
            <w:vAlign w:val="bottom"/>
            <w:tcBorders>
              <w:top w:val="single" w:sz="8" w:color="auto"/>
            </w:tcBorders>
          </w:tcPr>
          <w:p>
            <w:pPr>
              <w:spacing w:after="0" w:line="95" w:lineRule="exact"/>
              <w:rPr>
                <w:sz w:val="20"/>
                <w:szCs w:val="20"/>
                <w:color w:val="auto"/>
              </w:rPr>
            </w:pPr>
            <w:r>
              <w:rPr>
                <w:rFonts w:ascii="Arial" w:cs="Arial" w:eastAsia="Arial" w:hAnsi="Arial"/>
                <w:sz w:val="11"/>
                <w:szCs w:val="11"/>
                <w:color w:val="auto"/>
                <w:w w:val="81"/>
              </w:rPr>
              <w:t>2006</w:t>
            </w:r>
          </w:p>
        </w:tc>
        <w:tc>
          <w:tcPr>
            <w:tcW w:w="340" w:type="dxa"/>
            <w:vAlign w:val="bottom"/>
          </w:tcPr>
          <w:p>
            <w:pPr>
              <w:spacing w:after="0"/>
              <w:rPr>
                <w:sz w:val="8"/>
                <w:szCs w:val="8"/>
                <w:color w:val="auto"/>
              </w:rPr>
            </w:pPr>
          </w:p>
        </w:tc>
        <w:tc>
          <w:tcPr>
            <w:tcW w:w="440" w:type="dxa"/>
            <w:vAlign w:val="bottom"/>
            <w:tcBorders>
              <w:top w:val="single" w:sz="8" w:color="auto"/>
            </w:tcBorders>
          </w:tcPr>
          <w:p>
            <w:pPr>
              <w:jc w:val="center"/>
              <w:spacing w:after="0" w:line="95" w:lineRule="exact"/>
              <w:rPr>
                <w:sz w:val="20"/>
                <w:szCs w:val="20"/>
                <w:color w:val="auto"/>
              </w:rPr>
            </w:pPr>
            <w:r>
              <w:rPr>
                <w:rFonts w:ascii="Arial" w:cs="Arial" w:eastAsia="Arial" w:hAnsi="Arial"/>
                <w:sz w:val="11"/>
                <w:szCs w:val="11"/>
                <w:color w:val="auto"/>
                <w:w w:val="89"/>
              </w:rPr>
              <w:t>$ 625,000</w:t>
            </w:r>
          </w:p>
        </w:tc>
        <w:tc>
          <w:tcPr>
            <w:tcW w:w="340" w:type="dxa"/>
            <w:vAlign w:val="bottom"/>
          </w:tcPr>
          <w:p>
            <w:pPr>
              <w:spacing w:after="0"/>
              <w:rPr>
                <w:sz w:val="8"/>
                <w:szCs w:val="8"/>
                <w:color w:val="auto"/>
              </w:rPr>
            </w:pPr>
          </w:p>
        </w:tc>
        <w:tc>
          <w:tcPr>
            <w:tcW w:w="180" w:type="dxa"/>
            <w:vAlign w:val="bottom"/>
            <w:tcBorders>
              <w:top w:val="single" w:sz="8" w:color="auto"/>
            </w:tcBorders>
          </w:tcPr>
          <w:p>
            <w:pPr>
              <w:spacing w:after="0" w:line="9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5"/>
                <w:szCs w:val="5"/>
                <w:color w:val="auto"/>
                <w:w w:val="70"/>
              </w:rPr>
              <w:t>0</w:t>
            </w:r>
          </w:p>
        </w:tc>
        <w:tc>
          <w:tcPr>
            <w:tcW w:w="340" w:type="dxa"/>
            <w:vAlign w:val="bottom"/>
          </w:tcPr>
          <w:p>
            <w:pPr>
              <w:spacing w:after="0"/>
              <w:rPr>
                <w:sz w:val="8"/>
                <w:szCs w:val="8"/>
                <w:color w:val="auto"/>
              </w:rPr>
            </w:pPr>
          </w:p>
        </w:tc>
        <w:tc>
          <w:tcPr>
            <w:tcW w:w="220" w:type="dxa"/>
            <w:vAlign w:val="bottom"/>
            <w:tcBorders>
              <w:top w:val="single" w:sz="8" w:color="auto"/>
            </w:tcBorders>
          </w:tcPr>
          <w:p>
            <w:pPr>
              <w:spacing w:after="0" w:line="95"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1"/>
                <w:szCs w:val="11"/>
                <w:color w:val="auto"/>
              </w:rPr>
              <w:t>0</w:t>
            </w:r>
          </w:p>
        </w:tc>
        <w:tc>
          <w:tcPr>
            <w:tcW w:w="340" w:type="dxa"/>
            <w:vAlign w:val="bottom"/>
          </w:tcPr>
          <w:p>
            <w:pPr>
              <w:spacing w:after="0"/>
              <w:rPr>
                <w:sz w:val="8"/>
                <w:szCs w:val="8"/>
                <w:color w:val="auto"/>
              </w:rPr>
            </w:pPr>
          </w:p>
        </w:tc>
        <w:tc>
          <w:tcPr>
            <w:tcW w:w="440" w:type="dxa"/>
            <w:vAlign w:val="bottom"/>
            <w:tcBorders>
              <w:top w:val="single" w:sz="8" w:color="auto"/>
            </w:tcBorders>
            <w:gridSpan w:val="2"/>
          </w:tcPr>
          <w:p>
            <w:pPr>
              <w:jc w:val="right"/>
              <w:spacing w:after="0" w:line="95" w:lineRule="exact"/>
              <w:rPr>
                <w:sz w:val="20"/>
                <w:szCs w:val="20"/>
                <w:color w:val="auto"/>
              </w:rPr>
            </w:pPr>
            <w:r>
              <w:rPr>
                <w:rFonts w:ascii="Arial" w:cs="Arial" w:eastAsia="Arial" w:hAnsi="Arial"/>
                <w:sz w:val="11"/>
                <w:szCs w:val="11"/>
                <w:color w:val="auto"/>
                <w:w w:val="85"/>
              </w:rPr>
              <w:t>$ 523,643</w:t>
            </w:r>
          </w:p>
        </w:tc>
        <w:tc>
          <w:tcPr>
            <w:tcW w:w="340" w:type="dxa"/>
            <w:vAlign w:val="bottom"/>
          </w:tcPr>
          <w:p>
            <w:pPr>
              <w:spacing w:after="0"/>
              <w:rPr>
                <w:sz w:val="8"/>
                <w:szCs w:val="8"/>
                <w:color w:val="auto"/>
              </w:rPr>
            </w:pPr>
          </w:p>
        </w:tc>
        <w:tc>
          <w:tcPr>
            <w:tcW w:w="720" w:type="dxa"/>
            <w:vAlign w:val="bottom"/>
            <w:tcBorders>
              <w:top w:val="single" w:sz="8" w:color="auto"/>
            </w:tcBorders>
          </w:tcPr>
          <w:p>
            <w:pPr>
              <w:ind w:left="500"/>
              <w:spacing w:after="0" w:line="95" w:lineRule="exact"/>
              <w:rPr>
                <w:sz w:val="20"/>
                <w:szCs w:val="20"/>
                <w:color w:val="auto"/>
              </w:rPr>
            </w:pPr>
            <w:r>
              <w:rPr>
                <w:rFonts w:ascii="Arial" w:cs="Arial" w:eastAsia="Arial" w:hAnsi="Arial"/>
                <w:sz w:val="11"/>
                <w:szCs w:val="11"/>
                <w:color w:val="auto"/>
                <w:w w:val="90"/>
              </w:rPr>
              <w:t>TBD</w:t>
            </w:r>
          </w:p>
        </w:tc>
        <w:tc>
          <w:tcPr>
            <w:tcW w:w="340" w:type="dxa"/>
            <w:vAlign w:val="bottom"/>
          </w:tcPr>
          <w:p>
            <w:pPr>
              <w:spacing w:after="0"/>
              <w:rPr>
                <w:sz w:val="8"/>
                <w:szCs w:val="8"/>
                <w:color w:val="auto"/>
              </w:rPr>
            </w:pPr>
          </w:p>
        </w:tc>
        <w:tc>
          <w:tcPr>
            <w:tcW w:w="620" w:type="dxa"/>
            <w:vAlign w:val="bottom"/>
            <w:tcBorders>
              <w:top w:val="single" w:sz="8" w:color="auto"/>
            </w:tcBorders>
          </w:tcPr>
          <w:p>
            <w:pPr>
              <w:jc w:val="right"/>
              <w:ind w:right="506"/>
              <w:spacing w:after="0" w:line="95" w:lineRule="exact"/>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1"/>
                <w:szCs w:val="11"/>
                <w:color w:val="auto"/>
              </w:rPr>
              <w:t>0</w:t>
            </w:r>
          </w:p>
        </w:tc>
        <w:tc>
          <w:tcPr>
            <w:tcW w:w="340" w:type="dxa"/>
            <w:vAlign w:val="bottom"/>
          </w:tcPr>
          <w:p>
            <w:pPr>
              <w:spacing w:after="0"/>
              <w:rPr>
                <w:sz w:val="8"/>
                <w:szCs w:val="8"/>
                <w:color w:val="auto"/>
              </w:rPr>
            </w:pPr>
          </w:p>
        </w:tc>
        <w:tc>
          <w:tcPr>
            <w:tcW w:w="320" w:type="dxa"/>
            <w:vAlign w:val="bottom"/>
            <w:tcBorders>
              <w:top w:val="single" w:sz="8" w:color="auto"/>
            </w:tcBorders>
          </w:tcPr>
          <w:p>
            <w:pPr>
              <w:jc w:val="right"/>
              <w:ind w:right="209"/>
              <w:spacing w:after="0" w:line="95"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1"/>
                <w:szCs w:val="11"/>
                <w:color w:val="auto"/>
              </w:rPr>
              <w:t>8,292</w:t>
            </w:r>
          </w:p>
        </w:tc>
        <w:tc>
          <w:tcPr>
            <w:tcW w:w="34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1"/>
                <w:szCs w:val="11"/>
                <w:color w:val="auto"/>
                <w:w w:val="93"/>
              </w:rPr>
              <w:t>1,156,935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President, Chief Executive Officer and Chairman</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Clifford E. Marks</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$ 579,395</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7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$ 271,821</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8,204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859,420</w:t>
            </w: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President of Sales and Chief Marketing Officer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Gary W. Ferrera (4)</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$ 176,635</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7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$ 148,067</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1,389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326,091</w:t>
            </w: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Executive Vice President and Chief Financial Officer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Thomas C. Galley</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$ 373,077</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7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$ 161,342</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8,149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542,568</w:t>
            </w: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Executive Vice President and Chief Technology and Operations Officer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Ralph E. Hardy</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$ 215,029</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4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1" w:lineRule="exact"/>
              <w:rPr>
                <w:sz w:val="20"/>
                <w:szCs w:val="20"/>
                <w:color w:val="auto"/>
              </w:rPr>
            </w:pPr>
            <w:r>
              <w:rPr>
                <w:rFonts w:ascii="Arial" w:cs="Arial" w:eastAsia="Arial" w:hAnsi="Arial"/>
                <w:sz w:val="11"/>
                <w:szCs w:val="11"/>
                <w:color w:val="auto"/>
              </w:rPr>
              <w:t>58,175</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8,054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281,258</w:t>
            </w: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Executive Vice President and General Counsel</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David J. Giesler (5)</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$ 161,762</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4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7,116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168,878</w:t>
            </w:r>
          </w:p>
        </w:tc>
        <w:tc>
          <w:tcPr>
            <w:tcW w:w="0" w:type="dxa"/>
            <w:vAlign w:val="bottom"/>
          </w:tcPr>
          <w:p>
            <w:pPr>
              <w:spacing w:after="0"/>
              <w:rPr>
                <w:sz w:val="1"/>
                <w:szCs w:val="1"/>
                <w:color w:val="auto"/>
              </w:rPr>
            </w:pPr>
          </w:p>
        </w:tc>
      </w:tr>
      <w:tr>
        <w:trPr>
          <w:trHeight w:val="137"/>
        </w:trPr>
        <w:tc>
          <w:tcPr>
            <w:tcW w:w="3900" w:type="dxa"/>
            <w:vAlign w:val="bottom"/>
          </w:tcPr>
          <w:p>
            <w:pPr>
              <w:ind w:left="180"/>
              <w:spacing w:after="0"/>
              <w:rPr>
                <w:sz w:val="20"/>
                <w:szCs w:val="20"/>
                <w:color w:val="auto"/>
              </w:rPr>
            </w:pPr>
            <w:r>
              <w:rPr>
                <w:rFonts w:ascii="Arial" w:cs="Arial" w:eastAsia="Arial" w:hAnsi="Arial"/>
                <w:sz w:val="11"/>
                <w:szCs w:val="11"/>
                <w:color w:val="auto"/>
              </w:rPr>
              <w:t>Former Executive Vice President and Chief Financial Officer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190119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59" w:lineRule="exact"/>
        <w:rPr>
          <w:sz w:val="20"/>
          <w:szCs w:val="20"/>
          <w:color w:val="auto"/>
        </w:rPr>
      </w:pPr>
    </w:p>
    <w:p>
      <w:pPr>
        <w:ind w:left="440" w:right="100" w:hanging="380"/>
        <w:spacing w:after="0" w:line="275" w:lineRule="auto"/>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represent the portion of the fair value of the options recognized as expense for financial statement reporting purposes in accordance with SFAS No. 123(R), “Share Based Payment,” and does not represent cash payments made to the individuals or amounts realized. Under SFAS 123(R), the fair value of options granted to employees is recognized ratably over the vesting period. No portion of the options held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60"/>
          </w:cols>
          <w:pgMar w:left="220" w:top="398" w:right="21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right="60"/>
        <w:spacing w:after="0" w:line="264" w:lineRule="auto"/>
        <w:rPr>
          <w:sz w:val="20"/>
          <w:szCs w:val="20"/>
          <w:color w:val="auto"/>
        </w:rPr>
      </w:pPr>
      <w:r>
        <w:rPr>
          <w:rFonts w:ascii="Arial" w:cs="Arial" w:eastAsia="Arial" w:hAnsi="Arial"/>
          <w:sz w:val="14"/>
          <w:szCs w:val="14"/>
          <w:color w:val="auto"/>
        </w:rPr>
        <w:t>by any named executive officer are currently vested. See details of the assumptions used in valuation in Note 11 to the audited financial statements of NCM LLC contained elsewhere in this prospectus. The ultimate value of the options is highly dependent on NCM LLC’s EBITDA and other financial performance factors. A table summarizing the unit options granted to the named executive officers appears below. The option value as reflected in this table represents the calculation based on outstanding unit options and does not reflect the contemplated replacement of the unit options with stock options to be issued as discussed below.</w:t>
      </w:r>
    </w:p>
    <w:p>
      <w:pPr>
        <w:spacing w:after="0" w:line="2" w:lineRule="exact"/>
        <w:rPr>
          <w:sz w:val="20"/>
          <w:szCs w:val="20"/>
          <w:color w:val="auto"/>
        </w:rPr>
      </w:pPr>
    </w:p>
    <w:p>
      <w:pPr>
        <w:ind w:left="440" w:right="160" w:hanging="380"/>
        <w:spacing w:after="0" w:line="264"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compensation committee has not determined the amounts of the bonuses that will be paid to each named executive officer for 2006. We expect to determine and pay those amounts during the first quarter of 2007, and will file a Form 8-K with this information once those amounts are determined.</w:t>
      </w:r>
    </w:p>
    <w:p>
      <w:pPr>
        <w:spacing w:after="0" w:line="1" w:lineRule="exact"/>
        <w:rPr>
          <w:rFonts w:ascii="Arial" w:cs="Arial" w:eastAsia="Arial" w:hAnsi="Arial"/>
          <w:sz w:val="14"/>
          <w:szCs w:val="14"/>
          <w:color w:val="auto"/>
        </w:rPr>
      </w:pPr>
    </w:p>
    <w:p>
      <w:pPr>
        <w:ind w:left="440" w:right="380" w:hanging="380"/>
        <w:spacing w:after="0" w:line="260"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balances include individual amounts, all of which are less than $10,000, contributions on behalf of the named executive officers as NCM LLC’s matching contribution to NCM LLC’s defined contribution 401(k) plan, as well as amounts related to the various life and disability insurance plans participated in by the named executives.</w:t>
      </w:r>
    </w:p>
    <w:p>
      <w:pPr>
        <w:ind w:left="440" w:hanging="380"/>
        <w:spacing w:after="0"/>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Ferrera became NCM LLC’s Executive Vice President and Chief Financial Officer on May 1, 2006.</w:t>
      </w:r>
    </w:p>
    <w:p>
      <w:pPr>
        <w:spacing w:after="0" w:line="13" w:lineRule="exact"/>
        <w:rPr>
          <w:rFonts w:ascii="Arial" w:cs="Arial" w:eastAsia="Arial" w:hAnsi="Arial"/>
          <w:sz w:val="14"/>
          <w:szCs w:val="14"/>
          <w:color w:val="auto"/>
        </w:rPr>
      </w:pPr>
    </w:p>
    <w:p>
      <w:pPr>
        <w:ind w:left="440" w:right="120" w:hanging="380"/>
        <w:spacing w:after="0" w:line="281"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Giesler resigned as NCM LLC’s Executive Vice President and Chief Financial Officer effective April 30, 2006 and resigned as an employee of NCM LLC on September 20, 2006. His unit option was forfeited when he resigned from NCM LLC effective September 20, 2006.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Grants of Plan Based Awards</w:t>
      </w:r>
    </w:p>
    <w:p>
      <w:pPr>
        <w:spacing w:after="0" w:line="83"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The board of directors approved awards under our NCM LLC Unit Option Plan to each of our named executive officers in 2006. As noted, in connection with this offering, options previously granted under the NCM LLC Unit Option Plan that remain outstanding as of the date of the completion of the offering will be substituted with options granted under our equity incentive plan. See further discussion at “—Equity Incentive Plan”. Set forth below is information regarding awards granted during 2006: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Grants of Plan Based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2"/>
          </w:tcPr>
          <w:p>
            <w:pPr>
              <w:jc w:val="center"/>
              <w:ind w:right="449"/>
              <w:spacing w:after="0"/>
              <w:rPr>
                <w:sz w:val="20"/>
                <w:szCs w:val="20"/>
                <w:color w:val="auto"/>
              </w:rPr>
            </w:pPr>
            <w:r>
              <w:rPr>
                <w:rFonts w:ascii="Arial" w:cs="Arial" w:eastAsia="Arial" w:hAnsi="Arial"/>
                <w:sz w:val="11"/>
                <w:szCs w:val="11"/>
                <w:b w:val="1"/>
                <w:bCs w:val="1"/>
                <w:color w:val="auto"/>
                <w:w w:val="89"/>
              </w:rPr>
              <w:t>All other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gridSpan w:val="6"/>
            <w:vMerge w:val="restart"/>
          </w:tcPr>
          <w:p>
            <w:pPr>
              <w:jc w:val="center"/>
              <w:ind w:right="460"/>
              <w:spacing w:after="0"/>
              <w:rPr>
                <w:sz w:val="20"/>
                <w:szCs w:val="20"/>
                <w:color w:val="auto"/>
              </w:rPr>
            </w:pPr>
            <w:r>
              <w:rPr>
                <w:rFonts w:ascii="Arial" w:cs="Arial" w:eastAsia="Arial" w:hAnsi="Arial"/>
                <w:sz w:val="11"/>
                <w:szCs w:val="11"/>
                <w:b w:val="1"/>
                <w:bCs w:val="1"/>
                <w:color w:val="auto"/>
                <w:w w:val="91"/>
              </w:rPr>
              <w:t>Estimated Future Payouts Under</w:t>
            </w:r>
          </w:p>
        </w:tc>
        <w:tc>
          <w:tcPr>
            <w:tcW w:w="1400" w:type="dxa"/>
            <w:vAlign w:val="bottom"/>
            <w:gridSpan w:val="2"/>
          </w:tcPr>
          <w:p>
            <w:pPr>
              <w:jc w:val="center"/>
              <w:ind w:right="469"/>
              <w:spacing w:after="0" w:line="121" w:lineRule="exact"/>
              <w:rPr>
                <w:sz w:val="20"/>
                <w:szCs w:val="20"/>
                <w:color w:val="auto"/>
              </w:rPr>
            </w:pPr>
            <w:r>
              <w:rPr>
                <w:rFonts w:ascii="Arial" w:cs="Arial" w:eastAsia="Arial" w:hAnsi="Arial"/>
                <w:sz w:val="11"/>
                <w:szCs w:val="11"/>
                <w:b w:val="1"/>
                <w:bCs w:val="1"/>
                <w:color w:val="auto"/>
                <w:w w:val="91"/>
              </w:rPr>
              <w:t>Estimated Future</w:t>
            </w:r>
          </w:p>
        </w:tc>
        <w:tc>
          <w:tcPr>
            <w:tcW w:w="1080" w:type="dxa"/>
            <w:vAlign w:val="bottom"/>
            <w:gridSpan w:val="2"/>
          </w:tcPr>
          <w:p>
            <w:pPr>
              <w:jc w:val="center"/>
              <w:ind w:right="449"/>
              <w:spacing w:after="0" w:line="121" w:lineRule="exact"/>
              <w:rPr>
                <w:sz w:val="20"/>
                <w:szCs w:val="20"/>
                <w:color w:val="auto"/>
              </w:rPr>
            </w:pPr>
            <w:r>
              <w:rPr>
                <w:rFonts w:ascii="Arial" w:cs="Arial" w:eastAsia="Arial" w:hAnsi="Arial"/>
                <w:sz w:val="11"/>
                <w:szCs w:val="11"/>
                <w:b w:val="1"/>
                <w:bCs w:val="1"/>
                <w:color w:val="auto"/>
                <w:w w:val="83"/>
              </w:rPr>
              <w:t>option</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400" w:type="dxa"/>
            <w:vAlign w:val="bottom"/>
            <w:gridSpan w:val="2"/>
          </w:tcPr>
          <w:p>
            <w:pPr>
              <w:jc w:val="center"/>
              <w:ind w:right="449"/>
              <w:spacing w:after="0" w:line="110" w:lineRule="exact"/>
              <w:rPr>
                <w:sz w:val="20"/>
                <w:szCs w:val="20"/>
                <w:color w:val="auto"/>
              </w:rPr>
            </w:pPr>
            <w:r>
              <w:rPr>
                <w:rFonts w:ascii="Arial" w:cs="Arial" w:eastAsia="Arial" w:hAnsi="Arial"/>
                <w:sz w:val="11"/>
                <w:szCs w:val="11"/>
                <w:b w:val="1"/>
                <w:bCs w:val="1"/>
                <w:color w:val="auto"/>
                <w:w w:val="87"/>
              </w:rPr>
              <w:t>Payouts Under</w:t>
            </w:r>
          </w:p>
        </w:tc>
        <w:tc>
          <w:tcPr>
            <w:tcW w:w="1080" w:type="dxa"/>
            <w:vAlign w:val="bottom"/>
            <w:gridSpan w:val="2"/>
          </w:tcPr>
          <w:p>
            <w:pPr>
              <w:jc w:val="center"/>
              <w:ind w:right="449"/>
              <w:spacing w:after="0" w:line="110" w:lineRule="exact"/>
              <w:rPr>
                <w:sz w:val="20"/>
                <w:szCs w:val="20"/>
                <w:color w:val="auto"/>
              </w:rPr>
            </w:pPr>
            <w:r>
              <w:rPr>
                <w:rFonts w:ascii="Arial" w:cs="Arial" w:eastAsia="Arial" w:hAnsi="Arial"/>
                <w:sz w:val="11"/>
                <w:szCs w:val="11"/>
                <w:b w:val="1"/>
                <w:bCs w:val="1"/>
                <w:color w:val="auto"/>
                <w:w w:val="86"/>
              </w:rPr>
              <w:t>awards;</w:t>
            </w:r>
          </w:p>
        </w:tc>
        <w:tc>
          <w:tcPr>
            <w:tcW w:w="980" w:type="dxa"/>
            <w:vAlign w:val="bottom"/>
            <w:gridSpan w:val="3"/>
          </w:tcPr>
          <w:p>
            <w:pPr>
              <w:jc w:val="center"/>
              <w:ind w:right="340"/>
              <w:spacing w:after="0" w:line="110" w:lineRule="exact"/>
              <w:rPr>
                <w:sz w:val="20"/>
                <w:szCs w:val="20"/>
                <w:color w:val="auto"/>
              </w:rPr>
            </w:pPr>
            <w:r>
              <w:rPr>
                <w:rFonts w:ascii="Arial" w:cs="Arial" w:eastAsia="Arial" w:hAnsi="Arial"/>
                <w:sz w:val="11"/>
                <w:szCs w:val="11"/>
                <w:b w:val="1"/>
                <w:bCs w:val="1"/>
                <w:color w:val="auto"/>
                <w:w w:val="87"/>
              </w:rPr>
              <w:t>Exercise or</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60" w:type="dxa"/>
            <w:vAlign w:val="bottom"/>
            <w:gridSpan w:val="5"/>
          </w:tcPr>
          <w:p>
            <w:pPr>
              <w:jc w:val="center"/>
              <w:ind w:right="920"/>
              <w:spacing w:after="0" w:line="121" w:lineRule="exact"/>
              <w:rPr>
                <w:sz w:val="20"/>
                <w:szCs w:val="20"/>
                <w:color w:val="auto"/>
              </w:rPr>
            </w:pPr>
            <w:r>
              <w:rPr>
                <w:rFonts w:ascii="Arial" w:cs="Arial" w:eastAsia="Arial" w:hAnsi="Arial"/>
                <w:sz w:val="11"/>
                <w:szCs w:val="11"/>
                <w:b w:val="1"/>
                <w:bCs w:val="1"/>
                <w:color w:val="auto"/>
                <w:w w:val="91"/>
              </w:rPr>
              <w:t>Non-Equity Incentive Plan</w:t>
            </w:r>
          </w:p>
        </w:tc>
        <w:tc>
          <w:tcPr>
            <w:tcW w:w="1400" w:type="dxa"/>
            <w:vAlign w:val="bottom"/>
            <w:gridSpan w:val="2"/>
          </w:tcPr>
          <w:p>
            <w:pPr>
              <w:jc w:val="center"/>
              <w:ind w:right="449"/>
              <w:spacing w:after="0" w:line="121" w:lineRule="exact"/>
              <w:rPr>
                <w:sz w:val="20"/>
                <w:szCs w:val="20"/>
                <w:color w:val="auto"/>
              </w:rPr>
            </w:pPr>
            <w:r>
              <w:rPr>
                <w:rFonts w:ascii="Arial" w:cs="Arial" w:eastAsia="Arial" w:hAnsi="Arial"/>
                <w:sz w:val="11"/>
                <w:szCs w:val="11"/>
                <w:b w:val="1"/>
                <w:bCs w:val="1"/>
                <w:color w:val="auto"/>
                <w:w w:val="95"/>
              </w:rPr>
              <w:t>Equity</w:t>
            </w:r>
          </w:p>
        </w:tc>
        <w:tc>
          <w:tcPr>
            <w:tcW w:w="1080" w:type="dxa"/>
            <w:vAlign w:val="bottom"/>
            <w:gridSpan w:val="2"/>
          </w:tcPr>
          <w:p>
            <w:pPr>
              <w:jc w:val="center"/>
              <w:ind w:right="449"/>
              <w:spacing w:after="0" w:line="121" w:lineRule="exact"/>
              <w:rPr>
                <w:sz w:val="20"/>
                <w:szCs w:val="20"/>
                <w:color w:val="auto"/>
              </w:rPr>
            </w:pPr>
            <w:r>
              <w:rPr>
                <w:rFonts w:ascii="Arial" w:cs="Arial" w:eastAsia="Arial" w:hAnsi="Arial"/>
                <w:sz w:val="11"/>
                <w:szCs w:val="11"/>
                <w:b w:val="1"/>
                <w:bCs w:val="1"/>
                <w:color w:val="auto"/>
                <w:w w:val="89"/>
              </w:rPr>
              <w:t>number of</w:t>
            </w:r>
          </w:p>
        </w:tc>
        <w:tc>
          <w:tcPr>
            <w:tcW w:w="80" w:type="dxa"/>
            <w:vAlign w:val="bottom"/>
          </w:tcPr>
          <w:p>
            <w:pPr>
              <w:spacing w:after="0"/>
              <w:rPr>
                <w:sz w:val="10"/>
                <w:szCs w:val="10"/>
                <w:color w:val="auto"/>
              </w:rPr>
            </w:pPr>
          </w:p>
        </w:tc>
        <w:tc>
          <w:tcPr>
            <w:tcW w:w="900" w:type="dxa"/>
            <w:vAlign w:val="bottom"/>
            <w:gridSpan w:val="2"/>
          </w:tcPr>
          <w:p>
            <w:pPr>
              <w:jc w:val="center"/>
              <w:ind w:right="420"/>
              <w:spacing w:after="0" w:line="121" w:lineRule="exact"/>
              <w:rPr>
                <w:sz w:val="20"/>
                <w:szCs w:val="20"/>
                <w:color w:val="auto"/>
              </w:rPr>
            </w:pPr>
            <w:r>
              <w:rPr>
                <w:rFonts w:ascii="Arial" w:cs="Arial" w:eastAsia="Arial" w:hAnsi="Arial"/>
                <w:sz w:val="11"/>
                <w:szCs w:val="11"/>
                <w:b w:val="1"/>
                <w:bCs w:val="1"/>
                <w:color w:val="auto"/>
                <w:w w:val="85"/>
              </w:rPr>
              <w:t>Base Price</w:t>
            </w: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20"/>
        </w:trPr>
        <w:tc>
          <w:tcPr>
            <w:tcW w:w="3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340"/>
              <w:spacing w:after="0" w:line="101" w:lineRule="exact"/>
              <w:rPr>
                <w:sz w:val="20"/>
                <w:szCs w:val="20"/>
                <w:color w:val="auto"/>
              </w:rPr>
            </w:pPr>
            <w:r>
              <w:rPr>
                <w:rFonts w:ascii="Arial" w:cs="Arial" w:eastAsia="Arial" w:hAnsi="Arial"/>
                <w:sz w:val="11"/>
                <w:szCs w:val="11"/>
                <w:b w:val="1"/>
                <w:bCs w:val="1"/>
                <w:color w:val="auto"/>
                <w:w w:val="90"/>
              </w:rPr>
              <w:t>Awards</w:t>
            </w:r>
          </w:p>
        </w:tc>
        <w:tc>
          <w:tcPr>
            <w:tcW w:w="5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2"/>
          </w:tcPr>
          <w:p>
            <w:pPr>
              <w:jc w:val="center"/>
              <w:ind w:right="449"/>
              <w:spacing w:after="0" w:line="101" w:lineRule="exact"/>
              <w:rPr>
                <w:sz w:val="20"/>
                <w:szCs w:val="20"/>
                <w:color w:val="auto"/>
              </w:rPr>
            </w:pPr>
            <w:r>
              <w:rPr>
                <w:rFonts w:ascii="Arial" w:cs="Arial" w:eastAsia="Arial" w:hAnsi="Arial"/>
                <w:sz w:val="11"/>
                <w:szCs w:val="11"/>
                <w:b w:val="1"/>
                <w:bCs w:val="1"/>
                <w:color w:val="auto"/>
                <w:w w:val="91"/>
              </w:rPr>
              <w:t>Incentive Plan</w:t>
            </w:r>
          </w:p>
        </w:tc>
        <w:tc>
          <w:tcPr>
            <w:tcW w:w="1080" w:type="dxa"/>
            <w:vAlign w:val="bottom"/>
            <w:gridSpan w:val="2"/>
          </w:tcPr>
          <w:p>
            <w:pPr>
              <w:jc w:val="center"/>
              <w:ind w:right="449"/>
              <w:spacing w:after="0" w:line="101" w:lineRule="exact"/>
              <w:rPr>
                <w:sz w:val="20"/>
                <w:szCs w:val="20"/>
                <w:color w:val="auto"/>
              </w:rPr>
            </w:pPr>
            <w:r>
              <w:rPr>
                <w:rFonts w:ascii="Arial" w:cs="Arial" w:eastAsia="Arial" w:hAnsi="Arial"/>
                <w:sz w:val="11"/>
                <w:szCs w:val="11"/>
                <w:b w:val="1"/>
                <w:bCs w:val="1"/>
                <w:color w:val="auto"/>
                <w:w w:val="85"/>
              </w:rPr>
              <w:t>securities</w:t>
            </w:r>
          </w:p>
        </w:tc>
        <w:tc>
          <w:tcPr>
            <w:tcW w:w="80" w:type="dxa"/>
            <w:vAlign w:val="bottom"/>
          </w:tcPr>
          <w:p>
            <w:pPr>
              <w:spacing w:after="0"/>
              <w:rPr>
                <w:sz w:val="10"/>
                <w:szCs w:val="10"/>
                <w:color w:val="auto"/>
              </w:rPr>
            </w:pPr>
          </w:p>
        </w:tc>
        <w:tc>
          <w:tcPr>
            <w:tcW w:w="900" w:type="dxa"/>
            <w:vAlign w:val="bottom"/>
            <w:gridSpan w:val="2"/>
          </w:tcPr>
          <w:p>
            <w:pPr>
              <w:jc w:val="center"/>
              <w:ind w:right="420"/>
              <w:spacing w:after="0" w:line="101" w:lineRule="exact"/>
              <w:rPr>
                <w:sz w:val="20"/>
                <w:szCs w:val="20"/>
                <w:color w:val="auto"/>
              </w:rPr>
            </w:pPr>
            <w:r>
              <w:rPr>
                <w:rFonts w:ascii="Arial" w:cs="Arial" w:eastAsia="Arial" w:hAnsi="Arial"/>
                <w:sz w:val="11"/>
                <w:szCs w:val="11"/>
                <w:b w:val="1"/>
                <w:bCs w:val="1"/>
                <w:color w:val="auto"/>
                <w:w w:val="89"/>
              </w:rPr>
              <w:t>of Option</w:t>
            </w: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0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11"/>
        </w:trPr>
        <w:tc>
          <w:tcPr>
            <w:tcW w:w="3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2"/>
          </w:tcPr>
          <w:p>
            <w:pPr>
              <w:jc w:val="center"/>
              <w:ind w:right="469"/>
              <w:spacing w:after="0" w:line="111" w:lineRule="exact"/>
              <w:rPr>
                <w:sz w:val="20"/>
                <w:szCs w:val="20"/>
                <w:color w:val="auto"/>
              </w:rPr>
            </w:pPr>
            <w:r>
              <w:rPr>
                <w:rFonts w:ascii="Arial" w:cs="Arial" w:eastAsia="Arial" w:hAnsi="Arial"/>
                <w:sz w:val="11"/>
                <w:szCs w:val="11"/>
                <w:b w:val="1"/>
                <w:bCs w:val="1"/>
                <w:color w:val="auto"/>
                <w:w w:val="90"/>
              </w:rPr>
              <w:t>Awards -</w:t>
            </w:r>
          </w:p>
        </w:tc>
        <w:tc>
          <w:tcPr>
            <w:tcW w:w="1080" w:type="dxa"/>
            <w:vAlign w:val="bottom"/>
            <w:gridSpan w:val="2"/>
          </w:tcPr>
          <w:p>
            <w:pPr>
              <w:jc w:val="center"/>
              <w:ind w:right="449"/>
              <w:spacing w:after="0" w:line="111" w:lineRule="exact"/>
              <w:rPr>
                <w:sz w:val="20"/>
                <w:szCs w:val="20"/>
                <w:color w:val="auto"/>
              </w:rPr>
            </w:pPr>
            <w:r>
              <w:rPr>
                <w:rFonts w:ascii="Arial" w:cs="Arial" w:eastAsia="Arial" w:hAnsi="Arial"/>
                <w:sz w:val="11"/>
                <w:szCs w:val="11"/>
                <w:b w:val="1"/>
                <w:bCs w:val="1"/>
                <w:color w:val="auto"/>
                <w:w w:val="92"/>
              </w:rPr>
              <w:t>underlying</w:t>
            </w:r>
          </w:p>
        </w:tc>
        <w:tc>
          <w:tcPr>
            <w:tcW w:w="80" w:type="dxa"/>
            <w:vAlign w:val="bottom"/>
          </w:tcPr>
          <w:p>
            <w:pPr>
              <w:spacing w:after="0"/>
              <w:rPr>
                <w:sz w:val="9"/>
                <w:szCs w:val="9"/>
                <w:color w:val="auto"/>
              </w:rPr>
            </w:pPr>
          </w:p>
        </w:tc>
        <w:tc>
          <w:tcPr>
            <w:tcW w:w="9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90"/>
              </w:rPr>
              <w:t>Awards</w:t>
            </w:r>
          </w:p>
        </w:tc>
        <w:tc>
          <w:tcPr>
            <w:tcW w:w="80" w:type="dxa"/>
            <w:vAlign w:val="bottom"/>
          </w:tcPr>
          <w:p>
            <w:pPr>
              <w:spacing w:after="0"/>
              <w:rPr>
                <w:sz w:val="9"/>
                <w:szCs w:val="9"/>
                <w:color w:val="auto"/>
              </w:rPr>
            </w:pPr>
          </w:p>
        </w:tc>
        <w:tc>
          <w:tcPr>
            <w:tcW w:w="64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93"/>
              </w:rPr>
              <w:t>of Option</w:t>
            </w:r>
          </w:p>
        </w:tc>
        <w:tc>
          <w:tcPr>
            <w:tcW w:w="0" w:type="dxa"/>
            <w:vAlign w:val="bottom"/>
          </w:tcPr>
          <w:p>
            <w:pPr>
              <w:spacing w:after="0"/>
              <w:rPr>
                <w:sz w:val="1"/>
                <w:szCs w:val="1"/>
                <w:color w:val="auto"/>
              </w:rPr>
            </w:pPr>
          </w:p>
        </w:tc>
      </w:tr>
      <w:tr>
        <w:trPr>
          <w:trHeight w:val="120"/>
        </w:trPr>
        <w:tc>
          <w:tcPr>
            <w:tcW w:w="3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93"/>
              </w:rPr>
              <w:t>Threshold</w:t>
            </w:r>
          </w:p>
        </w:tc>
        <w:tc>
          <w:tcPr>
            <w:tcW w:w="340" w:type="dxa"/>
            <w:vAlign w:val="bottom"/>
          </w:tcPr>
          <w:p>
            <w:pPr>
              <w:spacing w:after="0"/>
              <w:rPr>
                <w:sz w:val="10"/>
                <w:szCs w:val="10"/>
                <w:color w:val="auto"/>
              </w:rPr>
            </w:pPr>
          </w:p>
        </w:tc>
        <w:tc>
          <w:tcPr>
            <w:tcW w:w="90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9"/>
              </w:rPr>
              <w:t>Target</w:t>
            </w:r>
          </w:p>
        </w:tc>
        <w:tc>
          <w:tcPr>
            <w:tcW w:w="9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Maximum</w:t>
            </w:r>
          </w:p>
        </w:tc>
        <w:tc>
          <w:tcPr>
            <w:tcW w:w="1400" w:type="dxa"/>
            <w:vAlign w:val="bottom"/>
            <w:gridSpan w:val="2"/>
          </w:tcPr>
          <w:p>
            <w:pPr>
              <w:jc w:val="center"/>
              <w:ind w:right="449"/>
              <w:spacing w:after="0" w:line="121" w:lineRule="exact"/>
              <w:rPr>
                <w:sz w:val="20"/>
                <w:szCs w:val="20"/>
                <w:color w:val="auto"/>
              </w:rPr>
            </w:pPr>
            <w:r>
              <w:rPr>
                <w:rFonts w:ascii="Arial" w:cs="Arial" w:eastAsia="Arial" w:hAnsi="Arial"/>
                <w:sz w:val="11"/>
                <w:szCs w:val="11"/>
                <w:b w:val="1"/>
                <w:bCs w:val="1"/>
                <w:color w:val="auto"/>
                <w:w w:val="96"/>
              </w:rPr>
              <w:t>Target/Maximum</w:t>
            </w:r>
          </w:p>
        </w:tc>
        <w:tc>
          <w:tcPr>
            <w:tcW w:w="1080" w:type="dxa"/>
            <w:vAlign w:val="bottom"/>
            <w:gridSpan w:val="2"/>
          </w:tcPr>
          <w:p>
            <w:pPr>
              <w:jc w:val="center"/>
              <w:ind w:right="449"/>
              <w:spacing w:after="0" w:line="121" w:lineRule="exact"/>
              <w:rPr>
                <w:sz w:val="20"/>
                <w:szCs w:val="20"/>
                <w:color w:val="auto"/>
              </w:rPr>
            </w:pPr>
            <w:r>
              <w:rPr>
                <w:rFonts w:ascii="Arial" w:cs="Arial" w:eastAsia="Arial" w:hAnsi="Arial"/>
                <w:sz w:val="11"/>
                <w:szCs w:val="11"/>
                <w:b w:val="1"/>
                <w:bCs w:val="1"/>
                <w:color w:val="auto"/>
                <w:w w:val="83"/>
              </w:rPr>
              <w:t>option</w:t>
            </w:r>
          </w:p>
        </w:tc>
        <w:tc>
          <w:tcPr>
            <w:tcW w:w="98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96"/>
              </w:rPr>
              <w:t>($ per Unit)</w:t>
            </w: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020" w:type="dxa"/>
            <w:vAlign w:val="bottom"/>
            <w:gridSpan w:val="3"/>
          </w:tcPr>
          <w:p>
            <w:pPr>
              <w:jc w:val="right"/>
              <w:ind w:right="417"/>
              <w:spacing w:after="0"/>
              <w:rPr>
                <w:sz w:val="20"/>
                <w:szCs w:val="20"/>
                <w:color w:val="auto"/>
              </w:rPr>
            </w:pPr>
            <w:r>
              <w:rPr>
                <w:rFonts w:ascii="Arial" w:cs="Arial" w:eastAsia="Arial" w:hAnsi="Arial"/>
                <w:sz w:val="11"/>
                <w:szCs w:val="11"/>
                <w:b w:val="1"/>
                <w:bCs w:val="1"/>
                <w:color w:val="auto"/>
                <w:w w:val="92"/>
              </w:rPr>
              <w:t>Grant Date</w:t>
            </w:r>
          </w:p>
        </w:tc>
        <w:tc>
          <w:tcPr>
            <w:tcW w:w="460" w:type="dxa"/>
            <w:vAlign w:val="bottom"/>
          </w:tcPr>
          <w:p>
            <w:pPr>
              <w:jc w:val="right"/>
              <w:ind w:right="94"/>
              <w:spacing w:after="0"/>
              <w:rPr>
                <w:sz w:val="20"/>
                <w:szCs w:val="20"/>
                <w:color w:val="auto"/>
              </w:rPr>
            </w:pPr>
            <w:r>
              <w:rPr>
                <w:rFonts w:ascii="Arial" w:cs="Arial" w:eastAsia="Arial" w:hAnsi="Arial"/>
                <w:sz w:val="11"/>
                <w:szCs w:val="11"/>
                <w:b w:val="1"/>
                <w:bCs w:val="1"/>
                <w:color w:val="auto"/>
              </w:rPr>
              <w:t>($)(7)</w:t>
            </w:r>
          </w:p>
        </w:tc>
        <w:tc>
          <w:tcPr>
            <w:tcW w:w="900" w:type="dxa"/>
            <w:vAlign w:val="bottom"/>
            <w:gridSpan w:val="2"/>
          </w:tcPr>
          <w:p>
            <w:pPr>
              <w:jc w:val="center"/>
              <w:ind w:left="274"/>
              <w:spacing w:after="0"/>
              <w:rPr>
                <w:sz w:val="20"/>
                <w:szCs w:val="20"/>
                <w:color w:val="auto"/>
              </w:rPr>
            </w:pPr>
            <w:r>
              <w:rPr>
                <w:rFonts w:ascii="Arial" w:cs="Arial" w:eastAsia="Arial" w:hAnsi="Arial"/>
                <w:sz w:val="11"/>
                <w:szCs w:val="11"/>
                <w:b w:val="1"/>
                <w:bCs w:val="1"/>
                <w:color w:val="auto"/>
                <w:w w:val="93"/>
              </w:rPr>
              <w:t>($) (7)</w:t>
            </w:r>
          </w:p>
        </w:tc>
        <w:tc>
          <w:tcPr>
            <w:tcW w:w="3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3"/>
              </w:rPr>
              <w:t>($) (7)</w:t>
            </w:r>
          </w:p>
        </w:tc>
        <w:tc>
          <w:tcPr>
            <w:tcW w:w="3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5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6"/>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line="159" w:lineRule="exact"/>
              <w:rPr>
                <w:sz w:val="20"/>
                <w:szCs w:val="20"/>
                <w:color w:val="auto"/>
              </w:rPr>
            </w:pPr>
            <w:r>
              <w:rPr>
                <w:rFonts w:ascii="Arial" w:cs="Arial" w:eastAsia="Arial" w:hAnsi="Arial"/>
                <w:sz w:val="14"/>
                <w:szCs w:val="14"/>
                <w:color w:val="auto"/>
              </w:rPr>
              <w:t>Kurt C. Hall</w:t>
            </w:r>
          </w:p>
        </w:tc>
        <w:tc>
          <w:tcPr>
            <w:tcW w:w="5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89"/>
              </w:rPr>
              <w:t>$ 312,500</w:t>
            </w:r>
          </w:p>
        </w:tc>
        <w:tc>
          <w:tcPr>
            <w:tcW w:w="340" w:type="dxa"/>
            <w:vAlign w:val="bottom"/>
          </w:tcPr>
          <w:p>
            <w:pPr>
              <w:spacing w:after="0"/>
              <w:rPr>
                <w:sz w:val="13"/>
                <w:szCs w:val="13"/>
                <w:color w:val="auto"/>
              </w:rPr>
            </w:pPr>
          </w:p>
        </w:tc>
        <w:tc>
          <w:tcPr>
            <w:tcW w:w="5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$ 625,000</w:t>
            </w:r>
          </w:p>
        </w:tc>
        <w:tc>
          <w:tcPr>
            <w:tcW w:w="340" w:type="dxa"/>
            <w:vAlign w:val="bottom"/>
          </w:tcPr>
          <w:p>
            <w:pPr>
              <w:spacing w:after="0"/>
              <w:rPr>
                <w:sz w:val="13"/>
                <w:szCs w:val="13"/>
                <w:color w:val="auto"/>
              </w:rPr>
            </w:pPr>
          </w:p>
        </w:tc>
        <w:tc>
          <w:tcPr>
            <w:tcW w:w="58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w w:val="93"/>
              </w:rPr>
              <w:t>$ 937,500</w:t>
            </w:r>
          </w:p>
        </w:tc>
        <w:tc>
          <w:tcPr>
            <w:tcW w:w="340" w:type="dxa"/>
            <w:vAlign w:val="bottom"/>
          </w:tcPr>
          <w:p>
            <w:pPr>
              <w:spacing w:after="0"/>
              <w:rPr>
                <w:sz w:val="13"/>
                <w:szCs w:val="13"/>
                <w:color w:val="auto"/>
              </w:rPr>
            </w:pPr>
          </w:p>
        </w:tc>
        <w:tc>
          <w:tcPr>
            <w:tcW w:w="8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46,995</w:t>
            </w:r>
          </w:p>
        </w:tc>
        <w:tc>
          <w:tcPr>
            <w:tcW w:w="520" w:type="dxa"/>
            <w:vAlign w:val="bottom"/>
          </w:tcPr>
          <w:p>
            <w:pPr>
              <w:jc w:val="right"/>
              <w:ind w:right="289"/>
              <w:spacing w:after="0" w:line="159" w:lineRule="exact"/>
              <w:rPr>
                <w:sz w:val="20"/>
                <w:szCs w:val="20"/>
                <w:color w:val="auto"/>
              </w:rPr>
            </w:pPr>
            <w:r>
              <w:rPr>
                <w:rFonts w:ascii="Arial" w:cs="Arial" w:eastAsia="Arial" w:hAnsi="Arial"/>
                <w:sz w:val="14"/>
                <w:szCs w:val="14"/>
                <w:color w:val="auto"/>
                <w:w w:val="81"/>
              </w:rPr>
              <w:t>(1)</w:t>
            </w:r>
          </w:p>
        </w:tc>
        <w:tc>
          <w:tcPr>
            <w:tcW w:w="5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46,995</w:t>
            </w:r>
          </w:p>
        </w:tc>
        <w:tc>
          <w:tcPr>
            <w:tcW w:w="520" w:type="dxa"/>
            <w:vAlign w:val="bottom"/>
          </w:tcPr>
          <w:p>
            <w:pPr>
              <w:jc w:val="right"/>
              <w:ind w:right="289"/>
              <w:spacing w:after="0" w:line="159" w:lineRule="exact"/>
              <w:rPr>
                <w:sz w:val="20"/>
                <w:szCs w:val="20"/>
                <w:color w:val="auto"/>
              </w:rPr>
            </w:pPr>
            <w:r>
              <w:rPr>
                <w:rFonts w:ascii="Arial" w:cs="Arial" w:eastAsia="Arial" w:hAnsi="Arial"/>
                <w:sz w:val="14"/>
                <w:szCs w:val="14"/>
                <w:color w:val="auto"/>
                <w:w w:val="81"/>
              </w:rPr>
              <w:t>(1)</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16.52</w:t>
            </w:r>
          </w:p>
        </w:tc>
        <w:tc>
          <w:tcPr>
            <w:tcW w:w="34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4,014,600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4"/>
                <w:szCs w:val="14"/>
                <w:color w:val="auto"/>
              </w:rPr>
              <w:t>Clifford E. Marks</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67,500</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$ 675,000</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$ 742,500</w:t>
            </w:r>
          </w:p>
        </w:tc>
        <w:tc>
          <w:tcPr>
            <w:tcW w:w="1400" w:type="dxa"/>
            <w:vAlign w:val="bottom"/>
            <w:gridSpan w:val="2"/>
          </w:tcPr>
          <w:p>
            <w:pPr>
              <w:jc w:val="right"/>
              <w:ind w:right="289"/>
              <w:spacing w:after="0"/>
              <w:rPr>
                <w:sz w:val="20"/>
                <w:szCs w:val="20"/>
                <w:color w:val="auto"/>
              </w:rPr>
            </w:pPr>
            <w:r>
              <w:rPr>
                <w:rFonts w:ascii="Arial" w:cs="Arial" w:eastAsia="Arial" w:hAnsi="Arial"/>
                <w:sz w:val="14"/>
                <w:szCs w:val="14"/>
                <w:color w:val="auto"/>
              </w:rPr>
              <w:t>261,610(2)</w:t>
            </w:r>
          </w:p>
        </w:tc>
        <w:tc>
          <w:tcPr>
            <w:tcW w:w="1080" w:type="dxa"/>
            <w:vAlign w:val="bottom"/>
            <w:gridSpan w:val="2"/>
          </w:tcPr>
          <w:p>
            <w:pPr>
              <w:jc w:val="right"/>
              <w:ind w:right="289"/>
              <w:spacing w:after="0"/>
              <w:rPr>
                <w:sz w:val="20"/>
                <w:szCs w:val="20"/>
                <w:color w:val="auto"/>
              </w:rPr>
            </w:pPr>
            <w:r>
              <w:rPr>
                <w:rFonts w:ascii="Arial" w:cs="Arial" w:eastAsia="Arial" w:hAnsi="Arial"/>
                <w:sz w:val="14"/>
                <w:szCs w:val="14"/>
                <w:color w:val="auto"/>
              </w:rPr>
              <w:t>261,610(2)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16.52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2,229,493</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4"/>
                <w:szCs w:val="14"/>
                <w:color w:val="auto"/>
              </w:rPr>
              <w:t>Clifford E. Marks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n/a</w:t>
            </w:r>
          </w:p>
        </w:tc>
        <w:tc>
          <w:tcPr>
            <w:tcW w:w="92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1400" w:type="dxa"/>
            <w:vAlign w:val="bottom"/>
            <w:gridSpan w:val="2"/>
          </w:tcPr>
          <w:p>
            <w:pPr>
              <w:jc w:val="right"/>
              <w:ind w:right="289"/>
              <w:spacing w:after="0"/>
              <w:rPr>
                <w:sz w:val="20"/>
                <w:szCs w:val="20"/>
                <w:color w:val="auto"/>
              </w:rPr>
            </w:pPr>
            <w:r>
              <w:rPr>
                <w:rFonts w:ascii="Arial" w:cs="Arial" w:eastAsia="Arial" w:hAnsi="Arial"/>
                <w:sz w:val="14"/>
                <w:szCs w:val="14"/>
                <w:color w:val="auto"/>
              </w:rPr>
              <w:t>36,936 (3)</w:t>
            </w:r>
          </w:p>
        </w:tc>
        <w:tc>
          <w:tcPr>
            <w:tcW w:w="1080" w:type="dxa"/>
            <w:vAlign w:val="bottom"/>
            <w:gridSpan w:val="2"/>
          </w:tcPr>
          <w:p>
            <w:pPr>
              <w:jc w:val="right"/>
              <w:ind w:right="289"/>
              <w:spacing w:after="0"/>
              <w:rPr>
                <w:sz w:val="20"/>
                <w:szCs w:val="20"/>
                <w:color w:val="auto"/>
              </w:rPr>
            </w:pPr>
            <w:r>
              <w:rPr>
                <w:rFonts w:ascii="Arial" w:cs="Arial" w:eastAsia="Arial" w:hAnsi="Arial"/>
                <w:sz w:val="14"/>
                <w:szCs w:val="14"/>
                <w:color w:val="auto"/>
              </w:rPr>
              <w:t>36,936 (3)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24.29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313,299</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4"/>
                <w:szCs w:val="14"/>
                <w:color w:val="auto"/>
              </w:rPr>
              <w:t>Gary W. Ferrera</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68,750</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$ 137,500</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$ 206,250</w:t>
            </w:r>
          </w:p>
        </w:tc>
        <w:tc>
          <w:tcPr>
            <w:tcW w:w="1400" w:type="dxa"/>
            <w:vAlign w:val="bottom"/>
            <w:gridSpan w:val="2"/>
          </w:tcPr>
          <w:p>
            <w:pPr>
              <w:jc w:val="right"/>
              <w:ind w:right="289"/>
              <w:spacing w:after="0"/>
              <w:rPr>
                <w:sz w:val="20"/>
                <w:szCs w:val="20"/>
                <w:color w:val="auto"/>
              </w:rPr>
            </w:pPr>
            <w:r>
              <w:rPr>
                <w:rFonts w:ascii="Arial" w:cs="Arial" w:eastAsia="Arial" w:hAnsi="Arial"/>
                <w:sz w:val="14"/>
                <w:szCs w:val="14"/>
                <w:color w:val="auto"/>
              </w:rPr>
              <w:t>147,495 (4)</w:t>
            </w:r>
          </w:p>
        </w:tc>
        <w:tc>
          <w:tcPr>
            <w:tcW w:w="1080" w:type="dxa"/>
            <w:vAlign w:val="bottom"/>
            <w:gridSpan w:val="2"/>
          </w:tcPr>
          <w:p>
            <w:pPr>
              <w:jc w:val="right"/>
              <w:ind w:right="289"/>
              <w:spacing w:after="0"/>
              <w:rPr>
                <w:sz w:val="20"/>
                <w:szCs w:val="20"/>
                <w:color w:val="auto"/>
              </w:rPr>
            </w:pPr>
            <w:r>
              <w:rPr>
                <w:rFonts w:ascii="Arial" w:cs="Arial" w:eastAsia="Arial" w:hAnsi="Arial"/>
                <w:sz w:val="14"/>
                <w:szCs w:val="14"/>
                <w:color w:val="auto"/>
                <w:w w:val="97"/>
              </w:rPr>
              <w:t>147,495 (4)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18.20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1,258,414</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4"/>
                <w:szCs w:val="14"/>
                <w:color w:val="auto"/>
              </w:rPr>
              <w:t>Thomas C. Galley</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$ 140,625</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$ 281,250</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$ 421,875</w:t>
            </w:r>
          </w:p>
        </w:tc>
        <w:tc>
          <w:tcPr>
            <w:tcW w:w="1400" w:type="dxa"/>
            <w:vAlign w:val="bottom"/>
            <w:gridSpan w:val="2"/>
          </w:tcPr>
          <w:p>
            <w:pPr>
              <w:jc w:val="right"/>
              <w:ind w:right="289"/>
              <w:spacing w:after="0"/>
              <w:rPr>
                <w:sz w:val="20"/>
                <w:szCs w:val="20"/>
                <w:color w:val="auto"/>
              </w:rPr>
            </w:pPr>
            <w:r>
              <w:rPr>
                <w:rFonts w:ascii="Arial" w:cs="Arial" w:eastAsia="Arial" w:hAnsi="Arial"/>
                <w:sz w:val="14"/>
                <w:szCs w:val="14"/>
                <w:color w:val="auto"/>
              </w:rPr>
              <w:t>144,812 (1)</w:t>
            </w:r>
          </w:p>
        </w:tc>
        <w:tc>
          <w:tcPr>
            <w:tcW w:w="1080" w:type="dxa"/>
            <w:vAlign w:val="bottom"/>
            <w:gridSpan w:val="2"/>
          </w:tcPr>
          <w:p>
            <w:pPr>
              <w:jc w:val="right"/>
              <w:ind w:right="289"/>
              <w:spacing w:after="0"/>
              <w:rPr>
                <w:sz w:val="20"/>
                <w:szCs w:val="20"/>
                <w:color w:val="auto"/>
              </w:rPr>
            </w:pPr>
            <w:r>
              <w:rPr>
                <w:rFonts w:ascii="Arial" w:cs="Arial" w:eastAsia="Arial" w:hAnsi="Arial"/>
                <w:sz w:val="14"/>
                <w:szCs w:val="14"/>
                <w:color w:val="auto"/>
                <w:w w:val="97"/>
              </w:rPr>
              <w:t>144,812 (1)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16.52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1,236,952</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4"/>
                <w:szCs w:val="14"/>
                <w:color w:val="auto"/>
              </w:rPr>
              <w:t>Ralph E. Hardy</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52,500</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$ 105,000</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$ 157,500</w:t>
            </w:r>
          </w:p>
        </w:tc>
        <w:tc>
          <w:tcPr>
            <w:tcW w:w="1400" w:type="dxa"/>
            <w:vAlign w:val="bottom"/>
            <w:gridSpan w:val="2"/>
          </w:tcPr>
          <w:p>
            <w:pPr>
              <w:jc w:val="right"/>
              <w:ind w:right="289"/>
              <w:spacing w:after="0"/>
              <w:rPr>
                <w:sz w:val="20"/>
                <w:szCs w:val="20"/>
                <w:color w:val="auto"/>
              </w:rPr>
            </w:pPr>
            <w:r>
              <w:rPr>
                <w:rFonts w:ascii="Arial" w:cs="Arial" w:eastAsia="Arial" w:hAnsi="Arial"/>
                <w:sz w:val="14"/>
                <w:szCs w:val="14"/>
                <w:color w:val="auto"/>
              </w:rPr>
              <w:t>52,215 (1)</w:t>
            </w:r>
          </w:p>
        </w:tc>
        <w:tc>
          <w:tcPr>
            <w:tcW w:w="1080" w:type="dxa"/>
            <w:vAlign w:val="bottom"/>
            <w:gridSpan w:val="2"/>
          </w:tcPr>
          <w:p>
            <w:pPr>
              <w:jc w:val="right"/>
              <w:ind w:right="289"/>
              <w:spacing w:after="0"/>
              <w:rPr>
                <w:sz w:val="20"/>
                <w:szCs w:val="20"/>
                <w:color w:val="auto"/>
              </w:rPr>
            </w:pPr>
            <w:r>
              <w:rPr>
                <w:rFonts w:ascii="Arial" w:cs="Arial" w:eastAsia="Arial" w:hAnsi="Arial"/>
                <w:sz w:val="14"/>
                <w:szCs w:val="14"/>
                <w:color w:val="auto"/>
              </w:rPr>
              <w:t>52,215 (1)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16.52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446,013</w:t>
            </w:r>
          </w:p>
        </w:tc>
        <w:tc>
          <w:tcPr>
            <w:tcW w:w="0" w:type="dxa"/>
            <w:vAlign w:val="bottom"/>
          </w:tcPr>
          <w:p>
            <w:pPr>
              <w:spacing w:after="0"/>
              <w:rPr>
                <w:sz w:val="1"/>
                <w:szCs w:val="1"/>
                <w:color w:val="auto"/>
              </w:rPr>
            </w:pP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David J. Giesler</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40,440</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  80,881</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$ 128,321</w:t>
            </w:r>
          </w:p>
        </w:tc>
        <w:tc>
          <w:tcPr>
            <w:tcW w:w="1400" w:type="dxa"/>
            <w:vAlign w:val="bottom"/>
            <w:gridSpan w:val="2"/>
          </w:tcPr>
          <w:p>
            <w:pPr>
              <w:jc w:val="right"/>
              <w:ind w:right="289"/>
              <w:spacing w:after="0"/>
              <w:rPr>
                <w:sz w:val="20"/>
                <w:szCs w:val="20"/>
                <w:color w:val="auto"/>
              </w:rPr>
            </w:pPr>
            <w:r>
              <w:rPr>
                <w:rFonts w:ascii="Arial" w:cs="Arial" w:eastAsia="Arial" w:hAnsi="Arial"/>
                <w:sz w:val="14"/>
                <w:szCs w:val="14"/>
                <w:color w:val="auto"/>
              </w:rPr>
              <w:t>— (5)</w:t>
            </w:r>
          </w:p>
        </w:tc>
        <w:tc>
          <w:tcPr>
            <w:tcW w:w="1080" w:type="dxa"/>
            <w:vAlign w:val="bottom"/>
            <w:gridSpan w:val="2"/>
          </w:tcPr>
          <w:p>
            <w:pPr>
              <w:jc w:val="right"/>
              <w:ind w:right="289"/>
              <w:spacing w:after="0"/>
              <w:rPr>
                <w:sz w:val="20"/>
                <w:szCs w:val="20"/>
                <w:color w:val="auto"/>
              </w:rPr>
            </w:pPr>
            <w:r>
              <w:rPr>
                <w:rFonts w:ascii="Arial" w:cs="Arial" w:eastAsia="Arial" w:hAnsi="Arial"/>
                <w:sz w:val="14"/>
                <w:szCs w:val="14"/>
                <w:color w:val="auto"/>
              </w:rPr>
              <w:t>— (5)</w:t>
            </w: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Forfeited</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40" w:right="60" w:hanging="380"/>
        <w:spacing w:after="0" w:line="264" w:lineRule="auto"/>
        <w:tabs>
          <w:tab w:leader="none" w:pos="4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unit options granted under the NCM LLC Unit Option Plan. The options begin vesting on January 1, 2007, and will vest at 20% per year, so long as the officer remains in continuous employment with NCM LLC through those dates.</w:t>
      </w:r>
    </w:p>
    <w:p>
      <w:pPr>
        <w:spacing w:after="0" w:line="1" w:lineRule="exact"/>
        <w:rPr>
          <w:rFonts w:ascii="Arial" w:cs="Arial" w:eastAsia="Arial" w:hAnsi="Arial"/>
          <w:sz w:val="14"/>
          <w:szCs w:val="14"/>
          <w:color w:val="auto"/>
        </w:rPr>
      </w:pPr>
    </w:p>
    <w:p>
      <w:pPr>
        <w:ind w:left="440" w:hanging="380"/>
        <w:spacing w:after="0" w:line="260" w:lineRule="auto"/>
        <w:tabs>
          <w:tab w:leader="none" w:pos="4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a unit option granted under the NCM LLC Unit Option Plan. The option begins vesting on January 1, 2008, and will vest at 20% per year, so long as the officer remains in continuous employment with NCM LLC through those dates.</w:t>
      </w:r>
    </w:p>
    <w:p>
      <w:pPr>
        <w:ind w:left="440" w:hanging="380"/>
        <w:spacing w:after="0" w:line="281" w:lineRule="auto"/>
        <w:tabs>
          <w:tab w:leader="none" w:pos="4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a unit option granted under the NCM LLC Unit Option Plan. The option begins vesting on January 1, 2008, and will vest at 20% per year, so long as the officer remains in continuous employment with NCM LLC through those dates.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60"/>
          </w:cols>
          <w:pgMar w:left="220" w:top="399" w:right="21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40" w:hanging="380"/>
        <w:spacing w:after="0" w:line="264" w:lineRule="auto"/>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a unit option granted under the NCM LLC Unit Option Plan. The option begins vesting on January 1, 2007 and will vest at 20% per year, so long as the officer remains in continuous employment with NCM LLC through those dates.</w:t>
      </w:r>
    </w:p>
    <w:p>
      <w:pPr>
        <w:spacing w:after="0" w:line="1" w:lineRule="exact"/>
        <w:rPr>
          <w:rFonts w:ascii="Arial" w:cs="Arial" w:eastAsia="Arial" w:hAnsi="Arial"/>
          <w:sz w:val="14"/>
          <w:szCs w:val="14"/>
          <w:color w:val="auto"/>
        </w:rPr>
      </w:pPr>
    </w:p>
    <w:p>
      <w:pPr>
        <w:ind w:left="440" w:hanging="380"/>
        <w:spacing w:after="0"/>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a unit option granted under the NCM LLC Unit Option Plan. The option was forfeited when Mr. Giesler resigned from NCM LLC in September 2006.</w:t>
      </w:r>
    </w:p>
    <w:p>
      <w:pPr>
        <w:spacing w:after="0" w:line="13" w:lineRule="exact"/>
        <w:rPr>
          <w:rFonts w:ascii="Arial" w:cs="Arial" w:eastAsia="Arial" w:hAnsi="Arial"/>
          <w:sz w:val="14"/>
          <w:szCs w:val="14"/>
          <w:color w:val="auto"/>
        </w:rPr>
      </w:pPr>
    </w:p>
    <w:p>
      <w:pPr>
        <w:ind w:left="440" w:hanging="380"/>
        <w:spacing w:after="0"/>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There is no public market price for the units on the date of the grant. The exercise price was determined by the board as not less than the fair market value of a unit as of the grant date.</w:t>
      </w:r>
    </w:p>
    <w:p>
      <w:pPr>
        <w:spacing w:after="0" w:line="25" w:lineRule="exact"/>
        <w:rPr>
          <w:rFonts w:ascii="Arial" w:cs="Arial" w:eastAsia="Arial" w:hAnsi="Arial"/>
          <w:sz w:val="13"/>
          <w:szCs w:val="13"/>
          <w:color w:val="auto"/>
        </w:rPr>
      </w:pPr>
    </w:p>
    <w:p>
      <w:pPr>
        <w:ind w:left="440" w:right="260" w:hanging="380"/>
        <w:spacing w:after="0" w:line="267" w:lineRule="auto"/>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Amounts represent maximum potential cash bonus amounts if all of goals and additional targets are achieved for 2006 performance to be paid in 2007 for each named executive officer. The board and compensation committee may, at their complete discretion, award additional or lower amounts. The bonus amounts for Mr. Ferrera will be prorated based on his hire date, and the bonus amounts for Mr. Giesler will be prorated based on his resignation date. The bonus amounts will be finalized during the first quarter of 2007, at which time we will file a Form 8-K to disclose the amounts.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 LLC 2006 Unit Option Plan</w:t>
      </w:r>
    </w:p>
    <w:p>
      <w:pPr>
        <w:spacing w:after="0" w:line="8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The NCM LLC Unit Option Plan is administered by NCM LLC’s compensation committee and board. The objectives of the plan include attracting, motivating and retaining key personnel and promoting NCM LLC’s success by linking the interests of NCM LLC’s officers, directors and consultants with our success.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Units Subject to Plan</w:t>
      </w:r>
    </w:p>
    <w:p>
      <w:pPr>
        <w:spacing w:after="0" w:line="79"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There are 27.640 units (1,224,203 split-adjusted) authorized for issuance under the plan. As of September 28, 2006, options covering 25.552 units (1,131,728 split-adjusted) had been granted and were outstanding under the plan, leaving 2.088 units (92,475 split-adjusted) available for issuance. The options covering units to be delivered upon exercise of the options will be issued, at the discretion of the compensation committee and board, from authorized but unissued units or units reacquired by NCM LLC. If any units covered by a grant are forfeited, the number of units covered by the forfeited options will again be available for grants made under the plan.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Term of Options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term of each option is 15 years from the date of the grant of the option, unless a shorter period is established. Each of the options granted under the plan have a term of 15 years.</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Vesting</w:t>
      </w:r>
    </w:p>
    <w:p>
      <w:pPr>
        <w:spacing w:after="0" w:line="79" w:lineRule="exact"/>
        <w:rPr>
          <w:sz w:val="20"/>
          <w:szCs w:val="20"/>
          <w:color w:val="auto"/>
        </w:rPr>
      </w:pPr>
    </w:p>
    <w:p>
      <w:pPr>
        <w:ind w:right="60" w:firstLine="458"/>
        <w:spacing w:after="0" w:line="293" w:lineRule="auto"/>
        <w:rPr>
          <w:sz w:val="20"/>
          <w:szCs w:val="20"/>
          <w:color w:val="auto"/>
        </w:rPr>
      </w:pPr>
      <w:r>
        <w:rPr>
          <w:rFonts w:ascii="Arial" w:cs="Arial" w:eastAsia="Arial" w:hAnsi="Arial"/>
          <w:sz w:val="13"/>
          <w:szCs w:val="13"/>
          <w:color w:val="auto"/>
        </w:rPr>
        <w:t>The board has the authority under the plan to establish the vesting schedule for an option. The vesting schedule is set forth in each option agreement. The option agreement includes a vesting start date. Outstanding options include a vesting start date of January 1, 2007 or January 1, 2008. Options granted under the plan vest at a rate of 20% per year commencing 12 months after the vesting start date, subject to continuous employment or other service with NCM LLC or its subsidiaries. Outstanding options are scheduled to fully vest 5 years after the vesting start date. Failure to be continuously employed or in another service relationship, generally results in the forfeiture of options not vested at the time the employment or other service relationship ends. Termination of a recipient’s employment or other service relationship for cause generally results in the forfeiture of all of the recipient’s options.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IPO Awards</w:t>
      </w:r>
    </w:p>
    <w:p>
      <w:pPr>
        <w:spacing w:after="0" w:line="79"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Upon the occurrence of an initial public offering of NCM LLC or its manager, the plan provides for additional equity awards to outstanding option holders under certain circumstances. These awards may be granted as additional options or restricted units, which we refer to as the “IPO awards.” The purpose of the IPO awards is to ensure that the economic value of outstanding unit options held just prior to an initial public offering is maintained by the option holder immediately after the offering. We expect to issue IPO awards in the form of restricted units in connection with this offering.</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20"/>
          </w:cols>
          <w:pgMar w:left="220" w:top="398" w:right="25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Adjustments and Conversion</w:t>
      </w:r>
    </w:p>
    <w:p>
      <w:pPr>
        <w:spacing w:after="0" w:line="79"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The plan provides for adjustments to the number of units for which grants may be made under the plan, the number of units covered by an option and the option exercise price for changes in capitalization.</w:t>
      </w:r>
    </w:p>
    <w:p>
      <w:pPr>
        <w:spacing w:after="0" w:line="93"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Upon an initial public offering of NCM LLC or its manager, all grants under the plan will be exchanged for, or converted into, options to acquire shares of the resulting corporation’s common stock and restricted units will be exchanged for, or converted into, shares of restricted stock of the resulting corporation.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Amendment and Termination</w:t>
      </w:r>
    </w:p>
    <w:p>
      <w:pPr>
        <w:spacing w:after="0" w:line="79"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The board may amend, suspend or terminate the plan. No grants shall be made after the plan is terminated. The board has the authority to amend outstanding grants, if necessary, to avoid any additional tax under Code section 409A that may otherwise be imposed on a grantee.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Outstanding Equity Awards at December 28,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Number of Securities</w:t>
            </w: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7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jc w:val="center"/>
              <w:ind w:right="497"/>
              <w:spacing w:after="0"/>
              <w:rPr>
                <w:sz w:val="20"/>
                <w:szCs w:val="20"/>
                <w:color w:val="auto"/>
              </w:rPr>
            </w:pPr>
            <w:r>
              <w:rPr>
                <w:rFonts w:ascii="Arial" w:cs="Arial" w:eastAsia="Arial" w:hAnsi="Arial"/>
                <w:sz w:val="11"/>
                <w:szCs w:val="11"/>
                <w:b w:val="1"/>
                <w:bCs w:val="1"/>
                <w:color w:val="auto"/>
                <w:w w:val="93"/>
              </w:rPr>
              <w:t>Underlying</w:t>
            </w:r>
          </w:p>
        </w:tc>
        <w:tc>
          <w:tcPr>
            <w:tcW w:w="560" w:type="dxa"/>
            <w:vAlign w:val="bottom"/>
          </w:tcPr>
          <w:p>
            <w:pPr>
              <w:spacing w:after="0"/>
              <w:rPr>
                <w:sz w:val="11"/>
                <w:szCs w:val="11"/>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5"/>
              </w:rPr>
              <w:t>Option</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7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8"/>
              </w:rPr>
              <w:t>Unexercised Options (#)</w:t>
            </w:r>
          </w:p>
        </w:tc>
        <w:tc>
          <w:tcPr>
            <w:tcW w:w="560" w:type="dxa"/>
            <w:vAlign w:val="bottom"/>
          </w:tcPr>
          <w:p>
            <w:pPr>
              <w:spacing w:after="0"/>
              <w:rPr>
                <w:sz w:val="11"/>
                <w:szCs w:val="11"/>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83"/>
              </w:rPr>
              <w:t>Exercise</w:t>
            </w:r>
          </w:p>
        </w:tc>
        <w:tc>
          <w:tcPr>
            <w:tcW w:w="5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0"/>
              </w:rPr>
              <w:t>Option</w:t>
            </w:r>
          </w:p>
        </w:tc>
      </w:tr>
      <w:tr>
        <w:trPr>
          <w:trHeight w:val="100"/>
        </w:trPr>
        <w:tc>
          <w:tcPr>
            <w:tcW w:w="7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jc w:val="right"/>
              <w:spacing w:after="0" w:line="100" w:lineRule="exact"/>
              <w:rPr>
                <w:sz w:val="20"/>
                <w:szCs w:val="20"/>
                <w:color w:val="auto"/>
              </w:rPr>
            </w:pPr>
            <w:r>
              <w:rPr>
                <w:rFonts w:ascii="Arial" w:cs="Arial" w:eastAsia="Arial" w:hAnsi="Arial"/>
                <w:sz w:val="11"/>
                <w:szCs w:val="11"/>
                <w:b w:val="1"/>
                <w:bCs w:val="1"/>
                <w:color w:val="auto"/>
                <w:w w:val="83"/>
              </w:rPr>
              <w:t>Unexercisable</w:t>
            </w:r>
          </w:p>
        </w:tc>
        <w:tc>
          <w:tcPr>
            <w:tcW w:w="560" w:type="dxa"/>
            <w:vAlign w:val="bottom"/>
          </w:tcPr>
          <w:p>
            <w:pPr>
              <w:spacing w:after="0"/>
              <w:rPr>
                <w:sz w:val="8"/>
                <w:szCs w:val="8"/>
                <w:color w:val="auto"/>
              </w:rPr>
            </w:pPr>
          </w:p>
        </w:tc>
        <w:tc>
          <w:tcPr>
            <w:tcW w:w="960" w:type="dxa"/>
            <w:vAlign w:val="bottom"/>
            <w:gridSpan w:val="2"/>
          </w:tcPr>
          <w:p>
            <w:pPr>
              <w:jc w:val="center"/>
              <w:ind w:right="560"/>
              <w:spacing w:after="0" w:line="100" w:lineRule="exact"/>
              <w:rPr>
                <w:sz w:val="20"/>
                <w:szCs w:val="20"/>
                <w:color w:val="auto"/>
              </w:rPr>
            </w:pPr>
            <w:r>
              <w:rPr>
                <w:rFonts w:ascii="Arial" w:cs="Arial" w:eastAsia="Arial" w:hAnsi="Arial"/>
                <w:sz w:val="11"/>
                <w:szCs w:val="11"/>
                <w:b w:val="1"/>
                <w:bCs w:val="1"/>
                <w:color w:val="auto"/>
                <w:w w:val="89"/>
              </w:rPr>
              <w:t>Price</w:t>
            </w:r>
          </w:p>
        </w:tc>
        <w:tc>
          <w:tcPr>
            <w:tcW w:w="54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92"/>
              </w:rPr>
              <w:t>Expiration</w:t>
            </w:r>
          </w:p>
        </w:tc>
      </w:tr>
      <w:tr>
        <w:trPr>
          <w:trHeight w:val="151"/>
        </w:trPr>
        <w:tc>
          <w:tcPr>
            <w:tcW w:w="71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5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88"/>
              </w:rPr>
              <w:t>Exercisable</w:t>
            </w:r>
          </w:p>
        </w:tc>
        <w:tc>
          <w:tcPr>
            <w:tcW w:w="1180" w:type="dxa"/>
            <w:vAlign w:val="bottom"/>
            <w:gridSpan w:val="2"/>
          </w:tcPr>
          <w:p>
            <w:pPr>
              <w:jc w:val="right"/>
              <w:ind w:right="137"/>
              <w:spacing w:after="0"/>
              <w:rPr>
                <w:sz w:val="20"/>
                <w:szCs w:val="20"/>
                <w:color w:val="auto"/>
              </w:rPr>
            </w:pPr>
            <w:r>
              <w:rPr>
                <w:rFonts w:ascii="Arial" w:cs="Arial" w:eastAsia="Arial" w:hAnsi="Arial"/>
                <w:sz w:val="11"/>
                <w:szCs w:val="11"/>
                <w:b w:val="1"/>
                <w:bCs w:val="1"/>
                <w:color w:val="auto"/>
              </w:rPr>
              <w:t>(2)(3)</w:t>
            </w:r>
          </w:p>
        </w:tc>
        <w:tc>
          <w:tcPr>
            <w:tcW w:w="960" w:type="dxa"/>
            <w:vAlign w:val="bottom"/>
            <w:gridSpan w:val="2"/>
          </w:tcPr>
          <w:p>
            <w:pPr>
              <w:jc w:val="center"/>
              <w:ind w:left="512"/>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3"/>
                <w:szCs w:val="13"/>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Date (1)</w:t>
            </w:r>
          </w:p>
        </w:tc>
      </w:tr>
      <w:tr>
        <w:trPr>
          <w:trHeight w:val="149"/>
        </w:trPr>
        <w:tc>
          <w:tcPr>
            <w:tcW w:w="7660" w:type="dxa"/>
            <w:vAlign w:val="bottom"/>
            <w:gridSpan w:val="2"/>
          </w:tcPr>
          <w:p>
            <w:pPr>
              <w:spacing w:after="0" w:line="149" w:lineRule="exact"/>
              <w:rPr>
                <w:sz w:val="20"/>
                <w:szCs w:val="20"/>
                <w:color w:val="auto"/>
              </w:rPr>
            </w:pPr>
            <w:r>
              <w:rPr>
                <w:rFonts w:ascii="Arial" w:cs="Arial" w:eastAsia="Arial" w:hAnsi="Arial"/>
                <w:sz w:val="14"/>
                <w:szCs w:val="14"/>
                <w:color w:val="auto"/>
              </w:rPr>
              <w:t>Kurt C. Hall</w:t>
            </w: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469,995</w:t>
            </w:r>
          </w:p>
        </w:tc>
        <w:tc>
          <w:tcPr>
            <w:tcW w:w="560" w:type="dxa"/>
            <w:vAlign w:val="bottom"/>
          </w:tcPr>
          <w:p>
            <w:pPr>
              <w:spacing w:after="0"/>
              <w:rPr>
                <w:sz w:val="12"/>
                <w:szCs w:val="12"/>
                <w:color w:val="auto"/>
              </w:rPr>
            </w:pPr>
          </w:p>
        </w:tc>
        <w:tc>
          <w:tcPr>
            <w:tcW w:w="4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w w:val="88"/>
              </w:rPr>
              <w:t>$16.52</w:t>
            </w:r>
          </w:p>
        </w:tc>
        <w:tc>
          <w:tcPr>
            <w:tcW w:w="560" w:type="dxa"/>
            <w:vAlign w:val="bottom"/>
          </w:tcPr>
          <w:p>
            <w:pPr>
              <w:spacing w:after="0"/>
              <w:rPr>
                <w:sz w:val="12"/>
                <w:szCs w:val="12"/>
                <w:color w:val="auto"/>
              </w:rPr>
            </w:pPr>
          </w:p>
        </w:tc>
        <w:tc>
          <w:tcPr>
            <w:tcW w:w="520" w:type="dxa"/>
            <w:vAlign w:val="bottom"/>
            <w:tcBorders>
              <w:top w:val="single" w:sz="8" w:color="auto"/>
            </w:tcBorders>
          </w:tcPr>
          <w:p>
            <w:pPr>
              <w:jc w:val="center"/>
              <w:ind w:left="174"/>
              <w:spacing w:after="0" w:line="149" w:lineRule="exact"/>
              <w:rPr>
                <w:sz w:val="20"/>
                <w:szCs w:val="20"/>
                <w:color w:val="auto"/>
              </w:rPr>
            </w:pPr>
            <w:r>
              <w:rPr>
                <w:rFonts w:ascii="Arial" w:cs="Arial" w:eastAsia="Arial" w:hAnsi="Arial"/>
                <w:sz w:val="14"/>
                <w:szCs w:val="14"/>
                <w:color w:val="auto"/>
                <w:w w:val="89"/>
              </w:rPr>
              <w:t>2021</w:t>
            </w:r>
          </w:p>
        </w:tc>
        <w:tc>
          <w:tcPr>
            <w:tcW w:w="20" w:type="dxa"/>
            <w:vAlign w:val="bottom"/>
          </w:tcPr>
          <w:p>
            <w:pPr>
              <w:spacing w:after="0"/>
              <w:rPr>
                <w:sz w:val="12"/>
                <w:szCs w:val="12"/>
                <w:color w:val="auto"/>
              </w:rPr>
            </w:pPr>
          </w:p>
        </w:tc>
      </w:tr>
      <w:tr>
        <w:trPr>
          <w:trHeight w:val="175"/>
        </w:trPr>
        <w:tc>
          <w:tcPr>
            <w:tcW w:w="7660" w:type="dxa"/>
            <w:vAlign w:val="bottom"/>
            <w:gridSpan w:val="2"/>
          </w:tcPr>
          <w:p>
            <w:pPr>
              <w:spacing w:after="0"/>
              <w:rPr>
                <w:sz w:val="20"/>
                <w:szCs w:val="20"/>
                <w:color w:val="auto"/>
              </w:rPr>
            </w:pPr>
            <w:r>
              <w:rPr>
                <w:rFonts w:ascii="Arial" w:cs="Arial" w:eastAsia="Arial" w:hAnsi="Arial"/>
                <w:sz w:val="14"/>
                <w:szCs w:val="14"/>
                <w:color w:val="auto"/>
              </w:rPr>
              <w:t>Clifford E. Marks</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261,010</w:t>
            </w: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rPr>
              <w:t>$16.52</w:t>
            </w:r>
          </w:p>
        </w:tc>
        <w:tc>
          <w:tcPr>
            <w:tcW w:w="540" w:type="dxa"/>
            <w:vAlign w:val="bottom"/>
            <w:gridSpan w:val="2"/>
          </w:tcPr>
          <w:p>
            <w:pPr>
              <w:jc w:val="center"/>
              <w:ind w:left="154"/>
              <w:spacing w:after="0"/>
              <w:rPr>
                <w:sz w:val="20"/>
                <w:szCs w:val="20"/>
                <w:color w:val="auto"/>
              </w:rPr>
            </w:pPr>
            <w:r>
              <w:rPr>
                <w:rFonts w:ascii="Arial" w:cs="Arial" w:eastAsia="Arial" w:hAnsi="Arial"/>
                <w:sz w:val="14"/>
                <w:szCs w:val="14"/>
                <w:color w:val="auto"/>
                <w:w w:val="89"/>
              </w:rPr>
              <w:t>2021</w:t>
            </w:r>
          </w:p>
        </w:tc>
      </w:tr>
      <w:tr>
        <w:trPr>
          <w:trHeight w:val="175"/>
        </w:trPr>
        <w:tc>
          <w:tcPr>
            <w:tcW w:w="7660" w:type="dxa"/>
            <w:vAlign w:val="bottom"/>
            <w:gridSpan w:val="2"/>
          </w:tcPr>
          <w:p>
            <w:pPr>
              <w:spacing w:after="0"/>
              <w:rPr>
                <w:sz w:val="20"/>
                <w:szCs w:val="20"/>
                <w:color w:val="auto"/>
              </w:rPr>
            </w:pPr>
            <w:r>
              <w:rPr>
                <w:rFonts w:ascii="Arial" w:cs="Arial" w:eastAsia="Arial" w:hAnsi="Arial"/>
                <w:sz w:val="14"/>
                <w:szCs w:val="14"/>
                <w:color w:val="auto"/>
              </w:rPr>
              <w:t>Clifford E. Marks</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36,936</w:t>
            </w: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rPr>
              <w:t>$24.29</w:t>
            </w:r>
          </w:p>
        </w:tc>
        <w:tc>
          <w:tcPr>
            <w:tcW w:w="540" w:type="dxa"/>
            <w:vAlign w:val="bottom"/>
            <w:gridSpan w:val="2"/>
          </w:tcPr>
          <w:p>
            <w:pPr>
              <w:jc w:val="center"/>
              <w:ind w:left="154"/>
              <w:spacing w:after="0"/>
              <w:rPr>
                <w:sz w:val="20"/>
                <w:szCs w:val="20"/>
                <w:color w:val="auto"/>
              </w:rPr>
            </w:pPr>
            <w:r>
              <w:rPr>
                <w:rFonts w:ascii="Arial" w:cs="Arial" w:eastAsia="Arial" w:hAnsi="Arial"/>
                <w:sz w:val="14"/>
                <w:szCs w:val="14"/>
                <w:color w:val="auto"/>
                <w:w w:val="89"/>
              </w:rPr>
              <w:t>2021</w:t>
            </w:r>
          </w:p>
        </w:tc>
      </w:tr>
      <w:tr>
        <w:trPr>
          <w:trHeight w:val="175"/>
        </w:trPr>
        <w:tc>
          <w:tcPr>
            <w:tcW w:w="7660" w:type="dxa"/>
            <w:vAlign w:val="bottom"/>
            <w:gridSpan w:val="2"/>
          </w:tcPr>
          <w:p>
            <w:pPr>
              <w:spacing w:after="0"/>
              <w:rPr>
                <w:sz w:val="20"/>
                <w:szCs w:val="20"/>
                <w:color w:val="auto"/>
              </w:rPr>
            </w:pPr>
            <w:r>
              <w:rPr>
                <w:rFonts w:ascii="Arial" w:cs="Arial" w:eastAsia="Arial" w:hAnsi="Arial"/>
                <w:sz w:val="14"/>
                <w:szCs w:val="14"/>
                <w:color w:val="auto"/>
              </w:rPr>
              <w:t>Gary W. Ferrera</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147,495</w:t>
            </w: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rPr>
              <w:t>$18.20</w:t>
            </w:r>
          </w:p>
        </w:tc>
        <w:tc>
          <w:tcPr>
            <w:tcW w:w="540" w:type="dxa"/>
            <w:vAlign w:val="bottom"/>
            <w:gridSpan w:val="2"/>
          </w:tcPr>
          <w:p>
            <w:pPr>
              <w:jc w:val="center"/>
              <w:ind w:left="154"/>
              <w:spacing w:after="0"/>
              <w:rPr>
                <w:sz w:val="20"/>
                <w:szCs w:val="20"/>
                <w:color w:val="auto"/>
              </w:rPr>
            </w:pPr>
            <w:r>
              <w:rPr>
                <w:rFonts w:ascii="Arial" w:cs="Arial" w:eastAsia="Arial" w:hAnsi="Arial"/>
                <w:sz w:val="14"/>
                <w:szCs w:val="14"/>
                <w:color w:val="auto"/>
                <w:w w:val="89"/>
              </w:rPr>
              <w:t>2021</w:t>
            </w:r>
          </w:p>
        </w:tc>
      </w:tr>
      <w:tr>
        <w:trPr>
          <w:trHeight w:val="175"/>
        </w:trPr>
        <w:tc>
          <w:tcPr>
            <w:tcW w:w="7660" w:type="dxa"/>
            <w:vAlign w:val="bottom"/>
            <w:gridSpan w:val="2"/>
          </w:tcPr>
          <w:p>
            <w:pPr>
              <w:spacing w:after="0"/>
              <w:rPr>
                <w:sz w:val="20"/>
                <w:szCs w:val="20"/>
                <w:color w:val="auto"/>
              </w:rPr>
            </w:pPr>
            <w:r>
              <w:rPr>
                <w:rFonts w:ascii="Arial" w:cs="Arial" w:eastAsia="Arial" w:hAnsi="Arial"/>
                <w:sz w:val="14"/>
                <w:szCs w:val="14"/>
                <w:color w:val="auto"/>
              </w:rPr>
              <w:t>Thomas C. Galley</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144,812</w:t>
            </w: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rPr>
              <w:t>$16.52</w:t>
            </w:r>
          </w:p>
        </w:tc>
        <w:tc>
          <w:tcPr>
            <w:tcW w:w="540" w:type="dxa"/>
            <w:vAlign w:val="bottom"/>
            <w:gridSpan w:val="2"/>
          </w:tcPr>
          <w:p>
            <w:pPr>
              <w:jc w:val="center"/>
              <w:ind w:left="154"/>
              <w:spacing w:after="0"/>
              <w:rPr>
                <w:sz w:val="20"/>
                <w:szCs w:val="20"/>
                <w:color w:val="auto"/>
              </w:rPr>
            </w:pPr>
            <w:r>
              <w:rPr>
                <w:rFonts w:ascii="Arial" w:cs="Arial" w:eastAsia="Arial" w:hAnsi="Arial"/>
                <w:sz w:val="14"/>
                <w:szCs w:val="14"/>
                <w:color w:val="auto"/>
                <w:w w:val="89"/>
              </w:rPr>
              <w:t>2021</w:t>
            </w:r>
          </w:p>
        </w:tc>
      </w:tr>
      <w:tr>
        <w:trPr>
          <w:trHeight w:val="175"/>
        </w:trPr>
        <w:tc>
          <w:tcPr>
            <w:tcW w:w="7660" w:type="dxa"/>
            <w:vAlign w:val="bottom"/>
            <w:gridSpan w:val="2"/>
          </w:tcPr>
          <w:p>
            <w:pPr>
              <w:spacing w:after="0"/>
              <w:rPr>
                <w:sz w:val="20"/>
                <w:szCs w:val="20"/>
                <w:color w:val="auto"/>
              </w:rPr>
            </w:pPr>
            <w:r>
              <w:rPr>
                <w:rFonts w:ascii="Arial" w:cs="Arial" w:eastAsia="Arial" w:hAnsi="Arial"/>
                <w:sz w:val="14"/>
                <w:szCs w:val="14"/>
                <w:color w:val="auto"/>
              </w:rPr>
              <w:t>Ralph E. Hardy</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52,215</w:t>
            </w: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rPr>
              <w:t>$16.52</w:t>
            </w:r>
          </w:p>
        </w:tc>
        <w:tc>
          <w:tcPr>
            <w:tcW w:w="540" w:type="dxa"/>
            <w:vAlign w:val="bottom"/>
            <w:gridSpan w:val="2"/>
          </w:tcPr>
          <w:p>
            <w:pPr>
              <w:jc w:val="center"/>
              <w:ind w:left="154"/>
              <w:spacing w:after="0"/>
              <w:rPr>
                <w:sz w:val="20"/>
                <w:szCs w:val="20"/>
                <w:color w:val="auto"/>
              </w:rPr>
            </w:pPr>
            <w:r>
              <w:rPr>
                <w:rFonts w:ascii="Arial" w:cs="Arial" w:eastAsia="Arial" w:hAnsi="Arial"/>
                <w:sz w:val="14"/>
                <w:szCs w:val="14"/>
                <w:color w:val="auto"/>
                <w:w w:val="89"/>
              </w:rPr>
              <w:t>2021</w:t>
            </w:r>
          </w:p>
        </w:tc>
      </w:tr>
      <w:tr>
        <w:trPr>
          <w:trHeight w:val="181"/>
        </w:trPr>
        <w:tc>
          <w:tcPr>
            <w:tcW w:w="7660" w:type="dxa"/>
            <w:vAlign w:val="bottom"/>
            <w:gridSpan w:val="2"/>
          </w:tcPr>
          <w:p>
            <w:pPr>
              <w:spacing w:after="0"/>
              <w:rPr>
                <w:sz w:val="20"/>
                <w:szCs w:val="20"/>
                <w:color w:val="auto"/>
              </w:rPr>
            </w:pPr>
            <w:r>
              <w:rPr>
                <w:rFonts w:ascii="Arial" w:cs="Arial" w:eastAsia="Arial" w:hAnsi="Arial"/>
                <w:sz w:val="14"/>
                <w:szCs w:val="14"/>
                <w:color w:val="auto"/>
              </w:rPr>
              <w:t>David J Giesler</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center"/>
              <w:ind w:left="134"/>
              <w:spacing w:after="0"/>
              <w:rPr>
                <w:sz w:val="20"/>
                <w:szCs w:val="20"/>
                <w:color w:val="auto"/>
              </w:rPr>
            </w:pPr>
            <w:r>
              <w:rPr>
                <w:rFonts w:ascii="Arial" w:cs="Arial" w:eastAsia="Arial" w:hAnsi="Arial"/>
                <w:sz w:val="14"/>
                <w:szCs w:val="14"/>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40" w:hanging="380"/>
        <w:spacing w:after="0"/>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Options expire prior to date if named executive officer terminates employment with NCM LLC.</w:t>
      </w:r>
    </w:p>
    <w:p>
      <w:pPr>
        <w:spacing w:after="0" w:line="79" w:lineRule="exact"/>
        <w:rPr>
          <w:rFonts w:ascii="Arial" w:cs="Arial" w:eastAsia="Arial" w:hAnsi="Arial"/>
          <w:sz w:val="14"/>
          <w:szCs w:val="14"/>
          <w:color w:val="auto"/>
        </w:rPr>
      </w:pPr>
    </w:p>
    <w:p>
      <w:pPr>
        <w:ind w:left="440" w:hanging="380"/>
        <w:spacing w:after="0"/>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options vest for each named executive officer, excluding Mr. Marks, 20% per year commencing on December 31, 2007, subject to continuous employment with NCM LLC.</w:t>
      </w:r>
    </w:p>
    <w:p>
      <w:pPr>
        <w:spacing w:after="0" w:line="79" w:lineRule="exact"/>
        <w:rPr>
          <w:rFonts w:ascii="Arial" w:cs="Arial" w:eastAsia="Arial" w:hAnsi="Arial"/>
          <w:sz w:val="14"/>
          <w:szCs w:val="14"/>
          <w:color w:val="auto"/>
        </w:rPr>
      </w:pPr>
    </w:p>
    <w:p>
      <w:pPr>
        <w:ind w:left="440" w:hanging="380"/>
        <w:spacing w:after="0"/>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options for Mr. Marks vest 20% per year commencing on December 31, 2008, subject to continuous employment with NCM LLC.</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and Other Agreements</w:t>
      </w:r>
    </w:p>
    <w:p>
      <w:pPr>
        <w:spacing w:after="0" w:line="83"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The following is a summary of the employment agreements that are currently in effect between NCM LLC and each of the named executive officers. Upon the completion of this offering, NCM Inc. and NCM LLC will enter into new employment agreements on substantially the same terms as those discussed below with each of the named executive officers, under which NCM Inc. will be the employer.</w:t>
      </w:r>
    </w:p>
    <w:p>
      <w:pPr>
        <w:spacing w:after="0" w:line="102"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b w:val="1"/>
          <w:bCs w:val="1"/>
          <w:i w:val="1"/>
          <w:iCs w:val="1"/>
          <w:color w:val="auto"/>
        </w:rPr>
        <w:t xml:space="preserve">Kurt C. Hall. </w:t>
      </w:r>
      <w:r>
        <w:rPr>
          <w:rFonts w:ascii="Arial" w:cs="Arial" w:eastAsia="Arial" w:hAnsi="Arial"/>
          <w:sz w:val="13"/>
          <w:szCs w:val="13"/>
          <w:color w:val="auto"/>
        </w:rPr>
        <w:t>On May 25, 2005, NCM LLC entered into an employment agreement with Kurt C. Hall to serve as President, Chief Executive Officer and Chairman of the Board of NCM LLC,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a term of three years. On each May 25, beginning in 2006, one year will be added to the term of the agreement. The agreement provides that Mr. Hall be paid a base salary at the rate of $625,000 per year, subject to annual increases at the discretion of the compensation committee. In addition to base salary, Mr. Hall is eligible to receive an annual cash target bonus of at least 100% of his base salary and an additional stretch bonus of at least 50% of his base salary upon attainment of performance goals determined by the compensation committee. Mr. Hall will also be reimbursed for reasonable out-of-pocket expenses. If Mr. Hall is terminated from NCM LLC, for reasons other than permanent disability, death or cause,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60"/>
          </w:cols>
          <w:pgMar w:left="220" w:top="399" w:right="21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Mr. Hall will be entitled to severance equal to two times his base salary paid over 24 months and a prorated</w:t>
      </w:r>
    </w:p>
    <w:p>
      <w:pPr>
        <w:spacing w:after="0" w:line="20" w:lineRule="exact"/>
        <w:rPr>
          <w:sz w:val="20"/>
          <w:szCs w:val="20"/>
          <w:color w:val="auto"/>
        </w:rPr>
      </w:pPr>
    </w:p>
    <w:p>
      <w:pPr>
        <w:ind w:right="400"/>
        <w:spacing w:after="0" w:line="260" w:lineRule="auto"/>
        <w:rPr>
          <w:sz w:val="20"/>
          <w:szCs w:val="20"/>
          <w:color w:val="auto"/>
        </w:rPr>
      </w:pPr>
      <w:r>
        <w:rPr>
          <w:rFonts w:ascii="Arial" w:cs="Arial" w:eastAsia="Arial" w:hAnsi="Arial"/>
          <w:sz w:val="14"/>
          <w:szCs w:val="14"/>
          <w:color w:val="auto"/>
        </w:rPr>
        <w:t>portion of any bonus he would have received in the fiscal year in which his termination occurs. Mr. Hall would also be entitled to continued coverage under any employee medical, health and life insurance plans for a</w:t>
      </w:r>
    </w:p>
    <w:p>
      <w:pPr>
        <w:spacing w:after="0" w:line="1" w:lineRule="exact"/>
        <w:rPr>
          <w:sz w:val="20"/>
          <w:szCs w:val="20"/>
          <w:color w:val="auto"/>
        </w:rPr>
      </w:pPr>
    </w:p>
    <w:p>
      <w:pPr>
        <w:jc w:val="both"/>
        <w:ind w:right="180"/>
        <w:spacing w:after="0" w:line="260" w:lineRule="auto"/>
        <w:rPr>
          <w:sz w:val="20"/>
          <w:szCs w:val="20"/>
          <w:color w:val="auto"/>
        </w:rPr>
      </w:pPr>
      <w:r>
        <w:rPr>
          <w:rFonts w:ascii="Arial" w:cs="Arial" w:eastAsia="Arial" w:hAnsi="Arial"/>
          <w:sz w:val="14"/>
          <w:szCs w:val="14"/>
          <w:color w:val="auto"/>
        </w:rPr>
        <w:t>24-month period. If Mr. Hall resigns from NCM LLC with good reason, as defined in the agreement, he will be entitled to severance equal to two times his base salary and one times his target bonus payable in a lump sum, and a prorated portion of any bonus he would have received in the fiscal year in which his resignation occurs. Mr. Hall would also be entitled to continued coverage under any employee medical,</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health and life insurance plans for a 24-month period. If, within three months before or one year after a change of control, as defined in the agreement, Mr. Hall resigns for good reason or is terminated for reasons other than permanent disability, death or cause, Mr. Hall would be entitled to severance equal to two and one half times his base salary and two times his target bonus payable in a lump sum. Mr. Hall would also be entitled to a prorated portion of any bonus he would have received for the fiscal year in which the termination occurs, and would also be entitled to continued coverage under any employee medical, health and life insurance plans for a 30-month period. Under the agreement, during his employment and for 12 months thereafter, Mr. Hall, subject to certain limitations, has agreed not to compete with NCM LLC or any of its affiliates or subsidiaries or solicit anyone who was employed by these entities. Under the agreement, Mr. Hall has also agreed not to divulge or disclose confidential information of NCM LLC or its affiliates or subsidiaries except while employed by NCM LLC, in the business of and for the benefit of NCM LLC, or as required by law.</w:t>
      </w:r>
    </w:p>
    <w:p>
      <w:pPr>
        <w:spacing w:after="0" w:line="98"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b w:val="1"/>
          <w:bCs w:val="1"/>
          <w:i w:val="1"/>
          <w:iCs w:val="1"/>
          <w:color w:val="auto"/>
        </w:rPr>
        <w:t xml:space="preserve">Clifford E. Marks. </w:t>
      </w:r>
      <w:r>
        <w:rPr>
          <w:rFonts w:ascii="Arial" w:cs="Arial" w:eastAsia="Arial" w:hAnsi="Arial"/>
          <w:sz w:val="13"/>
          <w:szCs w:val="13"/>
          <w:color w:val="auto"/>
        </w:rPr>
        <w:t>NCM LLC entered into a first amended and restated employment agreement with Mr. Marks effective as of October 1, 2006. The agreement has a term of 24 months. On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last day of the term, 24 months will be added to the termination date of the agreement. Under the agreement, Mr. Marks is paid a base salary at the rate of $675,000 per year with increases of 1% annually assuming an initial public offering occurs. In addition to base salary, Mr. Marks is eligible to receive an annual cash bonus equal to 25% of his base salary upon attainment of certain performance goals as determined by the chief executive officer and an additional annual cash bonus up to 80% of his base salary based upon attainment of certain sales targets as determined by the chief executive officer. The compensation committee of the board will review Mr. Marks’ bonus structure and may adjust the bonus structure in its sole discretion. If Mr. Marks is terminated from NCM LLC, for reasons other than disability, death or cause, as defined in the agreement, or if Mr. Marks resigns for good reason, as defined in the agreement Mr. Marks will be entitled to severance equal the greater of his base salary paid over the remaining existing term of the 24 month contract and a bonus equal to the last bonus paid per month applied against the remaining contract period or one year of base salary plus 100% of the bonus amount paid for the last full year of employment. Mr. Marks would also be entitled to continued coverage under any employee benefit plans until the date he receives equivalent coverage but not longer than the period for which his base salary is paid after termination. Under the agreement, during his employment and for 12 months thereafter, Mr. Marks has agreed not to compete with NCM LLC, its affiliates or subsidiaries, or solicit anyone who is an employee, officer or agent of these entities. Under the agreement, Mr. Marks has also agreed not to divulge or disclose customer lists or trade secrets of NCM LLC or its affiliates or subsidiaries except in the course of carrying out his duties under the agreement or as required by law.</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 xml:space="preserve">Gary W. Ferrera. </w:t>
      </w:r>
      <w:r>
        <w:rPr>
          <w:rFonts w:ascii="Arial" w:cs="Arial" w:eastAsia="Arial" w:hAnsi="Arial"/>
          <w:sz w:val="13"/>
          <w:szCs w:val="13"/>
          <w:color w:val="auto"/>
        </w:rPr>
        <w:t>On April 17, 2006, NCM LLC entered into an employment agreement with Gary W. Ferrera to serve as Executive Vice President and Chief Financial Officer of NCM LLC,</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for a term of 12 months commencing on May 1, 2006. On the last day of the term, 12 months will be added to the termination date. The agreement provides that Mr. Ferrera be paid a base salary of</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$275,000 per year, increasing to $300,000 per year as of January 1, 2007 and subject to further annual increases at the discretion of the compensation committee. On January 1, 2007, Mr. Ferrera’s base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salary was increased to $325,000. In addition to base salary, Mr. Ferrera is eligible to receive an annual bonus of up to 75% of his base salary upon attainment of certain objective financial and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subjective non-financial goals as determined by the chief executive officer. If Mr. Ferrera is terminated from NCM LLC, for reasons other than disability, death or cause, as defined in the agreement, or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if Mr. Ferrera resigns for good reason, as defined in the agreement, Mr. Ferrera will be entitled to severance equal to his base salary paid over 12 months and any annual bonuses awarded but not yet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paid. Mr. Ferrera would also be entitled to continued coverage under any employee medical, health and life insurance plans for a 12-month</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60"/>
          </w:cols>
          <w:pgMar w:left="220" w:top="398" w:right="21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period, or the economic equivalent of such coverage. Under the agreement, during his employment and for 12 months thereafter, Mr. Ferrera has agreed not to compete with NCM LLC or any of its affiliates or subsidiaries, or solicit any of the employees, officers or agents of these entities. Under the agreement, Mr. Ferrera has also agreed not to divulge or disclose customer lists or trade secrets of NCM LLC or its affiliates or subsidiaries except in the course of carrying out his duties under the agreement or as required by law.</w:t>
      </w:r>
    </w:p>
    <w:p>
      <w:pPr>
        <w:spacing w:after="0" w:line="102" w:lineRule="exact"/>
        <w:rPr>
          <w:sz w:val="20"/>
          <w:szCs w:val="20"/>
          <w:color w:val="auto"/>
        </w:rPr>
      </w:pPr>
    </w:p>
    <w:p>
      <w:pPr>
        <w:ind w:right="40" w:firstLine="458"/>
        <w:spacing w:after="0" w:line="286" w:lineRule="auto"/>
        <w:rPr>
          <w:sz w:val="20"/>
          <w:szCs w:val="20"/>
          <w:color w:val="auto"/>
        </w:rPr>
      </w:pPr>
      <w:r>
        <w:rPr>
          <w:rFonts w:ascii="Arial" w:cs="Arial" w:eastAsia="Arial" w:hAnsi="Arial"/>
          <w:sz w:val="13"/>
          <w:szCs w:val="13"/>
          <w:b w:val="1"/>
          <w:bCs w:val="1"/>
          <w:i w:val="1"/>
          <w:iCs w:val="1"/>
          <w:color w:val="auto"/>
        </w:rPr>
        <w:t xml:space="preserve">Thomas C. Galley. </w:t>
      </w:r>
      <w:r>
        <w:rPr>
          <w:rFonts w:ascii="Arial" w:cs="Arial" w:eastAsia="Arial" w:hAnsi="Arial"/>
          <w:sz w:val="13"/>
          <w:szCs w:val="13"/>
          <w:color w:val="auto"/>
        </w:rPr>
        <w:t>On May 25, 2005, NCM LLC entered into an employment agreement with Thomas C. Galley to serve as the Executive Vice President and Chief Technology and Operations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of NCM LLC, for a term of 18 months. On the last day of the term, 18 months will be added to the termination date. The agreement provides that Mr. Galley be paid a base salary at the rate of $257,500 per year, increasing to $325,000 per year as of July 6, 2005, and $375,000 beginning on January 4, 2006. On January 1, 2007, Mr. Galley’s base salary was increased to $415,000. In addition to base salary, Mr. Galley is eligible to receive an annual cash bonus of up to 75% of his base salary upon attainment of certain objective financial and subjective non-financial goals as determined by the chief executive officer. If Mr. Galley is terminated from NCM LLC, for reasons other than disability, death or cause, as defined in the agreement, or if Mr. Galley resigns for good reason, as defined in the agreement, Mr. Galley will be entitled to severance equal to one and a half times his base salary paid over 18 months and any annual bonuses awarded but not yet paid. Mr. Galley would also be entitled to continued coverage under any employee medical, health and life insurance plans for an 18-month period, or the economic equivalent of such coverage. Under the agreement, during his employment and for 12 months thereafter, Mr. Galley has agreed not to compete with NCM LLC or any of its affiliates or subsidiaries, or solicit any of the employees, officers or agents of these entities. Under this agreement, Mr. Galley has also agreed not to divulge or disclose customer lists or trade secrets of NCM LLC or its affiliates or subsidiaries except in the course of carrying out his duties under the agreement or as required by law.</w:t>
      </w:r>
    </w:p>
    <w:p>
      <w:pPr>
        <w:spacing w:after="0" w:line="98" w:lineRule="exact"/>
        <w:rPr>
          <w:sz w:val="20"/>
          <w:szCs w:val="20"/>
          <w:color w:val="auto"/>
        </w:rPr>
      </w:pPr>
    </w:p>
    <w:p>
      <w:pPr>
        <w:ind w:right="60" w:firstLine="458"/>
        <w:spacing w:after="0" w:line="286" w:lineRule="auto"/>
        <w:rPr>
          <w:sz w:val="20"/>
          <w:szCs w:val="20"/>
          <w:color w:val="auto"/>
        </w:rPr>
      </w:pPr>
      <w:r>
        <w:rPr>
          <w:rFonts w:ascii="Arial" w:cs="Arial" w:eastAsia="Arial" w:hAnsi="Arial"/>
          <w:sz w:val="13"/>
          <w:szCs w:val="13"/>
          <w:b w:val="1"/>
          <w:bCs w:val="1"/>
          <w:i w:val="1"/>
          <w:iCs w:val="1"/>
          <w:color w:val="auto"/>
        </w:rPr>
        <w:t xml:space="preserve">Ralph E. Hardy. </w:t>
      </w:r>
      <w:r>
        <w:rPr>
          <w:rFonts w:ascii="Arial" w:cs="Arial" w:eastAsia="Arial" w:hAnsi="Arial"/>
          <w:sz w:val="13"/>
          <w:szCs w:val="13"/>
          <w:color w:val="auto"/>
        </w:rPr>
        <w:t>On May 25, 2005, NCM LLC entered into an employment agreement with Ralph E. Hardy to serve as the Executive Vice President of NCM LLC. The term of employment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terminates on each December 31, but will be considered automatically renewed unless notice of termination is given by either party. The agreement provides that Mr. Hardy be paid a base salary at the rate of $210,000 per year, subject to annual review by the board. On January 1, 2007, Mr. Hardy’s base salary was increased to $221,728. In addition to base salary, Mr. Hardy is eligible to receive an annual bonus as determined by the board. If Mr. Hardy is terminated from NCM LLC, for reasons other than disability, death or cause, as defined in the agreement, or if Mr. Hardy resigns for good reason, as defined in the agreement, Mr. Hardy will be entitled to severance equal to his base salary paid over 12 months and any annual bonuses awarded but not yet paid. Mr. Hardy would also be entitled to continued coverage under any employee medical, health and life insurance plans for a 12-month period, or the economic equivalent of such coverage. Under the agreement, during his employment and for so long as he is entitled to receive any benefits or payment under the agreement (but in no event less than 12 months), Mr. Hardy has agreed not to compete with NCM LLC or any of its affiliates or subsidiaries, or solicit any of the employees, officers or agents of these entities. Under the agreement, Mr. Hardy has also agreed not to divulge or disclose customer lists or trade secrets of NCM LLC or its affiliates or subsidiaries except in the course of carrying out his duties under the agreement or as required by law.</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 Inc. 2007 Equity Incentive Plan</w:t>
      </w:r>
    </w:p>
    <w:p>
      <w:pPr>
        <w:spacing w:after="0" w:line="8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Prior to the completion of this offering, we plan to adopt the equity incentive plan. The equity incentive plan will assist us in attracting, retaining, motivating and rewarding employees, directors and consultants, and promoting the creation of long-term value for our stockholders by aligning the interests of these individuals with those of our stockholders. We anticipate that the equity incentive plan will provide for the grant of options, stock appreciation rights, restricted stock, restricted stock units, performance awards and other stock-based awards to directors, officers, employees, consultants and other individuals who perform services for us or for our affiliates.</w:t>
      </w:r>
    </w:p>
    <w:p>
      <w:pPr>
        <w:spacing w:after="0" w:line="106"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We will use all proceeds received by us upon the exercise of options under the equity incentive plan to acquire NCM LLC common membership units at a price per unit equal to the exercise price of such option.</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40"/>
          </w:cols>
          <w:pgMar w:left="220" w:top="399" w:right="23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Share Reserve</w:t>
      </w:r>
    </w:p>
    <w:p>
      <w:pPr>
        <w:spacing w:after="0" w:line="79" w:lineRule="exact"/>
        <w:rPr>
          <w:sz w:val="20"/>
          <w:szCs w:val="20"/>
          <w:color w:val="auto"/>
        </w:rPr>
      </w:pPr>
    </w:p>
    <w:p>
      <w:pPr>
        <w:ind w:right="60" w:firstLine="458"/>
        <w:spacing w:after="0" w:line="290" w:lineRule="auto"/>
        <w:rPr>
          <w:sz w:val="20"/>
          <w:szCs w:val="20"/>
          <w:color w:val="auto"/>
        </w:rPr>
      </w:pPr>
      <w:r>
        <w:rPr>
          <w:rFonts w:ascii="Arial" w:cs="Arial" w:eastAsia="Arial" w:hAnsi="Arial"/>
          <w:sz w:val="13"/>
          <w:szCs w:val="13"/>
          <w:color w:val="auto"/>
        </w:rPr>
        <w:t>The total number of shares of our common stock that we plan to make available for issuance or delivery under the equity incentive plan will be 2,650,000 shares, subject to adjustment in the event of any stock dividend or split, reorganization, recapitalization, merger, share exchange or any other similar corporate event. For purposes of determining the number of shares remaining available for issuance under the equity incentive plan, to the extent that an award expires or is canceled, forfeited, settled in cash or otherwise terminated without delivery to the participant of the full number of shares to which the award related, the undelivered shares will again be available for grant. Shares withheld in payment of the exercise price or taxes relating to an award and shares equal to the number surrendered in payment of any exercise price or taxes relating to an award will be deemed to constitute shares not delivered to the participant and will be deemed to again be available for awards under the plan. Shares issued under the equity incentive plan may be authorized and unissued shares or treasury shares.</w:t>
      </w:r>
    </w:p>
    <w:p>
      <w:pPr>
        <w:spacing w:after="0" w:line="96" w:lineRule="exact"/>
        <w:rPr>
          <w:sz w:val="20"/>
          <w:szCs w:val="20"/>
          <w:color w:val="auto"/>
        </w:rPr>
      </w:pPr>
    </w:p>
    <w:p>
      <w:pPr>
        <w:ind w:right="480" w:firstLine="458"/>
        <w:spacing w:after="0" w:line="289" w:lineRule="auto"/>
        <w:rPr>
          <w:sz w:val="20"/>
          <w:szCs w:val="20"/>
          <w:color w:val="auto"/>
        </w:rPr>
      </w:pPr>
      <w:r>
        <w:rPr>
          <w:rFonts w:ascii="Arial" w:cs="Arial" w:eastAsia="Arial" w:hAnsi="Arial"/>
          <w:sz w:val="14"/>
          <w:szCs w:val="14"/>
          <w:color w:val="auto"/>
        </w:rPr>
        <w:t>We anticipate that the maximum number of shares that may be covered by an award granted under the equity incentive plan to any single participant in any calendar year will not exceed 500,000, excluding substituted awards. The maximum dollar amount that may be awarded to a single participant in any calendar year will not exceed $5,000,000.</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NCM LLC Options and Restricted Units</w:t>
      </w:r>
    </w:p>
    <w:p>
      <w:pPr>
        <w:spacing w:after="0" w:line="79"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In connection with the completion of this offering, options previously granted by NCM LLC to its employees under the NCM LLC Unit Option Plan that remain outstanding as of the date of the completion of the offering will be substituted with options granted under this equity incentive plan. In addition, the NCM LLC Unit Option Plan provides that under certain conditions, option holders will receive an additional equity award of options or restricted units at the time of an initial public offering, which we refer to as the “IPO awards.” We expect to issue options to purchase shares of our common stock under this equity incentive plan in substitution for options previously granted under the NCM LLC 2006 Unit Option Plan and shares of restricted common stock in substitution for restricted units that will be granted by NCM LLC in order to ensure that the intrinsic value of its outstanding options is equal before and after the offering and the reorganization. See “—Substitution of NCM LLC Options and Restricted Units” below for additional information.</w:t>
      </w:r>
    </w:p>
    <w:p>
      <w:pPr>
        <w:spacing w:after="0" w:line="110" w:lineRule="exact"/>
        <w:rPr>
          <w:sz w:val="20"/>
          <w:szCs w:val="20"/>
          <w:color w:val="auto"/>
        </w:rPr>
      </w:pPr>
    </w:p>
    <w:p>
      <w:pPr>
        <w:ind w:right="40" w:firstLine="458"/>
        <w:spacing w:after="0" w:line="322" w:lineRule="auto"/>
        <w:rPr>
          <w:sz w:val="20"/>
          <w:szCs w:val="20"/>
          <w:color w:val="auto"/>
        </w:rPr>
      </w:pPr>
      <w:r>
        <w:rPr>
          <w:rFonts w:ascii="Arial" w:cs="Arial" w:eastAsia="Arial" w:hAnsi="Arial"/>
          <w:sz w:val="12"/>
          <w:szCs w:val="12"/>
          <w:color w:val="auto"/>
        </w:rPr>
        <w:t>The table below sets forth the number of restricted units that we anticipate issuing as IPO awards to the named executive officers, other employees and the total. The restricted units will be unvested when granted and will be subject to forfeiture and restrictions on transfer during the restriction period. We anticipate that the restricted units will vest and that the forfeiture and transfer restrictions will lapse at the same time as the underlying options vest, 20% per year commencing on either December 31, 2007 or December 31, 2008, as applicable, subject to continuous employment. The award may provide that the grantee will receive dividends and if so, that any dividends paid on restricted units during the vesting period must be reinvested in units, and may or may not be subject to the same vesting conditions. Upon completion of this offering, we expect to substitute the restricted units with shares of restricted stock of NCM Inc. using an exchange ratio of one share to one unit.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6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40"/>
        </w:trPr>
        <w:tc>
          <w:tcPr>
            <w:tcW w:w="3340" w:type="dxa"/>
            <w:vAlign w:val="bottom"/>
            <w:tcBorders>
              <w:bottom w:val="single" w:sz="8" w:color="auto"/>
            </w:tcBorders>
            <w:vMerge w:val="continue"/>
          </w:tcPr>
          <w:p>
            <w:pPr>
              <w:spacing w:after="0"/>
              <w:rPr>
                <w:sz w:val="12"/>
                <w:szCs w:val="12"/>
                <w:color w:val="auto"/>
              </w:rPr>
            </w:pPr>
          </w:p>
        </w:tc>
        <w:tc>
          <w:tcPr>
            <w:tcW w:w="65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gridSpan w:val="2"/>
          </w:tcPr>
          <w:p>
            <w:pPr>
              <w:jc w:val="right"/>
              <w:ind w:right="40"/>
              <w:spacing w:after="0" w:line="121" w:lineRule="exact"/>
              <w:rPr>
                <w:sz w:val="20"/>
                <w:szCs w:val="20"/>
                <w:color w:val="auto"/>
              </w:rPr>
            </w:pPr>
            <w:r>
              <w:rPr>
                <w:rFonts w:ascii="Arial" w:cs="Arial" w:eastAsia="Arial" w:hAnsi="Arial"/>
                <w:sz w:val="11"/>
                <w:szCs w:val="11"/>
                <w:b w:val="1"/>
                <w:bCs w:val="1"/>
                <w:color w:val="auto"/>
                <w:w w:val="90"/>
              </w:rPr>
              <w:t>Restricted Units</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Kurt C. Hall</w:t>
            </w:r>
          </w:p>
        </w:tc>
        <w:tc>
          <w:tcPr>
            <w:tcW w:w="7320" w:type="dxa"/>
            <w:vAlign w:val="bottom"/>
            <w:gridSpan w:val="2"/>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105,375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20"/>
                <w:szCs w:val="20"/>
                <w:color w:val="auto"/>
              </w:rPr>
            </w:pPr>
            <w:r>
              <w:rPr>
                <w:rFonts w:ascii="Arial" w:cs="Arial" w:eastAsia="Arial" w:hAnsi="Arial"/>
                <w:sz w:val="14"/>
                <w:szCs w:val="14"/>
                <w:color w:val="auto"/>
              </w:rPr>
              <w:t>Clifford E. Marks</w:t>
            </w:r>
          </w:p>
        </w:tc>
        <w:tc>
          <w:tcPr>
            <w:tcW w:w="8140" w:type="dxa"/>
            <w:vAlign w:val="bottom"/>
            <w:gridSpan w:val="4"/>
          </w:tcPr>
          <w:p>
            <w:pPr>
              <w:jc w:val="right"/>
              <w:ind w:right="20"/>
              <w:spacing w:after="0"/>
              <w:rPr>
                <w:sz w:val="20"/>
                <w:szCs w:val="20"/>
                <w:color w:val="auto"/>
              </w:rPr>
            </w:pPr>
            <w:r>
              <w:rPr>
                <w:rFonts w:ascii="Arial" w:cs="Arial" w:eastAsia="Arial" w:hAnsi="Arial"/>
                <w:sz w:val="14"/>
                <w:szCs w:val="14"/>
                <w:color w:val="auto"/>
              </w:rPr>
              <w:t>66,800</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20"/>
                <w:szCs w:val="20"/>
                <w:color w:val="auto"/>
              </w:rPr>
            </w:pPr>
            <w:r>
              <w:rPr>
                <w:rFonts w:ascii="Arial" w:cs="Arial" w:eastAsia="Arial" w:hAnsi="Arial"/>
                <w:sz w:val="14"/>
                <w:szCs w:val="14"/>
                <w:color w:val="auto"/>
              </w:rPr>
              <w:t>Gary W. Ferrera</w:t>
            </w:r>
          </w:p>
        </w:tc>
        <w:tc>
          <w:tcPr>
            <w:tcW w:w="8140" w:type="dxa"/>
            <w:vAlign w:val="bottom"/>
            <w:gridSpan w:val="4"/>
          </w:tcPr>
          <w:p>
            <w:pPr>
              <w:jc w:val="right"/>
              <w:ind w:right="20"/>
              <w:spacing w:after="0"/>
              <w:rPr>
                <w:sz w:val="20"/>
                <w:szCs w:val="20"/>
                <w:color w:val="auto"/>
              </w:rPr>
            </w:pPr>
            <w:r>
              <w:rPr>
                <w:rFonts w:ascii="Arial" w:cs="Arial" w:eastAsia="Arial" w:hAnsi="Arial"/>
                <w:sz w:val="14"/>
                <w:szCs w:val="14"/>
                <w:color w:val="auto"/>
              </w:rPr>
              <w:t>33,066</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20"/>
                <w:szCs w:val="20"/>
                <w:color w:val="auto"/>
              </w:rPr>
            </w:pPr>
            <w:r>
              <w:rPr>
                <w:rFonts w:ascii="Arial" w:cs="Arial" w:eastAsia="Arial" w:hAnsi="Arial"/>
                <w:sz w:val="14"/>
                <w:szCs w:val="14"/>
                <w:color w:val="auto"/>
              </w:rPr>
              <w:t>Thomas C. Galley</w:t>
            </w:r>
          </w:p>
        </w:tc>
        <w:tc>
          <w:tcPr>
            <w:tcW w:w="8140" w:type="dxa"/>
            <w:vAlign w:val="bottom"/>
            <w:gridSpan w:val="4"/>
          </w:tcPr>
          <w:p>
            <w:pPr>
              <w:jc w:val="right"/>
              <w:ind w:right="20"/>
              <w:spacing w:after="0"/>
              <w:rPr>
                <w:sz w:val="20"/>
                <w:szCs w:val="20"/>
                <w:color w:val="auto"/>
              </w:rPr>
            </w:pPr>
            <w:r>
              <w:rPr>
                <w:rFonts w:ascii="Arial" w:cs="Arial" w:eastAsia="Arial" w:hAnsi="Arial"/>
                <w:sz w:val="14"/>
                <w:szCs w:val="14"/>
                <w:color w:val="auto"/>
              </w:rPr>
              <w:t>32,467</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20"/>
                <w:szCs w:val="20"/>
                <w:color w:val="auto"/>
              </w:rPr>
            </w:pPr>
            <w:r>
              <w:rPr>
                <w:rFonts w:ascii="Arial" w:cs="Arial" w:eastAsia="Arial" w:hAnsi="Arial"/>
                <w:sz w:val="14"/>
                <w:szCs w:val="14"/>
                <w:color w:val="auto"/>
              </w:rPr>
              <w:t>Ralph E. Hardy</w:t>
            </w:r>
          </w:p>
        </w:tc>
        <w:tc>
          <w:tcPr>
            <w:tcW w:w="8140" w:type="dxa"/>
            <w:vAlign w:val="bottom"/>
            <w:gridSpan w:val="4"/>
          </w:tcPr>
          <w:p>
            <w:pPr>
              <w:jc w:val="right"/>
              <w:ind w:right="20"/>
              <w:spacing w:after="0"/>
              <w:rPr>
                <w:sz w:val="20"/>
                <w:szCs w:val="20"/>
                <w:color w:val="auto"/>
              </w:rPr>
            </w:pPr>
            <w:r>
              <w:rPr>
                <w:rFonts w:ascii="Arial" w:cs="Arial" w:eastAsia="Arial" w:hAnsi="Arial"/>
                <w:sz w:val="14"/>
                <w:szCs w:val="14"/>
                <w:color w:val="auto"/>
              </w:rPr>
              <w:t>11,707</w:t>
            </w:r>
          </w:p>
        </w:tc>
        <w:tc>
          <w:tcPr>
            <w:tcW w:w="0" w:type="dxa"/>
            <w:vAlign w:val="bottom"/>
          </w:tcPr>
          <w:p>
            <w:pPr>
              <w:spacing w:after="0"/>
              <w:rPr>
                <w:sz w:val="1"/>
                <w:szCs w:val="1"/>
                <w:color w:val="auto"/>
              </w:rPr>
            </w:pPr>
          </w:p>
        </w:tc>
      </w:tr>
      <w:tr>
        <w:trPr>
          <w:trHeight w:val="181"/>
        </w:trPr>
        <w:tc>
          <w:tcPr>
            <w:tcW w:w="3340" w:type="dxa"/>
            <w:vAlign w:val="bottom"/>
          </w:tcPr>
          <w:p>
            <w:pPr>
              <w:spacing w:after="0"/>
              <w:rPr>
                <w:sz w:val="20"/>
                <w:szCs w:val="20"/>
                <w:color w:val="auto"/>
              </w:rPr>
            </w:pPr>
            <w:r>
              <w:rPr>
                <w:rFonts w:ascii="Arial" w:cs="Arial" w:eastAsia="Arial" w:hAnsi="Arial"/>
                <w:sz w:val="14"/>
                <w:szCs w:val="14"/>
                <w:color w:val="auto"/>
              </w:rPr>
              <w:t>Other Employees</w:t>
            </w:r>
          </w:p>
        </w:tc>
        <w:tc>
          <w:tcPr>
            <w:tcW w:w="7320" w:type="dxa"/>
            <w:vAlign w:val="bottom"/>
            <w:gridSpan w:val="2"/>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103,246</w:t>
            </w:r>
          </w:p>
        </w:tc>
        <w:tc>
          <w:tcPr>
            <w:tcW w:w="0" w:type="dxa"/>
            <w:vAlign w:val="bottom"/>
          </w:tcPr>
          <w:p>
            <w:pPr>
              <w:spacing w:after="0"/>
              <w:rPr>
                <w:sz w:val="1"/>
                <w:szCs w:val="1"/>
                <w:color w:val="auto"/>
              </w:rPr>
            </w:pPr>
          </w:p>
        </w:tc>
      </w:tr>
      <w:tr>
        <w:trPr>
          <w:trHeight w:val="177"/>
        </w:trPr>
        <w:tc>
          <w:tcPr>
            <w:tcW w:w="3340" w:type="dxa"/>
            <w:vAlign w:val="bottom"/>
          </w:tcPr>
          <w:p>
            <w:pPr>
              <w:ind w:left="360"/>
              <w:spacing w:after="0"/>
              <w:rPr>
                <w:sz w:val="20"/>
                <w:szCs w:val="20"/>
                <w:color w:val="auto"/>
              </w:rPr>
            </w:pPr>
            <w:r>
              <w:rPr>
                <w:rFonts w:ascii="Arial" w:cs="Arial" w:eastAsia="Arial" w:hAnsi="Arial"/>
                <w:sz w:val="14"/>
                <w:szCs w:val="14"/>
                <w:color w:val="auto"/>
              </w:rPr>
              <w:t>Total</w:t>
            </w:r>
          </w:p>
        </w:tc>
        <w:tc>
          <w:tcPr>
            <w:tcW w:w="8140" w:type="dxa"/>
            <w:vAlign w:val="bottom"/>
            <w:gridSpan w:val="4"/>
          </w:tcPr>
          <w:p>
            <w:pPr>
              <w:jc w:val="right"/>
              <w:ind w:right="20"/>
              <w:spacing w:after="0"/>
              <w:rPr>
                <w:sz w:val="20"/>
                <w:szCs w:val="20"/>
                <w:color w:val="auto"/>
              </w:rPr>
            </w:pPr>
            <w:r>
              <w:rPr>
                <w:rFonts w:ascii="Arial" w:cs="Arial" w:eastAsia="Arial" w:hAnsi="Arial"/>
                <w:sz w:val="14"/>
                <w:szCs w:val="14"/>
                <w:color w:val="auto"/>
              </w:rPr>
              <w:t>352,661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520" w:type="dxa"/>
            <w:vAlign w:val="bottom"/>
            <w:vMerge w:val="restart"/>
          </w:tcPr>
          <w:p>
            <w:pPr>
              <w:jc w:val="right"/>
              <w:ind w:right="3949"/>
              <w:spacing w:after="0"/>
              <w:rPr>
                <w:sz w:val="20"/>
                <w:szCs w:val="20"/>
                <w:color w:val="auto"/>
              </w:rPr>
            </w:pPr>
            <w:r>
              <w:rPr>
                <w:rFonts w:ascii="Arial" w:cs="Arial" w:eastAsia="Arial" w:hAnsi="Arial"/>
                <w:sz w:val="14"/>
                <w:szCs w:val="14"/>
                <w:color w:val="auto"/>
              </w:rPr>
              <w:t>121</w:t>
            </w:r>
          </w:p>
        </w:tc>
        <w:tc>
          <w:tcPr>
            <w:tcW w:w="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34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Administration</w:t>
      </w:r>
    </w:p>
    <w:p>
      <w:pPr>
        <w:spacing w:after="0" w:line="79"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Generally, the compensation committee, or the committee, will administer the equity incentive plan and will designate those persons who will be granted awards and the amount, type and other terms and conditions of the awards. The committee will have full authority to administer the equity incentive plan, including the authority to interpret and construe any provision in the plan and the terms of any award agreement and to adopt such rules and regulations for administering the plan that it may deem necessary or appropriate. Pursuant to this authority, on or after the date of grant of an award, the committee may:</w:t>
      </w:r>
    </w:p>
    <w:p>
      <w:pPr>
        <w:spacing w:after="0" w:line="41" w:lineRule="exact"/>
        <w:rPr>
          <w:sz w:val="20"/>
          <w:szCs w:val="20"/>
          <w:color w:val="auto"/>
        </w:rPr>
      </w:pPr>
    </w:p>
    <w:p>
      <w:pPr>
        <w:ind w:left="780" w:hanging="240"/>
        <w:spacing w:after="0"/>
        <w:tabs>
          <w:tab w:leader="none" w:pos="7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accelerate the date on which the award becomes vested, exercisable or transferable;</w:t>
      </w:r>
    </w:p>
    <w:p>
      <w:pPr>
        <w:spacing w:after="0" w:line="79" w:lineRule="exact"/>
        <w:rPr>
          <w:rFonts w:ascii="Arial" w:cs="Arial" w:eastAsia="Arial" w:hAnsi="Arial"/>
          <w:sz w:val="14"/>
          <w:szCs w:val="14"/>
          <w:color w:val="auto"/>
        </w:rPr>
      </w:pPr>
    </w:p>
    <w:p>
      <w:pPr>
        <w:ind w:left="780" w:right="80" w:hanging="240"/>
        <w:spacing w:after="0" w:line="289" w:lineRule="auto"/>
        <w:tabs>
          <w:tab w:leader="none" w:pos="7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extend the term of any award, including, without limitation, extending the period following termination of a participant’s service with us or our affiliates during which the incentive award may remain outstanding;</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waive any conditions to the vesting, exercisability or transferability of an award; or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provide for the payment of dividends or dividend equivalents with respect to an award.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Significant Features of Incentive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description of the significant terms we expect to apply to each type of award issued under the equity incentive plan:</w:t>
      </w:r>
    </w:p>
    <w:p>
      <w:pPr>
        <w:spacing w:after="0" w:line="79" w:lineRule="exact"/>
        <w:rPr>
          <w:sz w:val="20"/>
          <w:szCs w:val="20"/>
          <w:color w:val="auto"/>
        </w:rPr>
      </w:pPr>
    </w:p>
    <w:p>
      <w:pPr>
        <w:ind w:right="40" w:firstLine="458"/>
        <w:spacing w:after="0" w:line="264" w:lineRule="auto"/>
        <w:rPr>
          <w:sz w:val="20"/>
          <w:szCs w:val="20"/>
          <w:color w:val="auto"/>
        </w:rPr>
      </w:pPr>
      <w:r>
        <w:rPr>
          <w:rFonts w:ascii="Arial" w:cs="Arial" w:eastAsia="Arial" w:hAnsi="Arial"/>
          <w:sz w:val="14"/>
          <w:szCs w:val="14"/>
          <w:i w:val="1"/>
          <w:iCs w:val="1"/>
          <w:color w:val="auto"/>
        </w:rPr>
        <w:t>Options and Stock Appreciation Rights</w:t>
      </w:r>
      <w:r>
        <w:rPr>
          <w:rFonts w:ascii="Arial" w:cs="Arial" w:eastAsia="Arial" w:hAnsi="Arial"/>
          <w:sz w:val="14"/>
          <w:szCs w:val="14"/>
          <w:color w:val="auto"/>
        </w:rPr>
        <w:t>. Each option will entitle the holder to purchase a specified number of shares at a specified exercise price. Each option agreement will specify whether the</w:t>
      </w:r>
      <w:r>
        <w:rPr>
          <w:rFonts w:ascii="Arial" w:cs="Arial" w:eastAsia="Arial" w:hAnsi="Arial"/>
          <w:sz w:val="14"/>
          <w:szCs w:val="14"/>
          <w:i w:val="1"/>
          <w:iCs w:val="1"/>
          <w:color w:val="auto"/>
        </w:rPr>
        <w:t xml:space="preserve"> </w:t>
      </w:r>
      <w:r>
        <w:rPr>
          <w:rFonts w:ascii="Arial" w:cs="Arial" w:eastAsia="Arial" w:hAnsi="Arial"/>
          <w:sz w:val="14"/>
          <w:szCs w:val="14"/>
          <w:color w:val="auto"/>
        </w:rPr>
        <w:t>option is an “incentive stock</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option” or “ISO” (within the meaning of Section 422 of the Internal Revenue Code of 1986, as amended, or the Code) or a nonqualified stock option. Each stock appreciation right will entitle the holder to receive, upon exercise, the excess of the fair market value of a share at the time of exercise over the base price of the stock appreciation right multiplied by the specified number of shares to which the stock appreciation right is being exercised. The exercise or base price of each option and stock appreciation right will be at least 100% of the fair market value of a share on the date the award is granted. The term of any option or stock appreciation right will not exceed ten years, except for substituted awards and the option or stock appreciation right will vest over a period determined by the committee. Each option or stock appreciation right agreement will specify the consequences to the award with respect to a termination of service with us and our affiliates.</w:t>
      </w:r>
    </w:p>
    <w:p>
      <w:pPr>
        <w:spacing w:after="0" w:line="97" w:lineRule="exact"/>
        <w:rPr>
          <w:sz w:val="20"/>
          <w:szCs w:val="20"/>
          <w:color w:val="auto"/>
        </w:rPr>
      </w:pPr>
    </w:p>
    <w:p>
      <w:pPr>
        <w:jc w:val="both"/>
        <w:ind w:right="220" w:firstLine="458"/>
        <w:spacing w:after="0" w:line="275" w:lineRule="auto"/>
        <w:rPr>
          <w:sz w:val="20"/>
          <w:szCs w:val="20"/>
          <w:color w:val="auto"/>
        </w:rPr>
      </w:pPr>
      <w:r>
        <w:rPr>
          <w:rFonts w:ascii="Arial" w:cs="Arial" w:eastAsia="Arial" w:hAnsi="Arial"/>
          <w:sz w:val="14"/>
          <w:szCs w:val="14"/>
          <w:i w:val="1"/>
          <w:iCs w:val="1"/>
          <w:color w:val="auto"/>
        </w:rPr>
        <w:t xml:space="preserve">Restricted Stock and Restricted Stock Units. </w:t>
      </w:r>
      <w:r>
        <w:rPr>
          <w:rFonts w:ascii="Arial" w:cs="Arial" w:eastAsia="Arial" w:hAnsi="Arial"/>
          <w:sz w:val="14"/>
          <w:szCs w:val="14"/>
          <w:color w:val="auto"/>
        </w:rPr>
        <w:t>The committee may grant a restricted stock award, which is a grant of actual shares subject to a risk of forfeiture and restrictions on transfer.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may also grant an award of restricted stock units, a contractual commitment to deliver shares at a future date. The terms and conditions of any restricted stock award or award of restricted stock units will be determined by the committee.</w:t>
      </w:r>
    </w:p>
    <w:p>
      <w:pPr>
        <w:spacing w:after="0" w:line="102" w:lineRule="exact"/>
        <w:rPr>
          <w:sz w:val="20"/>
          <w:szCs w:val="20"/>
          <w:color w:val="auto"/>
        </w:rPr>
      </w:pPr>
    </w:p>
    <w:p>
      <w:pPr>
        <w:ind w:right="360" w:firstLine="458"/>
        <w:spacing w:after="0" w:line="305" w:lineRule="auto"/>
        <w:rPr>
          <w:sz w:val="20"/>
          <w:szCs w:val="20"/>
          <w:color w:val="auto"/>
        </w:rPr>
      </w:pPr>
      <w:r>
        <w:rPr>
          <w:rFonts w:ascii="Arial" w:cs="Arial" w:eastAsia="Arial" w:hAnsi="Arial"/>
          <w:sz w:val="13"/>
          <w:szCs w:val="13"/>
          <w:i w:val="1"/>
          <w:iCs w:val="1"/>
          <w:color w:val="auto"/>
        </w:rPr>
        <w:t xml:space="preserve">Other Stock-Based Awards. </w:t>
      </w:r>
      <w:r>
        <w:rPr>
          <w:rFonts w:ascii="Arial" w:cs="Arial" w:eastAsia="Arial" w:hAnsi="Arial"/>
          <w:sz w:val="13"/>
          <w:szCs w:val="13"/>
          <w:color w:val="auto"/>
        </w:rPr>
        <w:t>The committee may grant other types of stock-based awards in such amounts and subject to such terms and conditions as the committee determines. Each such</w:t>
      </w:r>
      <w:r>
        <w:rPr>
          <w:rFonts w:ascii="Arial" w:cs="Arial" w:eastAsia="Arial" w:hAnsi="Arial"/>
          <w:sz w:val="13"/>
          <w:szCs w:val="13"/>
          <w:i w:val="1"/>
          <w:iCs w:val="1"/>
          <w:color w:val="auto"/>
        </w:rPr>
        <w:t xml:space="preserve"> </w:t>
      </w:r>
      <w:r>
        <w:rPr>
          <w:rFonts w:ascii="Arial" w:cs="Arial" w:eastAsia="Arial" w:hAnsi="Arial"/>
          <w:sz w:val="13"/>
          <w:szCs w:val="13"/>
          <w:color w:val="auto"/>
        </w:rPr>
        <w:t>award may, among other things, (i) involve the transfer of actual shares, either at the time of grant or thereafter, or payment in cash of amounts based on the value of shares; (ii) be subject to performance-based and/or service-based conditions; and (iii) be in the form of phantom stock, performance shares, deferred share units or other full value stock awards.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Performance-Based Awards</w:t>
      </w:r>
    </w:p>
    <w:p>
      <w:pPr>
        <w:spacing w:after="0" w:line="79"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The committee may grant awards that are intended to qualify as performance-based compensation under Section 162(m) of the Code. The performance goals upon which the payment or vesting of any award that is intended to qualify as performance-based compensation may relate to one or more specified performance measures.</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Performance periods may not be less than one fiscal year of NCM Inc. and may be overlapping periods. The committee will establish (i) performance goals for each performance period;</w:t>
      </w:r>
    </w:p>
    <w:p>
      <w:pPr>
        <w:spacing w:after="0" w:line="20" w:lineRule="exact"/>
        <w:rPr>
          <w:sz w:val="20"/>
          <w:szCs w:val="20"/>
          <w:color w:val="auto"/>
        </w:rPr>
      </w:pPr>
    </w:p>
    <w:p>
      <w:pPr>
        <w:ind w:left="5620" w:right="2480" w:hanging="5613"/>
        <w:spacing w:after="0" w:line="460" w:lineRule="auto"/>
        <w:tabs>
          <w:tab w:leader="none" w:pos="209" w:val="left"/>
        </w:tabs>
        <w:numPr>
          <w:ilvl w:val="0"/>
          <w:numId w:val="77"/>
        </w:numPr>
        <w:rPr>
          <w:rFonts w:ascii="Arial" w:cs="Arial" w:eastAsia="Arial" w:hAnsi="Arial"/>
          <w:sz w:val="14"/>
          <w:szCs w:val="14"/>
          <w:color w:val="auto"/>
        </w:rPr>
      </w:pPr>
      <w:r>
        <w:rPr>
          <w:rFonts w:ascii="Arial" w:cs="Arial" w:eastAsia="Arial" w:hAnsi="Arial"/>
          <w:sz w:val="14"/>
          <w:szCs w:val="14"/>
          <w:color w:val="auto"/>
        </w:rPr>
        <w:t>target awards for each participant; and (iii) an objective method for determining the applicable performance percentage to be applied to each target award. 122</w:t>
      </w:r>
    </w:p>
    <w:p>
      <w:pPr>
        <w:sectPr>
          <w:pgSz w:w="11900" w:h="16838" w:orient="portrait"/>
          <w:cols w:equalWidth="0" w:num="1">
            <w:col w:w="11460"/>
          </w:cols>
          <w:pgMar w:left="220" w:top="398" w:right="21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Tax Withholding</w:t>
      </w:r>
    </w:p>
    <w:p>
      <w:pPr>
        <w:spacing w:after="0" w:line="79"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The plan will provide that participants may elect to satisfy certain federal state or local income tax withholding requirements by remitting to us cash or, subject to certain conditions, shares or by instructing us to withhold shares payable to the participant.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Amendment and Termination</w:t>
      </w:r>
    </w:p>
    <w:p>
      <w:pPr>
        <w:spacing w:after="0" w:line="79"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Our board of directors may amend, suspend, discontinue, or terminate the equity incentive plan or the committee’s authority to grant awards under the equity incentive plan in any respect, except that, to the extent that any applicable law, regulation or rule of a stock exchange requires stockholder approval for any revision or amendment to be effective, the revision or amendment will not be effective without stockholder approval. We will not make any grants under the equity incentive plan following the tenth anniversary of the date the plan becomes effective, but awards outstanding at that time will continue in accordance with their terms.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Federal Income Tax Consequences</w:t>
      </w:r>
    </w:p>
    <w:p>
      <w:pPr>
        <w:spacing w:after="0" w:line="79"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The following is intended only as a brief summary of the material U.S. federal income tax consequences of the equity incentive plan. The tax consequences to a participant will generally depend upon the type of award issued to the participant. In general, if a participant recognizes ordinary income in connection with the grant, vesting or exercise of an award, we will be entitled to a corresponding deduction equal to the amount of the income recognized by the participant. This summary does not address the effects of other federal taxes (including possible “golden parachute” excise taxes) or taxes imposed under state, local or foreign tax laws.</w:t>
      </w:r>
    </w:p>
    <w:p>
      <w:pPr>
        <w:spacing w:after="0" w:line="106" w:lineRule="exact"/>
        <w:rPr>
          <w:sz w:val="20"/>
          <w:szCs w:val="20"/>
          <w:color w:val="auto"/>
        </w:rPr>
      </w:pPr>
    </w:p>
    <w:p>
      <w:pPr>
        <w:ind w:right="40" w:firstLine="458"/>
        <w:spacing w:after="0" w:line="287" w:lineRule="auto"/>
        <w:rPr>
          <w:sz w:val="20"/>
          <w:szCs w:val="20"/>
          <w:color w:val="auto"/>
        </w:rPr>
      </w:pPr>
      <w:r>
        <w:rPr>
          <w:rFonts w:ascii="Arial" w:cs="Arial" w:eastAsia="Arial" w:hAnsi="Arial"/>
          <w:sz w:val="13"/>
          <w:szCs w:val="13"/>
          <w:i w:val="1"/>
          <w:iCs w:val="1"/>
          <w:color w:val="auto"/>
        </w:rPr>
        <w:t xml:space="preserve">Options and Stock Appreciation Rights. </w:t>
      </w:r>
      <w:r>
        <w:rPr>
          <w:rFonts w:ascii="Arial" w:cs="Arial" w:eastAsia="Arial" w:hAnsi="Arial"/>
          <w:sz w:val="13"/>
          <w:szCs w:val="13"/>
          <w:color w:val="auto"/>
        </w:rPr>
        <w:t>In general, a participant does not have taxable income upon the grant of an option or a stock appreciation right. The participant will recognize ordinary</w:t>
      </w:r>
      <w:r>
        <w:rPr>
          <w:rFonts w:ascii="Arial" w:cs="Arial" w:eastAsia="Arial" w:hAnsi="Arial"/>
          <w:sz w:val="13"/>
          <w:szCs w:val="13"/>
          <w:i w:val="1"/>
          <w:iCs w:val="1"/>
          <w:color w:val="auto"/>
        </w:rPr>
        <w:t xml:space="preserve"> </w:t>
      </w:r>
      <w:r>
        <w:rPr>
          <w:rFonts w:ascii="Arial" w:cs="Arial" w:eastAsia="Arial" w:hAnsi="Arial"/>
          <w:sz w:val="13"/>
          <w:szCs w:val="13"/>
          <w:color w:val="auto"/>
        </w:rPr>
        <w:t>income upon exercise of a nonqualified stock option equal to the excess of the fair market value of shares acquired on exercise over the aggregate option price for the shares. Upon exercising a stock appreciation right, the participant will recognize ordinary income equal to the cash or fair market value of the shares received. A participant will not recognize ordinary income upon exercise of an ISO, except that the alternative minimum tax may apply. If a participant disposes of shares acquired upon exercise of an ISO before the end of the applicable holding periods, the participant will recognize ordinary income. Otherwise, a sale of shares acquired by exercise of an option or a stock appreciation right generally will result in short-term or long-term capital gain or loss measured by the difference between the sale price and the participant’s tax basis in the shares. We normally can claim a tax deduction equal to the amount recognized as ordinary income by a participant in connection with an option or stock appreciation right, but no tax deduction relating to a participant’s capital gains. We will not be entitled to any tax deduction with respect to an ISO if the participant holds the shares for the applicable ISO holding periods before selling or transferring the shares.</w:t>
      </w:r>
    </w:p>
    <w:p>
      <w:pPr>
        <w:spacing w:after="0" w:line="100" w:lineRule="exact"/>
        <w:rPr>
          <w:sz w:val="20"/>
          <w:szCs w:val="20"/>
          <w:color w:val="auto"/>
        </w:rPr>
      </w:pPr>
    </w:p>
    <w:p>
      <w:pPr>
        <w:ind w:right="20" w:firstLine="458"/>
        <w:spacing w:after="0" w:line="322" w:lineRule="auto"/>
        <w:rPr>
          <w:sz w:val="20"/>
          <w:szCs w:val="20"/>
          <w:color w:val="auto"/>
        </w:rPr>
      </w:pPr>
      <w:r>
        <w:rPr>
          <w:rFonts w:ascii="Arial" w:cs="Arial" w:eastAsia="Arial" w:hAnsi="Arial"/>
          <w:sz w:val="12"/>
          <w:szCs w:val="12"/>
          <w:i w:val="1"/>
          <w:iCs w:val="1"/>
          <w:color w:val="auto"/>
        </w:rPr>
        <w:t xml:space="preserve">Restricted Stock, Restricted Stock Units and Other Stock-Based Awards. </w:t>
      </w:r>
      <w:r>
        <w:rPr>
          <w:rFonts w:ascii="Arial" w:cs="Arial" w:eastAsia="Arial" w:hAnsi="Arial"/>
          <w:sz w:val="12"/>
          <w:szCs w:val="12"/>
          <w:color w:val="auto"/>
        </w:rPr>
        <w:t>If an award is subject to a restriction on transferability and a substantial risk of forfeiture (for example, restricted stock),</w:t>
      </w:r>
      <w:r>
        <w:rPr>
          <w:rFonts w:ascii="Arial" w:cs="Arial" w:eastAsia="Arial" w:hAnsi="Arial"/>
          <w:sz w:val="12"/>
          <w:szCs w:val="12"/>
          <w:i w:val="1"/>
          <w:iCs w:val="1"/>
          <w:color w:val="auto"/>
        </w:rPr>
        <w:t xml:space="preserve"> </w:t>
      </w:r>
      <w:r>
        <w:rPr>
          <w:rFonts w:ascii="Arial" w:cs="Arial" w:eastAsia="Arial" w:hAnsi="Arial"/>
          <w:sz w:val="12"/>
          <w:szCs w:val="12"/>
          <w:color w:val="auto"/>
        </w:rPr>
        <w:t>the participant generally must recognize ordinary income equal to the fair market value of the transferred amounts at the earliest time either the transferability restriction or risk of forfeiture lapses. If an award has no restriction on transferability or is not subject to a substantial risk of forfeiture, the participant generally must recognize ordinary income equal to the cash or the fair market value of shares received. We can ordinarily claim a tax deduction in an amount equal to the ordinary income recognized by the participant, except as discussed below regarding Section 162(m). A participant may irrevocably elect to accelerate the taxable income to the time of grant of restricted stock rather than upon lapse of restrictions on transferability or the risk of forfeiture (Section 83(b) election).</w:t>
      </w:r>
    </w:p>
    <w:p>
      <w:pPr>
        <w:spacing w:after="0" w:line="80" w:lineRule="exact"/>
        <w:rPr>
          <w:sz w:val="20"/>
          <w:szCs w:val="20"/>
          <w:color w:val="auto"/>
        </w:rPr>
      </w:pPr>
    </w:p>
    <w:p>
      <w:pPr>
        <w:ind w:right="580" w:firstLine="458"/>
        <w:spacing w:after="0" w:line="289" w:lineRule="auto"/>
        <w:rPr>
          <w:sz w:val="20"/>
          <w:szCs w:val="20"/>
          <w:color w:val="auto"/>
        </w:rPr>
      </w:pPr>
      <w:r>
        <w:rPr>
          <w:rFonts w:ascii="Arial" w:cs="Arial" w:eastAsia="Arial" w:hAnsi="Arial"/>
          <w:sz w:val="14"/>
          <w:szCs w:val="14"/>
          <w:i w:val="1"/>
          <w:iCs w:val="1"/>
          <w:color w:val="auto"/>
        </w:rPr>
        <w:t xml:space="preserve">Section 409A. </w:t>
      </w:r>
      <w:r>
        <w:rPr>
          <w:rFonts w:ascii="Arial" w:cs="Arial" w:eastAsia="Arial" w:hAnsi="Arial"/>
          <w:sz w:val="14"/>
          <w:szCs w:val="14"/>
          <w:color w:val="auto"/>
        </w:rPr>
        <w:t>Section 409A of the Code imposes election, payment and funding requirements on “nonqualified deferred compensation” plans. If a nonqualified deferred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arrangement subject to Section 409A of the Code fails to meet, or is not operated in accordance with, the requirements of Section 409A,</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60"/>
          </w:cols>
          <w:pgMar w:left="220" w:top="399" w:right="21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then compensation deferred under the arrangement may become immediately taxable and subject to a 20% additional tax. Certain awards that may be issued under the plan may constitute a “deferral of compensation” subject to the requirements of Section 409A of the Code.</w:t>
      </w:r>
    </w:p>
    <w:p>
      <w:pPr>
        <w:spacing w:after="0" w:line="93" w:lineRule="exact"/>
        <w:rPr>
          <w:sz w:val="20"/>
          <w:szCs w:val="20"/>
          <w:color w:val="auto"/>
        </w:rPr>
      </w:pPr>
    </w:p>
    <w:p>
      <w:pPr>
        <w:ind w:right="60" w:firstLine="458"/>
        <w:spacing w:after="0" w:line="297" w:lineRule="auto"/>
        <w:rPr>
          <w:sz w:val="20"/>
          <w:szCs w:val="20"/>
          <w:color w:val="auto"/>
        </w:rPr>
      </w:pPr>
      <w:r>
        <w:rPr>
          <w:rFonts w:ascii="Arial" w:cs="Arial" w:eastAsia="Arial" w:hAnsi="Arial"/>
          <w:sz w:val="13"/>
          <w:szCs w:val="13"/>
          <w:i w:val="1"/>
          <w:iCs w:val="1"/>
          <w:color w:val="auto"/>
        </w:rPr>
        <w:t xml:space="preserve">Section 162(m). </w:t>
      </w:r>
      <w:r>
        <w:rPr>
          <w:rFonts w:ascii="Arial" w:cs="Arial" w:eastAsia="Arial" w:hAnsi="Arial"/>
          <w:sz w:val="13"/>
          <w:szCs w:val="13"/>
          <w:color w:val="auto"/>
        </w:rPr>
        <w:t>Compensation that qualifies as “performance-based” compensation is excluded from the $1 million deduction limitation of Section 162(m) of the Code. Under the equity</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options and stock appreciation rights granted with an exercise price at least equal to 100% of the fair market value of the underlying shares on the date of grant and certain other awards that are conditioned upon achievement of performance goals are intended to qualify as “performance-based” compensation. A number of requirements must be met in order for particular compensation to qualify, and we cannot assure you that compensation under the equity incentive plan will be fully deductible by us under all circumstances.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Substitution of NCM LLC Options and Restricted Units</w:t>
      </w:r>
    </w:p>
    <w:p>
      <w:pPr>
        <w:spacing w:after="0" w:line="79" w:lineRule="exact"/>
        <w:rPr>
          <w:sz w:val="20"/>
          <w:szCs w:val="20"/>
          <w:color w:val="auto"/>
        </w:rPr>
      </w:pPr>
    </w:p>
    <w:p>
      <w:pPr>
        <w:ind w:right="220" w:firstLine="458"/>
        <w:spacing w:after="0" w:line="275" w:lineRule="auto"/>
        <w:rPr>
          <w:sz w:val="20"/>
          <w:szCs w:val="20"/>
          <w:color w:val="auto"/>
        </w:rPr>
      </w:pPr>
      <w:r>
        <w:rPr>
          <w:rFonts w:ascii="Arial" w:cs="Arial" w:eastAsia="Arial" w:hAnsi="Arial"/>
          <w:sz w:val="14"/>
          <w:szCs w:val="14"/>
          <w:color w:val="auto"/>
        </w:rPr>
        <w:t>NCM LLC has issued to its employees, options to purchase common membership units of NCM LLC. In connection with this offering, NCM LLC anticipates issuing restricted units as “IPO awards” to holders of outstanding unit options. Upon completion of this offering, we will issue stock options to holders of outstanding unit options in substitution of the NCM LLC unit options and shares of restricted stock in substitution of the NCM LLC restricted units under the following terms and conditions:</w:t>
      </w:r>
    </w:p>
    <w:p>
      <w:pPr>
        <w:spacing w:after="0" w:line="37" w:lineRule="exact"/>
        <w:rPr>
          <w:sz w:val="20"/>
          <w:szCs w:val="20"/>
          <w:color w:val="auto"/>
        </w:rPr>
      </w:pPr>
    </w:p>
    <w:p>
      <w:pPr>
        <w:ind w:left="780" w:hanging="240"/>
        <w:spacing w:after="0"/>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individual’s rights with respect to the NCM LLC unit option and restricted units will be cancelled;</w:t>
      </w:r>
    </w:p>
    <w:p>
      <w:pPr>
        <w:spacing w:after="0" w:line="79" w:lineRule="exact"/>
        <w:rPr>
          <w:rFonts w:ascii="Arial" w:cs="Arial" w:eastAsia="Arial" w:hAnsi="Arial"/>
          <w:sz w:val="14"/>
          <w:szCs w:val="14"/>
          <w:color w:val="auto"/>
        </w:rPr>
      </w:pPr>
    </w:p>
    <w:p>
      <w:pPr>
        <w:ind w:left="780" w:right="160" w:hanging="240"/>
        <w:spacing w:after="0" w:line="289" w:lineRule="auto"/>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total spread (the excess of the aggregate fair market value of the units subject to the option over the aggregate option exercise price) of the option after substitution cannot exceed the total spread of the option that existed immediately prior to the substitution (the “spread test”);</w:t>
      </w:r>
    </w:p>
    <w:p>
      <w:pPr>
        <w:spacing w:after="0" w:line="27"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on a share by share comparison, the ratio of the option exercise price to the fair market value of the shares subject to the option immediately after the substitution cannot be greater than the ratio of the option exercise price to the fair market value of the units subject to the option that existed immediately prior to the substitution (the “ratio test”);</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substituted option must contain all of the terms of the unit option, except to the extent such terms are rendered inoperative by the corporate transaction;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substituted option must not provide the option holder with additional benefits that the option holder did not have under the unit option.</w:t>
      </w:r>
    </w:p>
    <w:p>
      <w:pPr>
        <w:spacing w:after="0" w:line="145"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color w:val="auto"/>
        </w:rPr>
        <w:t>We will provide an option substitution agreement to each NCM LLC option holder that sets forth the terms and conditions related to the substitution of the option. We will provide a restricted stock agreement with each NCM LLC restricted unit holder that sets forth the terms and conditions related to the substitution of the restricted stock for the restricted units.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Benefits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 of our named executive officers participate in or have account balances in qualified or non-qualified defined benefit plans sponsored by us.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Nonqualified Deferred Compensation</w:t>
      </w:r>
    </w:p>
    <w:p>
      <w:pPr>
        <w:spacing w:after="0" w:line="83" w:lineRule="exact"/>
        <w:rPr>
          <w:sz w:val="20"/>
          <w:szCs w:val="20"/>
          <w:color w:val="auto"/>
        </w:rPr>
      </w:pPr>
    </w:p>
    <w:p>
      <w:pPr>
        <w:ind w:right="300" w:firstLine="458"/>
        <w:spacing w:after="0" w:line="305" w:lineRule="auto"/>
        <w:rPr>
          <w:sz w:val="20"/>
          <w:szCs w:val="20"/>
          <w:color w:val="auto"/>
        </w:rPr>
      </w:pPr>
      <w:r>
        <w:rPr>
          <w:rFonts w:ascii="Arial" w:cs="Arial" w:eastAsia="Arial" w:hAnsi="Arial"/>
          <w:sz w:val="13"/>
          <w:szCs w:val="13"/>
          <w:color w:val="auto"/>
        </w:rPr>
        <w:t>None of our named executive officers participate in or have account balances in non-qualified defined contribution plans or other deferred compensation plans maintained by us. The compensation committee, which will be comprised solely of “outside directors” as defined for purposes of Section 162(m) of the Internal Revenue Code, may elect to provide our officers and other employees with non-qualified defined contribution or deferred compensation benefits if the compensation committee determines that doing so is in our best interests.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60"/>
          </w:cols>
          <w:pgMar w:left="220" w:top="398" w:right="21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 Plans</w:t>
      </w:r>
    </w:p>
    <w:p>
      <w:pPr>
        <w:spacing w:after="0" w:line="83" w:lineRule="exact"/>
        <w:rPr>
          <w:sz w:val="20"/>
          <w:szCs w:val="20"/>
          <w:color w:val="auto"/>
        </w:rPr>
      </w:pPr>
    </w:p>
    <w:p>
      <w:pPr>
        <w:ind w:right="520" w:firstLine="458"/>
        <w:spacing w:after="0" w:line="378" w:lineRule="auto"/>
        <w:rPr>
          <w:sz w:val="20"/>
          <w:szCs w:val="20"/>
          <w:color w:val="auto"/>
        </w:rPr>
      </w:pPr>
      <w:r>
        <w:rPr>
          <w:rFonts w:ascii="Arial" w:cs="Arial" w:eastAsia="Arial" w:hAnsi="Arial"/>
          <w:sz w:val="12"/>
          <w:szCs w:val="12"/>
          <w:color w:val="auto"/>
        </w:rPr>
        <w:t>Our employees, including our named executive officers, are entitled to various employee benefits. These benefits include the following: medical and dental insurance; flexible spending accounts for healthcare; life, accidental death and dismemberment and disability insurance; employee assistance programs (confidential counseling); a 401(k) plan; and paid time off.</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401(k) Plan</w:t>
      </w:r>
    </w:p>
    <w:p>
      <w:pPr>
        <w:spacing w:after="0" w:line="79"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We will offer a 401(k) plan to eligible employees as part of a 401(k) plan administered by NCM LLC. Under the plan, employee participants, including our named executive officers, may contribute up to 20% of their compensation, subject to Internal Revenue Code limitations. Employee contributions may be made after six months of service, and are invested in various investment funds based upon elections made by the employee. We may make discretionary matching contributions to the plan.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Payments Upon Termination or Change of Control</w:t>
      </w:r>
    </w:p>
    <w:p>
      <w:pPr>
        <w:spacing w:after="0" w:line="83" w:lineRule="exact"/>
        <w:rPr>
          <w:sz w:val="20"/>
          <w:szCs w:val="20"/>
          <w:color w:val="auto"/>
        </w:rPr>
      </w:pPr>
    </w:p>
    <w:p>
      <w:pPr>
        <w:ind w:right="120" w:firstLine="458"/>
        <w:spacing w:after="0" w:line="330" w:lineRule="auto"/>
        <w:rPr>
          <w:sz w:val="20"/>
          <w:szCs w:val="20"/>
          <w:color w:val="auto"/>
        </w:rPr>
      </w:pPr>
      <w:r>
        <w:rPr>
          <w:rFonts w:ascii="Arial" w:cs="Arial" w:eastAsia="Arial" w:hAnsi="Arial"/>
          <w:sz w:val="13"/>
          <w:szCs w:val="13"/>
          <w:color w:val="auto"/>
        </w:rPr>
        <w:t>The following summaries set forth potential payments payable to our named executive officers upon termination of their employment or a change of control of NCM Inc. under their employment agreements to be in effect following the completion of this offering and under the NCM Inc. 2007 Equity Incentive Plan. The following discussion is based on the following assumptions:</w:t>
      </w:r>
    </w:p>
    <w:p>
      <w:pPr>
        <w:spacing w:after="0" w:line="4" w:lineRule="exact"/>
        <w:rPr>
          <w:sz w:val="20"/>
          <w:szCs w:val="20"/>
          <w:color w:val="auto"/>
        </w:rPr>
      </w:pPr>
    </w:p>
    <w:p>
      <w:pPr>
        <w:ind w:left="780" w:hanging="240"/>
        <w:spacing w:after="0"/>
        <w:tabs>
          <w:tab w:leader="none" w:pos="7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actual bonus amount would be the target award amount reported as a non-equity incentive plan award in the “Grants of Plan Based Awards” table;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common stock price is $19.00.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Kurt C. Hall</w:t>
      </w:r>
    </w:p>
    <w:p>
      <w:pPr>
        <w:spacing w:after="0" w:line="79" w:lineRule="exact"/>
        <w:rPr>
          <w:sz w:val="20"/>
          <w:szCs w:val="20"/>
          <w:color w:val="auto"/>
        </w:rPr>
      </w:pPr>
    </w:p>
    <w:p>
      <w:pPr>
        <w:ind w:right="40" w:firstLine="458"/>
        <w:spacing w:after="0" w:line="284" w:lineRule="auto"/>
        <w:rPr>
          <w:sz w:val="20"/>
          <w:szCs w:val="20"/>
          <w:color w:val="auto"/>
        </w:rPr>
      </w:pPr>
      <w:r>
        <w:rPr>
          <w:rFonts w:ascii="Arial" w:cs="Arial" w:eastAsia="Arial" w:hAnsi="Arial"/>
          <w:sz w:val="13"/>
          <w:szCs w:val="13"/>
          <w:color w:val="auto"/>
        </w:rPr>
        <w:t>If Mr. Hall is terminated from NCM Inc., for reasons other than permanent disability, death or cause, he will be entitled to severance equal to two times his base salary paid over 24 months and a prorated portion of any bonus he would have received in the fiscal year in which his termination occurs paid at the same time bonuses are paid to other executives. Mr. Hall would also be entitled to continued coverage under any employee medical, health and life insurance plans for a 24-month period. If Mr. Hall resigns from NCM Inc. with good reason, as defined in the agreement, he will be entitled to severance equal to two times his base salary and one times his target bonus payable in a lump sum, and a prorated portion of any bonus he would have received in the fiscal year in which his resignation occurs paid at the same time bonuses are paid to other executives. Mr. Hall would also be entitled to continued coverage under any employee medical, health and life insurance plans for a 24-month period. If, within three months before or one year after a change of control, as defined in the agreement, Mr. Hall resigns for good reason or is terminated for reasons other than permanent disability, death or cause, he would be entitled to severance equal to two and one half times his base salary and two times his target bonus payable in a lump sum. Mr. Hall would also be entitled to a prorated portion of any bonus he would have received in the fiscal year in which the termination occurs paid at the same time bonuses are paid to other executives, and would also be entitled to continued coverage under any employee medical, health and life insurance plans for a 30-month period. If Mr. Hall terminates employment due to his death, his beneficiaries will receive his actual bonus for the year of his death prorated by the number of days until his death paid at the same time bonuses are paid to other executives and one year of continued medical benefits for his spouse and eligible dependents. If Mr. Hall terminates employment on account of his permanent disability, Mr. Hall will receive his actual bonus for the year prorated by the number of days until his termination of employment paid at the same time bonuses are paid to other executives and one year of continued medical benefits for his spouse and eligible dependents. Under the equity incentive plan, if within three months prior to or one year after the consummation of a change of control, as defined in the plan, Mr. Hall’s employment is terminated by NCM Inc., its affiliate or a successor in interest without cause or by Mr. Hall for good reason, both as defined in the plan, then all outstanding options shall become immediately exercisable and all other awards shall become vested and any restrictions will lapse.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60"/>
          </w:cols>
          <w:pgMar w:left="220" w:top="399" w:right="21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Hall’s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Accelerated</w:t>
            </w:r>
          </w:p>
        </w:tc>
        <w:tc>
          <w:tcPr>
            <w:tcW w:w="0" w:type="dxa"/>
            <w:vAlign w:val="bottom"/>
          </w:tcPr>
          <w:p>
            <w:pPr>
              <w:spacing w:after="0"/>
              <w:rPr>
                <w:sz w:val="1"/>
                <w:szCs w:val="1"/>
                <w:color w:val="auto"/>
              </w:rPr>
            </w:pPr>
          </w:p>
        </w:tc>
      </w:tr>
      <w:tr>
        <w:trPr>
          <w:trHeight w:val="120"/>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89"/>
              </w:rPr>
              <w:t>Medical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rPr>
              <w:t>Life</w:t>
            </w: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9"/>
              </w:rPr>
              <w:t>Cash</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92"/>
              </w:rPr>
              <w:t>Insurance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92"/>
              </w:rPr>
              <w:t>Insurance</w:t>
            </w: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Performance</w:t>
            </w:r>
          </w:p>
        </w:tc>
        <w:tc>
          <w:tcPr>
            <w:tcW w:w="0" w:type="dxa"/>
            <w:vAlign w:val="bottom"/>
          </w:tcPr>
          <w:p>
            <w:pPr>
              <w:spacing w:after="0"/>
              <w:rPr>
                <w:sz w:val="1"/>
                <w:szCs w:val="1"/>
                <w:color w:val="auto"/>
              </w:rPr>
            </w:pPr>
          </w:p>
        </w:tc>
      </w:tr>
      <w:tr>
        <w:trPr>
          <w:trHeight w:val="131"/>
        </w:trPr>
        <w:tc>
          <w:tcPr>
            <w:tcW w:w="5840" w:type="dxa"/>
            <w:vAlign w:val="bottom"/>
            <w:vMerge w:val="restart"/>
          </w:tcPr>
          <w:p>
            <w:pPr>
              <w:spacing w:after="0"/>
              <w:rPr>
                <w:sz w:val="20"/>
                <w:szCs w:val="20"/>
                <w:color w:val="auto"/>
              </w:rPr>
            </w:pPr>
            <w:r>
              <w:rPr>
                <w:rFonts w:ascii="Arial" w:cs="Arial" w:eastAsia="Arial" w:hAnsi="Arial"/>
                <w:sz w:val="14"/>
                <w:szCs w:val="14"/>
                <w:color w:val="auto"/>
              </w:rPr>
              <w:t>Without Cause</w:t>
            </w:r>
          </w:p>
        </w:tc>
        <w:tc>
          <w:tcPr>
            <w:tcW w:w="100" w:type="dxa"/>
            <w:vAlign w:val="bottom"/>
          </w:tcPr>
          <w:p>
            <w:pPr>
              <w:spacing w:after="0"/>
              <w:rPr>
                <w:sz w:val="11"/>
                <w:szCs w:val="11"/>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7"/>
              </w:rPr>
              <w:t>Severance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Bonus</w:t>
            </w:r>
          </w:p>
        </w:tc>
        <w:tc>
          <w:tcPr>
            <w:tcW w:w="220" w:type="dxa"/>
            <w:vAlign w:val="bottom"/>
          </w:tcPr>
          <w:p>
            <w:pPr>
              <w:spacing w:after="0"/>
              <w:rPr>
                <w:sz w:val="11"/>
                <w:szCs w:val="11"/>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1"/>
              </w:rPr>
              <w:t>Continuation</w:t>
            </w:r>
          </w:p>
        </w:tc>
        <w:tc>
          <w:tcPr>
            <w:tcW w:w="220" w:type="dxa"/>
            <w:vAlign w:val="bottom"/>
          </w:tcPr>
          <w:p>
            <w:pPr>
              <w:spacing w:after="0"/>
              <w:rPr>
                <w:sz w:val="11"/>
                <w:szCs w:val="11"/>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1"/>
              </w:rPr>
              <w:t>Continuation</w:t>
            </w:r>
          </w:p>
        </w:tc>
        <w:tc>
          <w:tcPr>
            <w:tcW w:w="8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58"/>
        </w:trPr>
        <w:tc>
          <w:tcPr>
            <w:tcW w:w="5840" w:type="dxa"/>
            <w:vAlign w:val="bottom"/>
            <w:vMerge w:val="continue"/>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1,250,000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625,000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27,535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center"/>
              <w:ind w:left="274"/>
              <w:spacing w:after="0" w:line="159" w:lineRule="exact"/>
              <w:rPr>
                <w:sz w:val="20"/>
                <w:szCs w:val="20"/>
                <w:color w:val="auto"/>
              </w:rPr>
            </w:pPr>
            <w:r>
              <w:rPr>
                <w:rFonts w:ascii="Arial" w:cs="Arial" w:eastAsia="Arial" w:hAnsi="Arial"/>
                <w:sz w:val="14"/>
                <w:szCs w:val="14"/>
                <w:color w:val="auto"/>
                <w:w w:val="91"/>
              </w:rPr>
              <w:t>2,701</w:t>
            </w:r>
          </w:p>
        </w:tc>
        <w:tc>
          <w:tcPr>
            <w:tcW w:w="44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1,165,589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40" w:type="dxa"/>
            <w:vAlign w:val="bottom"/>
          </w:tcPr>
          <w:p>
            <w:pPr>
              <w:spacing w:after="0"/>
              <w:rPr>
                <w:sz w:val="20"/>
                <w:szCs w:val="20"/>
                <w:color w:val="auto"/>
              </w:rPr>
            </w:pPr>
            <w:r>
              <w:rPr>
                <w:rFonts w:ascii="Arial" w:cs="Arial" w:eastAsia="Arial" w:hAnsi="Arial"/>
                <w:sz w:val="14"/>
                <w:szCs w:val="14"/>
                <w:color w:val="auto"/>
              </w:rPr>
              <w:t>For Good Reason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1,250,000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1,250,000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27,535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2,701</w:t>
            </w:r>
          </w:p>
        </w:tc>
        <w:tc>
          <w:tcPr>
            <w:tcW w:w="8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84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1,562,500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1,250,000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34,419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3,376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1,165,589</w:t>
            </w:r>
          </w:p>
        </w:tc>
        <w:tc>
          <w:tcPr>
            <w:tcW w:w="0" w:type="dxa"/>
            <w:vAlign w:val="bottom"/>
          </w:tcPr>
          <w:p>
            <w:pPr>
              <w:spacing w:after="0"/>
              <w:rPr>
                <w:sz w:val="1"/>
                <w:szCs w:val="1"/>
                <w:color w:val="auto"/>
              </w:rPr>
            </w:pPr>
          </w:p>
        </w:tc>
      </w:tr>
      <w:tr>
        <w:trPr>
          <w:trHeight w:val="175"/>
        </w:trPr>
        <w:tc>
          <w:tcPr>
            <w:tcW w:w="5840" w:type="dxa"/>
            <w:vAlign w:val="bottom"/>
          </w:tcPr>
          <w:p>
            <w:pPr>
              <w:spacing w:after="0"/>
              <w:rPr>
                <w:sz w:val="20"/>
                <w:szCs w:val="20"/>
                <w:color w:val="auto"/>
              </w:rPr>
            </w:pPr>
            <w:r>
              <w:rPr>
                <w:rFonts w:ascii="Arial" w:cs="Arial" w:eastAsia="Arial" w:hAnsi="Arial"/>
                <w:sz w:val="14"/>
                <w:szCs w:val="14"/>
                <w:color w:val="auto"/>
              </w:rPr>
              <w:t>Death</w:t>
            </w:r>
          </w:p>
        </w:tc>
        <w:tc>
          <w:tcPr>
            <w:tcW w:w="100" w:type="dxa"/>
            <w:vAlign w:val="bottom"/>
          </w:tcPr>
          <w:p>
            <w:pPr>
              <w:spacing w:after="0"/>
              <w:rPr>
                <w:sz w:val="15"/>
                <w:szCs w:val="15"/>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625,000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13,768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20"/>
                <w:szCs w:val="20"/>
                <w:color w:val="auto"/>
              </w:rPr>
            </w:pPr>
            <w:r>
              <w:rPr>
                <w:rFonts w:ascii="Arial" w:cs="Arial" w:eastAsia="Arial" w:hAnsi="Arial"/>
                <w:sz w:val="14"/>
                <w:szCs w:val="14"/>
                <w:color w:val="auto"/>
              </w:rPr>
              <w:t>Disability</w:t>
            </w:r>
          </w:p>
        </w:tc>
        <w:tc>
          <w:tcPr>
            <w:tcW w:w="100" w:type="dxa"/>
            <w:vAlign w:val="bottom"/>
          </w:tcPr>
          <w:p>
            <w:pPr>
              <w:spacing w:after="0"/>
              <w:rPr>
                <w:sz w:val="15"/>
                <w:szCs w:val="15"/>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625,000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13,768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Clifford E. Marks</w:t>
      </w:r>
    </w:p>
    <w:p>
      <w:pPr>
        <w:spacing w:after="0" w:line="79" w:lineRule="exact"/>
        <w:rPr>
          <w:sz w:val="20"/>
          <w:szCs w:val="20"/>
          <w:color w:val="auto"/>
        </w:rPr>
      </w:pPr>
    </w:p>
    <w:p>
      <w:pPr>
        <w:jc w:val="both"/>
        <w:ind w:right="40" w:firstLine="458"/>
        <w:spacing w:after="0" w:line="307" w:lineRule="auto"/>
        <w:rPr>
          <w:sz w:val="20"/>
          <w:szCs w:val="20"/>
          <w:color w:val="auto"/>
        </w:rPr>
      </w:pPr>
      <w:r>
        <w:rPr>
          <w:rFonts w:ascii="Arial" w:cs="Arial" w:eastAsia="Arial" w:hAnsi="Arial"/>
          <w:sz w:val="12"/>
          <w:szCs w:val="12"/>
          <w:color w:val="auto"/>
        </w:rPr>
        <w:t>If Mr. Marks is terminated from NCM Inc., for reasons other than disability, death or cause, as defined in the agreement, or if Mr. Marks resigns for good reason, as defined in the agreement, or his agreement is not renewed on substantially equal terms, he will be entitled to severance equal to the greater of (1) his base salary paid over the remaining existing term of the 24 month contract and a bonus equal to the last bonus paid per month applied against the remaining contract period or (2) one year of base salary plus 100% of the bonus amount paid for the last full year of employment. Mr.</w:t>
      </w:r>
    </w:p>
    <w:p>
      <w:pPr>
        <w:spacing w:after="0" w:line="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Marks would also be entitled to continued coverage under any employee benefit plans until the date he receives equivalent coverage but not longer than the period for which his base salary is paid after termination. Under the equity incentive plan, if within three months prior to or one year after the consummation of a change of control, as defined in the plan, Mr. Marks employment is terminated by NCM Inc., its affiliate or a successor in interest without cause or by Mr. Marks for good reason, both as defined in the plan, then all outstanding options and stock appreciation rights shall become immediately exercisable and all other awards shall become vested and any restrictions will lapse.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Marks’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Accelerated</w:t>
            </w: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94"/>
              </w:rPr>
              <w:t>Medical</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rPr>
              <w:t>Life</w:t>
            </w:r>
          </w:p>
        </w:tc>
        <w:tc>
          <w:tcPr>
            <w:tcW w:w="80" w:type="dxa"/>
            <w:vAlign w:val="bottom"/>
          </w:tcPr>
          <w:p>
            <w:pPr>
              <w:spacing w:after="0"/>
              <w:rPr>
                <w:sz w:val="10"/>
                <w:szCs w:val="10"/>
                <w:color w:val="auto"/>
              </w:rPr>
            </w:pPr>
          </w:p>
        </w:tc>
        <w:tc>
          <w:tcPr>
            <w:tcW w:w="68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94"/>
              <w:spacing w:after="0" w:line="121" w:lineRule="exact"/>
              <w:rPr>
                <w:sz w:val="20"/>
                <w:szCs w:val="20"/>
                <w:color w:val="auto"/>
              </w:rPr>
            </w:pPr>
            <w:r>
              <w:rPr>
                <w:rFonts w:ascii="Arial" w:cs="Arial" w:eastAsia="Arial" w:hAnsi="Arial"/>
                <w:sz w:val="11"/>
                <w:szCs w:val="11"/>
                <w:b w:val="1"/>
                <w:bCs w:val="1"/>
                <w:color w:val="auto"/>
              </w:rPr>
              <w:t>Cash</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34"/>
              <w:spacing w:after="0" w:line="121" w:lineRule="exact"/>
              <w:rPr>
                <w:sz w:val="20"/>
                <w:szCs w:val="20"/>
                <w:color w:val="auto"/>
              </w:rPr>
            </w:pPr>
            <w:r>
              <w:rPr>
                <w:rFonts w:ascii="Arial" w:cs="Arial" w:eastAsia="Arial" w:hAnsi="Arial"/>
                <w:sz w:val="11"/>
                <w:szCs w:val="11"/>
                <w:b w:val="1"/>
                <w:bCs w:val="1"/>
                <w:color w:val="auto"/>
                <w:w w:val="92"/>
              </w:rPr>
              <w:t>Insurance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w w:val="92"/>
              </w:rPr>
              <w:t>Insurance</w:t>
            </w:r>
          </w:p>
        </w:tc>
        <w:tc>
          <w:tcPr>
            <w:tcW w:w="76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92"/>
              </w:rPr>
              <w:t>Performance</w:t>
            </w:r>
          </w:p>
        </w:tc>
        <w:tc>
          <w:tcPr>
            <w:tcW w:w="0" w:type="dxa"/>
            <w:vAlign w:val="bottom"/>
          </w:tcPr>
          <w:p>
            <w:pPr>
              <w:spacing w:after="0"/>
              <w:rPr>
                <w:sz w:val="1"/>
                <w:szCs w:val="1"/>
                <w:color w:val="auto"/>
              </w:rPr>
            </w:pPr>
          </w:p>
        </w:tc>
      </w:tr>
      <w:tr>
        <w:trPr>
          <w:trHeight w:val="131"/>
        </w:trPr>
        <w:tc>
          <w:tcPr>
            <w:tcW w:w="5960" w:type="dxa"/>
            <w:vAlign w:val="bottom"/>
            <w:vMerge w:val="restart"/>
          </w:tcPr>
          <w:p>
            <w:pPr>
              <w:spacing w:after="0"/>
              <w:rPr>
                <w:sz w:val="20"/>
                <w:szCs w:val="20"/>
                <w:color w:val="auto"/>
              </w:rPr>
            </w:pPr>
            <w:r>
              <w:rPr>
                <w:rFonts w:ascii="Arial" w:cs="Arial" w:eastAsia="Arial" w:hAnsi="Arial"/>
                <w:sz w:val="14"/>
                <w:szCs w:val="14"/>
                <w:color w:val="auto"/>
              </w:rPr>
              <w:t>Without Cause or For Good Reason or Expiration of Agreement</w:t>
            </w:r>
          </w:p>
        </w:tc>
        <w:tc>
          <w:tcPr>
            <w:tcW w:w="100" w:type="dxa"/>
            <w:vAlign w:val="bottom"/>
          </w:tcPr>
          <w:p>
            <w:pPr>
              <w:spacing w:after="0"/>
              <w:rPr>
                <w:sz w:val="11"/>
                <w:szCs w:val="11"/>
                <w:color w:val="auto"/>
              </w:rPr>
            </w:pPr>
          </w:p>
        </w:tc>
        <w:tc>
          <w:tcPr>
            <w:tcW w:w="640" w:type="dxa"/>
            <w:vAlign w:val="bottom"/>
          </w:tcPr>
          <w:p>
            <w:pPr>
              <w:jc w:val="right"/>
              <w:ind w:right="74"/>
              <w:spacing w:after="0"/>
              <w:rPr>
                <w:sz w:val="20"/>
                <w:szCs w:val="20"/>
                <w:color w:val="auto"/>
              </w:rPr>
            </w:pPr>
            <w:r>
              <w:rPr>
                <w:rFonts w:ascii="Arial" w:cs="Arial" w:eastAsia="Arial" w:hAnsi="Arial"/>
                <w:sz w:val="11"/>
                <w:szCs w:val="11"/>
                <w:b w:val="1"/>
                <w:bCs w:val="1"/>
                <w:color w:val="auto"/>
                <w:w w:val="87"/>
              </w:rPr>
              <w:t>Severance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Bonus</w:t>
            </w:r>
          </w:p>
        </w:tc>
        <w:tc>
          <w:tcPr>
            <w:tcW w:w="22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Continuation</w:t>
            </w:r>
          </w:p>
        </w:tc>
        <w:tc>
          <w:tcPr>
            <w:tcW w:w="460" w:type="dxa"/>
            <w:vAlign w:val="bottom"/>
          </w:tcPr>
          <w:p>
            <w:pPr>
              <w:spacing w:after="0"/>
              <w:rPr>
                <w:sz w:val="11"/>
                <w:szCs w:val="11"/>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1"/>
              </w:rPr>
              <w:t>Continuation</w:t>
            </w:r>
          </w:p>
        </w:tc>
        <w:tc>
          <w:tcPr>
            <w:tcW w:w="8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158"/>
        </w:trPr>
        <w:tc>
          <w:tcPr>
            <w:tcW w:w="5960" w:type="dxa"/>
            <w:vAlign w:val="bottom"/>
            <w:vMerge w:val="continue"/>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99"/>
              </w:rPr>
              <w:t>1,181,250</w:t>
            </w:r>
          </w:p>
        </w:tc>
        <w:tc>
          <w:tcPr>
            <w:tcW w:w="46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ind w:left="60"/>
              <w:spacing w:after="0" w:line="159" w:lineRule="exact"/>
              <w:rPr>
                <w:sz w:val="20"/>
                <w:szCs w:val="20"/>
                <w:color w:val="auto"/>
              </w:rPr>
            </w:pPr>
            <w:r>
              <w:rPr>
                <w:rFonts w:ascii="Arial" w:cs="Arial" w:eastAsia="Arial" w:hAnsi="Arial"/>
                <w:sz w:val="14"/>
                <w:szCs w:val="14"/>
                <w:color w:val="auto"/>
                <w:w w:val="86"/>
              </w:rPr>
              <w:t>1,181,250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24,093</w:t>
            </w:r>
          </w:p>
        </w:tc>
        <w:tc>
          <w:tcPr>
            <w:tcW w:w="4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ind w:left="300"/>
              <w:spacing w:after="0" w:line="159" w:lineRule="exact"/>
              <w:rPr>
                <w:sz w:val="20"/>
                <w:szCs w:val="20"/>
                <w:color w:val="auto"/>
              </w:rPr>
            </w:pPr>
            <w:r>
              <w:rPr>
                <w:rFonts w:ascii="Arial" w:cs="Arial" w:eastAsia="Arial" w:hAnsi="Arial"/>
                <w:sz w:val="14"/>
                <w:szCs w:val="14"/>
                <w:color w:val="auto"/>
                <w:w w:val="85"/>
              </w:rPr>
              <w:t>2,552</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647,305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960" w:type="dxa"/>
            <w:vAlign w:val="bottom"/>
          </w:tcPr>
          <w:p>
            <w:pPr>
              <w:spacing w:after="0"/>
              <w:rPr>
                <w:sz w:val="20"/>
                <w:szCs w:val="20"/>
                <w:color w:val="auto"/>
              </w:rPr>
            </w:pPr>
            <w:r>
              <w:rPr>
                <w:rFonts w:ascii="Arial" w:cs="Arial" w:eastAsia="Arial" w:hAnsi="Arial"/>
                <w:sz w:val="14"/>
                <w:szCs w:val="14"/>
                <w:color w:val="auto"/>
              </w:rPr>
              <w:t>Death</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24,093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960" w:type="dxa"/>
            <w:vAlign w:val="bottom"/>
          </w:tcPr>
          <w:p>
            <w:pPr>
              <w:spacing w:after="0"/>
              <w:rPr>
                <w:sz w:val="20"/>
                <w:szCs w:val="20"/>
                <w:color w:val="auto"/>
              </w:rPr>
            </w:pPr>
            <w:r>
              <w:rPr>
                <w:rFonts w:ascii="Arial" w:cs="Arial" w:eastAsia="Arial" w:hAnsi="Arial"/>
                <w:sz w:val="14"/>
                <w:szCs w:val="14"/>
                <w:color w:val="auto"/>
              </w:rPr>
              <w:t>Disability*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337,500</w:t>
            </w:r>
          </w:p>
        </w:tc>
        <w:tc>
          <w:tcPr>
            <w:tcW w:w="5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13,768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300"/>
              <w:spacing w:after="0"/>
              <w:rPr>
                <w:sz w:val="20"/>
                <w:szCs w:val="20"/>
                <w:color w:val="auto"/>
              </w:rPr>
            </w:pPr>
            <w:r>
              <w:rPr>
                <w:rFonts w:ascii="Arial" w:cs="Arial" w:eastAsia="Arial" w:hAnsi="Arial"/>
                <w:sz w:val="14"/>
                <w:szCs w:val="14"/>
                <w:color w:val="auto"/>
              </w:rPr>
              <w:t>1,458</w:t>
            </w:r>
          </w:p>
        </w:tc>
        <w:tc>
          <w:tcPr>
            <w:tcW w:w="8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net of amounts offset by disability insurance payments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Gary W. Ferrera</w:t>
      </w:r>
    </w:p>
    <w:p>
      <w:pPr>
        <w:spacing w:after="0" w:line="79"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If Mr. Ferrera is terminated from NCM Inc. for reasons other than disability, death or cause, as defined in the agreement, or if Mr. Ferrera resigns for good reason, as defined in the agreement, he will be entitled to severance equal to his base salary paid over 12 months and any annual bonuses awarded but not yet paid. Mr. Ferrera would also be entitled to continued coverage under any employee medical, health and life insurance plans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460"/>
          </w:cols>
          <w:pgMar w:left="220" w:top="398" w:right="21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for a 12-month period, or the economic equivalent of such coverage. If Mr. Ferrera terminates employment due to his death, his beneficiaries will receive his base salary paid through the end of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month of his death and one year of continued medical benefits for his spouse and eligible dependents. If Mr. Ferrera terminates employment on account of his disability, in exchange for a release of</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claims against the company, he will be entitled to his base salary for a period of six months following termination, offset by any disability benefits provided under a company sponsored benefit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arrangement, and one year of continued benefits. Under the equity incentive plan, if within three months prior to or one year after the consummation of a change of control, as defined in the plan,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Mr. Ferrera’s employment is terminated by NCM Inc., its affiliate or a successor in interest without cause or by Mr. Ferrera for good reason, both as defined in the plan, than all outstanding options and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stock appreciation rights shall become immediately exercisable and all other awards shall become vested and any restrictions will lapse.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Ferrera’s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Accelerated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4"/>
              </w:rPr>
              <w:t>Medical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91"/>
              </w:rPr>
              <w:t>Life</w:t>
            </w:r>
          </w:p>
        </w:tc>
        <w:tc>
          <w:tcPr>
            <w:tcW w:w="60" w:type="dxa"/>
            <w:vAlign w:val="bottom"/>
          </w:tcPr>
          <w:p>
            <w:pPr>
              <w:spacing w:after="0"/>
              <w:rPr>
                <w:sz w:val="10"/>
                <w:szCs w:val="10"/>
                <w:color w:val="auto"/>
              </w:rPr>
            </w:pPr>
          </w:p>
        </w:tc>
        <w:tc>
          <w:tcPr>
            <w:tcW w:w="64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800" w:type="dxa"/>
            <w:vAlign w:val="bottom"/>
            <w:gridSpan w:val="2"/>
          </w:tcPr>
          <w:p>
            <w:pPr>
              <w:ind w:left="160"/>
              <w:spacing w:after="0" w:line="121" w:lineRule="exact"/>
              <w:rPr>
                <w:sz w:val="20"/>
                <w:szCs w:val="20"/>
                <w:color w:val="auto"/>
              </w:rPr>
            </w:pPr>
            <w:r>
              <w:rPr>
                <w:rFonts w:ascii="Arial" w:cs="Arial" w:eastAsia="Arial" w:hAnsi="Arial"/>
                <w:sz w:val="11"/>
                <w:szCs w:val="11"/>
                <w:b w:val="1"/>
                <w:bCs w:val="1"/>
                <w:color w:val="auto"/>
              </w:rPr>
              <w:t>Cash</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8"/>
              </w:rPr>
              <w:t>Insurance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88"/>
              </w:rPr>
              <w:t>Insurance</w:t>
            </w:r>
          </w:p>
        </w:tc>
        <w:tc>
          <w:tcPr>
            <w:tcW w:w="7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Performance</w:t>
            </w:r>
          </w:p>
        </w:tc>
        <w:tc>
          <w:tcPr>
            <w:tcW w:w="0" w:type="dxa"/>
            <w:vAlign w:val="bottom"/>
          </w:tcPr>
          <w:p>
            <w:pPr>
              <w:spacing w:after="0"/>
              <w:rPr>
                <w:sz w:val="1"/>
                <w:szCs w:val="1"/>
                <w:color w:val="auto"/>
              </w:rPr>
            </w:pPr>
          </w:p>
        </w:tc>
      </w:tr>
      <w:tr>
        <w:trPr>
          <w:trHeight w:val="131"/>
        </w:trPr>
        <w:tc>
          <w:tcPr>
            <w:tcW w:w="6760" w:type="dxa"/>
            <w:vAlign w:val="bottom"/>
            <w:vMerge w:val="restart"/>
          </w:tcPr>
          <w:p>
            <w:pPr>
              <w:spacing w:after="0"/>
              <w:rPr>
                <w:sz w:val="20"/>
                <w:szCs w:val="20"/>
                <w:color w:val="auto"/>
              </w:rPr>
            </w:pPr>
            <w:r>
              <w:rPr>
                <w:rFonts w:ascii="Arial" w:cs="Arial" w:eastAsia="Arial" w:hAnsi="Arial"/>
                <w:sz w:val="14"/>
                <w:szCs w:val="14"/>
                <w:color w:val="auto"/>
              </w:rPr>
              <w:t>Without Cause or For Good Reason or Expiration of Agreement</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Severance</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w w:val="81"/>
              </w:rPr>
              <w:t>Bonus</w:t>
            </w:r>
          </w:p>
        </w:tc>
        <w:tc>
          <w:tcPr>
            <w:tcW w:w="460" w:type="dxa"/>
            <w:vAlign w:val="bottom"/>
          </w:tcPr>
          <w:p>
            <w:pPr>
              <w:spacing w:after="0"/>
              <w:rPr>
                <w:sz w:val="11"/>
                <w:szCs w:val="11"/>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Continuation</w:t>
            </w:r>
          </w:p>
        </w:tc>
        <w:tc>
          <w:tcPr>
            <w:tcW w:w="220" w:type="dxa"/>
            <w:vAlign w:val="bottom"/>
          </w:tcPr>
          <w:p>
            <w:pPr>
              <w:spacing w:after="0"/>
              <w:rPr>
                <w:sz w:val="11"/>
                <w:szCs w:val="11"/>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1"/>
              </w:rPr>
              <w:t>Continuation</w:t>
            </w:r>
          </w:p>
        </w:tc>
        <w:tc>
          <w:tcPr>
            <w:tcW w:w="60" w:type="dxa"/>
            <w:vAlign w:val="bottom"/>
          </w:tcPr>
          <w:p>
            <w:pPr>
              <w:spacing w:after="0"/>
              <w:rPr>
                <w:sz w:val="11"/>
                <w:szCs w:val="11"/>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58"/>
        </w:trPr>
        <w:tc>
          <w:tcPr>
            <w:tcW w:w="6760" w:type="dxa"/>
            <w:vAlign w:val="bottom"/>
            <w:vMerge w:val="continue"/>
          </w:tcPr>
          <w:p>
            <w:pPr>
              <w:spacing w:after="0"/>
              <w:rPr>
                <w:sz w:val="13"/>
                <w:szCs w:val="13"/>
                <w:color w:val="auto"/>
              </w:rPr>
            </w:pPr>
          </w:p>
        </w:tc>
        <w:tc>
          <w:tcPr>
            <w:tcW w:w="5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86"/>
              </w:rPr>
              <w:t>$ 300,000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 —</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13,768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ind w:left="380"/>
              <w:spacing w:after="0" w:line="159" w:lineRule="exact"/>
              <w:rPr>
                <w:sz w:val="20"/>
                <w:szCs w:val="20"/>
                <w:color w:val="auto"/>
              </w:rPr>
            </w:pPr>
            <w:r>
              <w:rPr>
                <w:rFonts w:ascii="Arial" w:cs="Arial" w:eastAsia="Arial" w:hAnsi="Arial"/>
                <w:sz w:val="14"/>
                <w:szCs w:val="14"/>
                <w:color w:val="auto"/>
                <w:w w:val="76"/>
              </w:rPr>
              <w:t>594</w:t>
            </w:r>
          </w:p>
        </w:tc>
        <w:tc>
          <w:tcPr>
            <w:tcW w:w="4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117,996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Death</w:t>
            </w: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13,768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Disability*</w:t>
            </w:r>
          </w:p>
        </w:tc>
        <w:tc>
          <w:tcPr>
            <w:tcW w:w="800" w:type="dxa"/>
            <w:vAlign w:val="bottom"/>
            <w:gridSpan w:val="2"/>
          </w:tcPr>
          <w:p>
            <w:pPr>
              <w:spacing w:after="0"/>
              <w:rPr>
                <w:sz w:val="20"/>
                <w:szCs w:val="20"/>
                <w:color w:val="auto"/>
              </w:rPr>
            </w:pPr>
            <w:r>
              <w:rPr>
                <w:rFonts w:ascii="Arial" w:cs="Arial" w:eastAsia="Arial" w:hAnsi="Arial"/>
                <w:sz w:val="14"/>
                <w:szCs w:val="14"/>
                <w:color w:val="auto"/>
              </w:rPr>
              <w:t>$ 150,000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13,768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594</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6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net of amounts offset by disability insurance payments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Thomas C. Galley</w:t>
      </w:r>
    </w:p>
    <w:p>
      <w:pPr>
        <w:spacing w:after="0" w:line="79" w:lineRule="exact"/>
        <w:rPr>
          <w:sz w:val="20"/>
          <w:szCs w:val="20"/>
          <w:color w:val="auto"/>
        </w:rPr>
      </w:pPr>
    </w:p>
    <w:p>
      <w:pPr>
        <w:ind w:right="40" w:firstLine="458"/>
        <w:spacing w:after="0" w:line="264" w:lineRule="auto"/>
        <w:rPr>
          <w:sz w:val="20"/>
          <w:szCs w:val="20"/>
          <w:color w:val="auto"/>
        </w:rPr>
      </w:pPr>
      <w:r>
        <w:rPr>
          <w:rFonts w:ascii="Arial" w:cs="Arial" w:eastAsia="Arial" w:hAnsi="Arial"/>
          <w:sz w:val="14"/>
          <w:szCs w:val="14"/>
          <w:color w:val="auto"/>
        </w:rPr>
        <w:t>If Mr. Galley is terminated from NCM Inc. for reasons other than disability, death or cause, as defined in the agreement, or if Mr. Galley resigns for good reason, as defined in the agreement or his agreement is not renewed on substantially equal terms, he will be entitled to severance equal to one and a half times his base salary paid over 18 months and any annual bonuses awarded but not yet paid. Mr. Galley would also be entitled to continued coverage under any employee medical, health and life insurance plans for an 18-month period, or the economic equivalent of such coverage. If Mr. Galley terminates employment due to his death, his beneficiaries will receive his base salary paid through the end of the month of his death and one year of continued medical benefits for his spouse and eligible dependents. If Mr. Galley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 and one year of continued benefits. Under the equity incentive plan, if within three months prior to or one year after the consummation of a change of control, as defined in the plan, Mr. Galley’s employment is terminated by NCM Inc., its affiliate or a successor in interest without cause or by Mr. Galley for good reason, both as defined in the plan, then all outstanding options and stock appreciation rights shall become immediately exercisable and all other awards shall become vested and any restrictions will lapse.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60"/>
          </w:cols>
          <w:pgMar w:left="220" w:top="398" w:right="21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Galley’s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Accelerated</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w w:val="94"/>
              </w:rPr>
              <w:t>Medical</w:t>
            </w:r>
          </w:p>
        </w:tc>
        <w:tc>
          <w:tcPr>
            <w:tcW w:w="80" w:type="dxa"/>
            <w:vAlign w:val="bottom"/>
          </w:tcPr>
          <w:p>
            <w:pPr>
              <w:spacing w:after="0"/>
              <w:rPr>
                <w:sz w:val="10"/>
                <w:szCs w:val="10"/>
                <w:color w:val="auto"/>
              </w:rPr>
            </w:pPr>
          </w:p>
        </w:tc>
        <w:tc>
          <w:tcPr>
            <w:tcW w:w="108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91"/>
              </w:rPr>
              <w:t>Life</w:t>
            </w:r>
          </w:p>
        </w:tc>
        <w:tc>
          <w:tcPr>
            <w:tcW w:w="60" w:type="dxa"/>
            <w:vAlign w:val="bottom"/>
          </w:tcPr>
          <w:p>
            <w:pPr>
              <w:spacing w:after="0"/>
              <w:rPr>
                <w:sz w:val="10"/>
                <w:szCs w:val="10"/>
                <w:color w:val="auto"/>
              </w:rPr>
            </w:pPr>
          </w:p>
        </w:tc>
        <w:tc>
          <w:tcPr>
            <w:tcW w:w="6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52"/>
              <w:spacing w:after="0" w:line="121" w:lineRule="exact"/>
              <w:rPr>
                <w:sz w:val="20"/>
                <w:szCs w:val="20"/>
                <w:color w:val="auto"/>
              </w:rPr>
            </w:pPr>
            <w:r>
              <w:rPr>
                <w:rFonts w:ascii="Arial" w:cs="Arial" w:eastAsia="Arial" w:hAnsi="Arial"/>
                <w:sz w:val="11"/>
                <w:szCs w:val="11"/>
                <w:b w:val="1"/>
                <w:bCs w:val="1"/>
                <w:color w:val="auto"/>
                <w:w w:val="81"/>
              </w:rPr>
              <w:t>Cash</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w w:val="88"/>
              </w:rPr>
              <w:t>Insurance</w:t>
            </w:r>
          </w:p>
        </w:tc>
        <w:tc>
          <w:tcPr>
            <w:tcW w:w="80" w:type="dxa"/>
            <w:vAlign w:val="bottom"/>
          </w:tcPr>
          <w:p>
            <w:pPr>
              <w:spacing w:after="0"/>
              <w:rPr>
                <w:sz w:val="10"/>
                <w:szCs w:val="10"/>
                <w:color w:val="auto"/>
              </w:rPr>
            </w:pPr>
          </w:p>
        </w:tc>
        <w:tc>
          <w:tcPr>
            <w:tcW w:w="108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88"/>
              </w:rPr>
              <w:t>Insurance</w:t>
            </w:r>
          </w:p>
        </w:tc>
        <w:tc>
          <w:tcPr>
            <w:tcW w:w="72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89"/>
              </w:rPr>
              <w:t>Performance</w:t>
            </w:r>
          </w:p>
        </w:tc>
        <w:tc>
          <w:tcPr>
            <w:tcW w:w="0" w:type="dxa"/>
            <w:vAlign w:val="bottom"/>
          </w:tcPr>
          <w:p>
            <w:pPr>
              <w:spacing w:after="0"/>
              <w:rPr>
                <w:sz w:val="1"/>
                <w:szCs w:val="1"/>
                <w:color w:val="auto"/>
              </w:rPr>
            </w:pPr>
          </w:p>
        </w:tc>
      </w:tr>
      <w:tr>
        <w:trPr>
          <w:trHeight w:val="131"/>
        </w:trPr>
        <w:tc>
          <w:tcPr>
            <w:tcW w:w="6640" w:type="dxa"/>
            <w:vAlign w:val="bottom"/>
            <w:vMerge w:val="restart"/>
          </w:tcPr>
          <w:p>
            <w:pPr>
              <w:spacing w:after="0"/>
              <w:rPr>
                <w:sz w:val="20"/>
                <w:szCs w:val="20"/>
                <w:color w:val="auto"/>
              </w:rPr>
            </w:pPr>
            <w:r>
              <w:rPr>
                <w:rFonts w:ascii="Arial" w:cs="Arial" w:eastAsia="Arial" w:hAnsi="Arial"/>
                <w:sz w:val="14"/>
                <w:szCs w:val="14"/>
                <w:color w:val="auto"/>
              </w:rPr>
              <w:t>Without Cause or For Good Reason or Expiration of Agreement</w:t>
            </w:r>
          </w:p>
        </w:tc>
        <w:tc>
          <w:tcPr>
            <w:tcW w:w="6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Severance</w:t>
            </w:r>
          </w:p>
        </w:tc>
        <w:tc>
          <w:tcPr>
            <w:tcW w:w="4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81"/>
              </w:rPr>
              <w:t>Bonus</w:t>
            </w:r>
          </w:p>
        </w:tc>
        <w:tc>
          <w:tcPr>
            <w:tcW w:w="440" w:type="dxa"/>
            <w:vAlign w:val="bottom"/>
          </w:tcPr>
          <w:p>
            <w:pPr>
              <w:spacing w:after="0"/>
              <w:rPr>
                <w:sz w:val="11"/>
                <w:szCs w:val="11"/>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1"/>
              </w:rPr>
              <w:t>Continuation</w:t>
            </w:r>
          </w:p>
        </w:tc>
        <w:tc>
          <w:tcPr>
            <w:tcW w:w="116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1"/>
              </w:rPr>
              <w:t>Continuation</w:t>
            </w:r>
          </w:p>
        </w:tc>
        <w:tc>
          <w:tcPr>
            <w:tcW w:w="6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94"/>
              </w:rPr>
              <w:t>562,500</w:t>
            </w:r>
          </w:p>
        </w:tc>
        <w:tc>
          <w:tcPr>
            <w:tcW w:w="440" w:type="dxa"/>
            <w:vAlign w:val="bottom"/>
          </w:tcPr>
          <w:p>
            <w:pPr>
              <w:spacing w:after="0"/>
              <w:rPr>
                <w:sz w:val="13"/>
                <w:szCs w:val="13"/>
                <w:color w:val="auto"/>
              </w:rPr>
            </w:pPr>
          </w:p>
        </w:tc>
        <w:tc>
          <w:tcPr>
            <w:tcW w:w="320" w:type="dxa"/>
            <w:vAlign w:val="bottom"/>
            <w:tcBorders>
              <w:top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w w:val="85"/>
              </w:rPr>
              <w:t>$ —</w:t>
            </w:r>
          </w:p>
        </w:tc>
        <w:tc>
          <w:tcPr>
            <w:tcW w:w="44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20,651</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1,215</w:t>
            </w:r>
          </w:p>
        </w:tc>
        <w:tc>
          <w:tcPr>
            <w:tcW w:w="4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359,135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20"/>
                <w:szCs w:val="20"/>
                <w:color w:val="auto"/>
              </w:rPr>
            </w:pPr>
            <w:r>
              <w:rPr>
                <w:rFonts w:ascii="Arial" w:cs="Arial" w:eastAsia="Arial" w:hAnsi="Arial"/>
                <w:sz w:val="14"/>
                <w:szCs w:val="14"/>
                <w:color w:val="auto"/>
              </w:rPr>
              <w:t>Death</w:t>
            </w:r>
          </w:p>
        </w:tc>
        <w:tc>
          <w:tcPr>
            <w:tcW w:w="100" w:type="dxa"/>
            <w:vAlign w:val="bottom"/>
          </w:tcPr>
          <w:p>
            <w:pPr>
              <w:spacing w:after="0"/>
              <w:rPr>
                <w:sz w:val="15"/>
                <w:szCs w:val="15"/>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13,768</w:t>
            </w:r>
          </w:p>
        </w:tc>
        <w:tc>
          <w:tcPr>
            <w:tcW w:w="80" w:type="dxa"/>
            <w:vAlign w:val="bottom"/>
          </w:tcPr>
          <w:p>
            <w:pPr>
              <w:spacing w:after="0"/>
              <w:rPr>
                <w:sz w:val="15"/>
                <w:szCs w:val="15"/>
                <w:color w:val="auto"/>
              </w:rPr>
            </w:pP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20"/>
                <w:szCs w:val="20"/>
                <w:color w:val="auto"/>
              </w:rPr>
            </w:pPr>
            <w:r>
              <w:rPr>
                <w:rFonts w:ascii="Arial" w:cs="Arial" w:eastAsia="Arial" w:hAnsi="Arial"/>
                <w:sz w:val="14"/>
                <w:szCs w:val="14"/>
                <w:color w:val="auto"/>
              </w:rPr>
              <w:t>Disability*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187,500</w:t>
            </w:r>
          </w:p>
        </w:tc>
        <w:tc>
          <w:tcPr>
            <w:tcW w:w="760" w:type="dxa"/>
            <w:vAlign w:val="bottom"/>
            <w:gridSpan w:val="2"/>
          </w:tcPr>
          <w:p>
            <w:pPr>
              <w:jc w:val="right"/>
              <w:ind w:right="13"/>
              <w:spacing w:after="0"/>
              <w:rPr>
                <w:sz w:val="20"/>
                <w:szCs w:val="20"/>
                <w:color w:val="auto"/>
              </w:rPr>
            </w:pPr>
            <w:r>
              <w:rPr>
                <w:rFonts w:ascii="Arial" w:cs="Arial" w:eastAsia="Arial" w:hAnsi="Arial"/>
                <w:sz w:val="14"/>
                <w:szCs w:val="14"/>
                <w:color w:val="auto"/>
              </w:rPr>
              <w:t>$ —</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13,768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810</w:t>
            </w: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100" w:type="dxa"/>
            <w:vAlign w:val="bottom"/>
          </w:tcPr>
          <w:p>
            <w:pPr>
              <w:spacing w:after="0"/>
              <w:rPr>
                <w:sz w:val="15"/>
                <w:szCs w:val="15"/>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net of amounts offset by disability insurance premiums.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Ralph E. Hardy</w:t>
      </w:r>
    </w:p>
    <w:p>
      <w:pPr>
        <w:spacing w:after="0" w:line="79" w:lineRule="exact"/>
        <w:rPr>
          <w:sz w:val="20"/>
          <w:szCs w:val="20"/>
          <w:color w:val="auto"/>
        </w:rPr>
      </w:pPr>
    </w:p>
    <w:p>
      <w:pPr>
        <w:ind w:right="20" w:firstLine="458"/>
        <w:spacing w:after="0" w:line="287" w:lineRule="auto"/>
        <w:rPr>
          <w:sz w:val="20"/>
          <w:szCs w:val="20"/>
          <w:color w:val="auto"/>
        </w:rPr>
      </w:pPr>
      <w:r>
        <w:rPr>
          <w:rFonts w:ascii="Arial" w:cs="Arial" w:eastAsia="Arial" w:hAnsi="Arial"/>
          <w:sz w:val="13"/>
          <w:szCs w:val="13"/>
          <w:color w:val="auto"/>
        </w:rPr>
        <w:t>If Mr. Hardy is terminated from NCM Inc. for reasons other than disability, death or cause, as defined in the agreement, or if Mr. Hardy resigns for good reason, as defined in the agreement, he will be entitled to severance equal to his base salary paid over 12 months and any annual bonuses awarded but not yet paid. Mr. Hardy would also be entitled to continued coverage under any employee medical, health and life insurance plans for a 12-month period, or the economic equivalent of such coverage. If Mr. Hardy terminates employment due to his death, his beneficiaries will receive his base salary paid through the end of the month of his death and one year of continued medical benefits for his spouse and eligible dependents. If Mr. Hardy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 and one year of continued benefits. Under the equity incentive plan, if within three months prior to or one year after the consummation of a change of control, as defined in the plan, Mr. Hardy’s employment is terminated by NCM Inc., its affiliate or a successor in interest without cause or by Mr. Hardy for good reason, both as defined in the plan, then all outstanding options and stock appreciation rights shall become immediately exercisable and all other awards shall become vested and any restrictions will lapse.</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Hardy’s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Accelerated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4"/>
              </w:rPr>
              <w:t>Medical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91"/>
              </w:rPr>
              <w:t>Life</w:t>
            </w:r>
          </w:p>
        </w:tc>
        <w:tc>
          <w:tcPr>
            <w:tcW w:w="60" w:type="dxa"/>
            <w:vAlign w:val="bottom"/>
          </w:tcPr>
          <w:p>
            <w:pPr>
              <w:spacing w:after="0"/>
              <w:rPr>
                <w:sz w:val="10"/>
                <w:szCs w:val="10"/>
                <w:color w:val="auto"/>
              </w:rPr>
            </w:pPr>
          </w:p>
        </w:tc>
        <w:tc>
          <w:tcPr>
            <w:tcW w:w="64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800" w:type="dxa"/>
            <w:vAlign w:val="bottom"/>
            <w:gridSpan w:val="2"/>
          </w:tcPr>
          <w:p>
            <w:pPr>
              <w:ind w:left="160"/>
              <w:spacing w:after="0" w:line="121" w:lineRule="exact"/>
              <w:rPr>
                <w:sz w:val="20"/>
                <w:szCs w:val="20"/>
                <w:color w:val="auto"/>
              </w:rPr>
            </w:pPr>
            <w:r>
              <w:rPr>
                <w:rFonts w:ascii="Arial" w:cs="Arial" w:eastAsia="Arial" w:hAnsi="Arial"/>
                <w:sz w:val="11"/>
                <w:szCs w:val="11"/>
                <w:b w:val="1"/>
                <w:bCs w:val="1"/>
                <w:color w:val="auto"/>
              </w:rPr>
              <w:t>Cash</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8"/>
              </w:rPr>
              <w:t>Insurance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88"/>
              </w:rPr>
              <w:t>Insurance</w:t>
            </w:r>
          </w:p>
        </w:tc>
        <w:tc>
          <w:tcPr>
            <w:tcW w:w="7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Performance</w:t>
            </w:r>
          </w:p>
        </w:tc>
        <w:tc>
          <w:tcPr>
            <w:tcW w:w="0" w:type="dxa"/>
            <w:vAlign w:val="bottom"/>
          </w:tcPr>
          <w:p>
            <w:pPr>
              <w:spacing w:after="0"/>
              <w:rPr>
                <w:sz w:val="1"/>
                <w:szCs w:val="1"/>
                <w:color w:val="auto"/>
              </w:rPr>
            </w:pPr>
          </w:p>
        </w:tc>
      </w:tr>
      <w:tr>
        <w:trPr>
          <w:trHeight w:val="131"/>
        </w:trPr>
        <w:tc>
          <w:tcPr>
            <w:tcW w:w="6760" w:type="dxa"/>
            <w:vAlign w:val="bottom"/>
            <w:vMerge w:val="restart"/>
          </w:tcPr>
          <w:p>
            <w:pPr>
              <w:spacing w:after="0"/>
              <w:rPr>
                <w:sz w:val="20"/>
                <w:szCs w:val="20"/>
                <w:color w:val="auto"/>
              </w:rPr>
            </w:pPr>
            <w:r>
              <w:rPr>
                <w:rFonts w:ascii="Arial" w:cs="Arial" w:eastAsia="Arial" w:hAnsi="Arial"/>
                <w:sz w:val="14"/>
                <w:szCs w:val="14"/>
                <w:color w:val="auto"/>
              </w:rPr>
              <w:t>Without Cause or For Good Reason or Expiration of Agreement</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Severance</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w w:val="81"/>
              </w:rPr>
              <w:t>Bonus</w:t>
            </w:r>
          </w:p>
        </w:tc>
        <w:tc>
          <w:tcPr>
            <w:tcW w:w="460" w:type="dxa"/>
            <w:vAlign w:val="bottom"/>
          </w:tcPr>
          <w:p>
            <w:pPr>
              <w:spacing w:after="0"/>
              <w:rPr>
                <w:sz w:val="11"/>
                <w:szCs w:val="11"/>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Continuation</w:t>
            </w:r>
          </w:p>
        </w:tc>
        <w:tc>
          <w:tcPr>
            <w:tcW w:w="220" w:type="dxa"/>
            <w:vAlign w:val="bottom"/>
          </w:tcPr>
          <w:p>
            <w:pPr>
              <w:spacing w:after="0"/>
              <w:rPr>
                <w:sz w:val="11"/>
                <w:szCs w:val="11"/>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1"/>
              </w:rPr>
              <w:t>Continuation</w:t>
            </w:r>
          </w:p>
        </w:tc>
        <w:tc>
          <w:tcPr>
            <w:tcW w:w="60" w:type="dxa"/>
            <w:vAlign w:val="bottom"/>
          </w:tcPr>
          <w:p>
            <w:pPr>
              <w:spacing w:after="0"/>
              <w:rPr>
                <w:sz w:val="11"/>
                <w:szCs w:val="11"/>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58"/>
        </w:trPr>
        <w:tc>
          <w:tcPr>
            <w:tcW w:w="6760" w:type="dxa"/>
            <w:vAlign w:val="bottom"/>
            <w:vMerge w:val="continue"/>
          </w:tcPr>
          <w:p>
            <w:pPr>
              <w:spacing w:after="0"/>
              <w:rPr>
                <w:sz w:val="13"/>
                <w:szCs w:val="13"/>
                <w:color w:val="auto"/>
              </w:rPr>
            </w:pPr>
          </w:p>
        </w:tc>
        <w:tc>
          <w:tcPr>
            <w:tcW w:w="5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86"/>
              </w:rPr>
              <w:t>$ 210,000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 —</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13,768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ind w:left="380"/>
              <w:spacing w:after="0" w:line="159" w:lineRule="exact"/>
              <w:rPr>
                <w:sz w:val="20"/>
                <w:szCs w:val="20"/>
                <w:color w:val="auto"/>
              </w:rPr>
            </w:pPr>
            <w:r>
              <w:rPr>
                <w:rFonts w:ascii="Arial" w:cs="Arial" w:eastAsia="Arial" w:hAnsi="Arial"/>
                <w:sz w:val="14"/>
                <w:szCs w:val="14"/>
                <w:color w:val="auto"/>
                <w:w w:val="76"/>
              </w:rPr>
              <w:t>465</w:t>
            </w:r>
          </w:p>
        </w:tc>
        <w:tc>
          <w:tcPr>
            <w:tcW w:w="4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129,494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Death</w:t>
            </w: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13,768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Disability*</w:t>
            </w:r>
          </w:p>
        </w:tc>
        <w:tc>
          <w:tcPr>
            <w:tcW w:w="800" w:type="dxa"/>
            <w:vAlign w:val="bottom"/>
            <w:gridSpan w:val="2"/>
          </w:tcPr>
          <w:p>
            <w:pPr>
              <w:spacing w:after="0"/>
              <w:rPr>
                <w:sz w:val="20"/>
                <w:szCs w:val="20"/>
                <w:color w:val="auto"/>
              </w:rPr>
            </w:pPr>
            <w:r>
              <w:rPr>
                <w:rFonts w:ascii="Arial" w:cs="Arial" w:eastAsia="Arial" w:hAnsi="Arial"/>
                <w:sz w:val="14"/>
                <w:szCs w:val="14"/>
                <w:color w:val="auto"/>
              </w:rPr>
              <w:t>$ 105,000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13,768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465</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6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net of amounts offset by disability insurance premiums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60"/>
          </w:cols>
          <w:pgMar w:left="220" w:top="398" w:right="21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Non-Employee Directors</w:t>
      </w:r>
    </w:p>
    <w:p>
      <w:pPr>
        <w:spacing w:after="0" w:line="79"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Prior to this offering, we reimbursed all directors for any out-of-pocket expenses incurred by them in connection with services provided in such capacity. Our directors have not received any compensation for serving as directors prior to this offering.</w:t>
      </w:r>
    </w:p>
    <w:p>
      <w:pPr>
        <w:spacing w:after="0" w:line="93"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Upon completion of this offering, directors who are not our employees or employees of our founding members will receive an annual cash retainer of $20,000, plus $1,500 for each meeting of the board of directors they attend. In addition, non-employee directors will receive a restricted stock grant valued at $20,000, which will have a one-year vesting schedule. Annual retainers will be paid to the chairperson of each committee of the board of directors as follows: $10,000 for the audit committee chairperson and $5,000 for each of the compensation committee chairperson and the governance committee chairperson. Audit committee members also will receive $1,500 for each audit committee meeting they attend, and compensation committee and governance committee members will receive $1,000 for each meeting of those committees they attend. We will reimburse all of our directors for reasonable travel, lodging and other expenses related to their service on our board of directors.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Employee Directors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employees who also serve as directors will receive compensation for their services as employees, but they will not receive any additional compensation for their service as directors.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of Liability and Indemnification of Directors and Officers</w:t>
      </w:r>
    </w:p>
    <w:p>
      <w:pPr>
        <w:spacing w:after="0" w:line="83"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As permitted by the Delaware General Corporation Law, or DGCL, we have adopted provisions in our certificate of incorporation that limit or eliminate the personal liability of our directors and officers to the fullest extent permitted by applicable law. The duty of care generally requires that, when acting on behalf of the corporation, directors and officers exercise an informed business judgment based on all material information reasonably available to them. Consequently, a director or officer will not be personally liable to us or our stockholders for monetary damages for breach of fiduciary duty as a director or officer, except for liability for:</w:t>
      </w:r>
    </w:p>
    <w:p>
      <w:pPr>
        <w:spacing w:after="0" w:line="41" w:lineRule="exact"/>
        <w:rPr>
          <w:sz w:val="20"/>
          <w:szCs w:val="20"/>
          <w:color w:val="auto"/>
        </w:rPr>
      </w:pPr>
    </w:p>
    <w:p>
      <w:pPr>
        <w:ind w:left="780" w:hanging="240"/>
        <w:spacing w:after="0"/>
        <w:tabs>
          <w:tab w:leader="none" w:pos="7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any breach of the person’s duty of loyalty to us or our stockholders;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any act related to unlawful stock repurchases, redemptions or other distributions or payment of dividends; or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any transaction from which the person derived an improper personal benefit.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These limitations of liability do not generally affect the availability of equitable remedies such as injunctive relief or rescission.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permitted by the DGCL, our certificate of incorporation and bylaws provide that:</w:t>
      </w:r>
    </w:p>
    <w:p>
      <w:pPr>
        <w:spacing w:after="0" w:line="79" w:lineRule="exact"/>
        <w:rPr>
          <w:sz w:val="20"/>
          <w:szCs w:val="20"/>
          <w:color w:val="auto"/>
        </w:rPr>
      </w:pPr>
    </w:p>
    <w:p>
      <w:pPr>
        <w:ind w:left="780" w:right="360" w:hanging="240"/>
        <w:spacing w:after="0" w:line="289" w:lineRule="auto"/>
        <w:tabs>
          <w:tab w:leader="none" w:pos="7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we will indemnify our current and former directors and officers and anyone who is or was serving at our request as the director, officer, employee or agent of another entity, and may indemnify our current or former employees and other agents, to the fullest extent permitted by the DGCL, subject to limited exceptions; and</w:t>
      </w:r>
    </w:p>
    <w:p>
      <w:pPr>
        <w:spacing w:after="0" w:line="27" w:lineRule="exact"/>
        <w:rPr>
          <w:rFonts w:ascii="Arial" w:cs="Arial" w:eastAsia="Arial" w:hAnsi="Arial"/>
          <w:sz w:val="14"/>
          <w:szCs w:val="14"/>
          <w:color w:val="auto"/>
        </w:rPr>
      </w:pPr>
    </w:p>
    <w:p>
      <w:pPr>
        <w:ind w:left="780" w:right="60" w:hanging="240"/>
        <w:spacing w:after="0" w:line="289" w:lineRule="auto"/>
        <w:tabs>
          <w:tab w:leader="none" w:pos="7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we may purchase and maintain insurance on behalf of our current or former directors, officers, employees or agents against any liability asserted against them and incurred by them in any such capacity, or arising out of their status as such.</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We currently maintain liability insurance for our directors and officers.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40"/>
          </w:cols>
          <w:pgMar w:left="220" w:top="398" w:right="23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Our certificate of incorporation requires us to advance expenses to our directors and officers in connection with a legal proceeding, subject to receiving an undertaking from such director or officer to repay advanced amounts if it is determined he or she is not entitled to indemnification. Our bylaws provide that we may advance expenses to our employees and other agents, upon such terms and conditions, if any, as we deem appropriate.</w:t>
      </w:r>
    </w:p>
    <w:p>
      <w:pPr>
        <w:spacing w:after="0" w:line="102"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We intend to enter into separate indemnification agreements with each of our directors and officers, which may be broader than the specific indemnification provisions contained in the DGCL. These indemnification agreements may require us, among other things, to indemnify our directors and officers against liabilities that may arise by reason of their status or service as directors or officers, other than liabilities arising from willful misconduct. These indemnification agreements may also require us to advance any expenses incurred by the directors or officers as a result of any proceeding against them as to which they could be indemnified and to obtain directors’ and officers’ insurance, if available on reasonable terms.</w:t>
      </w:r>
    </w:p>
    <w:p>
      <w:pPr>
        <w:spacing w:after="0" w:line="106"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Our certificate of incorporation expressly provides that we renounce any interest in business opportunities, or options to participate in such opportunities, that relate to our business and that are presented to our directors, officers (except officers approached in their capacity as an officer of NCM Inc.), and stockholders, both direct and indirect, or members of NCM LLC. Our certificate of incorporation further provides that no such person will be liable for breach of any obligation to present any such business opportunity to us, even if that opportunity is one which we might reasonably have the ability or desire to pursue, unless that opportunity was offered to such person in his or her capacity as our officer.</w:t>
      </w:r>
    </w:p>
    <w:p>
      <w:pPr>
        <w:spacing w:after="0" w:line="106"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Under the third restated LLC agreement of NCM LLC, which will become effective upon the completion of this offering and is described in more detail under “Certain Relationships and Related Party Transactions—Transactions with Founding Members—NCM LLC Operating Agreement” below, NCM LLC will indemnify managers, members and officers against liabilities that arise in connection with the business of NCM LLC and any activities of any managers, members and officers involving actions taken on behalf of NCM LLC, provided that the indemnification will not apply to acts of gross negligence or willful misconduct or a breach of any agreement between the indemnitee and us.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third restated LLC agreement also provides that, while no member may have other business interests that compete with NCM LLC, any affiliate of a member or stockholder of NCM Inc.</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may have other business interests and may engage in any other businesses of any kind, including businesses that compete with our business and purpose.</w:t>
      </w:r>
    </w:p>
    <w:p>
      <w:pPr>
        <w:spacing w:after="0" w:line="139"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Currently, to our knowledge, there is no pending litigation or proceeding involving any of our directors, officers, employees or agents in which indemnification by us is sought, nor are we aware of any threatened litigation or proceeding that may result in a claim for indemnification.</w:t>
      </w:r>
    </w:p>
    <w:p>
      <w:pPr>
        <w:spacing w:after="0" w:line="93" w:lineRule="exact"/>
        <w:rPr>
          <w:sz w:val="20"/>
          <w:szCs w:val="20"/>
          <w:color w:val="auto"/>
        </w:rPr>
      </w:pPr>
    </w:p>
    <w:p>
      <w:pPr>
        <w:ind w:right="280" w:firstLine="458"/>
        <w:spacing w:after="0" w:line="289" w:lineRule="auto"/>
        <w:rPr>
          <w:sz w:val="20"/>
          <w:szCs w:val="20"/>
          <w:color w:val="auto"/>
        </w:rPr>
      </w:pPr>
      <w:r>
        <w:rPr>
          <w:rFonts w:ascii="Arial" w:cs="Arial" w:eastAsia="Arial" w:hAnsi="Arial"/>
          <w:sz w:val="14"/>
          <w:szCs w:val="14"/>
          <w:color w:val="auto"/>
        </w:rPr>
        <w:t>Insofar as indemnification for liabilities arising under the Securities Act may be permitted for our directors, officers and controlling persons under the foregoing provisions or otherwise, we have been informed that, in the opinion of the SEC, such indemnification is against public policy as expressed in the Securities Act and is, therefore, unenforceable.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460"/>
          </w:cols>
          <w:pgMar w:left="220" w:top="399" w:right="21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83" w:lineRule="exact"/>
        <w:rPr>
          <w:sz w:val="20"/>
          <w:szCs w:val="20"/>
          <w:color w:val="auto"/>
        </w:rPr>
      </w:pPr>
    </w:p>
    <w:p>
      <w:pPr>
        <w:ind w:right="120" w:firstLine="458"/>
        <w:spacing w:after="0" w:line="253" w:lineRule="auto"/>
        <w:rPr>
          <w:sz w:val="20"/>
          <w:szCs w:val="20"/>
          <w:color w:val="auto"/>
        </w:rPr>
      </w:pPr>
      <w:r>
        <w:rPr>
          <w:rFonts w:ascii="Arial" w:cs="Arial" w:eastAsia="Arial" w:hAnsi="Arial"/>
          <w:sz w:val="14"/>
          <w:szCs w:val="14"/>
          <w:color w:val="auto"/>
        </w:rPr>
        <w:t>Before the completion of this offering, NCM LLC has been wholly owned by our founding members. In connection with the completion of this offering, we will purchase from NCM LLC a number of newly issued common membership units equal to the number of shares sold in the public offering, at a price per unit equal to the public offering price per share, less underwriting discounts and commissions and offering expenses. NCM LLC will pay all of the proceeds it receives from us to our founding members for their agreeing to modify our payment obligations under our exhibitor services agreements. Following this acquisition, we will own 40.5% of the outstanding common membership units in NCM LLC, and the founding members collectively will own 59.5% of the outstanding common membership units in NCM LLC.</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If the underwriters exercise their over-allotment option to purchase additional shares in full, we will acquire an equivalent number of additional units in NCM LLC promptly after issuing additional shares pursuant to the over-allotment option, and our aggregate ownership of NCM LLC will increase to 44.8%. We will be the sole managing member of NCM LLC.</w:t>
      </w:r>
    </w:p>
    <w:p>
      <w:pPr>
        <w:spacing w:after="0" w:line="119"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We intend to enter into several agreements to effect the reorganization and the financing transaction and to define and regulate the relationships among us, NCM LLC and the founding members after the completion of the reorganization and this offering. Except as described in this section, we do not expect to have any material arrangements with NCM LLC, the founding members or any of our or their respective directors, officers or other affiliates after the completion of the reorganization and this offering, other than ordinary course business relationships on arm’s length terms.</w:t>
      </w:r>
    </w:p>
    <w:p>
      <w:pPr>
        <w:spacing w:after="0" w:line="86" w:lineRule="exact"/>
        <w:rPr>
          <w:sz w:val="20"/>
          <w:szCs w:val="20"/>
          <w:color w:val="auto"/>
        </w:rPr>
      </w:pPr>
    </w:p>
    <w:p>
      <w:pPr>
        <w:ind w:right="320" w:firstLine="458"/>
        <w:spacing w:after="0" w:line="378" w:lineRule="auto"/>
        <w:rPr>
          <w:sz w:val="20"/>
          <w:szCs w:val="20"/>
          <w:color w:val="auto"/>
        </w:rPr>
      </w:pPr>
      <w:r>
        <w:rPr>
          <w:rFonts w:ascii="Arial" w:cs="Arial" w:eastAsia="Arial" w:hAnsi="Arial"/>
          <w:sz w:val="12"/>
          <w:szCs w:val="12"/>
          <w:color w:val="auto"/>
        </w:rPr>
        <w:t>The summaries of the agreements contained in this prospectus are qualified by reference to the complete text of agreements which have been or will be filed with the SEC as exhibits to the registration statement of which this prospectus is a part. For information on how to obtain copies of these agreements or other exhibits, see “Where You Can Find More Information” on page 167.</w:t>
      </w:r>
    </w:p>
    <w:p>
      <w:pPr>
        <w:spacing w:after="0" w:line="108" w:lineRule="exact"/>
        <w:rPr>
          <w:sz w:val="20"/>
          <w:szCs w:val="20"/>
          <w:color w:val="auto"/>
        </w:rPr>
      </w:pPr>
    </w:p>
    <w:p>
      <w:pPr>
        <w:jc w:val="right"/>
        <w:ind w:right="9140"/>
        <w:spacing w:after="0"/>
        <w:rPr>
          <w:sz w:val="20"/>
          <w:szCs w:val="20"/>
          <w:color w:val="auto"/>
        </w:rPr>
      </w:pPr>
      <w:r>
        <w:rPr>
          <w:rFonts w:ascii="Arial" w:cs="Arial" w:eastAsia="Arial" w:hAnsi="Arial"/>
          <w:sz w:val="12"/>
          <w:szCs w:val="12"/>
          <w:b w:val="1"/>
          <w:bCs w:val="1"/>
          <w:color w:val="auto"/>
        </w:rPr>
        <w:t>Transactions with Founding Members</w:t>
      </w:r>
    </w:p>
    <w:p>
      <w:pPr>
        <w:spacing w:after="0" w:line="106" w:lineRule="exact"/>
        <w:rPr>
          <w:sz w:val="20"/>
          <w:szCs w:val="20"/>
          <w:color w:val="auto"/>
        </w:rPr>
      </w:pPr>
    </w:p>
    <w:p>
      <w:pPr>
        <w:jc w:val="right"/>
        <w:ind w:right="9180"/>
        <w:spacing w:after="0"/>
        <w:rPr>
          <w:sz w:val="20"/>
          <w:szCs w:val="20"/>
          <w:color w:val="auto"/>
        </w:rPr>
      </w:pPr>
      <w:r>
        <w:rPr>
          <w:rFonts w:ascii="Arial" w:cs="Arial" w:eastAsia="Arial" w:hAnsi="Arial"/>
          <w:sz w:val="14"/>
          <w:szCs w:val="14"/>
          <w:b w:val="1"/>
          <w:bCs w:val="1"/>
          <w:i w:val="1"/>
          <w:iCs w:val="1"/>
          <w:color w:val="auto"/>
        </w:rPr>
        <w:t>Exhibitor Services Agreements</w:t>
      </w:r>
    </w:p>
    <w:p>
      <w:pPr>
        <w:spacing w:after="0" w:line="79"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The exhibitor services agreements to be entered into in connection with the completion of this offering will govern the terms by which NCM LLC provides advertising services, meeting events and digital programming events in the founding members’ theatres using the digital content network. Each founding member is party to a separate exhibitor services agreement with NCM LLC. The terms of each founding member’s exhibitor services agreement are substantially the same.</w:t>
      </w:r>
    </w:p>
    <w:p>
      <w:pPr>
        <w:spacing w:after="0" w:line="10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i w:val="1"/>
          <w:iCs w:val="1"/>
          <w:color w:val="auto"/>
        </w:rPr>
        <w:t>Agreement in Effect Before the Reorganization</w:t>
      </w:r>
      <w:r>
        <w:rPr>
          <w:rFonts w:ascii="Arial" w:cs="Arial" w:eastAsia="Arial" w:hAnsi="Arial"/>
          <w:sz w:val="14"/>
          <w:szCs w:val="14"/>
          <w:color w:val="auto"/>
        </w:rPr>
        <w:t>. Each of the founding members is party to an agreement with NCM LLC dated as of July 15, 2005, which governs the provision of advertising,</w:t>
      </w:r>
      <w:r>
        <w:rPr>
          <w:rFonts w:ascii="Arial" w:cs="Arial" w:eastAsia="Arial" w:hAnsi="Arial"/>
          <w:sz w:val="14"/>
          <w:szCs w:val="14"/>
          <w:i w:val="1"/>
          <w:iCs w:val="1"/>
          <w:color w:val="auto"/>
        </w:rPr>
        <w:t xml:space="preserve"> </w:t>
      </w:r>
      <w:r>
        <w:rPr>
          <w:rFonts w:ascii="Arial" w:cs="Arial" w:eastAsia="Arial" w:hAnsi="Arial"/>
          <w:sz w:val="14"/>
          <w:szCs w:val="14"/>
          <w:color w:val="auto"/>
        </w:rPr>
        <w:t>meetings and digital programming events by NCM LLC. In the case of AMC and Regal, these agreements were amended and restated to reflect Cinemark’s new participation as a founding member. For the nine months ended December 29, 2005 and the nine months ended September 28, 2006, the aggregate amounts payable to founding members pursuant to these agreements were approximately $95.8 million and $97.7 million respectively. In connection with the completion of this offering, we will enter into amended and restated agreements with each founding member that will be in effect following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190119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65" w:lineRule="exact"/>
        <w:rPr>
          <w:sz w:val="20"/>
          <w:szCs w:val="20"/>
          <w:color w:val="auto"/>
        </w:rPr>
      </w:pPr>
    </w:p>
    <w:p>
      <w:pPr>
        <w:ind w:left="440" w:right="120" w:hanging="259"/>
        <w:spacing w:after="0"/>
        <w:tabs>
          <w:tab w:leader="none" w:pos="44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460"/>
          </w:cols>
          <w:pgMar w:left="220" w:top="398" w:right="21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Agreement in Effect After the Reorganization. </w:t>
      </w:r>
      <w:r>
        <w:rPr>
          <w:rFonts w:ascii="Arial" w:cs="Arial" w:eastAsia="Arial" w:hAnsi="Arial"/>
          <w:sz w:val="14"/>
          <w:szCs w:val="14"/>
          <w:color w:val="auto"/>
        </w:rPr>
        <w:t>Certain basic terms of the exhibitor services agreements are discussed below:</w:t>
      </w:r>
    </w:p>
    <w:p>
      <w:pPr>
        <w:spacing w:after="0" w:line="79" w:lineRule="exact"/>
        <w:rPr>
          <w:sz w:val="20"/>
          <w:szCs w:val="20"/>
          <w:color w:val="auto"/>
        </w:rPr>
      </w:pPr>
    </w:p>
    <w:p>
      <w:pPr>
        <w:ind w:right="80" w:firstLine="458"/>
        <w:spacing w:after="0" w:line="290" w:lineRule="auto"/>
        <w:rPr>
          <w:sz w:val="20"/>
          <w:szCs w:val="20"/>
          <w:color w:val="auto"/>
        </w:rPr>
      </w:pPr>
      <w:r>
        <w:rPr>
          <w:rFonts w:ascii="Arial" w:cs="Arial" w:eastAsia="Arial" w:hAnsi="Arial"/>
          <w:sz w:val="13"/>
          <w:szCs w:val="13"/>
          <w:u w:val="single" w:color="auto"/>
          <w:color w:val="auto"/>
        </w:rPr>
        <w:t>Services Provided</w:t>
      </w:r>
      <w:r>
        <w:rPr>
          <w:rFonts w:ascii="Arial" w:cs="Arial" w:eastAsia="Arial" w:hAnsi="Arial"/>
          <w:sz w:val="13"/>
          <w:szCs w:val="13"/>
          <w:color w:val="auto"/>
        </w:rPr>
        <w:t>. Pursuant to the exhibitor services agreements, NCM LLC will be the exclusive provider within the United States of advertising services in the founding members’ theatres (subject to pre-existing contractual obligations and other limited exceptions for the benefit of the founding members), as well as of meeting events and digital programming events, and the founding members agree to participate in such services. Advertising services include on-screen advertising, use of the lobby entertainment network and lobby promotions. Meeting events involve the hosting of meetings and distribution of digital content. Digital programming events involve the distribution of digital programming events. See “Business—Our Company—In-Theatre Advertising,” “Business— Our Company—CineMeetings” and “Business—Our Company—Digital Programming Events” above for additional discussion of these businesses. The content, promotions, events, meetings and activities that are included within the services provided by NCM LLC are generally referred to herein as the services.</w:t>
      </w:r>
    </w:p>
    <w:p>
      <w:pPr>
        <w:spacing w:after="0" w:line="96"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u w:val="single" w:color="auto"/>
          <w:color w:val="auto"/>
        </w:rPr>
        <w:t>Term and Termination</w:t>
      </w:r>
      <w:r>
        <w:rPr>
          <w:rFonts w:ascii="Arial" w:cs="Arial" w:eastAsia="Arial" w:hAnsi="Arial"/>
          <w:sz w:val="13"/>
          <w:szCs w:val="13"/>
          <w:color w:val="auto"/>
        </w:rPr>
        <w:t>. The exhibitor services agreements will have a term of 30 years for advertising. The terms for CineMeetings and digital programming will each be approximately five years with provisions for automatic renewal if certain financial performance conditions relating to the average EBITDA per screen in all theatres are met by our CineMeetings or digital programming business, as applicable. If such financial performance conditions are not met, the founding member may elect to extend the term relating to CineMeetings or digital programming, as applicable, at its sole discretion, provided the CineMeetings or digital programming business, as applicable, has not had negative EBITDA in two years of the preceding term (in which case, either NCM LLC or the founding member may elect not to extend the term). Beginning one year prior to the end of the term of an exhibitor services agreement, NCM LLC will have a five-year right of first refusal to enter into a services agreement for the services provided under the exhibitor services agreement with the applicable founding member on terms equivalent to those offered by a third-party.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Either party may terminate the agreement upon:</w:t>
      </w:r>
    </w:p>
    <w:p>
      <w:pPr>
        <w:spacing w:after="0" w:line="79" w:lineRule="exact"/>
        <w:rPr>
          <w:sz w:val="20"/>
          <w:szCs w:val="20"/>
          <w:color w:val="auto"/>
        </w:rPr>
      </w:pPr>
    </w:p>
    <w:p>
      <w:pPr>
        <w:ind w:left="780" w:hanging="240"/>
        <w:spacing w:after="0"/>
        <w:tabs>
          <w:tab w:leader="none" w:pos="7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 material breach of the exhibitor services agreement by the other party after notice and a cure period;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 government, regulatory or judicial injunction, order or decree; or</w:t>
      </w:r>
    </w:p>
    <w:p>
      <w:pPr>
        <w:spacing w:after="0" w:line="79" w:lineRule="exact"/>
        <w:rPr>
          <w:rFonts w:ascii="Arial" w:cs="Arial" w:eastAsia="Arial" w:hAnsi="Arial"/>
          <w:sz w:val="14"/>
          <w:szCs w:val="14"/>
          <w:color w:val="auto"/>
        </w:rPr>
      </w:pPr>
    </w:p>
    <w:p>
      <w:pPr>
        <w:ind w:left="780" w:right="100" w:hanging="240"/>
        <w:spacing w:after="0" w:line="289" w:lineRule="auto"/>
        <w:tabs>
          <w:tab w:leader="none" w:pos="7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bankruptcy, insolvency or dissolution of the other party, appointment of a receiver or trustee for the other party who is not dismissed within 60 days or cessation of business or inability to pay debts.</w:t>
      </w:r>
    </w:p>
    <w:p>
      <w:pPr>
        <w:spacing w:after="0" w:line="93" w:lineRule="exact"/>
        <w:rPr>
          <w:sz w:val="20"/>
          <w:szCs w:val="20"/>
          <w:color w:val="auto"/>
        </w:rPr>
      </w:pPr>
    </w:p>
    <w:p>
      <w:pPr>
        <w:ind w:right="60" w:firstLine="458"/>
        <w:spacing w:after="0" w:line="290" w:lineRule="auto"/>
        <w:rPr>
          <w:sz w:val="20"/>
          <w:szCs w:val="20"/>
          <w:color w:val="auto"/>
        </w:rPr>
      </w:pPr>
      <w:r>
        <w:rPr>
          <w:rFonts w:ascii="Arial" w:cs="Arial" w:eastAsia="Arial" w:hAnsi="Arial"/>
          <w:sz w:val="13"/>
          <w:szCs w:val="13"/>
          <w:u w:val="single" w:color="auto"/>
          <w:color w:val="auto"/>
        </w:rPr>
        <w:t>Theatres</w:t>
      </w:r>
      <w:r>
        <w:rPr>
          <w:rFonts w:ascii="Arial" w:cs="Arial" w:eastAsia="Arial" w:hAnsi="Arial"/>
          <w:sz w:val="13"/>
          <w:szCs w:val="13"/>
          <w:color w:val="auto"/>
        </w:rPr>
        <w:t>. The founding members will be required to make all their theatres available for the services, including theatres that are newly acquired or built during the term of the exhibitor services agreement, but excluding draft house and art house theatres (attendance at which shall not exceed 4% of the attendance at the founding member’s participating theatres for the preceding year) and screens exhibiting IMAX technology. For newly acquired theatres that are subject to contracts with an alternative cinema advertising provider, if the founding member wishes to receive common membership units in NCM LLC (as provided in the common unit adjustment agreement described below) at the time the theatres are acquired, the exhibitor services agreement will provide that the founding member may make certain run out payments until NCM LLC can utilize the theatres for all of its services. Alternatively, the founding member may wait to receive common membership units for the acquired theatres until the contracts with the alternative providers have expired and NCM LLC may provide its services without limitation.</w:t>
      </w:r>
    </w:p>
    <w:p>
      <w:pPr>
        <w:spacing w:after="0" w:line="96"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u w:val="single" w:color="auto"/>
          <w:color w:val="auto"/>
        </w:rPr>
        <w:t>Lobby Entertainment Network</w:t>
      </w:r>
      <w:r>
        <w:rPr>
          <w:rFonts w:ascii="Arial" w:cs="Arial" w:eastAsia="Arial" w:hAnsi="Arial"/>
          <w:sz w:val="14"/>
          <w:szCs w:val="14"/>
          <w:color w:val="auto"/>
        </w:rPr>
        <w:t>. With exceptions for digitized theatres that already have lobby screens for the lobby entertainment network, the founding member will be required to place one lobby entertainment network screen in digitized theatres with ten or fewer auditoriums, two lobby entertainment network screens in digitized theatres with eleven to twenty auditoriums and three lobby entertainment network screens in digitized theatres with more than twenty auditoriums.</w:t>
      </w:r>
    </w:p>
    <w:p>
      <w:pPr>
        <w:spacing w:after="0" w:line="102" w:lineRule="exact"/>
        <w:rPr>
          <w:sz w:val="20"/>
          <w:szCs w:val="20"/>
          <w:color w:val="auto"/>
        </w:rPr>
      </w:pPr>
    </w:p>
    <w:p>
      <w:pPr>
        <w:ind w:right="300" w:firstLine="458"/>
        <w:spacing w:after="0" w:line="289" w:lineRule="auto"/>
        <w:rPr>
          <w:sz w:val="20"/>
          <w:szCs w:val="20"/>
          <w:color w:val="auto"/>
        </w:rPr>
      </w:pPr>
      <w:r>
        <w:rPr>
          <w:rFonts w:ascii="Arial" w:cs="Arial" w:eastAsia="Arial" w:hAnsi="Arial"/>
          <w:sz w:val="14"/>
          <w:szCs w:val="14"/>
          <w:u w:val="single" w:color="auto"/>
          <w:color w:val="auto"/>
        </w:rPr>
        <w:t>Inventory</w:t>
      </w:r>
      <w:r>
        <w:rPr>
          <w:rFonts w:ascii="Arial" w:cs="Arial" w:eastAsia="Arial" w:hAnsi="Arial"/>
          <w:sz w:val="14"/>
          <w:szCs w:val="14"/>
          <w:color w:val="auto"/>
        </w:rPr>
        <w:t>. The pre-feature program for digital on-screen advertising will be 20 to 30 minutes long, and the founding members covenant to use commercially reasonable efforts to open their auditoriums to customers at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60"/>
          </w:cols>
          <w:pgMar w:left="220" w:top="399" w:right="21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least 20 minutes prior to the advertised show time. Lobby entertainment network advertising will be displayed in</w:t>
      </w:r>
    </w:p>
    <w:p>
      <w:pPr>
        <w:spacing w:after="0" w:line="20"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a repeating loop. With respect to lobby promotions, there is an inventory of lobby promotions that are pre-approved by the founding members. Additional lobby promotions may be added to the pre-approved inventory upon consent by NCM LLC and the founding member. For digital programming events and meeting events (except church worship services, which require approval), the exhibitor services agreement also will establish pre-approved periods when such events may be exhibited in applicable theatres, specifically on Monday through Thursday evenings for digital programming events and Monday through Thursday from 6:00 a.m. to 6:00 p.m. for meetings, in both cases except during specified peak holiday periods. Digital programming events may be exhibited and meeting events may be conducted at other times upon consent by NCM LLC and the founding member.</w:t>
      </w:r>
    </w:p>
    <w:p>
      <w:pPr>
        <w:spacing w:after="0" w:line="111" w:lineRule="exact"/>
        <w:rPr>
          <w:sz w:val="20"/>
          <w:szCs w:val="20"/>
          <w:color w:val="auto"/>
        </w:rPr>
      </w:pPr>
    </w:p>
    <w:p>
      <w:pPr>
        <w:ind w:right="80" w:firstLine="458"/>
        <w:spacing w:after="0" w:line="290" w:lineRule="auto"/>
        <w:rPr>
          <w:sz w:val="20"/>
          <w:szCs w:val="20"/>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In consideration for NCM LLC’s access to our founding members’ theatre attendees for on-screen advertising and use of off-screen locations within the founding member’s theatres for the lobby entertainment network and lobby promotions, the founding members will receive a monthly theatre access fee under the exhibitor services agreements. The theatre access fee is composed of a fixed payment per patron and a fixed payment per digital screen, which will be adjusted for any advertising exhibited by some, but not all, theatres or founding members because of content objections or technical capacity. The payment per theatre patron will increase by 8% every five years with the first such increase taking effect after the end of fiscal 2011 and the payment per digital screen will increase annually by 5%, beginning after the end of fiscal 2007. The theatre access fee paid in the aggregate to all founding members will not be less than 12% of NCM LLC’s aggregate advertising revenue (as defined in the exhibitor services agreement), or it will be adjusted upward to reach this minimum payment.</w:t>
      </w:r>
    </w:p>
    <w:p>
      <w:pPr>
        <w:spacing w:after="0" w:line="96" w:lineRule="exact"/>
        <w:rPr>
          <w:sz w:val="20"/>
          <w:szCs w:val="20"/>
          <w:color w:val="auto"/>
        </w:rPr>
      </w:pPr>
    </w:p>
    <w:p>
      <w:pPr>
        <w:ind w:right="60" w:firstLine="458"/>
        <w:spacing w:after="0" w:line="305" w:lineRule="auto"/>
        <w:rPr>
          <w:sz w:val="20"/>
          <w:szCs w:val="20"/>
          <w:color w:val="auto"/>
        </w:rPr>
      </w:pPr>
      <w:r>
        <w:rPr>
          <w:rFonts w:ascii="Arial" w:cs="Arial" w:eastAsia="Arial" w:hAnsi="Arial"/>
          <w:sz w:val="13"/>
          <w:szCs w:val="13"/>
          <w:color w:val="auto"/>
        </w:rPr>
        <w:t>As described in “Use of Proceeds,” NCM LLC will also pay all of the proceeds it receives from us to the founding members for their agreeing to modify NCM LLC’s payment obligation under the exhibitor services agreements. The modification agreed to by the founding members reflects a shift from circuit share expense under the prior agreements with our founding members, which previously obligated NCM LLC to pay the founding members a percentage of revenue, to the monthly theatre access fee under the exhibitor services agreements.</w:t>
      </w:r>
    </w:p>
    <w:p>
      <w:pPr>
        <w:spacing w:after="0" w:line="86"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color w:val="auto"/>
        </w:rPr>
        <w:t>Also as described in “Use of Proceeds,” if the underwriters exercise their option to purchase an additional 4,000,000 shares of our common stock to cover over-allotments of shares, we will use the net proceeds from the over-allotments to purchase an equivalent number of common membership units in NCM LLC held by our founding members on a pro rata basis at a price per unit equal to the public offering price per share, less underwriting discounts and commissions and offering expenses.</w:t>
      </w:r>
    </w:p>
    <w:p>
      <w:pPr>
        <w:spacing w:after="0" w:line="102" w:lineRule="exact"/>
        <w:rPr>
          <w:sz w:val="20"/>
          <w:szCs w:val="20"/>
          <w:color w:val="auto"/>
        </w:rPr>
      </w:pPr>
    </w:p>
    <w:p>
      <w:pPr>
        <w:ind w:right="160" w:firstLine="458"/>
        <w:spacing w:after="0" w:line="322" w:lineRule="auto"/>
        <w:rPr>
          <w:sz w:val="20"/>
          <w:szCs w:val="20"/>
          <w:color w:val="auto"/>
        </w:rPr>
      </w:pPr>
      <w:r>
        <w:rPr>
          <w:rFonts w:ascii="Arial" w:cs="Arial" w:eastAsia="Arial" w:hAnsi="Arial"/>
          <w:sz w:val="12"/>
          <w:szCs w:val="12"/>
          <w:color w:val="auto"/>
        </w:rPr>
        <w:t>In consideration for the exhibition of digital programming events, the founding members will retain 15% of the revenue from ticket sales, net of taxes and refunds and 100% of the concession sales. NCM LLC will distribute a total of 15% of the net revenue received from any promotional fee for a digital programming event to the founding members that participated in such digital programming event, allocated based upon the number of tickets sold. Revenue from meeting events will be shared based on the type of event. For Meetings with a Movie, the founding member will retain the proceeds of movie ticket sales for a full sale of the auditorium (at adult ticket prices) and NCM LLC will retain other fees associated with the meeting. For meetings without a movie, NCM LLC will pay the founding member 15% of the rental revenue for the meeting. For church worship services, NCM LLC will pay the founding member 50% of the rental revenue for the meeting.</w:t>
      </w:r>
    </w:p>
    <w:p>
      <w:pPr>
        <w:spacing w:after="0" w:line="80" w:lineRule="exact"/>
        <w:rPr>
          <w:sz w:val="20"/>
          <w:szCs w:val="20"/>
          <w:color w:val="auto"/>
        </w:rPr>
      </w:pPr>
    </w:p>
    <w:p>
      <w:pPr>
        <w:ind w:firstLine="458"/>
        <w:spacing w:after="0" w:line="328" w:lineRule="auto"/>
        <w:rPr>
          <w:sz w:val="20"/>
          <w:szCs w:val="20"/>
          <w:color w:val="auto"/>
        </w:rPr>
      </w:pPr>
      <w:r>
        <w:rPr>
          <w:rFonts w:ascii="Arial" w:cs="Arial" w:eastAsia="Arial" w:hAnsi="Arial"/>
          <w:sz w:val="12"/>
          <w:szCs w:val="12"/>
          <w:color w:val="auto"/>
        </w:rPr>
        <w:t>NCM LLC will pay the cost associated with providing its services to the founding members’ theatres, which includes selling and marketing expenses (including base salaries, commissions and benefits of our advertising sales staff and marketing, public relations and research departments), network operations and maintenance costs (including costs to run our network operations center, satellite bandwidth costs and costs for the maintenance of the network software and hardware), advertising and event costs (including production and other costs associated with non-digital advertising, and direct costs of events) and administrative expenses (including salaries, bonuses and benefits for our administrative staff and occupancy costs). The founding members pay the in-theatre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60"/>
          </w:cols>
          <w:pgMar w:left="220" w:top="398" w:right="21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operational costs of exhibiting the services within the theatres (such as electricity), except that any incremental costs (such as third-party security at digital programming events) are reimbursed by NCM LLC.</w:t>
      </w:r>
    </w:p>
    <w:p>
      <w:pPr>
        <w:spacing w:after="0" w:line="93"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u w:val="single" w:color="auto"/>
          <w:color w:val="auto"/>
        </w:rPr>
        <w:t>Beverage Concessionaire Agreements</w:t>
      </w:r>
      <w:r>
        <w:rPr>
          <w:rFonts w:ascii="Arial" w:cs="Arial" w:eastAsia="Arial" w:hAnsi="Arial"/>
          <w:sz w:val="14"/>
          <w:szCs w:val="14"/>
          <w:color w:val="auto"/>
        </w:rPr>
        <w:t>. Under the exhibitor services agreements, NCM LLC will display up to 90 seconds of on-screen advertising for beverage concessionaires at the time established in their agreements with the founding members, but the founding members are required to pay an initial beverage agreement advertising rate based on CPM for the beverage advertising. As long as the beverage agreement advertising rate does not exceed the highest rate being charged by NCM LLC for on-screen advertising, the rate will increase annually at a rate of (a) 8% per year for each of the first two calendar years following fiscal 2007, (b) 6% per year for the next two fiscal years, and (c) for all following years, at an annual percentage equal to the annual increase in the advertising rate charged by NCM LLC to unaffiliated third parties.</w:t>
      </w:r>
    </w:p>
    <w:p>
      <w:pPr>
        <w:spacing w:after="0" w:line="110" w:lineRule="exact"/>
        <w:rPr>
          <w:sz w:val="20"/>
          <w:szCs w:val="20"/>
          <w:color w:val="auto"/>
        </w:rPr>
      </w:pPr>
    </w:p>
    <w:p>
      <w:pPr>
        <w:ind w:right="200" w:firstLine="458"/>
        <w:spacing w:after="0" w:line="289" w:lineRule="auto"/>
        <w:rPr>
          <w:sz w:val="20"/>
          <w:szCs w:val="20"/>
          <w:color w:val="auto"/>
        </w:rPr>
      </w:pPr>
      <w:r>
        <w:rPr>
          <w:rFonts w:ascii="Arial" w:cs="Arial" w:eastAsia="Arial" w:hAnsi="Arial"/>
          <w:sz w:val="13"/>
          <w:szCs w:val="13"/>
          <w:u w:val="single" w:color="auto"/>
          <w:color w:val="auto"/>
        </w:rPr>
        <w:t>Equipment</w:t>
      </w:r>
      <w:r>
        <w:rPr>
          <w:rFonts w:ascii="Arial" w:cs="Arial" w:eastAsia="Arial" w:hAnsi="Arial"/>
          <w:sz w:val="13"/>
          <w:szCs w:val="13"/>
          <w:color w:val="auto"/>
        </w:rPr>
        <w:t>. Founding members’ existing digitized theatres have the requisite equipment to participate in the advertising services. For newly acquired and built theatres, as well as theatres converting from non-digitized to digitized capacities, NCM LLC is responsible for procuring the equipment necessary to deliver its services on behalf of the founding members, or the founding members have the option to procure equipment directly. NCM LLC will pay for the equipment that is placed outside of theatres and for any testing equipment installed within the theatres to maintain NCM LLC’s software. The founding members will pay for all other equipment placed inside these theatres. Under the exhibitor services agreements, the founding members will be responsible for installation of equipment purchased, but they may elect to have NCM LLC perform the installation, in which case NCM LLC will be reimbursed for installation services. If satellite service is not available and a landline connection is required for delivery of its services, NCM LLC will pay for the costs of the landline connection with respect to delivery of content from NCM LLC to the founding member’s wide area network, and the founding member will pay the costs with respect to delivery of content from its wide area network to its theatres.</w:t>
      </w:r>
    </w:p>
    <w:p>
      <w:pPr>
        <w:spacing w:after="0" w:line="95"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Each party owns the equipment for which it pays or for which it reimburses the other party. NCM LLC may request replacement, upgrade or modification of equipment or software in any theatre, provided such request is made to all founding members, and NCM LLC and the founding member will negotiate the terms and cost-sharing of any upgrade requests. Under the exhibitor services agreements, if no agreement is reached regarding the upgrade request, NCM LLC may elect to pay for the proposed replacements, upgrades or modifications. The parties, pursuant to the exhibitor services agreement, agree to use commercially reasonable efforts to ensure that the digital content network will be integrated with any network for delivery of digital cinema services so that NCM LLC’s services can be delivered over any such digital cinema network. NCM LLC will perform repair and routine maintenance of equipment, unless the founding member elects to assume this responsibility. If NCM LLC is performing repair and routine maintenance, it will bear the cost of repairs (subject to limited restrictions), but not replacement. The founding member will pay the expense of equipment repair or replacement if the expense would constitute a capital expense for NCM LLC or if the expense is payable by the founding member’s insurance provider.</w:t>
      </w:r>
    </w:p>
    <w:p>
      <w:pPr>
        <w:spacing w:after="0" w:line="95"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u w:val="single" w:color="auto"/>
          <w:color w:val="auto"/>
        </w:rPr>
        <w:t>Content Standards</w:t>
      </w:r>
      <w:r>
        <w:rPr>
          <w:rFonts w:ascii="Arial" w:cs="Arial" w:eastAsia="Arial" w:hAnsi="Arial"/>
          <w:sz w:val="13"/>
          <w:szCs w:val="13"/>
          <w:color w:val="auto"/>
        </w:rPr>
        <w:t>. Section 4.03 of the exhibitor services agreements establishes content standards for the services that NCM LLC provides. Specifically, content may not (a) be subject to a Motion Picture Association of America “X” or “NC-17” rating or the equivalent; (b) promote illegal activity; (c) promote the use of tobacco, sexual aids, birth control, firearms, weapons or similar products; (d) promote alcohol, except prior to “R”-rated films in an auditorium; (e) constitute religious advertising, except the time and location for local church services; (f) constitute political advertising or promote gambling; (g) promote competitive theatres, theatre circuits or other entities that compete with the founding member or NCM LLC; (h) violate any of the founding member’s beverage agreements or identified exclusive contractual relationships; or (i) otherwise negatively reflect on the founding member or adversely affect the founding member’s attendance, as determined in the founding member’s reasonable discretion and specified with respect to the geographical locations affected. If certain founding members decline to exhibit an advertisement on the basis of these content standards, while other founding members agree to exhibit it, the revenue from such advertisement is considered “4.03 Revenue.” 4.03 Revenue will increase the theatre access fee paid to the founding members that displayed such advertisement relative to the founding members that did not display such advertisement in all or some of their theatres.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60"/>
          </w:cols>
          <w:pgMar w:left="220" w:top="398" w:right="21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20" w:firstLine="458"/>
        <w:spacing w:after="0" w:line="286" w:lineRule="auto"/>
        <w:rPr>
          <w:sz w:val="20"/>
          <w:szCs w:val="20"/>
          <w:color w:val="auto"/>
        </w:rPr>
      </w:pPr>
      <w:r>
        <w:rPr>
          <w:rFonts w:ascii="Arial" w:cs="Arial" w:eastAsia="Arial" w:hAnsi="Arial"/>
          <w:sz w:val="13"/>
          <w:szCs w:val="13"/>
          <w:u w:val="single" w:color="auto"/>
          <w:color w:val="auto"/>
        </w:rPr>
        <w:t>Founding Member Brand</w:t>
      </w:r>
      <w:r>
        <w:rPr>
          <w:rFonts w:ascii="Arial" w:cs="Arial" w:eastAsia="Arial" w:hAnsi="Arial"/>
          <w:sz w:val="13"/>
          <w:szCs w:val="13"/>
          <w:color w:val="auto"/>
        </w:rPr>
        <w:t>. The exhibitor services agreements provide that NCM LLC, in coordination with each founding member, will create a brand identity for the founding member, presented in interstitial messaging during the pre-feature program, including an introduction and close to the program. NCM LLC will also include in the pre-feature show up to two minutes for promotion of the founding member in segments called branded slots, and NCM LLC will include founding member branding in the policy trailer it produces. The branded slots may include theatre advertising, as described below. The branded slots are provided by NCM LLC to the founding members at no charge and include 45 seconds within 15 minutes of show time, 15 seconds of which will be placed within 11 minutes of show time, and the remainder placed at NCM LLC’s discretion. We may move the placement of the branded slots up to one minute further from the advertised movie show time if NCM LLC sells additional advertising units to third parties that will follow the branded slots. After the advertised show time (and after the pre-feature show), the founding members may also exhibit a policy trailer regarding theatre policy and operations. The policy trailer may include promotions of the founding member’s concessions and may display branding of film studios, distributors or production companies. Upon prior written approval of the founding member, NCM LLC may sell advertising for inclusion in the policy trailer. Under the exhibitor services agreements, NCM LLC will provide, at no additional cost to the founding members, creative services to prepare branding material for the founding members, subject to a 1,000 hour annual limit for creative services to each founding member. After this hour limit is reached, the founding member may purchase additional creative services on an hourly basis.</w:t>
      </w:r>
    </w:p>
    <w:p>
      <w:pPr>
        <w:spacing w:after="0" w:line="98"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u w:val="single" w:color="auto"/>
          <w:color w:val="auto"/>
        </w:rPr>
        <w:t>Founding Member Strategic Programs</w:t>
      </w:r>
      <w:r>
        <w:rPr>
          <w:rFonts w:ascii="Arial" w:cs="Arial" w:eastAsia="Arial" w:hAnsi="Arial"/>
          <w:sz w:val="13"/>
          <w:szCs w:val="13"/>
          <w:color w:val="auto"/>
        </w:rPr>
        <w:t>. The exhibitor services agreements allow a founding member to exhibit advertising that is not directly related to theatre operations but is designed to promote the theatres or the movie-going experience to increase attendance or revenue (other than revenue from the sale of advertising) for the founding member (called a founding member strategic program). The founding member, at no cost, may use one minute for every 30 minutes of advertising on the lobby entertainment network and certain lobby promotions for its strategic programs in up to two local or regional promotions per theatre per flight (the approximately four- to five-week period that advertising content will run before being refreshed by NCM LLC) and up to four national promotions per year, provided that only one national promotion is running at any given time. The founding member may purchase an additional minute of lobby entertainment network time, for strategic programs at rate card rates and subject to availability. Any additional strategic advertising on the lobby entertainment network or as part of a lobby promotion must be agreed to by NCM LLC.</w:t>
      </w:r>
    </w:p>
    <w:p>
      <w:pPr>
        <w:spacing w:after="0" w:line="96" w:lineRule="exact"/>
        <w:rPr>
          <w:sz w:val="20"/>
          <w:szCs w:val="20"/>
          <w:color w:val="auto"/>
        </w:rPr>
      </w:pPr>
    </w:p>
    <w:p>
      <w:pPr>
        <w:ind w:right="260" w:firstLine="458"/>
        <w:spacing w:after="0" w:line="270" w:lineRule="auto"/>
        <w:rPr>
          <w:sz w:val="20"/>
          <w:szCs w:val="20"/>
          <w:color w:val="auto"/>
        </w:rPr>
      </w:pPr>
      <w:r>
        <w:rPr>
          <w:rFonts w:ascii="Arial" w:cs="Arial" w:eastAsia="Arial" w:hAnsi="Arial"/>
          <w:sz w:val="14"/>
          <w:szCs w:val="14"/>
          <w:u w:val="single" w:color="auto"/>
          <w:color w:val="auto"/>
        </w:rPr>
        <w:t>Theatre Advertising</w:t>
      </w:r>
      <w:r>
        <w:rPr>
          <w:rFonts w:ascii="Arial" w:cs="Arial" w:eastAsia="Arial" w:hAnsi="Arial"/>
          <w:sz w:val="14"/>
          <w:szCs w:val="14"/>
          <w:color w:val="auto"/>
        </w:rPr>
        <w:t xml:space="preserve">. The exhibitor services agreements permit the founding members to use their branded slot time (as described above) within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and the lobby entertainment network and certain lobby promotions to promote various activities associated with operation of the theatres, including concessions, ticketing partners, gift card and loyalty programs, special events presented by the founding member and vendors of non-film related services provided to theatres, so long as such promotions are incidental to the vendor’s service (called theatre advertising). The exhibitor services agreements also permit the founding members to:</w:t>
      </w:r>
    </w:p>
    <w:p>
      <w:pPr>
        <w:spacing w:after="0" w:line="41" w:lineRule="exact"/>
        <w:rPr>
          <w:sz w:val="20"/>
          <w:szCs w:val="20"/>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purchase additional theatre advertising at an arm’s length basis and subject to availability;</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 promotion of concessions and display branding of film studios, distributor or production companies in the policy trailer;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exhibit theatre advertising and other internal programming, on lobby screens in excess of the lobby entertainment network requirements;</w:t>
      </w:r>
    </w:p>
    <w:p>
      <w:pPr>
        <w:spacing w:after="0" w:line="79"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promote the grand opening of a theatre with promotions involving local businesses for the period of 14 days before to 14 days after the opening of such theatre, which may include, subject to availability, one on-screen advertisement of 30 seconds in length;</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place advertising for full-length feature films on special popcorn tubs in circumstances where NCM LLC does not sell such advertising;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allow employee uniform suppliers to advertise on theatre employees’ uniforms.</w:t>
      </w:r>
    </w:p>
    <w:p>
      <w:pPr>
        <w:spacing w:after="0" w:line="145"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u w:val="single" w:color="auto"/>
          <w:color w:val="auto"/>
        </w:rPr>
        <w:t>Legacy Agreements</w:t>
      </w:r>
      <w:r>
        <w:rPr>
          <w:rFonts w:ascii="Arial" w:cs="Arial" w:eastAsia="Arial" w:hAnsi="Arial"/>
          <w:sz w:val="14"/>
          <w:szCs w:val="14"/>
          <w:color w:val="auto"/>
        </w:rPr>
        <w:t>. In the current agreements between NCM LLC and the founding members, mechanisms were established to address the servicing of and allocation of revenue relating to legacy advertising contracts that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40"/>
          </w:cols>
          <w:pgMar w:left="220" w:top="398" w:right="23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20"/>
        <w:spacing w:after="0" w:line="330" w:lineRule="auto"/>
        <w:rPr>
          <w:sz w:val="20"/>
          <w:szCs w:val="20"/>
          <w:color w:val="auto"/>
        </w:rPr>
      </w:pPr>
      <w:r>
        <w:rPr>
          <w:rFonts w:ascii="Arial" w:cs="Arial" w:eastAsia="Arial" w:hAnsi="Arial"/>
          <w:sz w:val="13"/>
          <w:szCs w:val="13"/>
          <w:color w:val="auto"/>
        </w:rPr>
        <w:t>existed between the founding members and third-party advertisers. The exhibitor services agreement will provide that all remaining legacy agreements are assigned by the founding members to NCM LLC, or if such assignment is not possible, the founding member will pay to NCM LLC all revenue from the legacy agreement and NCM LLC will perform the obligations under that agreement.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u w:val="single" w:color="auto"/>
          <w:color w:val="auto"/>
        </w:rPr>
        <w:t>Non-Competition</w:t>
      </w:r>
      <w:r>
        <w:rPr>
          <w:rFonts w:ascii="Arial" w:cs="Arial" w:eastAsia="Arial" w:hAnsi="Arial"/>
          <w:sz w:val="14"/>
          <w:szCs w:val="14"/>
          <w:color w:val="auto"/>
        </w:rPr>
        <w:t>. The founding member agrees not to compete with NCM LLC in the businesses that the exhibitor services agreement authorizes NCM LLC to conduct, unless:</w:t>
      </w:r>
    </w:p>
    <w:p>
      <w:pPr>
        <w:spacing w:after="0" w:line="79" w:lineRule="exact"/>
        <w:rPr>
          <w:sz w:val="20"/>
          <w:szCs w:val="20"/>
          <w:color w:val="auto"/>
        </w:rPr>
      </w:pPr>
    </w:p>
    <w:p>
      <w:pPr>
        <w:ind w:left="780" w:hanging="240"/>
        <w:spacing w:after="0"/>
        <w:tabs>
          <w:tab w:leader="none" w:pos="7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founding member or an affiliate acquires a competing business as an incidental part of an acquisition and disposes of the competing business as soon as practicable;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founding member and any affiliates acquire an aggregate direct or indirect ownership of less than 10% of the voting power of a competitive business; or</w:t>
      </w:r>
    </w:p>
    <w:p>
      <w:pPr>
        <w:spacing w:after="0" w:line="79" w:lineRule="exact"/>
        <w:rPr>
          <w:rFonts w:ascii="Arial" w:cs="Arial" w:eastAsia="Arial" w:hAnsi="Arial"/>
          <w:sz w:val="14"/>
          <w:szCs w:val="14"/>
          <w:color w:val="auto"/>
        </w:rPr>
      </w:pPr>
    </w:p>
    <w:p>
      <w:pPr>
        <w:ind w:left="780" w:right="40" w:hanging="240"/>
        <w:spacing w:after="0" w:line="289" w:lineRule="auto"/>
        <w:tabs>
          <w:tab w:leader="none" w:pos="7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founding member enters into an agreement for the acquisition or installation of equipment or the provision of services with a competitor of NCM LLC, if there is no violation of NCM LLC’s exclusive provision of services under the exhibitor services agreement.</w:t>
      </w:r>
    </w:p>
    <w:p>
      <w:pPr>
        <w:spacing w:after="0" w:line="93"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u w:val="single" w:color="auto"/>
          <w:color w:val="auto"/>
        </w:rPr>
        <w:t>Certain Other Provisions</w:t>
      </w:r>
      <w:r>
        <w:rPr>
          <w:rFonts w:ascii="Arial" w:cs="Arial" w:eastAsia="Arial" w:hAnsi="Arial"/>
          <w:sz w:val="13"/>
          <w:szCs w:val="13"/>
          <w:color w:val="auto"/>
        </w:rPr>
        <w:t>. The exhibitor services agreement includes (a) a limited license from NCM LLC to the founding member for use of NCM LLC’s software and marks and (b) a limited license from the founding member to NCM LLC for use of the founding member’s marks. Each party makes standard representations and warranties, such as due formation and authorization to enter into and perform the agreement, and each party agrees to indemnify the other for certain liabilities. If the exhibitor services agreement with one founding member is amended, other founding members have the right to amend their exhibitor services agreements to match such change pursuant to a most-favored nations provision. Neither party may assign, including by operation of law, its rights or obligations under the exhibitor services agreement, except to certain permitted transferees affiliated with the transferring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NCM LLC Operating Agreement</w:t>
      </w:r>
    </w:p>
    <w:p>
      <w:pPr>
        <w:spacing w:after="0" w:line="7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i w:val="1"/>
          <w:iCs w:val="1"/>
          <w:color w:val="auto"/>
        </w:rPr>
        <w:t xml:space="preserve">Agreement in Effect Before the Completion of the Offering. </w:t>
      </w:r>
      <w:r>
        <w:rPr>
          <w:rFonts w:ascii="Arial" w:cs="Arial" w:eastAsia="Arial" w:hAnsi="Arial"/>
          <w:sz w:val="14"/>
          <w:szCs w:val="14"/>
          <w:color w:val="auto"/>
        </w:rPr>
        <w:t>The founding members are parties to an amended and restated limited liability company operating agreement dated as of July 15,</w:t>
      </w:r>
      <w:r>
        <w:rPr>
          <w:rFonts w:ascii="Arial" w:cs="Arial" w:eastAsia="Arial" w:hAnsi="Arial"/>
          <w:sz w:val="14"/>
          <w:szCs w:val="14"/>
          <w:i w:val="1"/>
          <w:iCs w:val="1"/>
          <w:color w:val="auto"/>
        </w:rPr>
        <w:t xml:space="preserve"> </w:t>
      </w:r>
      <w:r>
        <w:rPr>
          <w:rFonts w:ascii="Arial" w:cs="Arial" w:eastAsia="Arial" w:hAnsi="Arial"/>
          <w:sz w:val="14"/>
          <w:szCs w:val="14"/>
          <w:color w:val="auto"/>
        </w:rPr>
        <w:t>2005, as amended, which governs the operations of NCM LLC. We refer to this agreement as the current LLC agreement. Under the current LLC agreement, NCM LLC is governed by a ten-member board of directors, who qualify as “managers” for purposes of the Delaware limited liability company statute. Each of Regal, AMC and Cinemark appoints three directors, and the tenth director is NCM LLC’s chief executive officer. Each founding member’s designation rights continue for as long as that member owns Class A membership units of NCM LLC. Board actions require a majority director vote, defined as the vote of nine directors.</w:t>
      </w:r>
    </w:p>
    <w:p>
      <w:pPr>
        <w:spacing w:after="0" w:line="110" w:lineRule="exact"/>
        <w:rPr>
          <w:sz w:val="20"/>
          <w:szCs w:val="20"/>
          <w:color w:val="auto"/>
        </w:rPr>
      </w:pPr>
    </w:p>
    <w:p>
      <w:pPr>
        <w:ind w:right="180" w:firstLine="458"/>
        <w:spacing w:after="0" w:line="275" w:lineRule="auto"/>
        <w:rPr>
          <w:sz w:val="20"/>
          <w:szCs w:val="20"/>
          <w:color w:val="auto"/>
        </w:rPr>
      </w:pPr>
      <w:r>
        <w:rPr>
          <w:rFonts w:ascii="Arial" w:cs="Arial" w:eastAsia="Arial" w:hAnsi="Arial"/>
          <w:sz w:val="14"/>
          <w:szCs w:val="14"/>
          <w:color w:val="auto"/>
        </w:rPr>
        <w:t>The current LLC agreement provides for the creation of an audit committee, compensation committee and finance committee of the board of directors. All committees must consist of at least six directors, including two directors designated by each founding member. The current LLC agreement also provides for the appointment of a chief executive officer, chief financial officer, chief technology and operations officer and chief sales and marketing officer, whose appointments must be approved by the board.</w:t>
      </w:r>
    </w:p>
    <w:p>
      <w:pPr>
        <w:spacing w:after="0" w:line="102"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By amendment dated December 12, 2006, the current LLC agreement was amended to adjust the number of units held by each founding member to account for Cinemark’s participation in NCM LLC, including with the Century theatres, on an annualized basis for the trailing twelve months ended October 26, 2006. By amendment dated January , 2007, the current LLC agreement was further amended to adjust the number of units held by each founding member to account for the effective integration of the Loews screens on an annualized basis for the trailing twelve months ended October 26, 2006.</w:t>
      </w:r>
    </w:p>
    <w:p>
      <w:pPr>
        <w:spacing w:after="0" w:line="106"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i w:val="1"/>
          <w:iCs w:val="1"/>
          <w:color w:val="auto"/>
        </w:rPr>
        <w:t xml:space="preserve">Agreement in Effect After the Offering. </w:t>
      </w:r>
      <w:r>
        <w:rPr>
          <w:rFonts w:ascii="Arial" w:cs="Arial" w:eastAsia="Arial" w:hAnsi="Arial"/>
          <w:sz w:val="14"/>
          <w:szCs w:val="14"/>
          <w:color w:val="auto"/>
        </w:rPr>
        <w:t>In connection with the completion of this offering, we and the founding members will enter into a third amended and restated limited liability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agreement of NCM LLC, which will become effective upon the completion of this offering. We refer to this agreement as the third restated LLC agreement.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40"/>
          </w:cols>
          <w:pgMar w:left="220" w:top="399" w:right="23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u w:val="single" w:color="auto"/>
          <w:color w:val="auto"/>
        </w:rPr>
        <w:t>Appointment as Manager</w:t>
      </w:r>
      <w:r>
        <w:rPr>
          <w:rFonts w:ascii="Arial" w:cs="Arial" w:eastAsia="Arial" w:hAnsi="Arial"/>
          <w:sz w:val="13"/>
          <w:szCs w:val="13"/>
          <w:color w:val="auto"/>
        </w:rPr>
        <w:t>. Under the third restated LLC agreement, we will become a member and the sole manager of NCM LLC. As the sole manager, we will be able to control all of the day to day business affairs and decision-making of NCM LLC without the approval of any other member. As such, we, through our officers and directors, will be responsible for all operational and administrative decisions of NCM LLC and the day-to-day management of NCM LLC’s business. Furthermore, we cannot be removed as manager of NCM LLC, except by NCM Inc.</w:t>
      </w:r>
    </w:p>
    <w:p>
      <w:pPr>
        <w:spacing w:after="0" w:line="86"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Except as necessary to avoid being classified as an investment company or with the founding members’ approval, as long as we are the manager of NCM LLC our business will be limited to owning and dealing with units, managing the business of NCM LLC, fulfilling our obligations under the Exchange Act and activities incidental to the foregoing.</w:t>
      </w:r>
    </w:p>
    <w:p>
      <w:pPr>
        <w:spacing w:after="0" w:line="93" w:lineRule="exact"/>
        <w:rPr>
          <w:sz w:val="20"/>
          <w:szCs w:val="20"/>
          <w:color w:val="auto"/>
        </w:rPr>
      </w:pPr>
    </w:p>
    <w:p>
      <w:pPr>
        <w:jc w:val="both"/>
        <w:ind w:right="260" w:firstLine="458"/>
        <w:spacing w:after="0" w:line="275" w:lineRule="auto"/>
        <w:rPr>
          <w:sz w:val="20"/>
          <w:szCs w:val="20"/>
          <w:color w:val="auto"/>
        </w:rPr>
      </w:pPr>
      <w:r>
        <w:rPr>
          <w:rFonts w:ascii="Arial" w:cs="Arial" w:eastAsia="Arial" w:hAnsi="Arial"/>
          <w:sz w:val="14"/>
          <w:szCs w:val="14"/>
          <w:u w:val="single" w:color="auto"/>
          <w:color w:val="auto"/>
        </w:rPr>
        <w:t>Founding Member Approval Rights</w:t>
      </w:r>
      <w:r>
        <w:rPr>
          <w:rFonts w:ascii="Arial" w:cs="Arial" w:eastAsia="Arial" w:hAnsi="Arial"/>
          <w:sz w:val="14"/>
          <w:szCs w:val="14"/>
          <w:color w:val="auto"/>
        </w:rPr>
        <w:t>. If any director designee to our board of directors designated by our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the following actions of NCM LLC:</w:t>
      </w:r>
    </w:p>
    <w:p>
      <w:pPr>
        <w:spacing w:after="0" w:line="37" w:lineRule="exact"/>
        <w:rPr>
          <w:sz w:val="20"/>
          <w:szCs w:val="20"/>
          <w:color w:val="auto"/>
        </w:rPr>
      </w:pPr>
    </w:p>
    <w:p>
      <w:pPr>
        <w:ind w:left="780" w:hanging="240"/>
        <w:spacing w:after="0"/>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approving any budget or any amendment or modification of the budget;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incurring any indebtedness or entering into or consummating any other financing transaction that is not provided for in the budget;</w:t>
      </w:r>
    </w:p>
    <w:p>
      <w:pPr>
        <w:spacing w:after="0" w:line="79" w:lineRule="exact"/>
        <w:rPr>
          <w:rFonts w:ascii="Arial" w:cs="Arial" w:eastAsia="Arial" w:hAnsi="Arial"/>
          <w:sz w:val="14"/>
          <w:szCs w:val="14"/>
          <w:color w:val="auto"/>
        </w:rPr>
      </w:pPr>
    </w:p>
    <w:p>
      <w:pPr>
        <w:ind w:left="780" w:hanging="240"/>
        <w:spacing w:after="0" w:line="330" w:lineRule="auto"/>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entering into or consummating any agreements or arrangements involving annual payments by NCM LLC (including the fair market value of any barter) in excess of $5 million (subject to annual adjustment based on the Consumer Price Index), except as otherwise provided in the budget, or any material modification of any such agreements or arrangements;</w:t>
      </w:r>
    </w:p>
    <w:p>
      <w:pPr>
        <w:spacing w:after="0" w:line="4" w:lineRule="exact"/>
        <w:rPr>
          <w:rFonts w:ascii="Arial" w:cs="Arial" w:eastAsia="Arial" w:hAnsi="Arial"/>
          <w:sz w:val="13"/>
          <w:szCs w:val="13"/>
          <w:color w:val="auto"/>
        </w:rPr>
      </w:pPr>
    </w:p>
    <w:p>
      <w:pPr>
        <w:ind w:left="780" w:right="440" w:hanging="240"/>
        <w:spacing w:after="0" w:line="289" w:lineRule="auto"/>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entering into or consummating any agreements or arrangements involving annual receipts (including the fair market value of any barter) in excess of $20 million (subject to annual adjustment based on the Consumer Price Index), or any material modification of any such agreements or arrangements;</w:t>
      </w:r>
    </w:p>
    <w:p>
      <w:pPr>
        <w:spacing w:after="0" w:line="27" w:lineRule="exact"/>
        <w:rPr>
          <w:rFonts w:ascii="Arial" w:cs="Arial" w:eastAsia="Arial" w:hAnsi="Arial"/>
          <w:sz w:val="14"/>
          <w:szCs w:val="14"/>
          <w:color w:val="auto"/>
        </w:rPr>
      </w:pPr>
    </w:p>
    <w:p>
      <w:pPr>
        <w:ind w:left="780" w:right="120" w:hanging="240"/>
        <w:spacing w:after="0" w:line="275" w:lineRule="auto"/>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except as contemplated herein, declaring, setting aside or paying any redemption of, dividends on, or the making of any other distributions in respect of, any of its membership units or other equity interests in NCM LLC, as the case may be, payable in cash, stock, property or otherwise, or any reorganization or recapitalization or split, combination or reclassification or similar transaction of any of its units, limited liability company interests or capital stock, as the case may be;</w:t>
      </w:r>
    </w:p>
    <w:p>
      <w:pPr>
        <w:spacing w:after="0" w:line="36" w:lineRule="exact"/>
        <w:rPr>
          <w:rFonts w:ascii="Arial" w:cs="Arial" w:eastAsia="Arial" w:hAnsi="Arial"/>
          <w:sz w:val="14"/>
          <w:szCs w:val="14"/>
          <w:color w:val="auto"/>
        </w:rPr>
      </w:pPr>
    </w:p>
    <w:p>
      <w:pPr>
        <w:ind w:left="780" w:right="440" w:hanging="240"/>
        <w:spacing w:after="0" w:line="289" w:lineRule="auto"/>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amending any provision of the third restated LLC operating agreement to authorize, or to issue, any additional membership units or classes of units or other equity interests and the designations, preferences and relative, participating or other rights, powers or duties thereof;</w:t>
      </w:r>
    </w:p>
    <w:p>
      <w:pPr>
        <w:spacing w:after="0" w:line="27" w:lineRule="exact"/>
        <w:rPr>
          <w:rFonts w:ascii="Arial" w:cs="Arial" w:eastAsia="Arial" w:hAnsi="Arial"/>
          <w:sz w:val="14"/>
          <w:szCs w:val="14"/>
          <w:color w:val="auto"/>
        </w:rPr>
      </w:pPr>
    </w:p>
    <w:p>
      <w:pPr>
        <w:ind w:left="780" w:right="40" w:hanging="240"/>
        <w:spacing w:after="0" w:line="330" w:lineRule="auto"/>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hiring or terminating the employment of the chief executive officer, chief financial officer, chief technology officer or chief sales and marketing officer of NCM LLC, or the entering into, amendment or termination of any employment, severance, change of control or other contract with any employee who has a written employment agreement with NCM LLC;</w:t>
      </w:r>
    </w:p>
    <w:p>
      <w:pPr>
        <w:spacing w:after="0" w:line="4" w:lineRule="exact"/>
        <w:rPr>
          <w:rFonts w:ascii="Arial" w:cs="Arial" w:eastAsia="Arial" w:hAnsi="Arial"/>
          <w:sz w:val="13"/>
          <w:szCs w:val="13"/>
          <w:color w:val="auto"/>
        </w:rPr>
      </w:pPr>
    </w:p>
    <w:p>
      <w:pPr>
        <w:ind w:left="780" w:right="140" w:hanging="240"/>
        <w:spacing w:after="0" w:line="289" w:lineRule="auto"/>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changing the purposes of NCM LLC, or the provision by NCM LLC of any services beyond the scope of the services defined in the exhibitor services agreements, or services outside of the United States or Canada;</w:t>
      </w:r>
    </w:p>
    <w:p>
      <w:pPr>
        <w:spacing w:after="0" w:line="27" w:lineRule="exact"/>
        <w:rPr>
          <w:rFonts w:ascii="Arial" w:cs="Arial" w:eastAsia="Arial" w:hAnsi="Arial"/>
          <w:sz w:val="14"/>
          <w:szCs w:val="14"/>
          <w:color w:val="auto"/>
        </w:rPr>
      </w:pPr>
    </w:p>
    <w:p>
      <w:pPr>
        <w:ind w:left="780" w:right="560" w:hanging="240"/>
        <w:spacing w:after="0" w:line="289" w:lineRule="auto"/>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entering into any agreement with respect to or the taking of any material steps to facilitate a transaction that constitutes a change of control of NCM LLC or a proposal for such a transaction;</w:t>
      </w:r>
    </w:p>
    <w:p>
      <w:pPr>
        <w:spacing w:after="0" w:line="27" w:lineRule="exact"/>
        <w:rPr>
          <w:rFonts w:ascii="Arial" w:cs="Arial" w:eastAsia="Arial" w:hAnsi="Arial"/>
          <w:sz w:val="14"/>
          <w:szCs w:val="14"/>
          <w:color w:val="auto"/>
        </w:rPr>
      </w:pPr>
    </w:p>
    <w:p>
      <w:pPr>
        <w:ind w:left="780" w:right="360" w:hanging="240"/>
        <w:spacing w:after="0" w:line="289" w:lineRule="auto"/>
        <w:tabs>
          <w:tab w:leader="none" w:pos="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leasing (as lessor), licensing (as licensor) or other transfer of assets (including securities) (x) having a fair market value or for consideration exceeding $10 million (subject to annual adjustment based on the Consumer Price Index), taken as a whole, or (y) to which the revenue or the profits attributable exceed</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20"/>
          </w:cols>
          <w:pgMar w:left="220" w:top="399" w:right="25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spacing w:after="0" w:line="289" w:lineRule="auto"/>
        <w:rPr>
          <w:sz w:val="20"/>
          <w:szCs w:val="20"/>
          <w:color w:val="auto"/>
        </w:rPr>
      </w:pPr>
      <w:r>
        <w:rPr>
          <w:rFonts w:ascii="Arial" w:cs="Arial" w:eastAsia="Arial" w:hAnsi="Arial"/>
          <w:sz w:val="14"/>
          <w:szCs w:val="14"/>
          <w:color w:val="auto"/>
        </w:rPr>
        <w:t>$10 million (subject to annual adjustment based on the Consumer Price Index), taken as a whole, in any one transaction or series of related transactions, in each case, determined using the most recent quarterly consolidated financial statement of NCM LLC;</w:t>
      </w:r>
    </w:p>
    <w:p>
      <w:pPr>
        <w:spacing w:after="0" w:line="38" w:lineRule="exact"/>
        <w:rPr>
          <w:sz w:val="20"/>
          <w:szCs w:val="20"/>
          <w:color w:val="auto"/>
        </w:rPr>
      </w:pPr>
    </w:p>
    <w:p>
      <w:pPr>
        <w:ind w:left="780" w:right="180" w:hanging="240"/>
        <w:spacing w:after="0" w:line="275" w:lineRule="auto"/>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entering into any agreement with respect to or consummating any acquisition of any business or assets having a fair market value in excess of $10 million (subject to annual adjustment based on the Consumer Price Index) taken as a whole, in any one transaction or series of related transactions, whether by purchase and sale, merger, consolidation, restructuring, recapitalization or otherwise;</w:t>
      </w:r>
    </w:p>
    <w:p>
      <w:pPr>
        <w:spacing w:after="0" w:line="36" w:lineRule="exact"/>
        <w:rPr>
          <w:rFonts w:ascii="Arial" w:cs="Arial" w:eastAsia="Arial" w:hAnsi="Arial"/>
          <w:sz w:val="14"/>
          <w:szCs w:val="14"/>
          <w:color w:val="auto"/>
        </w:rPr>
      </w:pPr>
    </w:p>
    <w:p>
      <w:pPr>
        <w:ind w:left="780" w:right="140" w:hanging="240"/>
        <w:spacing w:after="0" w:line="289" w:lineRule="auto"/>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settling claims or suits in which NCM LLC is a party for an amount that exceeds the relevant provision in the budget by more than $1 million (subject to annual adjustment based on the Consumer Price Index) or where equitable or injunctive relief is included as part of such settlement;</w:t>
      </w:r>
    </w:p>
    <w:p>
      <w:pPr>
        <w:spacing w:after="0" w:line="27" w:lineRule="exact"/>
        <w:rPr>
          <w:rFonts w:ascii="Arial" w:cs="Arial" w:eastAsia="Arial" w:hAnsi="Arial"/>
          <w:sz w:val="14"/>
          <w:szCs w:val="14"/>
          <w:color w:val="auto"/>
        </w:rPr>
      </w:pPr>
    </w:p>
    <w:p>
      <w:pPr>
        <w:jc w:val="both"/>
        <w:ind w:left="780" w:right="100" w:hanging="240"/>
        <w:spacing w:after="0" w:line="275" w:lineRule="auto"/>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entering into, modifying or terminating any material contract or transaction or series of related transactions (including by way of barter) between (x) NCM LLC or any of its subsidiaries and (y) any member or any affiliate of any member or any person in which any founding member has taken, or is negotiating to take, a material financial interest, in each case, other than relating to the purchase or sale of products or services in the ordinary course of business of NCM LLC;</w:t>
      </w:r>
    </w:p>
    <w:p>
      <w:pPr>
        <w:spacing w:after="0" w:line="36" w:lineRule="exact"/>
        <w:rPr>
          <w:rFonts w:ascii="Arial" w:cs="Arial" w:eastAsia="Arial" w:hAnsi="Arial"/>
          <w:sz w:val="14"/>
          <w:szCs w:val="14"/>
          <w:color w:val="auto"/>
        </w:rPr>
      </w:pPr>
    </w:p>
    <w:p>
      <w:pPr>
        <w:ind w:left="780" w:right="240" w:hanging="240"/>
        <w:spacing w:after="0" w:line="289" w:lineRule="auto"/>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entering into any agreement for NCM LLC to provide to any new member or affiliate of any new member any services similar to those set forth in the exhibitor services agreement, or admitting to NCM LLC any new member;</w:t>
      </w:r>
    </w:p>
    <w:p>
      <w:pPr>
        <w:spacing w:after="0" w:line="27" w:lineRule="exact"/>
        <w:rPr>
          <w:rFonts w:ascii="Arial" w:cs="Arial" w:eastAsia="Arial" w:hAnsi="Arial"/>
          <w:sz w:val="14"/>
          <w:szCs w:val="14"/>
          <w:color w:val="auto"/>
        </w:rPr>
      </w:pPr>
    </w:p>
    <w:p>
      <w:pPr>
        <w:ind w:left="780" w:right="680" w:hanging="240"/>
        <w:spacing w:after="0" w:line="289" w:lineRule="auto"/>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entering into, modifying or terminating any agreement for NCM LLC to provide any services to any person (other than a member or affiliate of a member) that requires capital expenditures or guaranteed payments in excess of $1 million annually (subject to annual adjustment based on the Consumer Price Index);</w:t>
      </w:r>
    </w:p>
    <w:p>
      <w:pPr>
        <w:spacing w:after="0" w:line="27" w:lineRule="exact"/>
        <w:rPr>
          <w:rFonts w:ascii="Arial" w:cs="Arial" w:eastAsia="Arial" w:hAnsi="Arial"/>
          <w:sz w:val="14"/>
          <w:szCs w:val="14"/>
          <w:color w:val="auto"/>
        </w:rPr>
      </w:pPr>
    </w:p>
    <w:p>
      <w:pPr>
        <w:ind w:left="780" w:right="80" w:hanging="240"/>
        <w:spacing w:after="0" w:line="267" w:lineRule="auto"/>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dissolution of NCM LLC; the adoption of a plan of liquidation of NCM LLC; any action by NCM LLC to commence any suit, case, proceeding or other action (i) under any existing or future law of any jurisdiction relating to bankruptcy, insolvency, reorganization or relief of debtors seeking to have an order for relief entered with respect to NCM LLC, or seeking to adjudicate NCM LLC as bankrupt or insolvent, or seeking reorganization, arrangement, adjustment, winding up, liquidation, dissolution, composition or other relief with respect to NCM LLC, or (ii) seeking appointment of a receiver, trustee, custodian or other similar official for NCM LLC, or for all or any material portion of the assets of NCM LLC, or making a general assignment for the benefit of the creditors of NCM LLC;</w:t>
      </w:r>
    </w:p>
    <w:p>
      <w:pPr>
        <w:spacing w:after="0" w:line="44" w:lineRule="exact"/>
        <w:rPr>
          <w:rFonts w:ascii="Arial" w:cs="Arial" w:eastAsia="Arial" w:hAnsi="Arial"/>
          <w:sz w:val="14"/>
          <w:szCs w:val="14"/>
          <w:color w:val="auto"/>
        </w:rPr>
      </w:pPr>
    </w:p>
    <w:p>
      <w:pPr>
        <w:ind w:left="780" w:hanging="240"/>
        <w:spacing w:after="0"/>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approving any significant tax matters;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valuation determinations to be made under the third restated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amending or changing certain provisions of the third restated LLC operating agreement;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expenditure by NCM LLC to replace, upgrade or modify any equipment or software owned by any of the founding members or their affiliates.</w:t>
      </w:r>
    </w:p>
    <w:p>
      <w:pPr>
        <w:spacing w:after="0" w:line="145"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For purposes of calculating the 5% ownership thresholds discussed above, shares of our common stock held by a founding member and received upon redemption of NCM LLC common membership units will be counted toward the threshold, but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20"/>
          </w:cols>
          <w:pgMar w:left="220" w:top="398" w:right="25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 We will not be entitled to compensation for our services as manager except as provided in the management services agreement described under “—Transactions with NCM LLC” below, or as otherwise approved by a vote of the members holding a majority of the outstanding common membership units plus each founding member. We will be entitled to reimbursement by NCM LLC for our reasonable out-of-pocket expenses incurred on its behalf.</w:t>
      </w:r>
    </w:p>
    <w:p>
      <w:pPr>
        <w:spacing w:after="0" w:line="102"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u w:val="single" w:color="auto"/>
          <w:color w:val="auto"/>
        </w:rPr>
        <w:t>Distributions</w:t>
      </w:r>
      <w:r>
        <w:rPr>
          <w:rFonts w:ascii="Arial" w:cs="Arial" w:eastAsia="Arial" w:hAnsi="Arial"/>
          <w:sz w:val="14"/>
          <w:szCs w:val="14"/>
          <w:color w:val="auto"/>
        </w:rPr>
        <w:t>. The third restated LLC agreement provides for mandatory distributions to members of all available cash. Available cash is defined in the third restated LLC agreement to be the amount equal to:</w:t>
      </w:r>
    </w:p>
    <w:p>
      <w:pPr>
        <w:spacing w:after="0" w:line="28" w:lineRule="exact"/>
        <w:rPr>
          <w:sz w:val="20"/>
          <w:szCs w:val="20"/>
          <w:color w:val="auto"/>
        </w:rPr>
      </w:pPr>
    </w:p>
    <w:p>
      <w:pPr>
        <w:ind w:left="780" w:hanging="240"/>
        <w:spacing w:after="0"/>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NCM LLC’s EBITDA, </w:t>
      </w:r>
      <w:r>
        <w:rPr>
          <w:rFonts w:ascii="Arial" w:cs="Arial" w:eastAsia="Arial" w:hAnsi="Arial"/>
          <w:sz w:val="14"/>
          <w:szCs w:val="14"/>
          <w:i w:val="1"/>
          <w:iCs w:val="1"/>
          <w:color w:val="auto"/>
        </w:rPr>
        <w:t>plus</w:t>
      </w:r>
    </w:p>
    <w:p>
      <w:pPr>
        <w:spacing w:after="0" w:line="79"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any non-cash items of deduction or loss subtracted in determining NCM LLC’s earnings, interest income, amounts received pursuant to the Loews screen integration agreement or other similar agreements and net proceeds from the sale of NCM LLC assets, and </w:t>
      </w:r>
      <w:r>
        <w:rPr>
          <w:rFonts w:ascii="Arial" w:cs="Arial" w:eastAsia="Arial" w:hAnsi="Arial"/>
          <w:sz w:val="14"/>
          <w:szCs w:val="14"/>
          <w:i w:val="1"/>
          <w:iCs w:val="1"/>
          <w:color w:val="auto"/>
        </w:rPr>
        <w:t>minus</w:t>
      </w:r>
    </w:p>
    <w:p>
      <w:pPr>
        <w:spacing w:after="0" w:line="27" w:lineRule="exact"/>
        <w:rPr>
          <w:rFonts w:ascii="Arial" w:cs="Arial" w:eastAsia="Arial" w:hAnsi="Arial"/>
          <w:sz w:val="14"/>
          <w:szCs w:val="14"/>
          <w:color w:val="auto"/>
        </w:rPr>
      </w:pPr>
    </w:p>
    <w:p>
      <w:pPr>
        <w:ind w:left="780" w:hanging="240"/>
        <w:spacing w:after="0" w:line="275" w:lineRule="auto"/>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non-cash items of interest or gain added in determining NCM LLC’s earnings, amounts paid under the exhibitor services agreements and management services agreement or other similar agreements, taxes, capital expenditures, certain principal payments under the new revolving credit facility, mandatory principal and interest payments and other amounts paid under funded indebtedness and other restricted funds.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Available cash will not include amounts drawn or paid under NCM LLC’s working capital line of credit. The mandatory distributions must occur quarterly.</w:t>
      </w:r>
    </w:p>
    <w:p>
      <w:pPr>
        <w:spacing w:after="0" w:line="145" w:lineRule="exact"/>
        <w:rPr>
          <w:sz w:val="20"/>
          <w:szCs w:val="20"/>
          <w:color w:val="auto"/>
        </w:rPr>
      </w:pPr>
    </w:p>
    <w:p>
      <w:pPr>
        <w:jc w:val="both"/>
        <w:ind w:right="20" w:firstLine="458"/>
        <w:spacing w:after="0" w:line="297" w:lineRule="auto"/>
        <w:rPr>
          <w:sz w:val="20"/>
          <w:szCs w:val="20"/>
          <w:color w:val="auto"/>
        </w:rPr>
      </w:pPr>
      <w:r>
        <w:rPr>
          <w:rFonts w:ascii="Arial" w:cs="Arial" w:eastAsia="Arial" w:hAnsi="Arial"/>
          <w:sz w:val="13"/>
          <w:szCs w:val="13"/>
          <w:u w:val="single" w:color="auto"/>
          <w:color w:val="auto"/>
        </w:rPr>
        <w:t>Transfer Restrictions</w:t>
      </w:r>
      <w:r>
        <w:rPr>
          <w:rFonts w:ascii="Arial" w:cs="Arial" w:eastAsia="Arial" w:hAnsi="Arial"/>
          <w:sz w:val="13"/>
          <w:szCs w:val="13"/>
          <w:color w:val="auto"/>
        </w:rPr>
        <w:t>. The third restated LLC agreement generally permits transfers of membership units of NCM LLC, subject to limited exceptions. Any transferee of membership units must assume, by operation of law or written agreement, all of the obligations of the transferring member with respect to the transferred units, even if the transferee is not admitted as a member of NCM LLC. In the event of a transfer of membership units by a founding member, the transferee shall not have the rights and powers of a founding member (such as the right to designate directors for nomination), unless the transferee is an entity that is affiliated with the founding member or that is controlled by certain owners of the founding member.</w:t>
      </w:r>
    </w:p>
    <w:p>
      <w:pPr>
        <w:spacing w:after="0" w:line="91"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u w:val="single" w:color="auto"/>
          <w:color w:val="auto"/>
        </w:rPr>
        <w:t>Common Unit Redemption Right</w:t>
      </w:r>
      <w:r>
        <w:rPr>
          <w:rFonts w:ascii="Arial" w:cs="Arial" w:eastAsia="Arial" w:hAnsi="Arial"/>
          <w:sz w:val="13"/>
          <w:szCs w:val="13"/>
          <w:color w:val="auto"/>
        </w:rPr>
        <w:t>. The third restated LLC agreement provides a redemption right of the members to exchange common membership units of NCM LLC for our shares of common stock on a one-for-one basis (as adjusted to account for stock splits, recapitalization or similar events), or at our option, a cash payment equal to the market price of one share of our common stock. If we determine to make a cash payment, the member has the option to rescind its redemption request within the specified time period. In the event of a determination to make a cash payment, we are obligated to sell to a third party a number of shares equal to the number of redeemed units, to ensure that the number of NCM LLC common units we own equals the number of our outstanding shares of common stock. Upon the exercise of the redemption right, the redeeming member will surrender common units to NCM LLC for cancellation. Pursuant to our amended and restated certificate of incorporation, we will then contribute cash or shares of our common stock to NCM LLC in exchange for an amount of newly issued common units equal to the number of units surrendered by the redeeming member. NCM LLC will then distribute the cash or shares of common stock to the redeeming member to complete the redemption.</w:t>
      </w:r>
    </w:p>
    <w:p>
      <w:pPr>
        <w:spacing w:after="0" w:line="95"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u w:val="single" w:color="auto"/>
          <w:color w:val="auto"/>
        </w:rPr>
        <w:t>Recapitalization and Preferred Unit Redemption Right</w:t>
      </w:r>
      <w:r>
        <w:rPr>
          <w:rFonts w:ascii="Arial" w:cs="Arial" w:eastAsia="Arial" w:hAnsi="Arial"/>
          <w:sz w:val="14"/>
          <w:szCs w:val="14"/>
          <w:color w:val="auto"/>
        </w:rPr>
        <w:t>. The third restated LLC agreement recapitalizes the Class A membership units in NCM LLC into preferred units and common units. It further provides that NCM LLC will redeem all of the outstanding preferred units using the proceeds of a new term loan of $725 million that is a part of our senior secured credit facility, as described under “Financing Transaction.” Upon payment of such amount, each preferred unit will be cancelled and the holders of the preferred units shall cease to have any rights as a member of NCM LLC with respect to the preferred units.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40"/>
          </w:cols>
          <w:pgMar w:left="220" w:top="399" w:right="23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u w:val="single" w:color="auto"/>
          <w:color w:val="auto"/>
        </w:rPr>
        <w:t>Issuance of Units upon Exercise of Options or Vesting of Other Equity Compensation</w:t>
      </w:r>
      <w:r>
        <w:rPr>
          <w:rFonts w:ascii="Arial" w:cs="Arial" w:eastAsia="Arial" w:hAnsi="Arial"/>
          <w:sz w:val="13"/>
          <w:szCs w:val="13"/>
          <w:color w:val="auto"/>
        </w:rPr>
        <w:t>. Upon the exercise of options we have issued or the vesting of shares for other types of equity compensation (such as issuance of restricted or non-restricted stock, payment of bonuses in stock or settlement of stock appreciation rights in stock), we will have the right to acquire from NCM LLC a number of common units equal to the number of our shares being issued in connection with the exercise of options or vesting of shares for other types of equity compensation. In consideration for such units, we will contribute to NCM LLC the consideration we received for the exercise of options or vesting of shares for other types of equity compensation.</w:t>
      </w:r>
    </w:p>
    <w:p>
      <w:pPr>
        <w:spacing w:after="0" w:line="91"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u w:val="single" w:color="auto"/>
          <w:color w:val="auto"/>
        </w:rPr>
        <w:t>Dissolution</w:t>
      </w:r>
      <w:r>
        <w:rPr>
          <w:rFonts w:ascii="Arial" w:cs="Arial" w:eastAsia="Arial" w:hAnsi="Arial"/>
          <w:sz w:val="14"/>
          <w:szCs w:val="14"/>
          <w:color w:val="auto"/>
        </w:rPr>
        <w:t>. The third restated LLC agreement will provide that the unanimous consent of all members holding common units will be required to voluntarily dissolve NCM LLC. In addition to a voluntary dissolution, NCM LLC will be dissolved upon the entry of a decree of judicial dissolution in accordance with Delaware law. Upon a dissolution event, the proceeds of liquidation will be distributed in the following order:</w:t>
      </w:r>
    </w:p>
    <w:p>
      <w:pPr>
        <w:spacing w:after="0" w:line="37" w:lineRule="exact"/>
        <w:rPr>
          <w:sz w:val="20"/>
          <w:szCs w:val="20"/>
          <w:color w:val="auto"/>
        </w:rPr>
      </w:pPr>
    </w:p>
    <w:p>
      <w:pPr>
        <w:ind w:left="780" w:hanging="240"/>
        <w:spacing w:after="0"/>
        <w:tabs>
          <w:tab w:leader="none" w:pos="7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first, to pay the expenses of winding up and dissolving NCM LLC;</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second, to pay debts and liabilities owed to creditors of NCM LLC, other than members;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third, to pay debts and liabilities owed to members;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fourth, to the members pro rata in accordance with their percentage interests.</w:t>
      </w:r>
    </w:p>
    <w:p>
      <w:pPr>
        <w:spacing w:after="0" w:line="145"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u w:val="single" w:color="auto"/>
          <w:color w:val="auto"/>
        </w:rPr>
        <w:t>Confidentiality</w:t>
      </w:r>
      <w:r>
        <w:rPr>
          <w:rFonts w:ascii="Arial" w:cs="Arial" w:eastAsia="Arial" w:hAnsi="Arial"/>
          <w:sz w:val="14"/>
          <w:szCs w:val="14"/>
          <w:color w:val="auto"/>
        </w:rPr>
        <w:t>. Each member will agree to maintain the confidentiality of the NCM LLC’s intellectual property and other confidential information for a period of three years following the date of dissolution of NCM LLC or such earlier date as such member ceases to be a member. This obligation covers information provided to NCM LLC by the members and their affiliates, and excludes disclosures required by law or judicial process.</w:t>
      </w:r>
    </w:p>
    <w:p>
      <w:pPr>
        <w:spacing w:after="0" w:line="102"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The third restated LLC agreement may be amended by a vote of the members holding a majority of the outstanding common membership units plus each founding member. Amendments to specified provisions require the additional consent of us as manager. No amendment that would materially impair the voting power or economic rights of any outstanding common units in relation to any other outstanding class of units may be made without the consent of a majority of the affected units. No amendment that would materially impair the voting power or economic rights of any member in relation to the other members may be made without the consent of the affected member.</w:t>
      </w:r>
    </w:p>
    <w:p>
      <w:pPr>
        <w:spacing w:after="0" w:line="106"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The third restated LLC agreement provides for indemnification of the manager, members and officers of NCM LLC and their respective subsidiaries or affiliates, as described in more detail under “Management—Limitation of Liability and Indemnification of Directors and Officers.”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Unit Purchase Agreement</w:t>
      </w:r>
    </w:p>
    <w:p>
      <w:pPr>
        <w:spacing w:after="0" w:line="79"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We intend to enter into a unit purchase agreement with our founding members. Under the unit purchase agreement, our founding members will agree to sell to us, and we will agree to buy from our founding members on a pro rata basis, up to 4,000,000 common membership units of NCM LLC, which represents approximately 6.1% of the common units of NCM LLC. The per unit price that we will pay for the common units will be equal to the per share purchase price that our common stock is sold to the public pursuant to this offering less underwriting discounts and commissions and operating expenses.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Common Unit Adjustment Agreement</w:t>
      </w:r>
    </w:p>
    <w:p>
      <w:pPr>
        <w:spacing w:after="0" w:line="79" w:lineRule="exact"/>
        <w:rPr>
          <w:sz w:val="20"/>
          <w:szCs w:val="20"/>
          <w:color w:val="auto"/>
        </w:rPr>
      </w:pPr>
    </w:p>
    <w:p>
      <w:pPr>
        <w:ind w:right="200" w:firstLine="458"/>
        <w:spacing w:after="0" w:line="305" w:lineRule="auto"/>
        <w:rPr>
          <w:sz w:val="20"/>
          <w:szCs w:val="20"/>
          <w:color w:val="auto"/>
        </w:rPr>
      </w:pPr>
      <w:r>
        <w:rPr>
          <w:rFonts w:ascii="Arial" w:cs="Arial" w:eastAsia="Arial" w:hAnsi="Arial"/>
          <w:sz w:val="13"/>
          <w:szCs w:val="13"/>
          <w:color w:val="auto"/>
        </w:rPr>
        <w:t>In connection with the completion of this offering, we and the founding members will enter into a common unit adjustment agreement, which will provide a mechanism for adjusting membership units held by the founding members, based on increases or decreases in the number of screens operated by each founding member. Increases in the number of screens are included in the unit adjustment if arising from acquisition of a theatre or opening of a newly constructed theatre, except that acquired theatres subject to an agreement with an alternative cinema</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40"/>
          </w:cols>
          <w:pgMar w:left="220" w:top="399" w:right="23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advertising provider will not be included until certain run out payments are made to NCM LLC by the founding member acquiring the theatre pursuant to its exhibitor services agreement or until such third party cinema advertising agreement expires. Decreases in the number of screens are included in the unit adjustment if arising from disposition of a theatre, unless the purchaser or sublessee enters into an agreement with NCM LLC similar to the exhibitor services agreement, the theatre is closed at the end of its lease term or a non-digitized theatre is closed within three years of the end of its lease term.</w:t>
      </w:r>
    </w:p>
    <w:p>
      <w:pPr>
        <w:spacing w:after="0" w:line="106" w:lineRule="exact"/>
        <w:rPr>
          <w:sz w:val="20"/>
          <w:szCs w:val="20"/>
          <w:color w:val="auto"/>
        </w:rPr>
      </w:pPr>
    </w:p>
    <w:p>
      <w:pPr>
        <w:ind w:right="80" w:firstLine="458"/>
        <w:spacing w:after="0" w:line="264" w:lineRule="auto"/>
        <w:rPr>
          <w:sz w:val="20"/>
          <w:szCs w:val="20"/>
          <w:color w:val="auto"/>
        </w:rPr>
      </w:pPr>
      <w:r>
        <w:rPr>
          <w:rFonts w:ascii="Arial" w:cs="Arial" w:eastAsia="Arial" w:hAnsi="Arial"/>
          <w:sz w:val="14"/>
          <w:szCs w:val="14"/>
          <w:color w:val="auto"/>
        </w:rPr>
        <w:t>The adjustment of membership units pursuant to the common unit adjustment agreement will be conducted annually, except that an earlier adjustment will occur for a founding member if its acquisition or disposition of theatres, in a single transaction or cumulatively since the most recent adjustment, will cause a change of two percent or more in the total annual attendance of all founding members. The adjustment will generally be calculated by multiplying a founding member’s change in annual attendance from any acquisitions and dispositions during the relevant period by NCM LLC’s enterprise value per attendee (as defined in the common unit adjustment agreement), and dividing this product by the sixty-day volume-weighted share price of our common stock. The changes in annual attendance will be calculated based on attendance at the relevant theatres during the prior twelve fiscal months; however, if an acquired theatre has not been operating during the twelve prior fiscal months, the change in annual attendance will be calculated based on 75% of the projected annual attendance for such theatre, with a subsequent adjustment made for any difference between 75% of the projected attendance and the actual attendance during the first twelve months of operation. Additionally, in the calculations for adjustment upon acquisition or disposition, only one-half of the attendance will be counted for theatres that are not digitized. If an acquired theatre that is not digitized is subsequently converted to a digitized theatre, the founding member will then be credited with half of that theatre’s attendance.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Tax Receivable Agreement</w:t>
      </w:r>
    </w:p>
    <w:p>
      <w:pPr>
        <w:spacing w:after="0" w:line="79" w:lineRule="exact"/>
        <w:rPr>
          <w:sz w:val="20"/>
          <w:szCs w:val="20"/>
          <w:color w:val="auto"/>
        </w:rPr>
      </w:pPr>
    </w:p>
    <w:p>
      <w:pPr>
        <w:ind w:right="740" w:firstLine="458"/>
        <w:spacing w:after="0" w:line="289" w:lineRule="auto"/>
        <w:rPr>
          <w:sz w:val="20"/>
          <w:szCs w:val="20"/>
          <w:color w:val="auto"/>
        </w:rPr>
      </w:pPr>
      <w:r>
        <w:rPr>
          <w:rFonts w:ascii="Arial" w:cs="Arial" w:eastAsia="Arial" w:hAnsi="Arial"/>
          <w:sz w:val="14"/>
          <w:szCs w:val="14"/>
          <w:color w:val="auto"/>
        </w:rPr>
        <w:t>The following transactions are expected to have the effect of reducing the amounts NCM Inc. would otherwise pay in the future to various tax authorities as a result of increasing its proportionate share of tax basis in NCM LLC’s tangible and intangible assets:</w:t>
      </w:r>
    </w:p>
    <w:p>
      <w:pPr>
        <w:spacing w:after="0" w:line="28" w:lineRule="exact"/>
        <w:rPr>
          <w:sz w:val="20"/>
          <w:szCs w:val="20"/>
          <w:color w:val="auto"/>
        </w:rPr>
      </w:pPr>
    </w:p>
    <w:p>
      <w:pPr>
        <w:ind w:left="780" w:right="220" w:hanging="240"/>
        <w:spacing w:after="0" w:line="289"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As described in “Use of Proceeds,” NCM LLC’s payment of $686.3 million to the founding members for their agreeing to modify NCM LLC’s payment obligations under the exhibitor services agreements.</w:t>
      </w:r>
    </w:p>
    <w:p>
      <w:pPr>
        <w:spacing w:after="0" w:line="27" w:lineRule="exact"/>
        <w:rPr>
          <w:rFonts w:ascii="Arial" w:cs="Arial" w:eastAsia="Arial" w:hAnsi="Arial"/>
          <w:sz w:val="14"/>
          <w:szCs w:val="14"/>
          <w:color w:val="auto"/>
        </w:rPr>
      </w:pPr>
    </w:p>
    <w:p>
      <w:pPr>
        <w:ind w:left="780" w:right="80" w:hanging="240"/>
        <w:spacing w:after="0" w:line="289"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As described in “Use of Proceeds,” NCM LLC’s use of $698.5 million of the proceeds obtained from a term loan that is a part of NCM LLC’s new senior secured credit facility to redeem all the preferred membership units in NCM LLC held by the founding members.</w:t>
      </w:r>
    </w:p>
    <w:p>
      <w:pPr>
        <w:spacing w:after="0" w:line="27" w:lineRule="exact"/>
        <w:rPr>
          <w:rFonts w:ascii="Arial" w:cs="Arial" w:eastAsia="Arial" w:hAnsi="Arial"/>
          <w:sz w:val="14"/>
          <w:szCs w:val="14"/>
          <w:color w:val="auto"/>
        </w:rPr>
      </w:pPr>
    </w:p>
    <w:p>
      <w:pPr>
        <w:ind w:left="780" w:right="460" w:hanging="240"/>
        <w:spacing w:after="0" w:line="330" w:lineRule="auto"/>
        <w:tabs>
          <w:tab w:leader="none" w:pos="7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As described in “Certain Relationships and Related Party Transactions—Transactions with Founding Members—Common Unit Adjustment Agreement,” the issuance of additional common membership units in NCM LLC to a founding member in the event of net positive increase in the number of screens operated by the founding member.</w:t>
      </w:r>
    </w:p>
    <w:p>
      <w:pPr>
        <w:spacing w:after="0" w:line="4" w:lineRule="exact"/>
        <w:rPr>
          <w:rFonts w:ascii="Arial" w:cs="Arial" w:eastAsia="Arial" w:hAnsi="Arial"/>
          <w:sz w:val="13"/>
          <w:szCs w:val="13"/>
          <w:color w:val="auto"/>
        </w:rPr>
      </w:pPr>
    </w:p>
    <w:p>
      <w:pPr>
        <w:ind w:left="780" w:right="80" w:hanging="240"/>
        <w:spacing w:after="0" w:line="275"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As described in “Certain Relationships and Related Party Transactions—Transactions with Founding Members—NCM LLC Operating Agreement—Common Unit Redemption Right,” the receipt of shares of common stock in NCM Inc. or cash at NCM Inc.’s election by a founding member in connection with an exercise of its right to redeem common membership units in NCM LLC held by the founding member.</w:t>
      </w:r>
    </w:p>
    <w:p>
      <w:pPr>
        <w:spacing w:after="0" w:line="102"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In connection with the transactions described above, we intend to enter into a tax receivable agreement with the founding members that will provide for NCM Inc.’s effective payment to the founding members of 90% of the amount of cash savings, if any, in U.S. federal, state, and local income tax or franchise tax that NCM Inc. actually realizes as a result of its expected proportionate increases in tax basis, including increases attributable to payments made under the tax receivable agreement. These tax benefit payments are not conditioned upon one or more of the founding members maintaining a continued ownership interest in either NCM LLC or NCM Inc. NCM Inc. expects to benefit from the remaining 10% of cash savings, if any, that it may actually realize.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460"/>
          </w:cols>
          <w:pgMar w:left="220" w:top="398" w:right="21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color w:val="auto"/>
        </w:rPr>
        <w:t>Initially, any amounts that may be paid to the founding members under the tax receivable agreement will be attributable to the first and second transactions described above and such amounts will generally be allocated in accordance with each founding member’s proportionate common membership interest in NCM LLC. Over time, any amounts that may be paid to the founding members under the tax receivable agreement may be attributable to a combination of one or more of the transactions described above, and the allocation of such amounts will depend on whether and to what extent any founding member has participated in either the third or fourth transaction described above, or possibly both such transactions.</w:t>
      </w:r>
    </w:p>
    <w:p>
      <w:pPr>
        <w:spacing w:after="0" w:line="91" w:lineRule="exact"/>
        <w:rPr>
          <w:sz w:val="20"/>
          <w:szCs w:val="20"/>
          <w:color w:val="auto"/>
        </w:rPr>
      </w:pPr>
    </w:p>
    <w:p>
      <w:pPr>
        <w:ind w:firstLine="458"/>
        <w:spacing w:after="0" w:line="273" w:lineRule="auto"/>
        <w:rPr>
          <w:sz w:val="20"/>
          <w:szCs w:val="20"/>
          <w:color w:val="auto"/>
        </w:rPr>
      </w:pPr>
      <w:r>
        <w:rPr>
          <w:rFonts w:ascii="Arial" w:cs="Arial" w:eastAsia="Arial" w:hAnsi="Arial"/>
          <w:sz w:val="13"/>
          <w:szCs w:val="13"/>
          <w:color w:val="auto"/>
        </w:rPr>
        <w:t>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 agreement shall generally apply to NCM Inc.’s taxable years up to and including the 30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anniversary date of the offering. The term of the tax receivable agreement will commence upon consummation of the offering and generally will continue until any utilized benefits are no longer subject to potential audit or examination by a taxing authority. The term of the tax receivable agreement may, however, be terminated at an earlier date in the event that NCM Inc. exercises its right to terminate the agreement pursuant to an early termination procedure that requires NCM Inc. to pay the founding members an agreed upon amount equal to the present value of the estimated remaining payments to be made under the agreement.</w:t>
      </w:r>
    </w:p>
    <w:p>
      <w:pPr>
        <w:spacing w:after="0" w:line="108"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Although the actual timing and amount of any payments that may be made under the tax receivable agreement will vary depending upon a number of factors, we expect that the payments that NCM Inc. may effectively make to the founding members could be substantial. As an example, if the founding members also redeemed all of their common membership units in NCM LLC solely in exchange for shares of common stock in NCM Inc. in a taxable transaction at the time of the closing of the offering and related transactions, the total payments under the agreement could be up to approximately $480 million or more over 30 years or longer (assuming an initial offering price of $19.00, which represents the midpoint of the range of offering prices set forth on the cover of this prospectus).</w:t>
      </w:r>
    </w:p>
    <w:p>
      <w:pPr>
        <w:spacing w:after="0" w:line="110"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If the Internal Revenue Service or other taxing authority were to subsequently challenge any of NCM Inc.’s cash savings covered by the tax receivable agreement, and if such challenge were ultimately upheld, the terms of the agreement require the founding members to repay to NCM Inc. an amount equal to the prior payments effectively made by NCM Inc. in respect of such disallowed cash savings, plus a proportionate share of any applicable interest and penalties. In such an event, and if a founding member is unable to make a timely repayment to NCM Inc. under the terms of the tax receivable agreement, NCM Inc. will have the ability to cause NCM LLC to offset against payments owed to the founding member. The repayment obligation is a several liability of each founding member and not a joint liability among the founding members.</w:t>
      </w:r>
    </w:p>
    <w:p>
      <w:pPr>
        <w:spacing w:after="0" w:line="110"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If we receive a formal notice or assessment from a taxing authority with respect to any cash savings covered by the tax receivable agreement, we will place any subsequent tax benefit payments that would otherwise be made to the founding members into an interest-bearing escrow account until there is a final determination. We shall have full responsibility for, and sole discretion over, all NCM Inc. tax matters, including the filing and amendment of all tax returns and claims for refunds and the defense of all tax contests, subject to certain participation and approval rights held by the founding members. If one or more of the founding members was insolvent or bankrupt or otherwise unable to make payment under its repayment obligation, then our financial condition could be materially impaired.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Loews Screen Integration Agreement</w:t>
      </w:r>
    </w:p>
    <w:p>
      <w:pPr>
        <w:spacing w:after="0" w:line="79"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The Loews screen integration agreement commits AMC to cause the theatres it acquired from Loews to participate in the exhibitor services agreement. In connection with this agreement, on January , 2007, NCM LLC re-allocated the common membership units in NCM LLC among the founding members to reflect the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20"/>
          </w:cols>
          <w:pgMar w:left="220" w:top="399" w:right="25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86" w:lineRule="auto"/>
        <w:rPr>
          <w:sz w:val="20"/>
          <w:szCs w:val="20"/>
          <w:color w:val="auto"/>
        </w:rPr>
      </w:pPr>
      <w:r>
        <w:rPr>
          <w:rFonts w:ascii="Arial" w:cs="Arial" w:eastAsia="Arial" w:hAnsi="Arial"/>
          <w:sz w:val="13"/>
          <w:szCs w:val="13"/>
          <w:color w:val="auto"/>
        </w:rPr>
        <w:t>payments to be made by AMC pursuant to the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U.S.-based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inventory during the pre-feature show, in each case, for pre-existing contractual obligations that exist on May 31, 2008. In accordance with the restated Loews screen integration agreement, AMC will pay us an amount that approximates the EBITDA we would have generated if we were able to sell advertising in the Loews theatre chain on an exclusive basis. These payments will be made on a quarterly basis in arrears until May 31, 2008 and will be, for accounting purposes, recorded directly to our members’ equity accounts and will not be reflected in NCM LLC’s statement of operations. Additionally, AMC will pay to NCM LLC amounts received from the other cinema advertising provider during the run-out periods from June 1, 2008 through February 28, 2009.</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Software License Agreement</w:t>
      </w:r>
    </w:p>
    <w:p>
      <w:pPr>
        <w:spacing w:after="0" w:line="79" w:lineRule="exact"/>
        <w:rPr>
          <w:sz w:val="20"/>
          <w:szCs w:val="20"/>
          <w:color w:val="auto"/>
        </w:rPr>
      </w:pPr>
    </w:p>
    <w:p>
      <w:pPr>
        <w:ind w:right="280" w:firstLine="458"/>
        <w:spacing w:after="0" w:line="270" w:lineRule="auto"/>
        <w:rPr>
          <w:sz w:val="20"/>
          <w:szCs w:val="20"/>
          <w:color w:val="auto"/>
        </w:rPr>
      </w:pPr>
      <w:r>
        <w:rPr>
          <w:rFonts w:ascii="Arial" w:cs="Arial" w:eastAsia="Arial" w:hAnsi="Arial"/>
          <w:sz w:val="14"/>
          <w:szCs w:val="14"/>
          <w:i w:val="1"/>
          <w:iCs w:val="1"/>
          <w:color w:val="auto"/>
        </w:rPr>
        <w:t>Agreement in Effect Before the Completion of the Offering</w:t>
      </w:r>
      <w:r>
        <w:rPr>
          <w:rFonts w:ascii="Arial" w:cs="Arial" w:eastAsia="Arial" w:hAnsi="Arial"/>
          <w:sz w:val="14"/>
          <w:szCs w:val="14"/>
          <w:color w:val="auto"/>
        </w:rPr>
        <w:t>. In connection with the initial formation of NCM LLC on March 29, 2005, AMC, Regal and NCM LLC entered into a software</w:t>
      </w:r>
      <w:r>
        <w:rPr>
          <w:rFonts w:ascii="Arial" w:cs="Arial" w:eastAsia="Arial" w:hAnsi="Arial"/>
          <w:sz w:val="14"/>
          <w:szCs w:val="14"/>
          <w:i w:val="1"/>
          <w:iCs w:val="1"/>
          <w:color w:val="auto"/>
        </w:rPr>
        <w:t xml:space="preserve"> </w:t>
      </w:r>
      <w:r>
        <w:rPr>
          <w:rFonts w:ascii="Arial" w:cs="Arial" w:eastAsia="Arial" w:hAnsi="Arial"/>
          <w:sz w:val="14"/>
          <w:szCs w:val="14"/>
          <w:color w:val="auto"/>
        </w:rPr>
        <w:t>license agreement, pursuant to which AMC and Regal licensed to NCM LLC certain software and intellectual property rights, all of which relate to NCM LLC’s delivery of on-screen content. This agreement was amended and restated on July 15, 2005, to reflect Cinemark’s participation as a founding member. In connection with the completion of the offering, this agreement will be further amended and restated, in a document we refer to as the license agreement.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Agreement in Effect After the Completion of the Offering. </w:t>
      </w:r>
      <w:r>
        <w:rPr>
          <w:rFonts w:ascii="Arial" w:cs="Arial" w:eastAsia="Arial" w:hAnsi="Arial"/>
          <w:sz w:val="14"/>
          <w:szCs w:val="14"/>
          <w:color w:val="auto"/>
        </w:rPr>
        <w:t>Certain basic terms of the restated license agreement are discussed below:</w:t>
      </w:r>
    </w:p>
    <w:p>
      <w:pPr>
        <w:spacing w:after="0" w:line="79"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u w:val="single" w:color="auto"/>
          <w:color w:val="auto"/>
        </w:rPr>
        <w:t>License to NCM LLC</w:t>
      </w:r>
      <w:r>
        <w:rPr>
          <w:rFonts w:ascii="Arial" w:cs="Arial" w:eastAsia="Arial" w:hAnsi="Arial"/>
          <w:sz w:val="13"/>
          <w:szCs w:val="13"/>
          <w:color w:val="auto"/>
        </w:rPr>
        <w:t>. Pursuant to the license agreement, AMC and Regal grant NCM LLC a perpetual, worldwide, royalty free license to the technology specified in the license agreement, for use in the United States with respect to the services provided under the exhibitor services agreements. Subject to certain exceptions, the license to NCM LLC is exclusive with respect to the services provided under the exhibitor services agreements. NCM LLC may sublicense the object code of the licensed technology to exhibitors of the services (as specified in the exhibitor services agreements), to the extent necessary for those exhibitors to receive the services. Regal and AMC also grant NCM LLC a perpetual, worldwide, royalty free license to the source code of the licensed technology and certain later developments of the licensed technology for use in the United States. NCM LLC must keep the source code of the technology confidential.</w:t>
      </w:r>
    </w:p>
    <w:p>
      <w:pPr>
        <w:spacing w:after="0" w:line="93"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u w:val="single" w:color="auto"/>
          <w:color w:val="auto"/>
        </w:rPr>
        <w:t>License by NCM LLC</w:t>
      </w:r>
      <w:r>
        <w:rPr>
          <w:rFonts w:ascii="Arial" w:cs="Arial" w:eastAsia="Arial" w:hAnsi="Arial"/>
          <w:sz w:val="14"/>
          <w:szCs w:val="14"/>
          <w:color w:val="auto"/>
        </w:rPr>
        <w:t>. NCM LLC grants the founding members, subject to certain limitations, a perpetual, worldwide, royalty free license to the object code of any new NCM LLC developments based on licensed technology, for the founding members’ internal business purposes outside of the services that are defined in the exhibitor services agreements. The founding members each grant to NCM LLC, subject to certain limitations, a perpetual, royalty free license to any developments of such party based on the licensed technology that has application to the services provided under the exhibitor services agreement.</w:t>
      </w:r>
    </w:p>
    <w:p>
      <w:pPr>
        <w:spacing w:after="0" w:line="106"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u w:val="single" w:color="auto"/>
          <w:color w:val="auto"/>
        </w:rPr>
        <w:t>Ownership</w:t>
      </w:r>
      <w:r>
        <w:rPr>
          <w:rFonts w:ascii="Arial" w:cs="Arial" w:eastAsia="Arial" w:hAnsi="Arial"/>
          <w:sz w:val="14"/>
          <w:szCs w:val="14"/>
          <w:color w:val="auto"/>
        </w:rPr>
        <w:t>. NCM LLC will retain ownership of any of its developments based on the licensed technology. Subject to the rights granted to NCM LLC under the license agreement, the founding members each retain ownership of the licensed technology and developments by the founding members based on the licensed technology, unless the developments are jointly developed with NCM LLC, in which case such developments will be owned by NCM LLC.</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20"/>
          </w:cols>
          <w:pgMar w:left="220" w:top="398" w:right="2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380" w:firstLine="458"/>
        <w:spacing w:after="0" w:line="289" w:lineRule="auto"/>
        <w:rPr>
          <w:sz w:val="20"/>
          <w:szCs w:val="20"/>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The license agreement provides that each founding member indemnifies the other founding members with respect to infringement claims between $0.50 million and $5.0 million. NCM LLC indemnifies the founding members with respect to infringement claims without limitation by amount.</w:t>
      </w:r>
    </w:p>
    <w:p>
      <w:pPr>
        <w:spacing w:after="0" w:line="93" w:lineRule="exact"/>
        <w:rPr>
          <w:sz w:val="20"/>
          <w:szCs w:val="20"/>
          <w:color w:val="auto"/>
        </w:rPr>
      </w:pPr>
    </w:p>
    <w:p>
      <w:pPr>
        <w:ind w:right="320" w:firstLine="458"/>
        <w:spacing w:after="0" w:line="275" w:lineRule="auto"/>
        <w:rPr>
          <w:sz w:val="20"/>
          <w:szCs w:val="20"/>
          <w:color w:val="auto"/>
        </w:rPr>
      </w:pPr>
      <w:r>
        <w:rPr>
          <w:rFonts w:ascii="Arial" w:cs="Arial" w:eastAsia="Arial" w:hAnsi="Arial"/>
          <w:sz w:val="14"/>
          <w:szCs w:val="14"/>
          <w:u w:val="single" w:color="auto"/>
          <w:color w:val="auto"/>
        </w:rPr>
        <w:t>Exhibitor Services Agreement Termination by or LLC Withdrawal of Founding Members</w:t>
      </w:r>
      <w:r>
        <w:rPr>
          <w:rFonts w:ascii="Arial" w:cs="Arial" w:eastAsia="Arial" w:hAnsi="Arial"/>
          <w:sz w:val="14"/>
          <w:szCs w:val="14"/>
          <w:color w:val="auto"/>
        </w:rPr>
        <w:t>. Under the license agreement, if a founding member withdraws from the NCM LLC operating agreement or its exhibitor services agreement with NCM LLC is terminated, that founding member will have the right to use the licensed technology and NCM LLC’s developments thereto for the purposes specified in the license agreement.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Director Designation Agreement</w:t>
      </w:r>
    </w:p>
    <w:p>
      <w:pPr>
        <w:spacing w:after="0" w:line="79"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i w:val="1"/>
          <w:iCs w:val="1"/>
          <w:color w:val="auto"/>
        </w:rPr>
        <w:t>Designation Rights</w:t>
      </w:r>
      <w:r>
        <w:rPr>
          <w:rFonts w:ascii="Arial" w:cs="Arial" w:eastAsia="Arial" w:hAnsi="Arial"/>
          <w:sz w:val="13"/>
          <w:szCs w:val="13"/>
          <w:color w:val="auto"/>
        </w:rPr>
        <w:t>. Pursuant to a director designation agreement, so long as a founding member owns at least 5% of NCM LLC’s issued and outstanding common membership units, such</w:t>
      </w:r>
      <w:r>
        <w:rPr>
          <w:rFonts w:ascii="Arial" w:cs="Arial" w:eastAsia="Arial" w:hAnsi="Arial"/>
          <w:sz w:val="13"/>
          <w:szCs w:val="13"/>
          <w:i w:val="1"/>
          <w:iCs w:val="1"/>
          <w:color w:val="auto"/>
        </w:rPr>
        <w:t xml:space="preserve"> </w:t>
      </w:r>
      <w:r>
        <w:rPr>
          <w:rFonts w:ascii="Arial" w:cs="Arial" w:eastAsia="Arial" w:hAnsi="Arial"/>
          <w:sz w:val="13"/>
          <w:szCs w:val="13"/>
          <w:color w:val="auto"/>
        </w:rPr>
        <w:t>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The remaining directors will be selected for nomination by our nominating committee. For purposes of calculating the 5% ownership thresholds discussed above, shares of our common stock held by a founding member and received upon redemption of NCM LLC common membership units will be counted toward the threshold, but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02"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i w:val="1"/>
          <w:iCs w:val="1"/>
          <w:color w:val="auto"/>
        </w:rPr>
        <w:t>Independent Directors</w:t>
      </w:r>
      <w:r>
        <w:rPr>
          <w:rFonts w:ascii="Arial" w:cs="Arial" w:eastAsia="Arial" w:hAnsi="Arial"/>
          <w:sz w:val="14"/>
          <w:szCs w:val="14"/>
          <w:color w:val="auto"/>
        </w:rPr>
        <w:t>. The director designation agreement further provides that for so long as any founding member has the right to designate the director designees, at least one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designees of such founding member must qualify as an “independent director” at the time of designation so that a majority of the members of the board will be independent directors. An “independent director” under the director designation agreement is a director who qualifies as an “independent director” of NCM Inc. under Nasdaq rules.</w:t>
      </w:r>
    </w:p>
    <w:p>
      <w:pPr>
        <w:spacing w:after="0" w:line="102" w:lineRule="exact"/>
        <w:rPr>
          <w:sz w:val="20"/>
          <w:szCs w:val="20"/>
          <w:color w:val="auto"/>
        </w:rPr>
      </w:pPr>
    </w:p>
    <w:p>
      <w:pPr>
        <w:ind w:right="60" w:firstLine="458"/>
        <w:spacing w:after="0" w:line="290" w:lineRule="auto"/>
        <w:rPr>
          <w:sz w:val="20"/>
          <w:szCs w:val="20"/>
          <w:color w:val="auto"/>
        </w:rPr>
      </w:pPr>
      <w:r>
        <w:rPr>
          <w:rFonts w:ascii="Arial" w:cs="Arial" w:eastAsia="Arial" w:hAnsi="Arial"/>
          <w:sz w:val="13"/>
          <w:szCs w:val="13"/>
          <w:i w:val="1"/>
          <w:iCs w:val="1"/>
          <w:color w:val="auto"/>
        </w:rPr>
        <w:t xml:space="preserve">Company Obligations. </w:t>
      </w:r>
      <w:r>
        <w:rPr>
          <w:rFonts w:ascii="Arial" w:cs="Arial" w:eastAsia="Arial" w:hAnsi="Arial"/>
          <w:sz w:val="13"/>
          <w:szCs w:val="13"/>
          <w:color w:val="auto"/>
        </w:rPr>
        <w:t>We have agreed to use our best efforts to assure that each director designee is included in the board’s slate of nominees to the stockholders for election of directors and in</w:t>
      </w:r>
      <w:r>
        <w:rPr>
          <w:rFonts w:ascii="Arial" w:cs="Arial" w:eastAsia="Arial" w:hAnsi="Arial"/>
          <w:sz w:val="13"/>
          <w:szCs w:val="13"/>
          <w:i w:val="1"/>
          <w:iCs w:val="1"/>
          <w:color w:val="auto"/>
        </w:rPr>
        <w:t xml:space="preserve"> </w:t>
      </w:r>
      <w:r>
        <w:rPr>
          <w:rFonts w:ascii="Arial" w:cs="Arial" w:eastAsia="Arial" w:hAnsi="Arial"/>
          <w:sz w:val="13"/>
          <w:szCs w:val="13"/>
          <w:color w:val="auto"/>
        </w:rPr>
        <w:t>the proxy statement prepared by management in connection with soliciting proxies for every meeting of the stockholders called with respect to the election of members of the board. We shall not be obligated to cause to be nominated for election to the board or recommend to the stockholders the election of any director designee (i) who fails to submit to us on a timely basis such questionnaires as we may reasonably require of our directors generally and such other information as we may reasonably request in connection with preparation of our filings under securities laws or (ii) if the board of directors or nominating committee determines in good faith, after consultation with outside legal counsel, that such action would result in a breach of the directors’ fiduciary duties or applicable law. In the event such determination is made, the founding members shall be notified and given the opportunity to provide an alternative director designee.</w:t>
      </w:r>
    </w:p>
    <w:p>
      <w:pPr>
        <w:spacing w:after="0" w:line="96"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At any time a vacancy occurs because of the death, disability, resignation or removal of a director designee, then the board, or any committee thereof, will not vote, fill such vacancy or take any action enumerated under “Description of Capital Stock—Special Approval Rights for Certain Matters” until such time that (i) such</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60"/>
          </w:cols>
          <w:pgMar w:left="220" w:top="399" w:right="21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340"/>
        <w:spacing w:after="0" w:line="341" w:lineRule="auto"/>
        <w:rPr>
          <w:sz w:val="20"/>
          <w:szCs w:val="20"/>
          <w:color w:val="auto"/>
        </w:rPr>
      </w:pPr>
      <w:r>
        <w:rPr>
          <w:rFonts w:ascii="Arial" w:cs="Arial" w:eastAsia="Arial" w:hAnsi="Arial"/>
          <w:sz w:val="12"/>
          <w:szCs w:val="12"/>
          <w:color w:val="auto"/>
        </w:rPr>
        <w:t>founding member has designated a successor director designee and the board has filled the vacancy and appointed such successor director designee, (ii) such founding member fails to designate a successor director designee within 10 business days of such vacancy, or (iii) such founding member has specifically waived its rights to designate a successor director designee under the director designation agreement and has consented to the board, or any committee thereof, taking a vote on such enumerated actions prior to the board filling the vacancy with a successor director designee.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any time that any founding member shall have any rights of designation under the director designation agreement, NCM Inc. will not take any action to change the size of our board from ten.</w:t>
      </w:r>
    </w:p>
    <w:p>
      <w:pPr>
        <w:spacing w:after="0" w:line="168"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i w:val="1"/>
          <w:iCs w:val="1"/>
          <w:color w:val="auto"/>
        </w:rPr>
        <w:t>Assignment; Amendment</w:t>
      </w:r>
      <w:r>
        <w:rPr>
          <w:rFonts w:ascii="Arial" w:cs="Arial" w:eastAsia="Arial" w:hAnsi="Arial"/>
          <w:sz w:val="14"/>
          <w:szCs w:val="14"/>
          <w:color w:val="auto"/>
        </w:rPr>
        <w:t>. The right of each founding member to designate nominees for election to our board of directors is personal and may not be assigned except upon the prior written</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of the other parties to the agreement. No prior written consent shall be required for an assignment by any founding member to an affiliate who acquires common membership units and becomes a party to the director designation agreement. Such assignee’s rights will cease at such time as it ceases to be an affiliate of a founding member. The director designation agreement may not be amended except with the written consent of each of the parties to the agreement.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Registration Rights Agreement</w:t>
      </w:r>
    </w:p>
    <w:p>
      <w:pPr>
        <w:spacing w:after="0" w:line="79"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In connection with the completion of this offering, we and the founding members will enter into a registration rights agreement, which will become effective upon the completion of this offering. The registration rights agreement provides a founding member the right to demand that we use reasonable best efforts to effect, during the period from the 90 days prior to the expiration of the underwriter lock-up period until the one-year anniversary of the effectiveness of this offering, a registration statement for resale of registrable securities that are held by the founding member. Registrable securities subject to the registration rights agreement are shares of our common stock and any other securities issued or issuable with respect to or in exchange for such shares. The registration rights agreement also grants the founding members “piggyback” registration rights with respect to other registrations of our common stock effected during the period from the expiration of the underwriter lock-up period until the one-year anniversary of the effectiveness of this offering.</w:t>
      </w:r>
    </w:p>
    <w:p>
      <w:pPr>
        <w:spacing w:after="0" w:line="110" w:lineRule="exact"/>
        <w:rPr>
          <w:sz w:val="20"/>
          <w:szCs w:val="20"/>
          <w:color w:val="auto"/>
        </w:rPr>
      </w:pPr>
    </w:p>
    <w:p>
      <w:pPr>
        <w:ind w:right="120" w:firstLine="458"/>
        <w:spacing w:after="0" w:line="293" w:lineRule="auto"/>
        <w:rPr>
          <w:sz w:val="20"/>
          <w:szCs w:val="20"/>
          <w:color w:val="auto"/>
        </w:rPr>
      </w:pPr>
      <w:r>
        <w:rPr>
          <w:rFonts w:ascii="Arial" w:cs="Arial" w:eastAsia="Arial" w:hAnsi="Arial"/>
          <w:sz w:val="13"/>
          <w:szCs w:val="13"/>
          <w:color w:val="auto"/>
        </w:rPr>
        <w:t>On the first business day after the one-year anniversary of the effectiveness of this offering, the registration rights agreement requires us to file a registration statement to register all registrable securities held by the founding members that are not already registered at that time, and to file resale registration statements after that time for any additional registrable securities that we issue to any founding member, within 20 days after such issuance. Additionally, we must use reasonable best efforts to maintain effectiveness of these mandatory registration statements until the earlier of the time when the founding members have disposed of all their registrable securities and the time when all registrable securities held by the founding members are eligible for resale under specified securities regulations. We are responsible for the expenses in connection with the registration of securities pursuant to the registration rights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Joint Defense Agreement</w:t>
      </w:r>
    </w:p>
    <w:p>
      <w:pPr>
        <w:spacing w:after="0" w:line="79" w:lineRule="exact"/>
        <w:rPr>
          <w:sz w:val="20"/>
          <w:szCs w:val="20"/>
          <w:color w:val="auto"/>
        </w:rPr>
      </w:pPr>
    </w:p>
    <w:p>
      <w:pPr>
        <w:ind w:right="80" w:firstLine="458"/>
        <w:spacing w:after="0" w:line="328" w:lineRule="auto"/>
        <w:rPr>
          <w:sz w:val="20"/>
          <w:szCs w:val="20"/>
          <w:color w:val="auto"/>
        </w:rPr>
      </w:pPr>
      <w:r>
        <w:rPr>
          <w:rFonts w:ascii="Arial" w:cs="Arial" w:eastAsia="Arial" w:hAnsi="Arial"/>
          <w:sz w:val="12"/>
          <w:szCs w:val="12"/>
          <w:color w:val="auto"/>
        </w:rPr>
        <w:t>AMC and Regal, among others, entered into a joint defense and common interest agreement, dated August 16, 2004, which was supplemented by a joint defense and common interest agreement, dated July 13, 2005, by and among counsel for AMC, Regal and Cinemark. The current joint defense agreement sets forth the terms and conditions under which the parties will cooperate and share information in order to advance their shared interests in owning and operating NCM LLC. In connection with the completion of the offering, counsel for NCM LLC and the founding members will execute an amendment to the joint defense agreement, whereby NCM LLC will be added as a party, and this offering will be added to the range of transactions covered by the agreement.</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60"/>
          </w:cols>
          <w:pgMar w:left="220" w:top="398" w:right="21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Founding Member Line of Credit</w:t>
      </w:r>
    </w:p>
    <w:p>
      <w:pPr>
        <w:spacing w:after="0" w:line="79" w:lineRule="exact"/>
        <w:rPr>
          <w:sz w:val="20"/>
          <w:szCs w:val="20"/>
          <w:color w:val="auto"/>
        </w:rPr>
      </w:pPr>
    </w:p>
    <w:p>
      <w:pPr>
        <w:ind w:right="100" w:firstLine="458"/>
        <w:spacing w:after="0" w:line="305" w:lineRule="auto"/>
        <w:rPr>
          <w:sz w:val="20"/>
          <w:szCs w:val="20"/>
          <w:color w:val="auto"/>
        </w:rPr>
      </w:pPr>
      <w:r>
        <w:rPr>
          <w:rFonts w:ascii="Arial" w:cs="Arial" w:eastAsia="Arial" w:hAnsi="Arial"/>
          <w:sz w:val="13"/>
          <w:szCs w:val="13"/>
          <w:color w:val="auto"/>
        </w:rPr>
        <w:t>On March 29, 2005, NCM LLC entered into an amended and restated demand promissory note, or the demand note, with the founding members. The demand note permitted NCM LLC to borrow up to $11.0 million on a revolving basis, with borrowings funded by the founding members on a pro rata basis. Interest was payable monthly at 200 basis points over LIBOR. The demand note had a final maturity date of the earliest of March 31, 2007; the tenth day after a unanimous demand for payment by all founding members; or an event of default as defined in the demand note.</w:t>
      </w:r>
    </w:p>
    <w:p>
      <w:pPr>
        <w:spacing w:after="0" w:line="86"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color w:val="auto"/>
        </w:rPr>
        <w:t>As of December 29, 2005, outstanding borrowings under the demand note were $1.3 million, and the interest rate was 6.34%. NCM LLC paid less than $0.1 million in interest to the founding members in 2005. On March 26, 2006, NCM LLC repaid all borrowings under the demand note in full using the proceeds of a borrowing under a new line of credit with an unaffiliated lender, and the demand note was cancelled.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Contribution Agreements and Related Agreements</w:t>
      </w:r>
    </w:p>
    <w:p>
      <w:pPr>
        <w:spacing w:after="0" w:line="79"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i w:val="1"/>
          <w:iCs w:val="1"/>
          <w:color w:val="auto"/>
        </w:rPr>
        <w:t>AMC and Regal Contribution Agreement</w:t>
      </w:r>
      <w:r>
        <w:rPr>
          <w:rFonts w:ascii="Arial" w:cs="Arial" w:eastAsia="Arial" w:hAnsi="Arial"/>
          <w:sz w:val="14"/>
          <w:szCs w:val="14"/>
          <w:color w:val="auto"/>
        </w:rPr>
        <w:t>. In connection with the initial formation of NCM LLC on March 29, 2005, AMC, Regal and NCM LLC entered into a contribution and unit holders</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pursuant to which the two founding members contributed assets to NCM LLC in exchange for the issuance of Class A membership units. AMC contributed $4,338,409 in assets in exchange for 370 Class A membership units, and Regal contributed $7,387,021 in cash and assets in exchange for 630 Class A membership units. The contribution and unit holders agreement also established that AMC and Regal would make available working capital for a revolving loan, in an aggregate amount up to $11,000,000, which loan would be funded ratably by percentage of Class A membership units held.</w:t>
      </w:r>
    </w:p>
    <w:p>
      <w:pPr>
        <w:spacing w:after="0" w:line="110"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In connection with the contribution and unit holders agreement and the formation of NCM LLC, Regal, AMC and NCM LLC entered into a transition services agreement on March 29, 2005, effective as of April 1, 2005. The transition services agreement, which expired on its terms on December 31, 2005, identified services (such as information technology, network and administrative support) to be provided by AMC and Regal to NCM LLC and by NCM LLC to Regal and the fees for such services, to support the initial operations of NCM LLC and the separation of the digital content network from Regal. The transition services agreement also provided the terms pursuant to which AMC and Regal loaned certain employees to NCM LLC. Additionally, Regal, AMC and NCM entered into a bill of sale and assignment and assumption agreement on March 29, 2005, which gave effect to the transfer of assets contemplated by the contribution and unit holders agreement.</w:t>
      </w:r>
    </w:p>
    <w:p>
      <w:pPr>
        <w:spacing w:after="0" w:line="93"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i w:val="1"/>
          <w:iCs w:val="1"/>
          <w:color w:val="auto"/>
        </w:rPr>
        <w:t xml:space="preserve">Cinemark Contribution Agreement. </w:t>
      </w:r>
      <w:r>
        <w:rPr>
          <w:rFonts w:ascii="Arial" w:cs="Arial" w:eastAsia="Arial" w:hAnsi="Arial"/>
          <w:sz w:val="13"/>
          <w:szCs w:val="13"/>
          <w:color w:val="auto"/>
        </w:rPr>
        <w:t>In connection with Cinemark’s entry as a founding member of NCM LLC, Cinemark and NCM LLC entered into a contribution agreement as of July 15,</w:t>
      </w:r>
      <w:r>
        <w:rPr>
          <w:rFonts w:ascii="Arial" w:cs="Arial" w:eastAsia="Arial" w:hAnsi="Arial"/>
          <w:sz w:val="13"/>
          <w:szCs w:val="13"/>
          <w:i w:val="1"/>
          <w:iCs w:val="1"/>
          <w:color w:val="auto"/>
        </w:rPr>
        <w:t xml:space="preserve"> </w:t>
      </w:r>
      <w:r>
        <w:rPr>
          <w:rFonts w:ascii="Arial" w:cs="Arial" w:eastAsia="Arial" w:hAnsi="Arial"/>
          <w:sz w:val="13"/>
          <w:szCs w:val="13"/>
          <w:color w:val="auto"/>
        </w:rPr>
        <w:t>2005, pursuant to which Cinemark contributed $7,328,662 cash and received 261 Class A membership units. Pursuant to this contribution agreement, Cinemark’s cash contribution was used to pay the then-outstanding amounts loaned by AMC and Regal to NCM LLC. This contribution agreement modified the revolving loan provision of the contribution and unit holders agreement, so that AMC, Cinemark and Regal would ratably (based on Class A membership units held) fund up to $11,000,000 of an amended and restated demand note for NCM LLC borrowings. As discussed below under “—Founding Member Line of Credit,” this note was cancelled upon NCM LLC’s entry into its existing credit facility.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 with Network LIVE</w:t>
      </w:r>
    </w:p>
    <w:p>
      <w:pPr>
        <w:spacing w:after="0" w:line="83" w:lineRule="exact"/>
        <w:rPr>
          <w:sz w:val="20"/>
          <w:szCs w:val="20"/>
          <w:color w:val="auto"/>
        </w:rPr>
      </w:pPr>
    </w:p>
    <w:p>
      <w:pPr>
        <w:ind w:right="400" w:firstLine="458"/>
        <w:spacing w:after="0" w:line="297" w:lineRule="auto"/>
        <w:rPr>
          <w:sz w:val="20"/>
          <w:szCs w:val="20"/>
          <w:color w:val="auto"/>
        </w:rPr>
      </w:pPr>
      <w:r>
        <w:rPr>
          <w:rFonts w:ascii="Arial" w:cs="Arial" w:eastAsia="Arial" w:hAnsi="Arial"/>
          <w:sz w:val="13"/>
          <w:szCs w:val="13"/>
          <w:color w:val="auto"/>
        </w:rPr>
        <w:t xml:space="preserve">On May 2, 2006, NCM LLC entered into a term sheet with Casbah Productions, LLC d/b/a Network LIVE, pursuant to which Network Live will provide captured artist performances for distribution across the digital content network, for a term of 24 months. The term sheet contemplates between 12 and 48 events per year, which will be promoted through </w:t>
      </w:r>
      <w:r>
        <w:rPr>
          <w:rFonts w:ascii="Arial" w:cs="Arial" w:eastAsia="Arial" w:hAnsi="Arial"/>
          <w:sz w:val="13"/>
          <w:szCs w:val="13"/>
          <w:i w:val="1"/>
          <w:iCs w:val="1"/>
          <w:color w:val="auto"/>
        </w:rPr>
        <w:t>FirstLook</w:t>
      </w:r>
      <w:r>
        <w:rPr>
          <w:rFonts w:ascii="Arial" w:cs="Arial" w:eastAsia="Arial" w:hAnsi="Arial"/>
          <w:sz w:val="13"/>
          <w:szCs w:val="13"/>
          <w:color w:val="auto"/>
        </w:rPr>
        <w:t>, the lobby entertainment network, poster case and website advertising. Revenue from the events will be split among the theatre operator, Network LIVE and NCM LLC. During the term of the term sheet, Network LIVE will be the premium provider of content for NCM LLC theatres and thus NCM LLC will notify Network LIVE before directly negotiating with artists.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40"/>
          </w:cols>
          <w:pgMar w:left="220" w:top="399" w:right="23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firstLine="458"/>
        <w:spacing w:after="0" w:line="264" w:lineRule="auto"/>
        <w:rPr>
          <w:sz w:val="20"/>
          <w:szCs w:val="20"/>
          <w:color w:val="auto"/>
        </w:rPr>
      </w:pPr>
      <w:r>
        <w:rPr>
          <w:rFonts w:ascii="Arial" w:cs="Arial" w:eastAsia="Arial" w:hAnsi="Arial"/>
          <w:sz w:val="14"/>
          <w:szCs w:val="14"/>
          <w:color w:val="auto"/>
        </w:rPr>
        <w:t>Network LIVE was a privately held joint venture of Anschutz Entertainment Group, Inc., XM Satellite Radio, Inc. and AOL, LLC. Anschutz Entertainment Group is a wholly-owned subsidiary of The Anschutz</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Corporation. The Anschutz Corporation is a wholly-owned subsidiary of the Anschutz Company. The Anschutz Company is the controlling stockholder of Regal Entertainment Group.</w:t>
      </w:r>
    </w:p>
    <w:p>
      <w:pPr>
        <w:spacing w:after="0" w:line="13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In fall 2006, Network LIVE dissolved and NCM LLC began working with Control Room, which has taken over production of the content formerly produced by Network LIVE. Control Room is not our affiliate.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 with Hughes Network</w:t>
      </w:r>
    </w:p>
    <w:p>
      <w:pPr>
        <w:spacing w:after="0" w:line="83"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On July 3, 2002, RCM entered into an equipment and services agreement with Hughes Network Systems, Inc. Pursuant to the equipment and services agreement, Hughes agreed to provide certain satellite communication services, equipment and software, for a term of 36 months. See “Business—Technology” above for a more detailed description of the Hughes technology. On July 2, 2005, NCM LLC and Hughes Network Systems, L.L.C. (formerly Hughes Network Systems, Inc.) entered into an amendment to the equipment and services agreement, pursuant to which, among other things, the term of the agreement was extended for an additional 24 months. For the nine months ended December 29, 2005 and the nine months ended September 28, 2006, the aggregate amount payable to Hughes was approximately $951,000 and $978,000, respectively.</w:t>
      </w:r>
    </w:p>
    <w:p>
      <w:pPr>
        <w:spacing w:after="0" w:line="110" w:lineRule="exact"/>
        <w:rPr>
          <w:sz w:val="20"/>
          <w:szCs w:val="20"/>
          <w:color w:val="auto"/>
        </w:rPr>
      </w:pPr>
    </w:p>
    <w:p>
      <w:pPr>
        <w:jc w:val="both"/>
        <w:ind w:right="80" w:firstLine="458"/>
        <w:spacing w:after="0" w:line="275" w:lineRule="auto"/>
        <w:rPr>
          <w:sz w:val="20"/>
          <w:szCs w:val="20"/>
          <w:color w:val="auto"/>
        </w:rPr>
      </w:pPr>
      <w:r>
        <w:rPr>
          <w:rFonts w:ascii="Arial" w:cs="Arial" w:eastAsia="Arial" w:hAnsi="Arial"/>
          <w:sz w:val="14"/>
          <w:szCs w:val="14"/>
          <w:color w:val="auto"/>
        </w:rPr>
        <w:t>Hughes Network Systems, LLC is a wholly-owned subsidiary of Hughes Communications Inc. As of April 12, 2006, Apollo Investment Fund IV, LP owned 66.2% of Hughes Communications Inc. As of May 26, 2006, Apollo Investment Fund V, LP owned 20.78% of AMC Entertainment Group. Apollo Investment Fund, IV, LP and Apollo Investment Fund V, LP are under common control through the ownership of their respective general partners and managers.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 with The Anschutz Corporation</w:t>
      </w:r>
    </w:p>
    <w:p>
      <w:pPr>
        <w:spacing w:after="0" w:line="83" w:lineRule="exact"/>
        <w:rPr>
          <w:sz w:val="20"/>
          <w:szCs w:val="20"/>
          <w:color w:val="auto"/>
        </w:rPr>
      </w:pPr>
    </w:p>
    <w:p>
      <w:pPr>
        <w:ind w:right="240" w:firstLine="458"/>
        <w:spacing w:after="0" w:line="330" w:lineRule="auto"/>
        <w:rPr>
          <w:sz w:val="20"/>
          <w:szCs w:val="20"/>
          <w:color w:val="auto"/>
        </w:rPr>
      </w:pPr>
      <w:r>
        <w:rPr>
          <w:rFonts w:ascii="Arial" w:cs="Arial" w:eastAsia="Arial" w:hAnsi="Arial"/>
          <w:sz w:val="13"/>
          <w:szCs w:val="13"/>
          <w:color w:val="auto"/>
        </w:rPr>
        <w:t>NCM LLC has an informal agreement with The Anschutz Corporation to use, on occasion, two private aircraft owned by The Anschutz Corporation. The private aircraft are used to travel to cities where regularly scheduled flights require significant time or expense. The aircraft are leased on a per hour basis at rates that we believe are at or below market rates.</w:t>
      </w:r>
    </w:p>
    <w:p>
      <w:pPr>
        <w:spacing w:after="0" w:line="70" w:lineRule="exact"/>
        <w:rPr>
          <w:sz w:val="20"/>
          <w:szCs w:val="20"/>
          <w:color w:val="auto"/>
        </w:rPr>
      </w:pPr>
    </w:p>
    <w:p>
      <w:pPr>
        <w:ind w:right="140" w:firstLine="458"/>
        <w:spacing w:after="0" w:line="275" w:lineRule="auto"/>
        <w:rPr>
          <w:sz w:val="20"/>
          <w:szCs w:val="20"/>
          <w:color w:val="auto"/>
        </w:rPr>
      </w:pPr>
      <w:r>
        <w:rPr>
          <w:rFonts w:ascii="Arial" w:cs="Arial" w:eastAsia="Arial" w:hAnsi="Arial"/>
          <w:sz w:val="14"/>
          <w:szCs w:val="14"/>
          <w:color w:val="auto"/>
        </w:rPr>
        <w:t>The Anschutz Corporation is a wholly-owned subsidiary of the Anschutz Company. The Anschutz Company is the controlling stockholder of Regal Entertainment Group. For the nine months ended December 29, 2005 and the nine months ended September 28, 2006, the aggregate amounts paid to The Anschutz Corporation for use of the aircraft were approximately $54,000 and $43,000,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with Founding Members—Subleases</w:t>
      </w:r>
    </w:p>
    <w:p>
      <w:pPr>
        <w:spacing w:after="0" w:line="83" w:lineRule="exact"/>
        <w:rPr>
          <w:sz w:val="20"/>
          <w:szCs w:val="20"/>
          <w:color w:val="auto"/>
        </w:rPr>
      </w:pPr>
    </w:p>
    <w:p>
      <w:pPr>
        <w:ind w:right="160" w:firstLine="458"/>
        <w:spacing w:after="0" w:line="305" w:lineRule="auto"/>
        <w:rPr>
          <w:sz w:val="20"/>
          <w:szCs w:val="20"/>
          <w:color w:val="auto"/>
        </w:rPr>
      </w:pPr>
      <w:r>
        <w:rPr>
          <w:rFonts w:ascii="Arial" w:cs="Arial" w:eastAsia="Arial" w:hAnsi="Arial"/>
          <w:sz w:val="13"/>
          <w:szCs w:val="13"/>
          <w:i w:val="1"/>
          <w:iCs w:val="1"/>
          <w:color w:val="auto"/>
        </w:rPr>
        <w:t xml:space="preserve">Chicago Regional Office. </w:t>
      </w:r>
      <w:r>
        <w:rPr>
          <w:rFonts w:ascii="Arial" w:cs="Arial" w:eastAsia="Arial" w:hAnsi="Arial"/>
          <w:sz w:val="13"/>
          <w:szCs w:val="13"/>
          <w:color w:val="auto"/>
        </w:rPr>
        <w:t>On December 5, 2005, NCM LLC entered into a sublease agreement with RCM pursuant to which NCM LLC subleases its regional office in Chicago, Illinois. Both</w:t>
      </w:r>
      <w:r>
        <w:rPr>
          <w:rFonts w:ascii="Arial" w:cs="Arial" w:eastAsia="Arial" w:hAnsi="Arial"/>
          <w:sz w:val="13"/>
          <w:szCs w:val="13"/>
          <w:i w:val="1"/>
          <w:iCs w:val="1"/>
          <w:color w:val="auto"/>
        </w:rPr>
        <w:t xml:space="preserve"> </w:t>
      </w:r>
      <w:r>
        <w:rPr>
          <w:rFonts w:ascii="Arial" w:cs="Arial" w:eastAsia="Arial" w:hAnsi="Arial"/>
          <w:sz w:val="13"/>
          <w:szCs w:val="13"/>
          <w:color w:val="auto"/>
        </w:rPr>
        <w:t>the sublease and the lease expire on July 31, 2009. Pursuant to the sublease, NCM LLC pays rent in an amount equal to that which would have been paid by RCM under the terms of its lease. The amounts paid to the landlord for the nine months ended December 29, 2005 and the nine months ended September 28, 2006, were, in aggregate, approximately $31,000 and $35,000, respectively.</w:t>
      </w:r>
    </w:p>
    <w:p>
      <w:pPr>
        <w:spacing w:after="0" w:line="86" w:lineRule="exact"/>
        <w:rPr>
          <w:sz w:val="20"/>
          <w:szCs w:val="20"/>
          <w:color w:val="auto"/>
        </w:rPr>
      </w:pPr>
    </w:p>
    <w:p>
      <w:pPr>
        <w:ind w:firstLine="458"/>
        <w:spacing w:after="0" w:line="341" w:lineRule="auto"/>
        <w:rPr>
          <w:sz w:val="20"/>
          <w:szCs w:val="20"/>
          <w:color w:val="auto"/>
        </w:rPr>
      </w:pPr>
      <w:r>
        <w:rPr>
          <w:rFonts w:ascii="Arial" w:cs="Arial" w:eastAsia="Arial" w:hAnsi="Arial"/>
          <w:sz w:val="12"/>
          <w:szCs w:val="12"/>
          <w:i w:val="1"/>
          <w:iCs w:val="1"/>
          <w:color w:val="auto"/>
        </w:rPr>
        <w:t>New York Regional Office</w:t>
      </w:r>
      <w:r>
        <w:rPr>
          <w:rFonts w:ascii="Arial" w:cs="Arial" w:eastAsia="Arial" w:hAnsi="Arial"/>
          <w:sz w:val="12"/>
          <w:szCs w:val="12"/>
          <w:color w:val="auto"/>
        </w:rPr>
        <w:t>. On January 27, 2006, NCM LLC entered into a sublease agreement with RCM pursuant to which NCM LLC subleases its regional office in New York, New York.</w:t>
      </w:r>
      <w:r>
        <w:rPr>
          <w:rFonts w:ascii="Arial" w:cs="Arial" w:eastAsia="Arial" w:hAnsi="Arial"/>
          <w:sz w:val="12"/>
          <w:szCs w:val="12"/>
          <w:i w:val="1"/>
          <w:iCs w:val="1"/>
          <w:color w:val="auto"/>
        </w:rPr>
        <w:t xml:space="preserve"> </w:t>
      </w:r>
      <w:r>
        <w:rPr>
          <w:rFonts w:ascii="Arial" w:cs="Arial" w:eastAsia="Arial" w:hAnsi="Arial"/>
          <w:sz w:val="12"/>
          <w:szCs w:val="12"/>
          <w:color w:val="auto"/>
        </w:rPr>
        <w:t>Both the sublease and the lease expire on April 30, 2010. Pursuant to the sublease, NCM LLC pays rent to RCM in an amount equal to that which would have been paid by RCM under the terms of its lease. The amounts paid to RCM for the nine months ended December 29, 2005 and the nine months ended September 28, 2006, were, in aggregate, approximately $258,000 and $310,000, respectively.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60"/>
          </w:cols>
          <w:pgMar w:left="220" w:top="399" w:right="21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i w:val="1"/>
          <w:iCs w:val="1"/>
          <w:color w:val="auto"/>
        </w:rPr>
        <w:t xml:space="preserve">Woodland Hills Regional Office. </w:t>
      </w:r>
      <w:r>
        <w:rPr>
          <w:rFonts w:ascii="Arial" w:cs="Arial" w:eastAsia="Arial" w:hAnsi="Arial"/>
          <w:sz w:val="14"/>
          <w:szCs w:val="14"/>
          <w:color w:val="auto"/>
        </w:rPr>
        <w:t>On March 22, 2005, RCM assigned its interests in a sublease from Regal to NCM LLC for its regional office in Woodland Hills, California. The lease and</w:t>
      </w:r>
      <w:r>
        <w:rPr>
          <w:rFonts w:ascii="Arial" w:cs="Arial" w:eastAsia="Arial" w:hAnsi="Arial"/>
          <w:sz w:val="14"/>
          <w:szCs w:val="14"/>
          <w:i w:val="1"/>
          <w:iCs w:val="1"/>
          <w:color w:val="auto"/>
        </w:rPr>
        <w:t xml:space="preserve"> </w:t>
      </w:r>
      <w:r>
        <w:rPr>
          <w:rFonts w:ascii="Arial" w:cs="Arial" w:eastAsia="Arial" w:hAnsi="Arial"/>
          <w:sz w:val="14"/>
          <w:szCs w:val="14"/>
          <w:color w:val="auto"/>
        </w:rPr>
        <w:t>sublease expired on July 31, 2006. Pursuant to the sublease, NCM LLC paid rent to Regal in an amount equal to that which would have been paid by Regal under the terms of its lease. The amounts paid to Regal for the nine months ended December 29, 2005 and the nine months ended September 28, 2006 were, in aggregate, approximately $46,000 and $40,000, respectively. NCM LLC moved to different office space in Woodland Hills, described immediately below, during May 2006.</w:t>
      </w:r>
    </w:p>
    <w:p>
      <w:pPr>
        <w:spacing w:after="0" w:line="106"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NCM LLC entered into a sublease agreement with AMC pursuant to which NCM LLC subleases its regional office in Woodland Hills, California. The lease expires on May 31, 2007. The sublease expires on May 30, 2007. Pursuant to the sublease, NCM LLC pays rent to AMC in an amount equal to that which would have been paid by AMC under the terms of its lease. The amount paid to AMC for the nine months ended September 28, 2006, was, in aggregate, approximately $41,000.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NCM LLC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Common Unit Subscription Agreement</w:t>
      </w:r>
    </w:p>
    <w:p>
      <w:pPr>
        <w:spacing w:after="0" w:line="79"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We intend to enter into a common unit subscription agreement with NCM LLC. Subject to the satisfaction of certain conditions described below, under the common unit subscription agreement, NCM LLC will agree to issue and sell to us, and we will agree to buy from NCM LLC, 38,000,000 common units of NCM LLC, which represents approximately 40.5% of common units of NCM LLC. The per unit purchase price we will pay for the common units will be equal to the per share purchase price that our common stock is sold to the public pursuant to this offering less underwriting discounts and commissions and offering expenses. If the underwriters’ over-allotment option is exercised, we will acquire an additional number of units equal to the number of shares sold to the underwriters.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Until the consummation of the sale of the common units of NCM LLC pursuant to the common unit subscription agreement, NCM LLC will agree to:</w:t>
      </w:r>
    </w:p>
    <w:p>
      <w:pPr>
        <w:spacing w:after="0" w:line="79" w:lineRule="exact"/>
        <w:rPr>
          <w:sz w:val="20"/>
          <w:szCs w:val="20"/>
          <w:color w:val="auto"/>
        </w:rPr>
      </w:pPr>
    </w:p>
    <w:p>
      <w:pPr>
        <w:ind w:left="780" w:hanging="240"/>
        <w:spacing w:after="0"/>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conduct the business of NCM LLC, in the ordinary course consistent with past practice,</w:t>
      </w:r>
    </w:p>
    <w:p>
      <w:pPr>
        <w:spacing w:after="0" w:line="79" w:lineRule="exact"/>
        <w:rPr>
          <w:rFonts w:ascii="Arial" w:cs="Arial" w:eastAsia="Arial" w:hAnsi="Arial"/>
          <w:sz w:val="14"/>
          <w:szCs w:val="14"/>
          <w:color w:val="auto"/>
        </w:rPr>
      </w:pPr>
    </w:p>
    <w:p>
      <w:pPr>
        <w:ind w:left="780" w:right="140" w:hanging="240"/>
        <w:spacing w:after="0" w:line="330" w:lineRule="auto"/>
        <w:tabs>
          <w:tab w:leader="none" w:pos="7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use all commercially reasonable efforts to (A) retain the services of its key employees, (B) preserve NCM LLC’s relationships with material customers, suppliers, sponsors, licensors and creditors, and (C) maintain and keep NCM LLC’s properties and assets in as good repair and condition as at present, ordinary wear and tear excepted, and</w:t>
      </w:r>
    </w:p>
    <w:p>
      <w:pPr>
        <w:spacing w:after="0" w:line="4" w:lineRule="exact"/>
        <w:rPr>
          <w:rFonts w:ascii="Arial" w:cs="Arial" w:eastAsia="Arial" w:hAnsi="Arial"/>
          <w:sz w:val="13"/>
          <w:szCs w:val="13"/>
          <w:color w:val="auto"/>
        </w:rPr>
      </w:pPr>
    </w:p>
    <w:p>
      <w:pPr>
        <w:ind w:left="780" w:right="140" w:hanging="240"/>
        <w:spacing w:after="0" w:line="289" w:lineRule="auto"/>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maintain its capital structure as it existed on the date of the common unit subscription agreement and refrain from making any distributions to the founding members or their affiliates, or make any direct or indirect redemption, retirement, purchase or other acquisition of any membership interests in NCM LLC of any nature.</w:t>
      </w:r>
    </w:p>
    <w:p>
      <w:pPr>
        <w:spacing w:after="0" w:line="9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In addition to other customary closing conditions, the sale of the common units of NCM LLC will be conditioned upon our entry into an underwriting agreement with the managing underwriters for this offering, the completion of the recapitalization of NCM LLC as described in this prospectus, and the absence of any order, decree or judgment of any court or other governmental authority that makes the sale of the common units of NCM LLC to us illegal or invalid. The common unit subscription agreement will automatically be terminated if the closing conditions are not satisfied or waived on or before a specified date or if the registration statement relating to this offering is withdrawn for any reason prior to such date.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60"/>
          </w:cols>
          <w:pgMar w:left="220" w:top="398" w:right="21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Management Services Agreement</w:t>
      </w:r>
    </w:p>
    <w:p>
      <w:pPr>
        <w:spacing w:after="0" w:line="79"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We intend to enter into a management services agreement with NCM LLC pursuant to which we will agree to provide certain specific management services to NCM LLC, including those services typically provided by the individuals serving in the positions of president and chief executive officer, president of sales and chief marketing officer, executive vice president and chief financial officer, executive vice president and chief technology and operations officer and executive vice president and general counsel. In exchange for the services, NCM LLC will reimburse us for compensation and other expenses of our officers and employees and for certain out-of-pocket costs. NCM LLC will also provide administrative and support services to us, such as office facilities, equipment, supplies, payroll and accounting and financial reporting. The management services agreement also provides that our employees may participate in NCM LLC’s benefit plans, and that NCM LLC employees may participate in our equity incentive plan. NCM LLC will indemnify NCM Inc. for any losses arising from NCM Inc.’s performance under the management services agreement, except that NCM Inc. will indemnify NCM LLC for any losses caused by NCM Inc.’s willful misconduct or gross negligence.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Option Substitution Agreement</w:t>
      </w:r>
    </w:p>
    <w:p>
      <w:pPr>
        <w:spacing w:after="0" w:line="79" w:lineRule="exact"/>
        <w:rPr>
          <w:sz w:val="20"/>
          <w:szCs w:val="20"/>
          <w:color w:val="auto"/>
        </w:rPr>
      </w:pPr>
    </w:p>
    <w:p>
      <w:pPr>
        <w:ind w:right="400" w:firstLine="458"/>
        <w:spacing w:after="0" w:line="330" w:lineRule="auto"/>
        <w:rPr>
          <w:sz w:val="20"/>
          <w:szCs w:val="20"/>
          <w:color w:val="auto"/>
        </w:rPr>
      </w:pPr>
      <w:r>
        <w:rPr>
          <w:rFonts w:ascii="Arial" w:cs="Arial" w:eastAsia="Arial" w:hAnsi="Arial"/>
          <w:sz w:val="13"/>
          <w:szCs w:val="13"/>
          <w:color w:val="auto"/>
        </w:rPr>
        <w:t>We intend to provide option substitution agreements to holders of outstanding options of NCM LLC to cancel each NCM LLC option and substitute the option with an option to purchase common stock of NCM Inc. See “Management—Equity Incentive Plan—Substitution of NCM LLC Options and Restricted Units” above for additional discussion of the option substitution.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Restricted Stock Agreement</w:t>
      </w:r>
    </w:p>
    <w:p>
      <w:pPr>
        <w:spacing w:after="0" w:line="79" w:lineRule="exact"/>
        <w:rPr>
          <w:sz w:val="20"/>
          <w:szCs w:val="20"/>
          <w:color w:val="auto"/>
        </w:rPr>
      </w:pPr>
    </w:p>
    <w:p>
      <w:pPr>
        <w:jc w:val="both"/>
        <w:ind w:right="140" w:firstLine="458"/>
        <w:spacing w:after="0" w:line="330" w:lineRule="auto"/>
        <w:rPr>
          <w:sz w:val="20"/>
          <w:szCs w:val="20"/>
          <w:color w:val="auto"/>
        </w:rPr>
      </w:pPr>
      <w:r>
        <w:rPr>
          <w:rFonts w:ascii="Arial" w:cs="Arial" w:eastAsia="Arial" w:hAnsi="Arial"/>
          <w:sz w:val="13"/>
          <w:szCs w:val="13"/>
          <w:color w:val="auto"/>
        </w:rPr>
        <w:t>We intend to provide restricted stock agreements to holders of restricted units of NCM LLC to cancel each NCM LLC restricted unit and substitute the restricted unit with a share of restricted common stock of NCM Inc. See “Management—Equity Incentive Plan—Substitution of NCM LLC Options and Restricted Units” above for additional discussion of the restricted stock substitution.</w:t>
      </w:r>
    </w:p>
    <w:p>
      <w:pPr>
        <w:spacing w:after="0" w:line="131"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b w:val="1"/>
          <w:bCs w:val="1"/>
          <w:color w:val="auto"/>
        </w:rPr>
        <w:t>Transactions with</w:t>
      </w:r>
      <w:r>
        <w:rPr>
          <w:sz w:val="20"/>
          <w:szCs w:val="20"/>
          <w:color w:val="auto"/>
        </w:rPr>
        <w:tab/>
      </w:r>
      <w:r>
        <w:rPr>
          <w:rFonts w:ascii="Arial" w:cs="Arial" w:eastAsia="Arial" w:hAnsi="Arial"/>
          <w:sz w:val="14"/>
          <w:szCs w:val="14"/>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Digital Cinema Services Agreement</w:t>
      </w:r>
    </w:p>
    <w:p>
      <w:pPr>
        <w:spacing w:after="0" w:line="79"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NCM LLC entered into a letter agreement on December 1, 2005 with the founding members to enable it to explore the possibility of implementing digital cinema in their theatres. In connection with the completion of this offering, we anticipate that we will enter into the digital cinema services agreement with a newly-formed entity to be formed and owned by our founding members, to govern our activities related to design, planning and management related to development and procurement of digital cinema systems for our founding members. This effort will include system design, equipment procurement and the development of financing agreements with the studios and third-party financing sources. Prior to the completion of the offering, we will also assign to the newly formed entity an engagement letter we have entered into with J.P. Morgan Securities Inc. and a consulting contract we have entered into with Travis Reid, former Loews Cineplex Entertainment President and CEO, who is leading the effort to create a business plan and financing model for digital cinema with the major motion picture studios. The financing arrangements described above are intended to be non-recourse to us.</w:t>
      </w:r>
    </w:p>
    <w:p>
      <w:pPr>
        <w:spacing w:after="0" w:line="111" w:lineRule="exact"/>
        <w:rPr>
          <w:sz w:val="20"/>
          <w:szCs w:val="20"/>
          <w:color w:val="auto"/>
        </w:rPr>
      </w:pPr>
    </w:p>
    <w:p>
      <w:pPr>
        <w:jc w:val="both"/>
        <w:ind w:right="340" w:firstLine="458"/>
        <w:spacing w:after="0" w:line="275" w:lineRule="auto"/>
        <w:rPr>
          <w:sz w:val="20"/>
          <w:szCs w:val="20"/>
          <w:color w:val="auto"/>
        </w:rPr>
      </w:pPr>
      <w:r>
        <w:rPr>
          <w:rFonts w:ascii="Arial" w:cs="Arial" w:eastAsia="Arial" w:hAnsi="Arial"/>
          <w:sz w:val="14"/>
          <w:szCs w:val="14"/>
          <w:color w:val="auto"/>
        </w:rPr>
        <w:t>Under the J.P. Morgan Securities Inc. engagement letter, which is dated July 6, 2006, J.P. Morgan Securities Inc. will assist with the review of the business plan for digital cinema and with identifying and evaluating financing and capital structure alternatives. J.P. Morgan Securities Inc. also will have rights to participate in future transactions involving this newly formed entity for a specified period of time.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40"/>
          </w:cols>
          <w:pgMar w:left="220" w:top="399" w:right="23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STOCKHOLDERS</w:t>
      </w:r>
    </w:p>
    <w:p>
      <w:pPr>
        <w:spacing w:after="0" w:line="14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The following table presents information concerning the beneficial ownership of the shares of our common stock as of January 10, 2007, giving effect to the completion of this offering and the reorganization, and assuming the redemption of all of the outstanding NCM LLC common membership units in exchange for, our common stock, by:</w:t>
      </w:r>
    </w:p>
    <w:p>
      <w:pPr>
        <w:spacing w:after="0" w:line="28" w:lineRule="exact"/>
        <w:rPr>
          <w:sz w:val="20"/>
          <w:szCs w:val="20"/>
          <w:color w:val="auto"/>
        </w:rPr>
      </w:pPr>
    </w:p>
    <w:p>
      <w:pPr>
        <w:ind w:left="780" w:hanging="240"/>
        <w:spacing w:after="0"/>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person we know to be the beneficial owner of 5% of more of our outstanding shares of common stock;</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of our directors and nominees for director;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w:t>
      </w:r>
    </w:p>
    <w:p>
      <w:pPr>
        <w:spacing w:after="0" w:line="145"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Percentage of beneficial ownership is based on 38,000,000 shares of common stock and 93,850,951 NCM LLC membership units outstanding after the completion of this offering. No shares of common stock subject to options are currently exercisable or exercisable within 60 days of January 10, 2007. Unless indicated below, the address of each individual listed below is 9110 E. Nichols Ave., Suite 200, Centennial, Colorado 80112-3405.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8"/>
              </w:rPr>
              <w:t>Number of Shares</w:t>
            </w:r>
          </w:p>
        </w:tc>
        <w:tc>
          <w:tcPr>
            <w:tcW w:w="1160" w:type="dxa"/>
            <w:vAlign w:val="bottom"/>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Percentage of</w:t>
            </w:r>
          </w:p>
        </w:tc>
      </w:tr>
      <w:tr>
        <w:trPr>
          <w:trHeight w:val="120"/>
        </w:trPr>
        <w:tc>
          <w:tcPr>
            <w:tcW w:w="7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of Common Stock</w:t>
            </w:r>
          </w:p>
        </w:tc>
        <w:tc>
          <w:tcPr>
            <w:tcW w:w="1160" w:type="dxa"/>
            <w:vAlign w:val="bottom"/>
          </w:tcPr>
          <w:p>
            <w:pPr>
              <w:spacing w:after="0"/>
              <w:rPr>
                <w:sz w:val="10"/>
                <w:szCs w:val="10"/>
                <w:color w:val="auto"/>
              </w:rPr>
            </w:pPr>
          </w:p>
        </w:tc>
        <w:tc>
          <w:tcPr>
            <w:tcW w:w="100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Shares of Common</w:t>
            </w:r>
          </w:p>
        </w:tc>
      </w:tr>
      <w:tr>
        <w:trPr>
          <w:trHeight w:val="120"/>
        </w:trPr>
        <w:tc>
          <w:tcPr>
            <w:tcW w:w="7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Beneficially</w:t>
            </w:r>
          </w:p>
        </w:tc>
        <w:tc>
          <w:tcPr>
            <w:tcW w:w="1160" w:type="dxa"/>
            <w:vAlign w:val="bottom"/>
          </w:tcPr>
          <w:p>
            <w:pPr>
              <w:spacing w:after="0"/>
              <w:rPr>
                <w:sz w:val="10"/>
                <w:szCs w:val="10"/>
                <w:color w:val="auto"/>
              </w:rPr>
            </w:pPr>
          </w:p>
        </w:tc>
        <w:tc>
          <w:tcPr>
            <w:tcW w:w="100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9"/>
              </w:rPr>
              <w:t>Stock Beneficially</w:t>
            </w:r>
          </w:p>
        </w:tc>
      </w:tr>
      <w:tr>
        <w:trPr>
          <w:trHeight w:val="151"/>
        </w:trPr>
        <w:tc>
          <w:tcPr>
            <w:tcW w:w="73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Beneficial Owner**</w:t>
            </w:r>
          </w:p>
        </w:tc>
        <w:tc>
          <w:tcPr>
            <w:tcW w:w="1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1"/>
              </w:rPr>
              <w:t>Owned(1)</w:t>
            </w:r>
          </w:p>
        </w:tc>
        <w:tc>
          <w:tcPr>
            <w:tcW w:w="116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Owned</w:t>
            </w:r>
          </w:p>
        </w:tc>
      </w:tr>
      <w:tr>
        <w:trPr>
          <w:trHeight w:val="95"/>
        </w:trPr>
        <w:tc>
          <w:tcPr>
            <w:tcW w:w="7300" w:type="dxa"/>
            <w:vAlign w:val="bottom"/>
          </w:tcPr>
          <w:p>
            <w:pPr>
              <w:spacing w:after="0" w:line="95" w:lineRule="exact"/>
              <w:rPr>
                <w:sz w:val="20"/>
                <w:szCs w:val="20"/>
                <w:color w:val="auto"/>
              </w:rPr>
            </w:pPr>
            <w:r>
              <w:rPr>
                <w:rFonts w:ascii="Arial" w:cs="Arial" w:eastAsia="Arial" w:hAnsi="Arial"/>
                <w:sz w:val="11"/>
                <w:szCs w:val="11"/>
                <w:b w:val="1"/>
                <w:bCs w:val="1"/>
                <w:color w:val="auto"/>
              </w:rPr>
              <w:t>Five Percent Stockholders</w:t>
            </w:r>
          </w:p>
        </w:tc>
        <w:tc>
          <w:tcPr>
            <w:tcW w:w="11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American Multi-Cinema, Inc.(2)</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18,651,747</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19.9%</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Cinemark Media, Inc.(3)</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14,257,374</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15.2%</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Madison Dearborn Capital Partners IV, L.P.(4)</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10,564,715</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11.3%</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Regal CineMedia Holdings, LLC(5)</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22,941,830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24.4%</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The Anschutz Company(6)</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12,205,054</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13.0%</w:t>
            </w:r>
          </w:p>
        </w:tc>
      </w:tr>
      <w:tr>
        <w:trPr>
          <w:trHeight w:val="137"/>
        </w:trPr>
        <w:tc>
          <w:tcPr>
            <w:tcW w:w="7300" w:type="dxa"/>
            <w:vAlign w:val="bottom"/>
          </w:tcPr>
          <w:p>
            <w:pPr>
              <w:spacing w:after="0"/>
              <w:rPr>
                <w:sz w:val="20"/>
                <w:szCs w:val="20"/>
                <w:color w:val="auto"/>
              </w:rPr>
            </w:pPr>
            <w:r>
              <w:rPr>
                <w:rFonts w:ascii="Arial" w:cs="Arial" w:eastAsia="Arial" w:hAnsi="Arial"/>
                <w:sz w:val="11"/>
                <w:szCs w:val="11"/>
                <w:color w:val="auto"/>
              </w:rPr>
              <w:t>Philip F. Anschutz(6)</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12,205,054</w:t>
            </w:r>
          </w:p>
        </w:tc>
        <w:tc>
          <w:tcPr>
            <w:tcW w:w="2160" w:type="dxa"/>
            <w:vAlign w:val="bottom"/>
            <w:gridSpan w:val="3"/>
          </w:tcPr>
          <w:p>
            <w:pPr>
              <w:jc w:val="right"/>
              <w:spacing w:after="0"/>
              <w:rPr>
                <w:sz w:val="20"/>
                <w:szCs w:val="20"/>
                <w:color w:val="auto"/>
              </w:rPr>
            </w:pPr>
            <w:r>
              <w:rPr>
                <w:rFonts w:ascii="Arial" w:cs="Arial" w:eastAsia="Arial" w:hAnsi="Arial"/>
                <w:sz w:val="11"/>
                <w:szCs w:val="11"/>
                <w:color w:val="auto"/>
              </w:rPr>
              <w:t>13.0%</w:t>
            </w:r>
          </w:p>
        </w:tc>
      </w:tr>
      <w:tr>
        <w:trPr>
          <w:trHeight w:val="158"/>
        </w:trPr>
        <w:tc>
          <w:tcPr>
            <w:tcW w:w="7300" w:type="dxa"/>
            <w:vAlign w:val="bottom"/>
          </w:tcPr>
          <w:p>
            <w:pPr>
              <w:spacing w:after="0"/>
              <w:rPr>
                <w:sz w:val="20"/>
                <w:szCs w:val="20"/>
                <w:color w:val="auto"/>
              </w:rPr>
            </w:pPr>
            <w:r>
              <w:rPr>
                <w:rFonts w:ascii="Arial" w:cs="Arial" w:eastAsia="Arial" w:hAnsi="Arial"/>
                <w:sz w:val="11"/>
                <w:szCs w:val="11"/>
                <w:b w:val="1"/>
                <w:bCs w:val="1"/>
                <w:color w:val="auto"/>
              </w:rPr>
              <w:t>Directors and Executive Officers</w:t>
            </w: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Kurt C. Hall(7)</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78,947</w:t>
            </w:r>
          </w:p>
        </w:tc>
        <w:tc>
          <w:tcPr>
            <w:tcW w:w="206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Clifford E. Marks</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Gary W. Ferrera</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Thomas C. Galley</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Ralph E. Hardy</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Peter C. Brown</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Michael L. Campbell</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Lee Roy Mitchell</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Lawrence A. Goodman</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David R. Haas</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James R. Holland, Jr.</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Stephen L. Lanning</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Edward H. Meyer</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Scott N. Schneider</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All directors, nominees for director and executive officers as a group</w:t>
            </w:r>
          </w:p>
        </w:tc>
        <w:tc>
          <w:tcPr>
            <w:tcW w:w="1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7300" w:type="dxa"/>
            <w:vAlign w:val="bottom"/>
          </w:tcPr>
          <w:p>
            <w:pPr>
              <w:ind w:left="180"/>
              <w:spacing w:after="0"/>
              <w:rPr>
                <w:sz w:val="20"/>
                <w:szCs w:val="20"/>
                <w:color w:val="auto"/>
              </w:rPr>
            </w:pPr>
            <w:r>
              <w:rPr>
                <w:rFonts w:ascii="Arial" w:cs="Arial" w:eastAsia="Arial" w:hAnsi="Arial"/>
                <w:sz w:val="11"/>
                <w:szCs w:val="11"/>
                <w:color w:val="auto"/>
              </w:rPr>
              <w:t>(14 persons)</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78,947</w:t>
            </w:r>
          </w:p>
        </w:tc>
        <w:tc>
          <w:tcPr>
            <w:tcW w:w="20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190119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49" w:lineRule="exact"/>
        <w:rPr>
          <w:sz w:val="20"/>
          <w:szCs w:val="20"/>
          <w:color w:val="auto"/>
        </w:rPr>
      </w:pPr>
    </w:p>
    <w:p>
      <w:pPr>
        <w:ind w:left="180"/>
        <w:spacing w:after="0"/>
        <w:tabs>
          <w:tab w:leader="none" w:pos="32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Less than one percent.</w:t>
      </w:r>
    </w:p>
    <w:p>
      <w:pPr>
        <w:spacing w:after="0" w:line="2" w:lineRule="exact"/>
        <w:rPr>
          <w:sz w:val="20"/>
          <w:szCs w:val="20"/>
          <w:color w:val="auto"/>
        </w:rPr>
      </w:pPr>
    </w:p>
    <w:p>
      <w:pPr>
        <w:ind w:left="340" w:right="20" w:hanging="241"/>
        <w:spacing w:after="0" w:line="228" w:lineRule="auto"/>
        <w:tabs>
          <w:tab w:leader="none" w:pos="3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NCM LLC common membership units are redeemable at any time at the option of the holder. Upon any redemption, we may choose whether to redeem the units for shares of our common stock on a one-for-one basis or for a cash payment equal to the market price of shares of our common stock. If each member of NCM LLC chose to redeem all of its NCM LLC common membership units and we elected to issue shares of our common stock in redemption of all of the units, AMC would receive 18,651,747 shares of our common stock, Cinemark would receive 14,257,374 shares of our common stock and Regal would receive 22,941,830 shares of our common stock. These share amounts would represent 19.9%, 15.2% and 24.4%, respectively, of our outstanding common stock immediately following this offering.</w:t>
      </w:r>
    </w:p>
    <w:p>
      <w:pPr>
        <w:ind w:left="340" w:hanging="241"/>
        <w:spacing w:after="0" w:line="228" w:lineRule="auto"/>
        <w:tabs>
          <w:tab w:leader="none" w:pos="3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The address of this stockholder is 920 Main Street, Kansas City, Missouri 64105.</w:t>
      </w:r>
    </w:p>
    <w:p>
      <w:pPr>
        <w:ind w:left="340" w:hanging="241"/>
        <w:spacing w:after="0" w:line="228" w:lineRule="auto"/>
        <w:tabs>
          <w:tab w:leader="none" w:pos="3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The address of this stockholder is 3900 Dallas Parkway, Suite 500, Plano, Texas 75093.</w:t>
      </w:r>
    </w:p>
    <w:p>
      <w:pPr>
        <w:ind w:left="340" w:hanging="241"/>
        <w:spacing w:after="0"/>
        <w:tabs>
          <w:tab w:leader="none" w:pos="340"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The address of this stockholder is Three First National Plaza, Suite 3800, Chicago, Illinois 60602. Represents beneficial ownership as of February 28, 2006 based on the Annual Report on Form 10-K filed by Cinemark, Inc. on April 14, 2006.</w:t>
      </w:r>
    </w:p>
    <w:p>
      <w:pPr>
        <w:spacing w:after="0" w:line="5" w:lineRule="exact"/>
        <w:rPr>
          <w:rFonts w:ascii="Arial" w:cs="Arial" w:eastAsia="Arial" w:hAnsi="Arial"/>
          <w:sz w:val="10"/>
          <w:szCs w:val="10"/>
          <w:color w:val="auto"/>
        </w:rPr>
      </w:pPr>
    </w:p>
    <w:p>
      <w:pPr>
        <w:ind w:left="340" w:hanging="241"/>
        <w:spacing w:after="0" w:line="228" w:lineRule="auto"/>
        <w:tabs>
          <w:tab w:leader="none" w:pos="3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The address of this stockholder is 7132 Regal Lane, Knoxville, Tennessee 37918.</w:t>
      </w:r>
    </w:p>
    <w:p>
      <w:pPr>
        <w:ind w:left="340" w:right="220" w:hanging="241"/>
        <w:spacing w:after="0" w:line="250" w:lineRule="auto"/>
        <w:tabs>
          <w:tab w:leader="none" w:pos="340"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The address of this stockholder is 555 Seventeenth Street, Suite 2400, Denver, Colorado 80202. Represents beneficial ownership as of March 31, 2006 based on the Definitive Proxy Statement on Schedule 14A filed by Regal Entertainment Group on April 14, 2006. All of the shares shown as beneficially owned by Mr. Anschutz are held by Anschutz Company, which is controlled by Mr. Anschutz and shares voting and dispositive power with Mr. Anschutz.</w:t>
      </w:r>
    </w:p>
    <w:p>
      <w:pPr>
        <w:ind w:left="340" w:hanging="241"/>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Kurt C. Hall, our President, Chief Executive Officer and Chairman has expressed an interest in purchasing common stock in the offering totaling approximately $1,500,000.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60"/>
          </w:cols>
          <w:pgMar w:left="220" w:top="399" w:right="21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Authorized Capital</w:t>
      </w:r>
    </w:p>
    <w:p>
      <w:pPr>
        <w:spacing w:after="0" w:line="83" w:lineRule="exact"/>
        <w:rPr>
          <w:sz w:val="20"/>
          <w:szCs w:val="20"/>
          <w:color w:val="auto"/>
        </w:rPr>
      </w:pPr>
    </w:p>
    <w:p>
      <w:pPr>
        <w:ind w:right="460" w:firstLine="458"/>
        <w:spacing w:after="0" w:line="275" w:lineRule="auto"/>
        <w:rPr>
          <w:sz w:val="20"/>
          <w:szCs w:val="20"/>
          <w:color w:val="auto"/>
        </w:rPr>
      </w:pPr>
      <w:r>
        <w:rPr>
          <w:rFonts w:ascii="Arial" w:cs="Arial" w:eastAsia="Arial" w:hAnsi="Arial"/>
          <w:sz w:val="14"/>
          <w:szCs w:val="14"/>
          <w:color w:val="auto"/>
        </w:rPr>
        <w:t>The following description of material terms of our capital stock and certain provisions of our certificate of incorporation and bylaws, each of which will be in effect on the closing of this offering, are summaries and are qualified by reference to the certificate of incorporation and the bylaws, copies of which have been filed as exhibits to the registration statement, of which this prospectus forms a part.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authorized capital stock consists of:</w:t>
      </w:r>
    </w:p>
    <w:p>
      <w:pPr>
        <w:spacing w:after="0" w:line="79" w:lineRule="exact"/>
        <w:rPr>
          <w:sz w:val="20"/>
          <w:szCs w:val="20"/>
          <w:color w:val="auto"/>
        </w:rPr>
      </w:pPr>
    </w:p>
    <w:p>
      <w:pPr>
        <w:ind w:left="780" w:hanging="240"/>
        <w:spacing w:after="0"/>
        <w:tabs>
          <w:tab w:leader="none" w:pos="7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120,000,000 shares of common stock, par value $.01 per share;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10,000,000 shares of preferred stock, par value $.01 per share.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Upon the completion of this offering, there will be 38,000,000 shares of common stock issued and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Each holder of common stock will be entitled to one vote per share.</w:t>
      </w:r>
    </w:p>
    <w:p>
      <w:pPr>
        <w:spacing w:after="0" w:line="145"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Our directors will be elected by all of our common stockholders voting together as a single class. The director designation agreement among the founding members will provide that each founding member will have the right to designate a total of two nominees to our ten-member board of directors who will be voted upon by our stockholders. Holders of shares of common stock will not be entitled to cumulate their votes in the election of directors.</w:t>
      </w:r>
    </w:p>
    <w:p>
      <w:pPr>
        <w:spacing w:after="0" w:line="102"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Generally, all matters to be voted on by stockholders must be approved by a majority (or, in the case of election of directors, by a plurality) of our outstanding voting power. Except as otherwise required by the DGCL, our certificate of incorporation or the voting rights granted to any preferred stock we subsequently issue, the holders of outstanding shares of common stock and preferred stock entitled to vote thereon, if any, will vote as one class with respect to all matters to be voted on by our stockholders. Except as otherwise provided by law, and subject to any voting rights granted to any preferred stock we subsequently issue, amendments to our certificate of incorporation must be approved by a holders of at least a majority of the combined voting power of the outstanding common stock. Under the DGCL, amendments to our certificate of incorporation that would alter or change the powers, preferences or special rights of the common stock so as to affect them adversely also must be approved by a majority of the votes entitled to be cast by the holders of the shares affected by the amendment, voting as a separate class.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83"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Holders of common stock will share ratably (based on the number of shares of common stock held) in any dividend declared by our board of directors, subject to any preferential rights of any outstanding preferred stock.</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Rights</w:t>
      </w:r>
    </w:p>
    <w:p>
      <w:pPr>
        <w:spacing w:after="0" w:line="8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Upon our liquidation, dissolution or winding up, after payment in full of the amounts required to be paid to holders of preferred stock, if any, all holders of common stock, regardless of class, will be entitled to share ratably in any assets available for distribution to holders of shares of common stock. No shares of any class of common stock are subject to redemption or have preemptive rights to purchase additional shares of common stock.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460"/>
          </w:cols>
          <w:pgMar w:left="220" w:top="399" w:right="21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83"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Upon completion of this offering, our board of directors will be authorized, without further stockholder approval, to issue from time to time up to an aggregate of 10 million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designations of such series. Upon the closing of this offering, there will be no shares of preferred stock outstanding. We have no present plans to issue any shares of preferred stock. See “— Anti-Takeover Effects of Certain Provisions of Delaware Law, the Certificate of Incorporation and the Bylaws.”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Other Equity Awards</w:t>
      </w:r>
    </w:p>
    <w:p>
      <w:pPr>
        <w:spacing w:after="0" w:line="83" w:lineRule="exact"/>
        <w:rPr>
          <w:sz w:val="20"/>
          <w:szCs w:val="20"/>
          <w:color w:val="auto"/>
        </w:rPr>
      </w:pPr>
    </w:p>
    <w:p>
      <w:pPr>
        <w:ind w:firstLine="458"/>
        <w:spacing w:after="0" w:line="282" w:lineRule="auto"/>
        <w:rPr>
          <w:sz w:val="20"/>
          <w:szCs w:val="20"/>
          <w:color w:val="auto"/>
        </w:rPr>
      </w:pPr>
      <w:r>
        <w:rPr>
          <w:rFonts w:ascii="Arial" w:cs="Arial" w:eastAsia="Arial" w:hAnsi="Arial"/>
          <w:sz w:val="13"/>
          <w:szCs w:val="13"/>
          <w:color w:val="auto"/>
        </w:rPr>
        <w:t>In connection with the completion of this offering, options previously granted by NCM LLC to its employees under the NCM LLC Unit Option Plan that remain outstanding as of the date of the completion of the offering will be substituted with options granted under our equity incentive plan. In addition, the NCM LLC plan provides that under certain conditions, option holders will receive an additional equity award of options or restricted units at the time of an initial public offering, which we refer to as the “IPO awards.” We intend to enter into option substitution agreements with holders of outstanding options of NCM LLC to cancel each NCM LLC option and substitute the option with an option to purchase common stock of NCM Inc. We expect to issue options to purchase approximately 1,572,960 shares under our equity incentive plan in substitution for NCM LLC options and 352,661 shares of restricted stock in substitution for IPO awards in the form of</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restricted units previously granted under the NCM LLC Unit Option Plan to employees of NCM LLC. In addition, we plan to grant options to acquire 218,000 shares of our common stock to our employees, and 6,316 shares of restricted stock to our non-employee directors, upon the completion of this offering. Upon completion of this offering, options to purchase a total of 1,790,960 shares of common stock and 358,977 shares of restricted stock will be outstanding. See “Management—Equity Incentive Plan” and “Shares Eligible for Future Sale.”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Effects of Certain Provisions of Delaware Law, the Certificate of Incorporation and the Bylaws</w:t>
      </w:r>
    </w:p>
    <w:p>
      <w:pPr>
        <w:spacing w:after="0" w:line="8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We have elected in our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w:t>
      </w:r>
    </w:p>
    <w:p>
      <w:pPr>
        <w:spacing w:after="0" w:line="106" w:lineRule="exact"/>
        <w:rPr>
          <w:sz w:val="20"/>
          <w:szCs w:val="20"/>
          <w:color w:val="auto"/>
        </w:rPr>
      </w:pPr>
    </w:p>
    <w:p>
      <w:pPr>
        <w:ind w:right="40" w:firstLine="458"/>
        <w:spacing w:after="0" w:line="322" w:lineRule="auto"/>
        <w:rPr>
          <w:sz w:val="20"/>
          <w:szCs w:val="20"/>
          <w:color w:val="auto"/>
        </w:rPr>
      </w:pPr>
      <w:r>
        <w:rPr>
          <w:rFonts w:ascii="Arial" w:cs="Arial" w:eastAsia="Arial" w:hAnsi="Arial"/>
          <w:sz w:val="12"/>
          <w:szCs w:val="12"/>
          <w:color w:val="auto"/>
        </w:rPr>
        <w:t>Certain other provisions of the certificate of incorporation and bylaws may be considered to have an anti-takeover effect and may delay or prevent a tender offer or other corporate transaction that a stockholder might consider to be in its best interest, including those transactions that might result in payment of a premium over the market price for our shares. These provisions are designed to discourage certain types of transactions that may involve an actual or threatened change of control of us without prior approval of our board of directors. These provisions are meant to encourage persons interested in acquiring control of us to first consult with our board of directors to negotiate terms of a potential business combination or offer. We believe that these provisions protect against an unsolicited proposal for a takeover of us that might affect the long term value of our stock or that may be otherwise unfair to our stockholders. For example, our certificate of incorporation and bylaws:</w:t>
      </w:r>
    </w:p>
    <w:p>
      <w:pPr>
        <w:spacing w:after="0" w:line="14" w:lineRule="exact"/>
        <w:rPr>
          <w:sz w:val="20"/>
          <w:szCs w:val="20"/>
          <w:color w:val="auto"/>
        </w:rPr>
      </w:pPr>
    </w:p>
    <w:p>
      <w:pPr>
        <w:ind w:left="780" w:hanging="240"/>
        <w:spacing w:after="0"/>
        <w:tabs>
          <w:tab w:leader="none" w:pos="7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establish supermajority approval requirements by our directors before our board may take certain actions;</w:t>
      </w:r>
    </w:p>
    <w:p>
      <w:pPr>
        <w:spacing w:after="0" w:line="79"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could be issued by our board of directors to increase the number of outstanding shares, making a takeover more difficult and expensive;</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establish a classified board of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460"/>
          </w:cols>
          <w:pgMar w:left="220" w:top="398" w:right="21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allow removal of directors only for cause;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prohibit stockholder action by written consent;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do not permit cumulative voting in the election of directors, which would otherwise allow less than a majority of stockholders to elect director candidates; and</w:t>
      </w:r>
    </w:p>
    <w:p>
      <w:pPr>
        <w:spacing w:after="0" w:line="79" w:lineRule="exact"/>
        <w:rPr>
          <w:rFonts w:ascii="Arial" w:cs="Arial" w:eastAsia="Arial" w:hAnsi="Arial"/>
          <w:sz w:val="14"/>
          <w:szCs w:val="14"/>
          <w:color w:val="auto"/>
        </w:rPr>
      </w:pPr>
    </w:p>
    <w:p>
      <w:pPr>
        <w:ind w:left="780" w:right="420" w:hanging="240"/>
        <w:spacing w:after="0" w:line="289" w:lineRule="auto"/>
        <w:tabs>
          <w:tab w:leader="none" w:pos="7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provide that the founding members will be able to exercise a greater degree of influence over the operations of NCM LLC, which may discourage other nominations to our board of directors, if any director nominee designated by the founding member is not elected by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Classified Board of Directors</w:t>
      </w:r>
    </w:p>
    <w:p>
      <w:pPr>
        <w:spacing w:after="0" w:line="83"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Our board of directors will be divided into three classes of directors serving staggered three-year terms, designated as Class I, Class II and Class III. The members of each class shall serve for a staggered three-year term, except that Class I directors in the initial term immediately following the offering will serve for one year and the Class II directors in the initial term immediately following the offering will serve for two years. Each director will be elected to serve until the election of the director’s successor at an annual meeting of stockholders for the election of directors for the year in which the director’s term expires or at a special meeting called for that purpose. As a result, approximately one third of our board of directors will be elected each year. Our board of directors will initially consist of ten directors and are to be elected by the holders of a plurality of the voting power of our outstanding common stock, voting together as a single class. Directors may be removed only for cause.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Approval Rights for Certain Matters</w:t>
      </w:r>
    </w:p>
    <w:p>
      <w:pPr>
        <w:spacing w:after="0" w:line="83" w:lineRule="exact"/>
        <w:rPr>
          <w:sz w:val="20"/>
          <w:szCs w:val="20"/>
          <w:color w:val="auto"/>
        </w:rPr>
      </w:pPr>
    </w:p>
    <w:p>
      <w:pPr>
        <w:jc w:val="both"/>
        <w:ind w:right="20" w:firstLine="458"/>
        <w:spacing w:after="0" w:line="275" w:lineRule="auto"/>
        <w:rPr>
          <w:sz w:val="20"/>
          <w:szCs w:val="20"/>
          <w:color w:val="auto"/>
        </w:rPr>
      </w:pPr>
      <w:r>
        <w:rPr>
          <w:rFonts w:ascii="Arial" w:cs="Arial" w:eastAsia="Arial" w:hAnsi="Arial"/>
          <w:sz w:val="14"/>
          <w:szCs w:val="14"/>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(i) NCM Inc. may take any of the following actions or (ii) NCM Inc., in its capacity as sole manager of NCM LLC, may authorize NCM LLC to take any of the following actions:</w:t>
      </w:r>
    </w:p>
    <w:p>
      <w:pPr>
        <w:spacing w:after="0" w:line="37" w:lineRule="exact"/>
        <w:rPr>
          <w:sz w:val="20"/>
          <w:szCs w:val="20"/>
          <w:color w:val="auto"/>
        </w:rPr>
      </w:pPr>
    </w:p>
    <w:p>
      <w:pPr>
        <w:ind w:left="780" w:hanging="240"/>
        <w:spacing w:after="0"/>
        <w:tabs>
          <w:tab w:leader="none" w:pos="7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assign, transfer, sell or pledge all or a portion of the membership units of NCM LLC beneficially owned by NCM Inc.;</w:t>
      </w:r>
    </w:p>
    <w:p>
      <w:pPr>
        <w:spacing w:after="0" w:line="79" w:lineRule="exact"/>
        <w:rPr>
          <w:rFonts w:ascii="Arial" w:cs="Arial" w:eastAsia="Arial" w:hAnsi="Arial"/>
          <w:sz w:val="14"/>
          <w:szCs w:val="14"/>
          <w:color w:val="auto"/>
        </w:rPr>
      </w:pPr>
    </w:p>
    <w:p>
      <w:pPr>
        <w:ind w:left="780" w:right="20" w:hanging="240"/>
        <w:spacing w:after="0" w:line="275" w:lineRule="auto"/>
        <w:tabs>
          <w:tab w:leader="none" w:pos="7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acquire, dispose, lease or license assets by NCM Inc. or NCM LLC or enter into a contract to do the foregoing, in a single transaction or in two or more transactions (related or unrelated) in any consecutive twelve-month period with an aggregate value (as determined in good faith by the board) exceeding 20% of the fair market value of the business of NCM LLC operating as a going concern (as determined in good faith by the board);</w:t>
      </w:r>
    </w:p>
    <w:p>
      <w:pPr>
        <w:spacing w:after="0" w:line="36" w:lineRule="exact"/>
        <w:rPr>
          <w:rFonts w:ascii="Arial" w:cs="Arial" w:eastAsia="Arial" w:hAnsi="Arial"/>
          <w:sz w:val="14"/>
          <w:szCs w:val="14"/>
          <w:color w:val="auto"/>
        </w:rPr>
      </w:pPr>
    </w:p>
    <w:p>
      <w:pPr>
        <w:ind w:left="780" w:hanging="240"/>
        <w:spacing w:after="0"/>
        <w:tabs>
          <w:tab w:leader="none" w:pos="7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merge, reorganize, recapitalize, reclassify, consolidate, dissolve, liquidate or enter into a similar transaction;</w:t>
      </w:r>
    </w:p>
    <w:p>
      <w:pPr>
        <w:spacing w:after="0" w:line="79" w:lineRule="exact"/>
        <w:rPr>
          <w:rFonts w:ascii="Arial" w:cs="Arial" w:eastAsia="Arial" w:hAnsi="Arial"/>
          <w:sz w:val="14"/>
          <w:szCs w:val="14"/>
          <w:color w:val="auto"/>
        </w:rPr>
      </w:pPr>
    </w:p>
    <w:p>
      <w:pPr>
        <w:ind w:left="780" w:right="120" w:hanging="240"/>
        <w:spacing w:after="0" w:line="330" w:lineRule="auto"/>
        <w:tabs>
          <w:tab w:leader="none" w:pos="7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incur any funded indebtedness (including the refinancing of any funded indebtedness) or repay before due any funded indebtedness (other than a working capital revolving line of credit) with a fixed term in either case, in a single transaction or in two or more transactions (related or unrelated) in an aggregate amount in excess of $15.0 million per year;</w:t>
      </w:r>
    </w:p>
    <w:p>
      <w:pPr>
        <w:spacing w:after="0" w:line="4" w:lineRule="exact"/>
        <w:rPr>
          <w:rFonts w:ascii="Arial" w:cs="Arial" w:eastAsia="Arial" w:hAnsi="Arial"/>
          <w:sz w:val="13"/>
          <w:szCs w:val="13"/>
          <w:color w:val="auto"/>
        </w:rPr>
      </w:pPr>
    </w:p>
    <w:p>
      <w:pPr>
        <w:ind w:left="780" w:right="400" w:hanging="240"/>
        <w:spacing w:after="0" w:line="289" w:lineRule="auto"/>
        <w:tabs>
          <w:tab w:leader="none" w:pos="7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issue, grant or sell shares of common stock or rights with respect to common stock, except in connection with NCM Inc.’s equity incentive compensation plans or any conversion or exchange of NCM LLC membership units in accordance with the NCM LLC operating agreement;</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issue, grant or sell any NCM Inc. preferred stock or rights with respect to preferred stock;</w:t>
      </w:r>
    </w:p>
    <w:p>
      <w:pPr>
        <w:spacing w:after="0" w:line="79" w:lineRule="exact"/>
        <w:rPr>
          <w:rFonts w:ascii="Arial" w:cs="Arial" w:eastAsia="Arial" w:hAnsi="Arial"/>
          <w:sz w:val="14"/>
          <w:szCs w:val="14"/>
          <w:color w:val="auto"/>
        </w:rPr>
      </w:pPr>
    </w:p>
    <w:p>
      <w:pPr>
        <w:ind w:left="780" w:right="60" w:hanging="240"/>
        <w:spacing w:after="0" w:line="289" w:lineRule="auto"/>
        <w:tabs>
          <w:tab w:leader="none" w:pos="7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authorize, issue, grant or sell additional NCM LLC membership units or rights with respect to membership units (except as otherwise permitted in the common unit adjustment agreement or NCM Inc.’s equity incentive compensation plans);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40"/>
          </w:cols>
          <w:pgMar w:left="220" w:top="399" w:right="23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amend, modify, restate or repeal any provision of NCM Inc.’s certificate of incorporation or bylaws or the NCM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enter into, modify or terminate certain contracts not in the ordinary course of business of the type specified in Item 601(b)(10)(i) of Regulation S-K;</w:t>
      </w:r>
    </w:p>
    <w:p>
      <w:pPr>
        <w:spacing w:after="0" w:line="19" w:lineRule="exact"/>
        <w:rPr>
          <w:rFonts w:ascii="Arial" w:cs="Arial" w:eastAsia="Arial" w:hAnsi="Arial"/>
          <w:sz w:val="14"/>
          <w:szCs w:val="14"/>
          <w:color w:val="auto"/>
        </w:rPr>
      </w:pPr>
    </w:p>
    <w:p>
      <w:pPr>
        <w:ind w:left="780" w:right="320" w:hanging="240"/>
        <w:spacing w:after="0" w:line="281" w:lineRule="auto"/>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except as specifically set forth in the NCM LLC operating agreement, declare, set aside or pay any redemption of, or dividends with respect to, membership interests, payable in cash, property or otherwise;</w:t>
      </w:r>
    </w:p>
    <w:p>
      <w:pPr>
        <w:spacing w:after="0" w:line="32" w:lineRule="exact"/>
        <w:rPr>
          <w:rFonts w:ascii="Arial" w:cs="Arial" w:eastAsia="Arial" w:hAnsi="Arial"/>
          <w:sz w:val="14"/>
          <w:szCs w:val="14"/>
          <w:color w:val="auto"/>
        </w:rPr>
      </w:pPr>
    </w:p>
    <w:p>
      <w:pPr>
        <w:ind w:left="780" w:hanging="240"/>
        <w:spacing w:after="0"/>
        <w:tabs>
          <w:tab w:leader="none" w:pos="7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amend any material terms or provisions (as defined in the Nasdaq rules) of NCM Inc.’s equity incentive plan or enter into or consummate any new equity incentive compensation plan;</w:t>
      </w:r>
    </w:p>
    <w:p>
      <w:pPr>
        <w:spacing w:after="0" w:line="90" w:lineRule="exact"/>
        <w:rPr>
          <w:rFonts w:ascii="Arial" w:cs="Arial" w:eastAsia="Arial" w:hAnsi="Arial"/>
          <w:sz w:val="13"/>
          <w:szCs w:val="13"/>
          <w:color w:val="auto"/>
        </w:rPr>
      </w:pPr>
    </w:p>
    <w:p>
      <w:pPr>
        <w:ind w:left="780" w:right="300" w:hanging="240"/>
        <w:spacing w:after="0" w:line="289" w:lineRule="auto"/>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approve any actions relating to NCM LLC that could reasonably be expected to have a material adverse tax effect on the founding members.</w:t>
      </w:r>
    </w:p>
    <w:p>
      <w:pPr>
        <w:spacing w:after="0" w:line="145"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For purposes of calculating the 5% ownership thresholds for the supermajority director approval rights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Approval Right of Directors</w:t>
      </w:r>
    </w:p>
    <w:p>
      <w:pPr>
        <w:spacing w:after="0" w:line="83"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In addition to approval by the audit committee which is required by Nasdaq rules, (i) any modification or amendment of an exhibitor services agreement which could reasonably be expected (in the good faith determination of the board) to result in payments to or from NCM LLC in excess of $50,000, or (ii) entry into or amendment of any contract or transaction which could reasonably be expected (in the good faith determination of the board) to result in payments in excess of $50,000 between NCM LLC or NCM Inc., on the one hand, and a founding member or such founding member’s affiliate, on the other hand, requires the approval of a majority of the directors then in office and a majority of the independent directors then in office.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Meeting of Stockholders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Special meetings of our stockholders may be called only by a majority of our directors.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Actions by Written Consent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Stockholder action can be taken only at an annual or special meeting of stockholders, and cannot be taken by written consent in lieu of a meeting.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460"/>
          </w:cols>
          <w:pgMar w:left="220" w:top="399" w:right="21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Advance Notice Requirements for Stockholder Proposals and Director Nominations</w:t>
      </w:r>
    </w:p>
    <w:p>
      <w:pPr>
        <w:spacing w:after="0" w:line="83"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Our bylaws provide that stockholders seeking to bring business before an annual meeting of stockholders, or to nominate candidates for election as directors at an annual meeting of stockholders, must provide timely notice thereof in writing. To be timely, a stockholder’s notice generally must be delivered to and received at our principal executive offices, not less than 90 days nor more than 120 days prior to the first anniversary of the preceding year’s annual meeting; provided, that in the event that the date of such meeting is advanced more than 30 days prior to, or delayed by more than 70 days after, the anniversary of the preceding year’s annual meeting of our stockholders, a stockholder’s notice to be timely must be so delivered not earlier than the close of business on the 120th day prior to such meeting and not later than the close of business on the later of the 90th day prior to such meeting or the 10th day following the day on which public announcement of the date of such meeting is first made. Our bylaws also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Authorized But Unissued Shares</w:t>
      </w:r>
    </w:p>
    <w:p>
      <w:pPr>
        <w:spacing w:after="0" w:line="83" w:lineRule="exact"/>
        <w:rPr>
          <w:sz w:val="20"/>
          <w:szCs w:val="20"/>
          <w:color w:val="auto"/>
        </w:rPr>
      </w:pPr>
    </w:p>
    <w:p>
      <w:pPr>
        <w:ind w:firstLine="458"/>
        <w:spacing w:after="0" w:line="305" w:lineRule="auto"/>
        <w:rPr>
          <w:sz w:val="20"/>
          <w:szCs w:val="20"/>
          <w:color w:val="auto"/>
        </w:rPr>
      </w:pPr>
      <w:r>
        <w:rPr>
          <w:rFonts w:ascii="Arial" w:cs="Arial" w:eastAsia="Arial" w:hAnsi="Arial"/>
          <w:sz w:val="13"/>
          <w:szCs w:val="13"/>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 to Certificate of Incorporation or Bylaws</w:t>
      </w:r>
    </w:p>
    <w:p>
      <w:pPr>
        <w:spacing w:after="0" w:line="83" w:lineRule="exact"/>
        <w:rPr>
          <w:sz w:val="20"/>
          <w:szCs w:val="20"/>
          <w:color w:val="auto"/>
        </w:rPr>
      </w:pPr>
    </w:p>
    <w:p>
      <w:pPr>
        <w:ind w:right="100" w:firstLine="458"/>
        <w:spacing w:after="0" w:line="265" w:lineRule="auto"/>
        <w:rPr>
          <w:sz w:val="20"/>
          <w:szCs w:val="20"/>
          <w:color w:val="auto"/>
        </w:rPr>
      </w:pPr>
      <w:r>
        <w:rPr>
          <w:rFonts w:ascii="Arial" w:cs="Arial" w:eastAsia="Arial" w:hAnsi="Arial"/>
          <w:sz w:val="14"/>
          <w:szCs w:val="14"/>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The affirmative vote of the holders of at least 66-2/3% of our issued and outstanding common stock, voting as a single class, is required to amend or repeal our bylaws. The affirmative vote of the holders of at least a majority of our issued and outstanding common stock, in addition to the supermajority board approval described under “—Special Approval Rights for Certain Matters” above, is required to amend or repeal our certificate of incorporation. In addition, under the DGCL, an amendment to our certificate of incorporation that would alter or change the powers, preferences or special rights of the common stock so as to affect them adversely also must be approved by a majority of the votes entitled to be cast by the holders of the shares affected by the amendment, voting as a separate class. Subject to our bylaws, our board of directors may from time to time make, amend, supplement or repeal our bylaws by vote of a majority of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 LLC Common Membership Units</w:t>
      </w:r>
    </w:p>
    <w:p>
      <w:pPr>
        <w:spacing w:after="0" w:line="83" w:lineRule="exact"/>
        <w:rPr>
          <w:sz w:val="20"/>
          <w:szCs w:val="20"/>
          <w:color w:val="auto"/>
        </w:rPr>
      </w:pPr>
    </w:p>
    <w:p>
      <w:pPr>
        <w:ind w:right="140" w:firstLine="458"/>
        <w:spacing w:after="0" w:line="250" w:lineRule="auto"/>
        <w:rPr>
          <w:sz w:val="20"/>
          <w:szCs w:val="20"/>
          <w:color w:val="auto"/>
        </w:rPr>
      </w:pPr>
      <w:r>
        <w:rPr>
          <w:rFonts w:ascii="Arial" w:cs="Arial" w:eastAsia="Arial" w:hAnsi="Arial"/>
          <w:sz w:val="14"/>
          <w:szCs w:val="14"/>
          <w:color w:val="auto"/>
        </w:rPr>
        <w:t>Upon completion of this offering, there will be 93,850,951 common membership units issued and outstanding, 22,941,830 of which will be beneficially owned by Regal, 18,651,747 of which will be beneficially owned by AMC, 14,257,374 of which will be beneficially owned by Cinemark, and 38,000,000 of which will be beneficially owned by us.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The number of outstanding common membership units owned by us will at all times equal the number of shares of our outstanding common stock. With respect to this offering and any future offering of common stock, the net cash proceeds we receive, including with regard to the exercise of options issued under our equity incentive plan, will be concurrently transferred to NCM LLC in exchange for common membership units equal in number to the number of shares of common stock we issued. Pursuant to the terms of our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190119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74" w:lineRule="exact"/>
        <w:rPr>
          <w:sz w:val="20"/>
          <w:szCs w:val="20"/>
          <w:color w:val="auto"/>
        </w:rPr>
      </w:pPr>
    </w:p>
    <w:p>
      <w:pPr>
        <w:ind w:left="440" w:right="100" w:hanging="259"/>
        <w:spacing w:after="0"/>
        <w:tabs>
          <w:tab w:leader="none" w:pos="440"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440"/>
          </w:cols>
          <w:pgMar w:left="220" w:top="398" w:right="23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auto"/>
        </w:rPr>
        <w:t>incorporation and the third restated LLC agreement, if a member of NCM LLC, other than us, chooses to have common membership units redeemed, we may elect to issue cash or shares of our common stock on a one-for-one basis. See “Certain Relationships and Related Party Transactions—Transactions with Founding Members—LLC Operating Agreement” and “Corporate History and Reorganization.”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83"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In connection with the completion of this offering, we will enter into a registration rights agreement with the founding members. See “Certain Relationships and Related Party Transactions— Transactions with Founding Members—Registration Rights Agreement.”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83" w:lineRule="exact"/>
        <w:rPr>
          <w:sz w:val="20"/>
          <w:szCs w:val="20"/>
          <w:color w:val="auto"/>
        </w:rPr>
      </w:pPr>
    </w:p>
    <w:p>
      <w:pPr>
        <w:ind w:left="460"/>
        <w:spacing w:after="0"/>
        <w:tabs>
          <w:tab w:leader="none" w:pos="4960" w:val="left"/>
        </w:tabs>
        <w:rPr>
          <w:sz w:val="20"/>
          <w:szCs w:val="20"/>
          <w:color w:val="auto"/>
        </w:rPr>
      </w:pPr>
      <w:r>
        <w:rPr>
          <w:rFonts w:ascii="Arial" w:cs="Arial" w:eastAsia="Arial" w:hAnsi="Arial"/>
          <w:sz w:val="14"/>
          <w:szCs w:val="14"/>
          <w:color w:val="auto"/>
        </w:rPr>
        <w:t>The transfer agent and registrar for the common stock is expected to be</w:t>
      </w:r>
      <w:r>
        <w:rPr>
          <w:sz w:val="20"/>
          <w:szCs w:val="20"/>
          <w:color w:val="auto"/>
        </w:rPr>
        <w:tab/>
      </w:r>
      <w:r>
        <w:rPr>
          <w:rFonts w:ascii="Arial" w:cs="Arial" w:eastAsia="Arial" w:hAnsi="Arial"/>
          <w:sz w:val="13"/>
          <w:szCs w:val="13"/>
          <w:color w:val="auto"/>
        </w:rPr>
        <w:t>, 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83"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We have filed an application to list our common stock on the Nasdaq Global Select Market under the symbol “NCMI”. The NCM LLC common membership units will not be listed on any securities exchange.</w:t>
      </w:r>
    </w:p>
    <w:p>
      <w:pPr>
        <w:spacing w:after="0" w:line="8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220" w:top="399" w:right="39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SHARES ELIGIBLE FOR FUTURE SALE</w:t>
      </w:r>
    </w:p>
    <w:p>
      <w:pPr>
        <w:spacing w:after="0" w:line="14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Prior to this offering, there has been no public market for our common stock, and we cannot assure you that a significant public market for our common stock will develop or be sustained after this offering. Sales of significant amounts of our common stock in the public market after this offering, including shares of our common stock issued upon exercise of outstanding options or upon redemption of the NCM LLC common membership units in exchange for our common stock, or the perception that such sales could occur, could adversely affect the prevailing market price of our common stock and could impair our future ability to raise capital through the sale of our equity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of Restricted Shares and Lock-Up Agreements</w:t>
      </w:r>
    </w:p>
    <w:p>
      <w:pPr>
        <w:spacing w:after="0" w:line="83"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Upon completion of this offering, 38,000,000 shares of common stock and 93,850,951 NCM LLC common membership units will be outstanding. If the underwriters’ over-allotment option is exercised in full, there will be 42,000,000 shares of common stock, and 93,850,951 NCM LLC common membership units outstanding.</w:t>
      </w:r>
    </w:p>
    <w:p>
      <w:pPr>
        <w:spacing w:after="0" w:line="93"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Of the 38,000,000 shares of common stock to be outstanding upon completion of this offering, 37,921,053 shares of common stock offered pursuant to this offering, or 41,921,053 shares if the underwriters’ over-allotment option is exercised in full, will be freely tradable without restriction or further registration under federal securities laws except to the extent shares of common stock are purchased in this offering by our affiliates, as that term is defined in Rule 144 under the Securities Act.</w:t>
      </w:r>
    </w:p>
    <w:p>
      <w:pPr>
        <w:spacing w:after="0" w:line="102"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All of NCM LLC’s common membership units are “restricted securities” under the Securities Act. The 55,850,951 shares of common stock issuable on redemption of NCM LLC common membership units, are, or when issued on conversion or redemption will be, eligible for public sale if registered under the Securities Act or sold in accordance with Rule 144 of the Securities Act, subject to the contractual provisions of our agreements with our founding members. See “Certain Relationships and Related Party Transactions—Transactions with Founding Members—Registration Rights Agreement.”</w:t>
      </w:r>
    </w:p>
    <w:p>
      <w:pPr>
        <w:spacing w:after="0" w:line="106" w:lineRule="exact"/>
        <w:rPr>
          <w:sz w:val="20"/>
          <w:szCs w:val="20"/>
          <w:color w:val="auto"/>
        </w:rPr>
      </w:pPr>
    </w:p>
    <w:p>
      <w:pPr>
        <w:jc w:val="both"/>
        <w:ind w:right="140" w:firstLine="458"/>
        <w:spacing w:after="0" w:line="305" w:lineRule="auto"/>
        <w:rPr>
          <w:sz w:val="20"/>
          <w:szCs w:val="20"/>
          <w:color w:val="auto"/>
        </w:rPr>
      </w:pPr>
      <w:r>
        <w:rPr>
          <w:rFonts w:ascii="Arial" w:cs="Arial" w:eastAsia="Arial" w:hAnsi="Arial"/>
          <w:sz w:val="13"/>
          <w:szCs w:val="13"/>
          <w:color w:val="auto"/>
        </w:rPr>
        <w:t>We have agreed that we will not offer, sell, contract to sell, pledge or otherwise dispose of, directly or indirectly, or file with the Securities and Exchange Commission a registration statement under the Securities Act of 1933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180 days after the date of this prospectus.</w:t>
      </w:r>
    </w:p>
    <w:p>
      <w:pPr>
        <w:spacing w:after="0" w:line="86"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Our officers and directors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180 days after the date of this prospectus. The founding members have agreed to the same restrictions for a period of 180 days after the date of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83" w:lineRule="exact"/>
        <w:rPr>
          <w:sz w:val="20"/>
          <w:szCs w:val="20"/>
          <w:color w:val="auto"/>
        </w:rPr>
      </w:pPr>
    </w:p>
    <w:p>
      <w:pPr>
        <w:ind w:right="260" w:firstLine="458"/>
        <w:spacing w:after="0" w:line="361" w:lineRule="auto"/>
        <w:rPr>
          <w:sz w:val="20"/>
          <w:szCs w:val="20"/>
          <w:color w:val="auto"/>
        </w:rPr>
      </w:pPr>
      <w:r>
        <w:rPr>
          <w:rFonts w:ascii="Arial" w:cs="Arial" w:eastAsia="Arial" w:hAnsi="Arial"/>
          <w:sz w:val="12"/>
          <w:szCs w:val="12"/>
          <w:color w:val="auto"/>
        </w:rPr>
        <w:t>In general, Rule 144 allows a stockholder (or stockholders where shares are aggregated) who has beneficially owned shares of our common stock for at least one year (including the holding period of any prior owner other than an affiliate) and who files a Form 144 with the SEC to sell within any three-month period a number of those shares that does not exceed the greater of:</w:t>
      </w:r>
    </w:p>
    <w:p>
      <w:pPr>
        <w:ind w:left="5620" w:right="3000" w:hanging="5080"/>
        <w:spacing w:after="0" w:line="469" w:lineRule="auto"/>
        <w:tabs>
          <w:tab w:leader="none" w:pos="776" w:val="left"/>
        </w:tabs>
        <w:numPr>
          <w:ilvl w:val="0"/>
          <w:numId w:val="100"/>
        </w:numPr>
        <w:rPr>
          <w:rFonts w:ascii="Arial" w:cs="Arial" w:eastAsia="Arial" w:hAnsi="Arial"/>
          <w:sz w:val="14"/>
          <w:szCs w:val="14"/>
          <w:color w:val="auto"/>
        </w:rPr>
      </w:pPr>
      <w:r>
        <w:rPr>
          <w:rFonts w:ascii="Arial" w:cs="Arial" w:eastAsia="Arial" w:hAnsi="Arial"/>
          <w:sz w:val="14"/>
          <w:szCs w:val="14"/>
          <w:color w:val="auto"/>
        </w:rPr>
        <w:t>1% of the number of shares of our common stock then outstanding, which will equal 380,000 shares immediately after this offering; or 157</w:t>
      </w:r>
    </w:p>
    <w:p>
      <w:pPr>
        <w:sectPr>
          <w:pgSz w:w="11900" w:h="16838" w:orient="portrait"/>
          <w:cols w:equalWidth="0" w:num="1">
            <w:col w:w="11440"/>
          </w:cols>
          <w:pgMar w:left="220" w:top="399" w:right="23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the Form 144 with respect to such sale.</w:t>
      </w:r>
    </w:p>
    <w:p>
      <w:pPr>
        <w:spacing w:after="0" w:line="145"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Sales under Rule 144 are also subject to manner of sale provisions and notice requirements and to the availability of current public information about us. An “affiliate” is a person that directly, or indirectly, through one or more intermediate controls or is controlled by, or is under common control with us.</w:t>
      </w:r>
    </w:p>
    <w:p>
      <w:pPr>
        <w:spacing w:after="0" w:line="93"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55,850,951 shares will be eligible for sale under Rule 144 one year from the date of the issuance of our common stock upon redemption of the NCM LLC common membership units or, if earlier, after the exchange or the resale of such shares of common stock is registered under the Securities Act.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144(k)</w:t>
      </w:r>
    </w:p>
    <w:p>
      <w:pPr>
        <w:spacing w:after="0" w:line="83" w:lineRule="exact"/>
        <w:rPr>
          <w:sz w:val="20"/>
          <w:szCs w:val="20"/>
          <w:color w:val="auto"/>
        </w:rPr>
      </w:pPr>
    </w:p>
    <w:p>
      <w:pPr>
        <w:ind w:right="400" w:firstLine="458"/>
        <w:spacing w:after="0" w:line="275" w:lineRule="auto"/>
        <w:rPr>
          <w:sz w:val="20"/>
          <w:szCs w:val="20"/>
          <w:color w:val="auto"/>
        </w:rPr>
      </w:pPr>
      <w:r>
        <w:rPr>
          <w:rFonts w:ascii="Arial" w:cs="Arial" w:eastAsia="Arial" w:hAnsi="Arial"/>
          <w:sz w:val="14"/>
          <w:szCs w:val="14"/>
          <w:color w:val="auto"/>
        </w:rPr>
        <w:t>Under Rule 144(k), a person (or persons whose shares are aggregated) who is not deemed to have been an affiliate of ours at any time during the 90 days preceding a sale, and who has beneficially owned the shares proposed to be sold for at least two years, would be entitled to sell those shares without regard to the manner of sale, public information, volume limitation or notice requirements of Rule 144.</w:t>
      </w:r>
    </w:p>
    <w:p>
      <w:pPr>
        <w:spacing w:after="0" w:line="102" w:lineRule="exact"/>
        <w:rPr>
          <w:sz w:val="20"/>
          <w:szCs w:val="20"/>
          <w:color w:val="auto"/>
        </w:rPr>
      </w:pPr>
    </w:p>
    <w:p>
      <w:pPr>
        <w:ind w:right="300" w:firstLine="458"/>
        <w:spacing w:after="0" w:line="289" w:lineRule="auto"/>
        <w:rPr>
          <w:sz w:val="20"/>
          <w:szCs w:val="20"/>
          <w:color w:val="auto"/>
        </w:rPr>
      </w:pPr>
      <w:r>
        <w:rPr>
          <w:rFonts w:ascii="Arial" w:cs="Arial" w:eastAsia="Arial" w:hAnsi="Arial"/>
          <w:sz w:val="14"/>
          <w:szCs w:val="14"/>
          <w:color w:val="auto"/>
        </w:rPr>
        <w:t>To the extent that our affiliates sell their shares, other than pursuant to Rule 144 or a registration statement, the purchaser’s holding period for the purpose of effecting a sale under Rule 144 commences on the date of transfer from the affiliate.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83" w:lineRule="exact"/>
        <w:rPr>
          <w:sz w:val="20"/>
          <w:szCs w:val="20"/>
          <w:color w:val="auto"/>
        </w:rPr>
      </w:pPr>
    </w:p>
    <w:p>
      <w:pPr>
        <w:ind w:left="460"/>
        <w:spacing w:after="0"/>
        <w:tabs>
          <w:tab w:leader="none" w:pos="6520" w:val="left"/>
        </w:tabs>
        <w:rPr>
          <w:sz w:val="20"/>
          <w:szCs w:val="20"/>
          <w:color w:val="auto"/>
        </w:rPr>
      </w:pPr>
      <w:r>
        <w:rPr>
          <w:rFonts w:ascii="Arial" w:cs="Arial" w:eastAsia="Arial" w:hAnsi="Arial"/>
          <w:sz w:val="14"/>
          <w:szCs w:val="14"/>
          <w:color w:val="auto"/>
        </w:rPr>
        <w:t>Upon completion of this offering, the founding members will hold in the aggregate approximately</w:t>
      </w:r>
      <w:r>
        <w:rPr>
          <w:sz w:val="20"/>
          <w:szCs w:val="20"/>
          <w:color w:val="auto"/>
        </w:rPr>
        <w:tab/>
      </w:r>
      <w:r>
        <w:rPr>
          <w:rFonts w:ascii="Arial" w:cs="Arial" w:eastAsia="Arial" w:hAnsi="Arial"/>
          <w:sz w:val="13"/>
          <w:szCs w:val="13"/>
          <w:color w:val="auto"/>
        </w:rPr>
        <w:t>NCM LLC common membership units. As described above in “Certain Relationships</w:t>
      </w:r>
    </w:p>
    <w:p>
      <w:pPr>
        <w:spacing w:after="0" w:line="20"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and Related Party Transactions—Transactions with Founding Members—NCM LLC Operating Agreement—Common Unit Redemption Right,” the founding members will have the right to redeem these common membership units in exchange for, at our option, our common stock on a one-for-one basis or a cash payment equal to the market price of one share of our common stock. Following such redemption, pursuant to the registration rights agreement described above in “Certain Relationships and Related Party Transactions—Transactions with Founding Members—Registration Rights Agreement,” the founding members will have the right, subject to various conditions and limitations, to demand the filing of, and include such shares of our common stock in, registration statements relating to our common stock, subject to the 180-day lock-up arrangement described above. These registration rights of our stockholders could impair the prevailing market price and impair our ability to raise capital by depressing the price at which we could sell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Restricted Stock</w:t>
      </w:r>
    </w:p>
    <w:p>
      <w:pPr>
        <w:spacing w:after="0" w:line="83"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In addition to the 38,000,000 shares of common stock outstanding immediately after this offering, there will be outstanding options to purchase 1,790,960 shares of our common stock and 358,977 outstanding shares of restricted common stock. We will substitute 352,661 shares of restricted stock for restricted units that will be granted to NCM LLC option holders as “IPO awards” and 1,572,960 options to acquire our common stock for options that were granted by NCM LLC throughout 2006 in connection with the completion of this offering. We also plan to grant options to acquire 218,000 shares of our common stock to our employees, and 6,316 shares of restricted stock to our non-employee directors, upon the completion of this offering. None of the options will be exercisable and none of the restricted stock will be vested at the completion of this offering.</w:t>
      </w:r>
    </w:p>
    <w:p>
      <w:pPr>
        <w:spacing w:after="0" w:line="110" w:lineRule="exact"/>
        <w:rPr>
          <w:sz w:val="20"/>
          <w:szCs w:val="20"/>
          <w:color w:val="auto"/>
        </w:rPr>
      </w:pPr>
    </w:p>
    <w:p>
      <w:pPr>
        <w:ind w:right="240" w:firstLine="458"/>
        <w:spacing w:after="0" w:line="275" w:lineRule="auto"/>
        <w:rPr>
          <w:sz w:val="20"/>
          <w:szCs w:val="20"/>
          <w:color w:val="auto"/>
        </w:rPr>
      </w:pPr>
      <w:r>
        <w:rPr>
          <w:rFonts w:ascii="Arial" w:cs="Arial" w:eastAsia="Arial" w:hAnsi="Arial"/>
          <w:sz w:val="14"/>
          <w:szCs w:val="14"/>
          <w:color w:val="auto"/>
        </w:rPr>
        <w:t>As soon as practicable after the completion of this offering, we intend to file a registration statement on Form S-8 under the Securities Act covering shares of our common stock reserved for issuance under our equity incentive plan. Accordingly, shares of our common stock registered under such registration statement will be available for sale in the open market upon exercise by the holders, subject to vesting restrictions, Rule 144 limitations applicable to our affiliates and the contractual lock-up provisions described above.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460"/>
          </w:cols>
          <w:pgMar w:left="220" w:top="399" w:right="21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49"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The following discussion is a summary of the material U.S. federal income tax considerations generally applicable to beneficial owners of our common stock (“Holders”) that acquire shares of our common stock pursuant to this offering and that hold such shares as capital assets (generally, for investment). This summary is based upon the Internal Revenue Code of 1986, as amended (the “Code”), existing and proposed Treasury regulations, Internal Revenue Service (“IRS”) rulings and pronouncements and judicial decisions now in effect, all of which are subject to change, possibly on a retroactive basis, or differing interpretations. This summary does not consider specific facts and circumstances that may be relevant to a particular Holder’s tax position and does not consider any tax laws other than U.S. federal income tax laws (for example, this summary does not consider any state, local, estate or gift, or non-U.S. tax consequences of an investment in our common stock). It also does not apply to Holders subject to special tax treatment under the U.S. federal income tax laws (including partnerships or other pass-through entities, banks, insurance companies, dealers in securities, persons who hold common stock as part of a “straddle,” “hedge,” “conversion transaction” or other risk-reduction or integrated transaction, controlled foreign corporations, passive foreign investment companies, foreign personal holding companies, companies that accumulate earnings to avoid U.S. federal income tax, U.S. Holders (as defined below) who do not have the U.S. dollar as their functional currency, tax-exempt organizations, former U.S. citizens or residents and persons who hold or receive common stock as compensation).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purposes of this summary, the term “U.S. Holder” means a Holder of shares of our common stock that, for U.S. federal income tax purposes, is:</w:t>
      </w:r>
    </w:p>
    <w:p>
      <w:pPr>
        <w:spacing w:after="0" w:line="79" w:lineRule="exact"/>
        <w:rPr>
          <w:sz w:val="20"/>
          <w:szCs w:val="20"/>
          <w:color w:val="auto"/>
        </w:rPr>
      </w:pPr>
    </w:p>
    <w:p>
      <w:pPr>
        <w:ind w:left="900" w:hanging="240"/>
        <w:spacing w:after="0"/>
        <w:tabs>
          <w:tab w:leader="none" w:pos="9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79" w:lineRule="exact"/>
        <w:rPr>
          <w:rFonts w:ascii="Arial" w:cs="Arial" w:eastAsia="Arial" w:hAnsi="Arial"/>
          <w:sz w:val="14"/>
          <w:szCs w:val="14"/>
          <w:color w:val="auto"/>
        </w:rPr>
      </w:pPr>
    </w:p>
    <w:p>
      <w:pPr>
        <w:ind w:left="900" w:hanging="279"/>
        <w:spacing w:after="0"/>
        <w:tabs>
          <w:tab w:leader="none" w:pos="9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corporation or other entity taxable as a corporation created in or organized under the laws of the United States, any state thereof or the District of Columbia;</w:t>
      </w:r>
    </w:p>
    <w:p>
      <w:pPr>
        <w:spacing w:after="0" w:line="79" w:lineRule="exact"/>
        <w:rPr>
          <w:rFonts w:ascii="Arial" w:cs="Arial" w:eastAsia="Arial" w:hAnsi="Arial"/>
          <w:sz w:val="14"/>
          <w:szCs w:val="14"/>
          <w:color w:val="auto"/>
        </w:rPr>
      </w:pPr>
    </w:p>
    <w:p>
      <w:pPr>
        <w:ind w:left="900" w:hanging="319"/>
        <w:spacing w:after="0"/>
        <w:tabs>
          <w:tab w:leader="none" w:pos="9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79" w:lineRule="exact"/>
        <w:rPr>
          <w:rFonts w:ascii="Arial" w:cs="Arial" w:eastAsia="Arial" w:hAnsi="Arial"/>
          <w:sz w:val="14"/>
          <w:szCs w:val="14"/>
          <w:color w:val="auto"/>
        </w:rPr>
      </w:pPr>
    </w:p>
    <w:p>
      <w:pPr>
        <w:ind w:left="900" w:right="100" w:hanging="311"/>
        <w:spacing w:after="0" w:line="275" w:lineRule="auto"/>
        <w:tabs>
          <w:tab w:leader="none" w:pos="9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trust (x) if a court within the United States is able to exercise primary supervision over the administration of such trust and one or more “U.S. persons,” as defined in section 7701(a) (30) of the Code, have the authority to control all substantial decisions of such trust or (y) that has a valid election in effect under applicable U.S. Treasury regulations to be treated as a U.S. person.</w:t>
      </w:r>
    </w:p>
    <w:p>
      <w:pPr>
        <w:spacing w:after="0" w:line="102"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The term “Non-U.S. Holder” means any Holder of shares of our common stock that is neither a U.S. Holder nor a partnership (including an entity that is treated as a partnership for U.S. federal income tax purposes).</w:t>
      </w:r>
    </w:p>
    <w:p>
      <w:pPr>
        <w:spacing w:after="0" w:line="9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If a partnership holds shares of our common stock, the U.S. federal income tax treatment of a partner in the partnership generally will depend upon the status of the partner and the activities of the partnership. Partners of partnerships that hold shares of our common stock should consult their tax advisors.</w:t>
      </w:r>
    </w:p>
    <w:p>
      <w:pPr>
        <w:spacing w:after="0" w:line="89" w:lineRule="exact"/>
        <w:rPr>
          <w:sz w:val="20"/>
          <w:szCs w:val="20"/>
          <w:color w:val="auto"/>
        </w:rPr>
      </w:pPr>
    </w:p>
    <w:p>
      <w:pPr>
        <w:ind w:right="40" w:firstLine="458"/>
        <w:spacing w:after="0" w:line="295" w:lineRule="auto"/>
        <w:rPr>
          <w:sz w:val="20"/>
          <w:szCs w:val="20"/>
          <w:color w:val="auto"/>
        </w:rPr>
      </w:pPr>
      <w:r>
        <w:rPr>
          <w:rFonts w:ascii="Arial" w:cs="Arial" w:eastAsia="Arial" w:hAnsi="Arial"/>
          <w:sz w:val="14"/>
          <w:szCs w:val="14"/>
          <w:b w:val="1"/>
          <w:bCs w:val="1"/>
          <w:color w:val="auto"/>
        </w:rPr>
        <w:t>This summary is included herein as general information only. Accordingly, each prospective Holder is urged to consult its tax advisor with respect to the U.S. federal, state, local and non-U.S. income and other tax consequences of holding and disposing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Holders</w:t>
      </w:r>
    </w:p>
    <w:p>
      <w:pPr>
        <w:spacing w:after="0" w:line="83" w:lineRule="exact"/>
        <w:rPr>
          <w:sz w:val="20"/>
          <w:szCs w:val="20"/>
          <w:color w:val="auto"/>
        </w:rPr>
      </w:pPr>
    </w:p>
    <w:p>
      <w:pPr>
        <w:ind w:right="280" w:firstLine="458"/>
        <w:spacing w:after="0" w:line="289" w:lineRule="auto"/>
        <w:rPr>
          <w:sz w:val="20"/>
          <w:szCs w:val="20"/>
          <w:color w:val="auto"/>
        </w:rPr>
      </w:pPr>
      <w:r>
        <w:rPr>
          <w:rFonts w:ascii="Arial" w:cs="Arial" w:eastAsia="Arial" w:hAnsi="Arial"/>
          <w:sz w:val="14"/>
          <w:szCs w:val="14"/>
          <w:color w:val="auto"/>
        </w:rPr>
        <w:t>The following discussion summarizes the material U.S. federal income tax consequences of the ownership and disposition of our common stock applicable to “U.S. Holders,” subject to the limitations described above.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Distributions</w:t>
      </w:r>
    </w:p>
    <w:p>
      <w:pPr>
        <w:spacing w:after="0" w:line="79"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Distributions of cash or property that we pay in respect of our common stock will constitute dividends for U.S. federal income tax purposes to the extent paid from our current or accumulated earnings and profits (as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440"/>
          </w:cols>
          <w:pgMar w:left="220" w:top="398" w:right="23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determined under U.S. federal income tax principles) and will be includible in gross income by a U.S. Holder upon receipt. Any such dividend will be eligible for the dividends received deduction if received by an otherwise qualifying corporate U.S. Holder that meets the holding period and other requirements for the dividends received deduction. Dividends paid by us to certain non-corporate U.S. Holders (including individuals), with respect to taxable years beginning on or before December 31, 2010, are eligible for U.S. federal income taxation at the rates generally applicable to long-term capital gains for individuals (currently at a maximum tax rate of 15%), provided that the U.S. Holder receiving the dividend satisfies applicable holding period and other requirements. If the amount of a distribution exceeds our current and accumulated earnings and profits, such excess first will be treated as a tax-free return of capital to the extent of the U.S. Holder’s tax basis in our common stock, and thereafter will be treated as capital gain.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Dispositions</w:t>
      </w:r>
    </w:p>
    <w:p>
      <w:pPr>
        <w:spacing w:after="0" w:line="79"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Upon a sale, exchange or other taxable disposition of shares of our common stock, a U.S. Holder generally will recognize capital gain or loss equal to the difference between the amount realized on the sale, exchange or other taxable disposition and the U.S. Holder’s adjusted tax basis in the shares of our common stock. Such capital gain or loss will be long-term capital gain or loss if the U.S. Holder has held the shares of the common stock for more than one year at the time of disposition. Long-term capital gains of certain non-corporate U.S. Holders (including individuals) are currently subject to U.S. federal income taxation at a maximum rate of 15%. The deductibility of capital losses is subject to limitations under the Code.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Information Reporting and Backup Withholding Requirements</w:t>
      </w:r>
    </w:p>
    <w:p>
      <w:pPr>
        <w:spacing w:after="0" w:line="79" w:lineRule="exact"/>
        <w:rPr>
          <w:sz w:val="20"/>
          <w:szCs w:val="20"/>
          <w:color w:val="auto"/>
        </w:rPr>
      </w:pPr>
    </w:p>
    <w:p>
      <w:pPr>
        <w:ind w:right="420" w:firstLine="458"/>
        <w:spacing w:after="0" w:line="275" w:lineRule="auto"/>
        <w:rPr>
          <w:sz w:val="20"/>
          <w:szCs w:val="20"/>
          <w:color w:val="auto"/>
        </w:rPr>
      </w:pPr>
      <w:r>
        <w:rPr>
          <w:rFonts w:ascii="Arial" w:cs="Arial" w:eastAsia="Arial" w:hAnsi="Arial"/>
          <w:sz w:val="14"/>
          <w:szCs w:val="14"/>
          <w:color w:val="auto"/>
        </w:rPr>
        <w:t>In general, dividends on our common shares, and payments of the proceeds of a sale, exchange or other disposition of our common shares paid to a U.S. Holder are subject to information reporting and may be subject to backup withholding at a current maximum rate of 28% unless the U.S. Holder (i) is a corporation or other exempt recipient or (ii) provides an accurate taxpayer identification number and certifies that it is not subject to backup withholding.</w:t>
      </w:r>
    </w:p>
    <w:p>
      <w:pPr>
        <w:spacing w:after="0" w:line="102"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from a payment to a U.S. Holder will be refunded or credited against the U.S. Holder’s U.S. federal income tax liability, if any, provided that the required information is furnished to the IRS.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Non-U.S. Holders</w:t>
      </w:r>
    </w:p>
    <w:p>
      <w:pPr>
        <w:spacing w:after="0" w:line="83"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The following discussion summarizes the material U.S. federal income tax consequences of the ownership and disposition of our common stock applicable to “Non-U.S. Holders,” subject to the limitations described above.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U.S. Trade or Business Income</w:t>
      </w:r>
    </w:p>
    <w:p>
      <w:pPr>
        <w:spacing w:after="0" w:line="79"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color w:val="auto"/>
        </w:rPr>
        <w:t>For purposes of this discussion, dividend income and gain on the sale, exchange or other taxable disposition of our common stock will be considered to be “U.S. trade or business income” if such income or gain is (i) effectively connected with the conduct by a Non-U.S. Holder of a trade or business within the United States and (ii) in the case of a Non-U.S. Holder that is eligible for the benefits of an income tax treaty with the United States, attributable to a permanent establishment (or, for an individual, a fixed base) maintained by the Non-U.S. Holder in the United States. Generally, U.S. trade or business income is not subject to U.S. federal withholding tax (provided the Non-U.S. Holder complies with applicable certification and disclosure requirements); instead, a Non-U.S. Holder is subject to U.S. federal income tax on a net income basis at regular U.S. federal income tax rates (in the same manner as a U.S. person) on its U.S. trade or business income. Any U.S. trade or business income received by a Non-U.S. Holder that is a corporation also may be subject to a “branch profits tax” at a 30% rate, or at a lower rate prescribed by an applicable income tax treaty, under specific circumstances.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460"/>
          </w:cols>
          <w:pgMar w:left="220" w:top="399" w:right="21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Distributions</w:t>
      </w:r>
    </w:p>
    <w:p>
      <w:pPr>
        <w:spacing w:after="0" w:line="79"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A Non-U.S. Holder generally will be subject to U.S. federal withholding tax at a 30% rate, or at a reduced rate prescribed by an applicable income tax treaty, on any dividends received in respect of our common stock. If the amount of a distribution exceeds our current and accumulated earnings and profits, such excess first will be treated as a tax-free return of capital to the extent of the Non-U.S. Holder’s tax basis in our common stock, and thereafter will be treated as capital gain. In order to obtain a reduced rate of U.S. federal withholding tax under an applicable income tax treaty, a Non-U.S. Holder will be required to provide a properly executed IRS Form W-8BEN certifying its entitlement to benefits under the treaty. A Non-U.S. Holder of our common stock that is eligible for a reduced rate of U.S. federal withholding tax under an income tax treaty may obtain a refund or credit of any excess amounts withheld by filing an appropriate claim for a refund with the IRS. A Non-U.S. Holder should consult its own tax advisor regarding its possible entitlement to benefits under an income tax treaty.</w:t>
      </w:r>
    </w:p>
    <w:p>
      <w:pPr>
        <w:spacing w:after="0" w:line="95" w:lineRule="exact"/>
        <w:rPr>
          <w:sz w:val="20"/>
          <w:szCs w:val="20"/>
          <w:color w:val="auto"/>
        </w:rPr>
      </w:pPr>
    </w:p>
    <w:p>
      <w:pPr>
        <w:ind w:right="140" w:firstLine="458"/>
        <w:spacing w:after="0" w:line="330" w:lineRule="auto"/>
        <w:rPr>
          <w:sz w:val="20"/>
          <w:szCs w:val="20"/>
          <w:color w:val="auto"/>
        </w:rPr>
      </w:pPr>
      <w:r>
        <w:rPr>
          <w:rFonts w:ascii="Arial" w:cs="Arial" w:eastAsia="Arial" w:hAnsi="Arial"/>
          <w:sz w:val="13"/>
          <w:szCs w:val="13"/>
          <w:color w:val="auto"/>
        </w:rPr>
        <w:t>The U.S. federal withholding tax described in the preceding paragraph does not apply to dividends that represent U.S. trade or business income of a Non-U.S. Holder who provides a properly executed IRS Form W-8ECI, certifying that the dividends are effectively connected with the Non-U.S. Holder’s conduct of a trade or business within the United States.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Dispositions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 Non-U.S. Holder generally will not be subject to U.S. federal income or withholding tax in respect of any gain on a sale, exchange or other taxable disposition of common stock unless:</w:t>
      </w:r>
    </w:p>
    <w:p>
      <w:pPr>
        <w:spacing w:after="0" w:line="91" w:lineRule="exact"/>
        <w:rPr>
          <w:sz w:val="20"/>
          <w:szCs w:val="20"/>
          <w:color w:val="auto"/>
        </w:rPr>
      </w:pPr>
    </w:p>
    <w:p>
      <w:pPr>
        <w:ind w:left="780" w:hanging="240"/>
        <w:spacing w:after="0"/>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gain is U.S. trade or business income;</w:t>
      </w:r>
    </w:p>
    <w:p>
      <w:pPr>
        <w:spacing w:after="0" w:line="79" w:lineRule="exact"/>
        <w:rPr>
          <w:rFonts w:ascii="Arial" w:cs="Arial" w:eastAsia="Arial" w:hAnsi="Arial"/>
          <w:sz w:val="14"/>
          <w:szCs w:val="14"/>
          <w:color w:val="auto"/>
        </w:rPr>
      </w:pPr>
    </w:p>
    <w:p>
      <w:pPr>
        <w:ind w:left="780" w:right="120" w:hanging="240"/>
        <w:spacing w:after="0" w:line="275" w:lineRule="auto"/>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Non-U.S. Holder is an individual who is present in the United States for 183 or more days in the taxable year of the disposition and meets other conditions (in which case, such Non-U.S. Holder will be subject to U.S. federal income tax at a rate of 30% (or a reduced rate under an applicable tax treaty) on the amount by which certain capital gains allocable to U.S. sources exceed certain capital losses allocable to U.S. sources); or</w:t>
      </w:r>
    </w:p>
    <w:p>
      <w:pPr>
        <w:spacing w:after="0" w:line="36" w:lineRule="exact"/>
        <w:rPr>
          <w:rFonts w:ascii="Arial" w:cs="Arial" w:eastAsia="Arial" w:hAnsi="Arial"/>
          <w:sz w:val="14"/>
          <w:szCs w:val="14"/>
          <w:color w:val="auto"/>
        </w:rPr>
      </w:pPr>
    </w:p>
    <w:p>
      <w:pPr>
        <w:ind w:left="780" w:right="160" w:hanging="240"/>
        <w:spacing w:after="0" w:line="275" w:lineRule="auto"/>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we are or have been a “U.S. real property holding corporation” (a “USRPHC”) under section 897 of the Code at any time during the shorter of the five-year period ending on the date of disposition and the Non-U.S. Holder’s holding period for the common stock (in which case, such gain will be subject to U.S. federal income tax in the same manner as U.S. trade or business income).</w:t>
      </w:r>
    </w:p>
    <w:p>
      <w:pPr>
        <w:spacing w:after="0" w:line="102" w:lineRule="exact"/>
        <w:rPr>
          <w:sz w:val="20"/>
          <w:szCs w:val="20"/>
          <w:color w:val="auto"/>
        </w:rPr>
      </w:pPr>
    </w:p>
    <w:p>
      <w:pPr>
        <w:ind w:right="320" w:firstLine="458"/>
        <w:spacing w:after="0" w:line="266" w:lineRule="auto"/>
        <w:rPr>
          <w:sz w:val="20"/>
          <w:szCs w:val="20"/>
          <w:color w:val="auto"/>
        </w:rPr>
      </w:pPr>
      <w:r>
        <w:rPr>
          <w:rFonts w:ascii="Arial" w:cs="Arial" w:eastAsia="Arial" w:hAnsi="Arial"/>
          <w:sz w:val="14"/>
          <w:szCs w:val="14"/>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If we are determined to be a USRPHC, the U.S. federal income and withholding taxes relating to interests in USRPHCs nevertheless will not apply to gains derived from the sale or other disposition of our common stock by a Non-U.S. Holder whose shareholdings, actual and constructive, at all times during the applicable period, amount to 5% or less of the common stock, provided that the common stock is regularly traded on an established securities market. We do not believe that we currently are a USRPHC, and we do not anticipate becoming a USRPHC in the future. However, no assurance can be given that we will not be a USRPHC, or that our common stock will be considered regularly traded, when a Non-U.S. Holder sells its shares of our common stock.</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Information Reporting and Backup Withholding Requirements</w:t>
      </w:r>
    </w:p>
    <w:p>
      <w:pPr>
        <w:spacing w:after="0" w:line="79"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We must annually report to the IRS and to each Non-U.S. Holder any dividend income that is subject to U.S. federal withholding tax, or that is exempt from such withholding tax pursuant to an income tax treaty.</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420"/>
          </w:cols>
          <w:pgMar w:left="220" w:top="399" w:right="25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80"/>
        <w:spacing w:after="0" w:line="270" w:lineRule="auto"/>
        <w:rPr>
          <w:sz w:val="20"/>
          <w:szCs w:val="20"/>
          <w:color w:val="auto"/>
        </w:rPr>
      </w:pPr>
      <w:r>
        <w:rPr>
          <w:rFonts w:ascii="Arial" w:cs="Arial" w:eastAsia="Arial" w:hAnsi="Arial"/>
          <w:sz w:val="14"/>
          <w:szCs w:val="14"/>
          <w:color w:val="auto"/>
        </w:rPr>
        <w:t>Copies of these information returns also may be made available under the provisions of a specific treaty or agreement to the tax authorities of the country in which the Non-U.S. Holder resides. Under certain circumstances, the Code imposes a backup withholding obligation (currently at a rate of 28%) on certain reportable payments. Dividends paid to a Non-U.S. Holder of common stock generally will be exempt from backup withholding if the Non-U.S. Holder provides a properly executed IRS Form W-8BEN or otherwise establishes an exemption and the payor does not have actual knowledge or reason to know that the Holder is a U.S. person.</w:t>
      </w:r>
    </w:p>
    <w:p>
      <w:pPr>
        <w:spacing w:after="0" w:line="106"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 xml:space="preserve">The payment of the proceeds from the disposition of our common stock to or through the U.S. office of any broker, U.S. or foreign, will be subject to information reporting and possible backup withholding unless the owner certifies as to its non-U.S. status under penalties of perjury or otherwise establishes an exemption,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broker does not have actual knowledge or reason to know that the Holder is a U.S. person or that the conditions of any other exemption are not, in fact, satisfied. The payment of the proceeds from the disposition of our common stock to or through a non-U.S. office of a non-U.S. broker will not be subject to information reporting or backup withholding unless the non-U.S. broker has certain types of relationships with the United States (a “U.S. related person”). In the case of the payment of the proceeds from the disposition of our common stock to or through a non-U.S. office of a broker that is either a U.S. person or a U.S. related person, the Treasury regulations require information reporting (but not backup withholding) on the payment unless the broker has documentary evidence in its files that the owner is a Non-U.S. Holder and the broker has no knowledge to the contrary. Non-U.S. Holders should consult their own tax advisors on the application of information reporting and backup withholding to them in their particular circumstances (including upon their disposition of common stock).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Backup withholding is not an additional tax. Any amounts withheld under the backup withholding rules from a payment to a Non-U.S. Holder will be refunded or credited against the Non-U.S.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Holder’s U.S. federal income tax liability, if any, provided that the required information is furnished to the IRS.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460"/>
          </w:cols>
          <w:pgMar w:left="220" w:top="398" w:right="21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149"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Under the terms and subject to the conditions contained in an underwriting agreement filed as an exhibit relating to this prospectus, we have agreed to sell to the underwriters named below, and the underwriters have severally agreed to purchase, the respective number of shares of common stock set forth below:</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90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Underwriter</w:t>
            </w:r>
          </w:p>
        </w:tc>
        <w:tc>
          <w:tcPr>
            <w:tcW w:w="42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1"/>
              </w:rPr>
              <w:t>Number</w:t>
            </w:r>
          </w:p>
        </w:tc>
        <w:tc>
          <w:tcPr>
            <w:tcW w:w="0" w:type="dxa"/>
            <w:vAlign w:val="bottom"/>
          </w:tcPr>
          <w:p>
            <w:pPr>
              <w:spacing w:after="0"/>
              <w:rPr>
                <w:sz w:val="1"/>
                <w:szCs w:val="1"/>
                <w:color w:val="auto"/>
              </w:rPr>
            </w:pPr>
          </w:p>
        </w:tc>
      </w:tr>
      <w:tr>
        <w:trPr>
          <w:trHeight w:val="122"/>
        </w:trPr>
        <w:tc>
          <w:tcPr>
            <w:tcW w:w="90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3"/>
              </w:rPr>
              <w:t>of Shares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Credit Suisse Securities (USA) LLC</w:t>
            </w:r>
          </w:p>
        </w:tc>
        <w:tc>
          <w:tcPr>
            <w:tcW w:w="42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J.P. Morgan Securities Inc.</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Lehman Brothers Inc.</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Morgan Stanley &amp; Co. Incorporated</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AGM Securities LLC</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Allen &amp; Company LLC</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Banc of America Securities LLC</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Bear, Stearns &amp; Co. Inc.</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Citigroup Global Markets Inc.</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Deutsche Bank Securities Inc.</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Goldman, Sachs &amp; Co</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Merrill Lynch, Pierce, Fenner &amp; Smith</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40" w:type="dxa"/>
            <w:vAlign w:val="bottom"/>
          </w:tcPr>
          <w:p>
            <w:pPr>
              <w:ind w:left="840"/>
              <w:spacing w:after="0"/>
              <w:rPr>
                <w:sz w:val="20"/>
                <w:szCs w:val="20"/>
                <w:color w:val="auto"/>
              </w:rPr>
            </w:pPr>
            <w:r>
              <w:rPr>
                <w:rFonts w:ascii="Arial" w:cs="Arial" w:eastAsia="Arial" w:hAnsi="Arial"/>
                <w:sz w:val="14"/>
                <w:szCs w:val="14"/>
                <w:color w:val="auto"/>
              </w:rPr>
              <w:t>Incorporated</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UBS Securities LLC</w:t>
            </w:r>
          </w:p>
        </w:tc>
        <w:tc>
          <w:tcPr>
            <w:tcW w:w="4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40" w:type="dxa"/>
            <w:vAlign w:val="bottom"/>
          </w:tcPr>
          <w:p>
            <w:pPr>
              <w:ind w:left="34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38,000,000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02" w:lineRule="exact"/>
        <w:rPr>
          <w:sz w:val="20"/>
          <w:szCs w:val="20"/>
          <w:color w:val="auto"/>
        </w:rPr>
      </w:pPr>
    </w:p>
    <w:p>
      <w:pPr>
        <w:ind w:right="580" w:firstLine="458"/>
        <w:spacing w:after="0" w:line="289" w:lineRule="auto"/>
        <w:rPr>
          <w:sz w:val="20"/>
          <w:szCs w:val="20"/>
          <w:color w:val="auto"/>
        </w:rPr>
      </w:pPr>
      <w:r>
        <w:rPr>
          <w:rFonts w:ascii="Arial" w:cs="Arial" w:eastAsia="Arial" w:hAnsi="Arial"/>
          <w:sz w:val="14"/>
          <w:szCs w:val="14"/>
          <w:color w:val="auto"/>
        </w:rPr>
        <w:t>We have granted to the underwriters a 30-day option to purchase on a pro rata basis up to 4,000,000 additional shares at the initial public offering price less underwriting discounts and commissions. The option may be exercised only to cover any over-allotments of common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w:t>
      </w:r>
    </w:p>
    <w:p>
      <w:pPr>
        <w:spacing w:after="0" w:line="31" w:lineRule="exact"/>
        <w:rPr>
          <w:sz w:val="20"/>
          <w:szCs w:val="20"/>
          <w:color w:val="auto"/>
        </w:rPr>
      </w:pPr>
    </w:p>
    <w:p>
      <w:pPr>
        <w:ind w:right="640"/>
        <w:spacing w:after="0" w:line="281" w:lineRule="auto"/>
        <w:rPr>
          <w:sz w:val="20"/>
          <w:szCs w:val="20"/>
          <w:color w:val="auto"/>
        </w:rPr>
      </w:pPr>
      <w:r>
        <w:rPr>
          <w:rFonts w:ascii="Arial" w:cs="Arial" w:eastAsia="Arial" w:hAnsi="Arial"/>
          <w:sz w:val="14"/>
          <w:szCs w:val="14"/>
          <w:color w:val="auto"/>
        </w:rPr>
        <w:t>concession of $ per share. The underwriters and selling group members may allow a discount of $ per share on sales to other broker/dealers. After the initial public offering the representative may change the public offering price and concession and discount to broker/dealers.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the compensation and estimated expenses we will pay: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1"/>
                <w:szCs w:val="11"/>
                <w:b w:val="1"/>
                <w:bCs w:val="1"/>
                <w:color w:val="auto"/>
              </w:rPr>
              <w:t>Per Share</w:t>
            </w:r>
          </w:p>
        </w:tc>
        <w:tc>
          <w:tcPr>
            <w:tcW w:w="5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0"/>
        </w:trPr>
        <w:tc>
          <w:tcPr>
            <w:tcW w:w="664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2"/>
              </w:rPr>
              <w:t>Without</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45"/>
              <w:spacing w:after="0" w:line="101" w:lineRule="exact"/>
              <w:rPr>
                <w:sz w:val="20"/>
                <w:szCs w:val="20"/>
                <w:color w:val="auto"/>
              </w:rPr>
            </w:pPr>
            <w:r>
              <w:rPr>
                <w:rFonts w:ascii="Arial" w:cs="Arial" w:eastAsia="Arial" w:hAnsi="Arial"/>
                <w:sz w:val="11"/>
                <w:szCs w:val="11"/>
                <w:b w:val="1"/>
                <w:bCs w:val="1"/>
                <w:color w:val="auto"/>
              </w:rPr>
              <w:t>With</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45"/>
              <w:spacing w:after="0" w:line="101" w:lineRule="exact"/>
              <w:rPr>
                <w:sz w:val="20"/>
                <w:szCs w:val="20"/>
                <w:color w:val="auto"/>
              </w:rPr>
            </w:pPr>
            <w:r>
              <w:rPr>
                <w:rFonts w:ascii="Arial" w:cs="Arial" w:eastAsia="Arial" w:hAnsi="Arial"/>
                <w:sz w:val="11"/>
                <w:szCs w:val="11"/>
                <w:b w:val="1"/>
                <w:bCs w:val="1"/>
                <w:color w:val="auto"/>
                <w:w w:val="92"/>
              </w:rPr>
              <w:t>Without</w:t>
            </w: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Over-</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jc w:val="center"/>
              <w:ind w:right="809"/>
              <w:spacing w:after="0" w:line="121" w:lineRule="exact"/>
              <w:rPr>
                <w:sz w:val="20"/>
                <w:szCs w:val="20"/>
                <w:color w:val="auto"/>
              </w:rPr>
            </w:pPr>
            <w:r>
              <w:rPr>
                <w:rFonts w:ascii="Arial" w:cs="Arial" w:eastAsia="Arial" w:hAnsi="Arial"/>
                <w:sz w:val="11"/>
                <w:szCs w:val="11"/>
                <w:b w:val="1"/>
                <w:bCs w:val="1"/>
                <w:color w:val="auto"/>
                <w:w w:val="97"/>
              </w:rPr>
              <w:t>Over-</w:t>
            </w:r>
          </w:p>
        </w:tc>
        <w:tc>
          <w:tcPr>
            <w:tcW w:w="600" w:type="dxa"/>
            <w:vAlign w:val="bottom"/>
          </w:tcPr>
          <w:p>
            <w:pPr>
              <w:jc w:val="center"/>
              <w:ind w:right="45"/>
              <w:spacing w:after="0" w:line="121" w:lineRule="exact"/>
              <w:rPr>
                <w:sz w:val="20"/>
                <w:szCs w:val="20"/>
                <w:color w:val="auto"/>
              </w:rPr>
            </w:pPr>
            <w:r>
              <w:rPr>
                <w:rFonts w:ascii="Arial" w:cs="Arial" w:eastAsia="Arial" w:hAnsi="Arial"/>
                <w:sz w:val="11"/>
                <w:szCs w:val="11"/>
                <w:b w:val="1"/>
                <w:bCs w:val="1"/>
                <w:color w:val="auto"/>
                <w:w w:val="90"/>
              </w:rPr>
              <w:t>Over-</w:t>
            </w:r>
          </w:p>
        </w:tc>
        <w:tc>
          <w:tcPr>
            <w:tcW w:w="680" w:type="dxa"/>
            <w:vAlign w:val="bottom"/>
          </w:tcPr>
          <w:p>
            <w:pPr>
              <w:spacing w:after="0"/>
              <w:rPr>
                <w:sz w:val="10"/>
                <w:szCs w:val="10"/>
                <w:color w:val="auto"/>
              </w:rPr>
            </w:pPr>
          </w:p>
        </w:tc>
        <w:tc>
          <w:tcPr>
            <w:tcW w:w="720" w:type="dxa"/>
            <w:vAlign w:val="bottom"/>
          </w:tcPr>
          <w:p>
            <w:pPr>
              <w:ind w:left="240"/>
              <w:spacing w:after="0" w:line="121" w:lineRule="exact"/>
              <w:rPr>
                <w:sz w:val="20"/>
                <w:szCs w:val="20"/>
                <w:color w:val="auto"/>
              </w:rPr>
            </w:pPr>
            <w:r>
              <w:rPr>
                <w:rFonts w:ascii="Arial" w:cs="Arial" w:eastAsia="Arial" w:hAnsi="Arial"/>
                <w:sz w:val="11"/>
                <w:szCs w:val="11"/>
                <w:b w:val="1"/>
                <w:bCs w:val="1"/>
                <w:color w:val="auto"/>
              </w:rPr>
              <w:t>With</w:t>
            </w:r>
          </w:p>
        </w:tc>
        <w:tc>
          <w:tcPr>
            <w:tcW w:w="0" w:type="dxa"/>
            <w:vAlign w:val="bottom"/>
          </w:tcPr>
          <w:p>
            <w:pPr>
              <w:spacing w:after="0"/>
              <w:rPr>
                <w:sz w:val="1"/>
                <w:szCs w:val="1"/>
                <w:color w:val="auto"/>
              </w:rPr>
            </w:pPr>
          </w:p>
        </w:tc>
      </w:tr>
      <w:tr>
        <w:trPr>
          <w:trHeight w:val="142"/>
        </w:trPr>
        <w:tc>
          <w:tcPr>
            <w:tcW w:w="6640" w:type="dxa"/>
            <w:vAlign w:val="bottom"/>
            <w:vMerge w:val="restart"/>
          </w:tcPr>
          <w:p>
            <w:pPr>
              <w:spacing w:after="0"/>
              <w:rPr>
                <w:sz w:val="20"/>
                <w:szCs w:val="20"/>
                <w:color w:val="auto"/>
              </w:rPr>
            </w:pPr>
            <w:r>
              <w:rPr>
                <w:rFonts w:ascii="Arial" w:cs="Arial" w:eastAsia="Arial" w:hAnsi="Arial"/>
                <w:sz w:val="14"/>
                <w:szCs w:val="14"/>
                <w:color w:val="auto"/>
              </w:rPr>
              <w:t>Underwriting Discounts and Commissions paid by us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9"/>
              </w:rPr>
              <w:t>allotment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809"/>
              <w:spacing w:after="0"/>
              <w:rPr>
                <w:sz w:val="20"/>
                <w:szCs w:val="20"/>
                <w:color w:val="auto"/>
              </w:rPr>
            </w:pPr>
            <w:r>
              <w:rPr>
                <w:rFonts w:ascii="Arial" w:cs="Arial" w:eastAsia="Arial" w:hAnsi="Arial"/>
                <w:sz w:val="11"/>
                <w:szCs w:val="11"/>
                <w:b w:val="1"/>
                <w:bCs w:val="1"/>
                <w:color w:val="auto"/>
                <w:w w:val="89"/>
              </w:rPr>
              <w:t>allotment</w:t>
            </w:r>
          </w:p>
        </w:tc>
        <w:tc>
          <w:tcPr>
            <w:tcW w:w="600" w:type="dxa"/>
            <w:vAlign w:val="bottom"/>
          </w:tcPr>
          <w:p>
            <w:pPr>
              <w:jc w:val="center"/>
              <w:ind w:right="25"/>
              <w:spacing w:after="0"/>
              <w:rPr>
                <w:sz w:val="20"/>
                <w:szCs w:val="20"/>
                <w:color w:val="auto"/>
              </w:rPr>
            </w:pPr>
            <w:r>
              <w:rPr>
                <w:rFonts w:ascii="Arial" w:cs="Arial" w:eastAsia="Arial" w:hAnsi="Arial"/>
                <w:sz w:val="11"/>
                <w:szCs w:val="11"/>
                <w:b w:val="1"/>
                <w:bCs w:val="1"/>
                <w:color w:val="auto"/>
                <w:w w:val="89"/>
              </w:rPr>
              <w:t>allotment</w:t>
            </w:r>
          </w:p>
        </w:tc>
        <w:tc>
          <w:tcPr>
            <w:tcW w:w="68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w w:val="90"/>
              </w:rPr>
              <w:t>Over-allotment</w:t>
            </w:r>
          </w:p>
        </w:tc>
        <w:tc>
          <w:tcPr>
            <w:tcW w:w="0" w:type="dxa"/>
            <w:vAlign w:val="bottom"/>
          </w:tcPr>
          <w:p>
            <w:pPr>
              <w:spacing w:after="0"/>
              <w:rPr>
                <w:sz w:val="1"/>
                <w:szCs w:val="1"/>
                <w:color w:val="auto"/>
              </w:rPr>
            </w:pPr>
          </w:p>
        </w:tc>
      </w:tr>
      <w:tr>
        <w:trPr>
          <w:trHeight w:val="172"/>
        </w:trPr>
        <w:tc>
          <w:tcPr>
            <w:tcW w:w="6640" w:type="dxa"/>
            <w:vAlign w:val="bottom"/>
            <w:vMerge w:val="continue"/>
          </w:tcPr>
          <w:p>
            <w:pPr>
              <w:spacing w:after="0"/>
              <w:rPr>
                <w:sz w:val="14"/>
                <w:szCs w:val="14"/>
                <w:color w:val="auto"/>
              </w:rPr>
            </w:pPr>
          </w:p>
        </w:tc>
        <w:tc>
          <w:tcPr>
            <w:tcW w:w="680" w:type="dxa"/>
            <w:vAlign w:val="bottom"/>
            <w:tcBorders>
              <w:top w:val="single" w:sz="8" w:color="auto"/>
            </w:tcBorders>
          </w:tcPr>
          <w:p>
            <w:pPr>
              <w:jc w:val="right"/>
              <w:ind w:right="566"/>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ind w:left="620" w:right="60"/>
        <w:spacing w:after="0" w:line="469" w:lineRule="auto"/>
        <w:rPr>
          <w:sz w:val="20"/>
          <w:szCs w:val="20"/>
          <w:color w:val="auto"/>
        </w:rPr>
      </w:pPr>
      <w:r>
        <w:rPr>
          <w:rFonts w:ascii="Arial" w:cs="Arial" w:eastAsia="Arial" w:hAnsi="Arial"/>
          <w:sz w:val="14"/>
          <w:szCs w:val="14"/>
          <w:color w:val="auto"/>
        </w:rPr>
        <w:t>The representative has informed us that it does not expect sales to accounts over which the underwriters have discretionary authority to exceed 5% of the shares of common stock being offered. 163</w:t>
      </w:r>
    </w:p>
    <w:p>
      <w:pPr>
        <w:sectPr>
          <w:pgSz w:w="11900" w:h="16838" w:orient="portrait"/>
          <w:cols w:equalWidth="0" w:num="1">
            <w:col w:w="11460"/>
          </w:cols>
          <w:pgMar w:left="220" w:top="399" w:right="21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160" w:firstLine="458"/>
        <w:spacing w:after="0" w:line="283" w:lineRule="auto"/>
        <w:rPr>
          <w:sz w:val="20"/>
          <w:szCs w:val="20"/>
          <w:color w:val="auto"/>
        </w:rPr>
      </w:pPr>
      <w:r>
        <w:rPr>
          <w:rFonts w:ascii="Arial" w:cs="Arial" w:eastAsia="Arial" w:hAnsi="Arial"/>
          <w:sz w:val="13"/>
          <w:szCs w:val="13"/>
          <w:color w:val="auto"/>
        </w:rPr>
        <w:t>We have agreed that we will not offer, sell, contract to sell, pledge or otherwise dispose of, directly or indirectly, or file with the Securities and Exchange Commission a registration statement under the Securities Act of 1933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180 days after the date of this prospectus.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08"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Our officers and directors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180 days after the date of this prospectus. The founding members have also agreed to the same restrictions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02"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Credit Suisse Securities (USA) LLC has advised us that (i) it has no present intent or arrangement to release any of the securities subject to the lock-up agreements, (ii) there are no specific criteria that Credit Suisse Securities (USA) LLC will use in determining whether to release any securities from the lock-up agreements, (iii) the release of any securities will be considered on a case by case basis and (iv) the factors it could use in deciding whether to release securities may include the length of time before the lock-up expires, the number of shares involved, the reason for the requested release, market conditions, the trading price of our common stock, historical trading volumes of our common stock and whether the person seeking the release is an officer, director or affiliate of NCM Inc.</w:t>
      </w:r>
    </w:p>
    <w:p>
      <w:pPr>
        <w:spacing w:after="0" w:line="110" w:lineRule="exact"/>
        <w:rPr>
          <w:sz w:val="20"/>
          <w:szCs w:val="20"/>
          <w:color w:val="auto"/>
        </w:rPr>
      </w:pPr>
    </w:p>
    <w:p>
      <w:pPr>
        <w:ind w:right="180" w:firstLine="458"/>
        <w:spacing w:after="0" w:line="270" w:lineRule="auto"/>
        <w:rPr>
          <w:sz w:val="20"/>
          <w:szCs w:val="20"/>
          <w:color w:val="auto"/>
        </w:rPr>
      </w:pPr>
      <w:r>
        <w:rPr>
          <w:rFonts w:ascii="Arial" w:cs="Arial" w:eastAsia="Arial" w:hAnsi="Arial"/>
          <w:sz w:val="14"/>
          <w:szCs w:val="14"/>
          <w:color w:val="auto"/>
        </w:rPr>
        <w:t>The underwriters have reserved for sale at the initial public offering price up to 1,900,000 shares of the common stock for employees, directors and other persons associated with us who have expressed an interest in purchasing common stock in the offering. For example, Kurt C. Hall, our President, Chief Executive Officer and Chairman, has expressed an interest in purchasing common stock totaling approximately $1,500,000.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06"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We have agreed to indemnify the underwriters against liabilities under the Securities Act, including liabilities incurred in connection with the sale of reserved shares as described in the previous paragraph, or contribute to payments that the underwriters may be required to make in that respect.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have applied to list the shares of common stock on the Nasdaq Global Select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460"/>
          </w:cols>
          <w:pgMar w:left="220" w:top="399" w:right="21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520" w:firstLine="458"/>
        <w:spacing w:after="0" w:line="289" w:lineRule="auto"/>
        <w:rPr>
          <w:sz w:val="20"/>
          <w:szCs w:val="20"/>
          <w:color w:val="auto"/>
        </w:rPr>
      </w:pPr>
      <w:r>
        <w:rPr>
          <w:rFonts w:ascii="Arial" w:cs="Arial" w:eastAsia="Arial" w:hAnsi="Arial"/>
          <w:sz w:val="14"/>
          <w:szCs w:val="14"/>
          <w:color w:val="auto"/>
        </w:rPr>
        <w:t>In connection with the listing of the common stock on the Nasdaq Global Select Market, the underwriters will undertake to sell round lots of 100 shares or more to a minimum of 2,000 beneficial owners.</w:t>
      </w:r>
    </w:p>
    <w:p>
      <w:pPr>
        <w:spacing w:after="0" w:line="9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Certain of the underwriters and their respective affiliates have, from time to time, performed, and may in the future perform, investment banking, financial advisory and lending services for us and our affiliates for which they have received, or will receive, customary fees and expenses.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Upon the closing of this offering, NCM LLC will enter into a new $805.0 million senior secured credit facility with a group of lenders that will include affiliates of several of the underwriters.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This facility will consist of a six-year, $80.0 million revolving credit facility and an eight-year, $725.0 million term loan facility.</w:t>
      </w:r>
    </w:p>
    <w:p>
      <w:pPr>
        <w:spacing w:after="0" w:line="139" w:lineRule="exact"/>
        <w:rPr>
          <w:sz w:val="20"/>
          <w:szCs w:val="20"/>
          <w:color w:val="auto"/>
        </w:rPr>
      </w:pPr>
    </w:p>
    <w:p>
      <w:pPr>
        <w:ind w:right="380" w:firstLine="458"/>
        <w:spacing w:after="0" w:line="289" w:lineRule="auto"/>
        <w:rPr>
          <w:sz w:val="20"/>
          <w:szCs w:val="20"/>
          <w:color w:val="auto"/>
        </w:rPr>
      </w:pPr>
      <w:r>
        <w:rPr>
          <w:rFonts w:ascii="Arial" w:cs="Arial" w:eastAsia="Arial" w:hAnsi="Arial"/>
          <w:sz w:val="14"/>
          <w:szCs w:val="14"/>
          <w:color w:val="auto"/>
        </w:rPr>
        <w:t>An affiliate of Credit Suisse Securities (USA) LLC acts as a lender under our $20.0 million existing revolving credit facility, which includes a $2.0 million letter of credit sub-facility. The existing revolving credit facility will be repaid with the proceeds of our new senior secured credit facility.</w:t>
      </w:r>
    </w:p>
    <w:p>
      <w:pPr>
        <w:spacing w:after="0" w:line="93" w:lineRule="exact"/>
        <w:rPr>
          <w:sz w:val="20"/>
          <w:szCs w:val="20"/>
          <w:color w:val="auto"/>
        </w:rPr>
      </w:pPr>
    </w:p>
    <w:p>
      <w:pPr>
        <w:ind w:right="240" w:firstLine="458"/>
        <w:spacing w:after="0" w:line="267" w:lineRule="auto"/>
        <w:rPr>
          <w:sz w:val="20"/>
          <w:szCs w:val="20"/>
          <w:color w:val="auto"/>
        </w:rPr>
      </w:pPr>
      <w:r>
        <w:rPr>
          <w:rFonts w:ascii="Arial" w:cs="Arial" w:eastAsia="Arial" w:hAnsi="Arial"/>
          <w:sz w:val="14"/>
          <w:szCs w:val="14"/>
          <w:color w:val="auto"/>
        </w:rPr>
        <w:t>An affiliate of Credit Suisse Securities (USA) LLC acts as lender, sole lead arranger, sole book-runner and administrative agent under a credit facility with Regal, or the $1.75 billion Regal credit facility. The credit facility consists of a $1.65 billion term loan facility and $100.0 million revolving credit facility. In March 2006, the facility was repriced, and in June 2006 a $200.0 million incremental term loan was extended. In November 2006, the facility was refinanced. An affiliate of Credit Suisse Securities (USA) LLC acts as a lender and co-documentation agent under AMC’s $850.0 million credit facility. In January 2006, Credit Suisse Securities (USA) LLC acted as a joint book-runner in connection with an offering of the aggregate of $325.0 million of AMC’s senior subordinated notes due 2016, or the AMC notes.</w:t>
      </w:r>
    </w:p>
    <w:p>
      <w:pPr>
        <w:spacing w:after="0" w:line="110"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An affiliate of Lehman Brothers Inc. acts as a lender under our $20.0 million existing revolving credit facility, which includes a $2.0 million letter of credit sub-facility. The existing revolving credit facility will be repaid with the proceeds of our new senior secured credit facility.</w:t>
      </w:r>
    </w:p>
    <w:p>
      <w:pPr>
        <w:spacing w:after="0" w:line="93"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An affiliate of Lehman Brothers Inc. acted as a lender under Cinemark’s $360.0 million revolving credit facility, which was refinanced in October 2006. An affiliate of Lehman Brothers Inc. acts as a lender, joint lead arranger, joint book-runner and administrative agent under Cinemark’s new $1.27 billion credit facility, or the $1.27 billion Cinemark credit facility. In addition, an affiliate of Lehman Brothers Inc. acts as a lender under the $1.75 billion Regal credit facility. Lehman Brothers Inc. is an advisor to Cinemark in connection with Cinemark’s acquisition of Century Theatres. In December 2005, Lehman Brothers Inc. acted as the sole book-runner in connection with Regal’s issuance of 1.5 million shares of Class A common stock to a private investment fund.</w:t>
      </w:r>
    </w:p>
    <w:p>
      <w:pPr>
        <w:spacing w:after="0" w:line="91"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color w:val="auto"/>
        </w:rPr>
        <w:t>J.P. Morgan Securities Inc. is engaged to assist with structuring the financing in connection with the digital cinema project. See “Summary—Recent Developments.” J.P. Morgan Securities Inc. acts as a lender and syndication agent in connection with the AMC $200.0 million revolving credit facility. In January 2006, J.P. Morgan Securities Inc. acted as joint book-runner in connection with the offering of the AMC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 affiliate of Morgan Stanley &amp; Co. Incorporated acts as a lender, joint lead arranger and joint book-runner under the $1.27 billion Cinemark credit facility. Morgan Stanley &amp; Co.</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Incorporated acted as an advisor to Century Theatres in connection with its acquisition by Cinemark.</w:t>
      </w:r>
    </w:p>
    <w:p>
      <w:pPr>
        <w:spacing w:after="0" w:line="13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An affiliate of Bank of America Securities LLC acts as a lender under our $20.0 million existing revolving credit facility, which includes a $2.0 million letter of credit sub-facility. The existing revolving credit facility will be repaid with the proceeds of our new senior secured credit facility. Banc of America Securities LLC acts as a co-lead arranger and an affiliate of Banc of America Securities LLC acts as a lender and syndication agent under AMC’s $175.0 million revolving credit facility. An affiliate of Banc of America Securities acts as a lender and documentation agent under AMC’s $200.0 million revolving credit facility. An affiliate of Banc of America</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440"/>
          </w:cols>
          <w:pgMar w:left="220" w:top="399" w:right="23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60"/>
        <w:spacing w:after="0" w:line="289" w:lineRule="auto"/>
        <w:rPr>
          <w:sz w:val="20"/>
          <w:szCs w:val="20"/>
          <w:color w:val="auto"/>
        </w:rPr>
      </w:pPr>
      <w:r>
        <w:rPr>
          <w:rFonts w:ascii="Arial" w:cs="Arial" w:eastAsia="Arial" w:hAnsi="Arial"/>
          <w:sz w:val="14"/>
          <w:szCs w:val="14"/>
          <w:color w:val="auto"/>
        </w:rPr>
        <w:t>Securities acts as a lender and co-documentation agent under AMC’s $650.0 million term loan. An affiliate of Banc of America Securities acted as a lender under Cinemark’s $360 million credit facility. The credit facility consists of a $100.0 million revolving credit facility and a $260.0 million term loan facility.</w:t>
      </w:r>
    </w:p>
    <w:p>
      <w:pPr>
        <w:spacing w:after="0" w:line="93"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An affiliate of Citigroup Global Markets Inc. acts as a leader under our $20.0 million existing revolving credit facility, which includes a $2.0 million letter of credit sub-facility. The existing revolving credit facility will be repaid with the proceeds of our new senior secured credit facility. An affiliate of Citigroup Global Markets Inc. acts as administrative agent and as a lender under AMC’s $175.0 million credit facility.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 affiliate of Merrill Lynch, Pierce, Fenner &amp; Smith Incorporated acts as a lender under Regal’s $1,005.0 million term loan facility.</w:t>
      </w:r>
    </w:p>
    <w:p>
      <w:pPr>
        <w:spacing w:after="0" w:line="145" w:lineRule="exact"/>
        <w:rPr>
          <w:sz w:val="20"/>
          <w:szCs w:val="20"/>
          <w:color w:val="auto"/>
        </w:rPr>
      </w:pPr>
    </w:p>
    <w:p>
      <w:pPr>
        <w:ind w:right="100" w:firstLine="458"/>
        <w:spacing w:after="0" w:line="293" w:lineRule="auto"/>
        <w:rPr>
          <w:sz w:val="20"/>
          <w:szCs w:val="20"/>
          <w:color w:val="auto"/>
        </w:rPr>
      </w:pPr>
      <w:r>
        <w:rPr>
          <w:rFonts w:ascii="Arial" w:cs="Arial" w:eastAsia="Arial" w:hAnsi="Arial"/>
          <w:sz w:val="13"/>
          <w:szCs w:val="13"/>
          <w:color w:val="auto"/>
        </w:rPr>
        <w:t>As of January 5, 2007, several of the underwriters have affiliates who own common stock of one or more of our founding members. An affiliate of Citigroup Global Markets Inc. owned approximately 3.0% of AMC’s common stock, less than 1.0% of Regal’s common stock and less than 1.0% of Cinemark’s common stock. Goldman, Sachs and Co. owned less than 1.0% of Regal’s common stock. An affiliate of Morgan Stanley &amp; Co. Incorporated owned approximately 1.8% of Regal’s common stock. An affiliate of J.P. Morgan Securities Inc. owned approximately 20.8% of AMC’s common stock and less than 1.0% of Regal’s common stock. An affiliate of Credit Suisse Securities (USA) LLC owned less than 1.0% of Regal’s common stock, less than 1.0% of Cinemark’s common stock and less than 1.0% of AMC’s common stock. Banc of America Securities LLC and its affiliates owned approximately 4.3% of Regal’s common stock. See “Use of Proceeds.”</w:t>
      </w:r>
    </w:p>
    <w:p>
      <w:pPr>
        <w:spacing w:after="0" w:line="93"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Prior to this offering, there has been no public market for the common stock. The initial public offering price will be determined by negotiations among us and the underwriters. The principal factors to be considered in determining the initial public offering price include the following:</w:t>
      </w:r>
    </w:p>
    <w:p>
      <w:pPr>
        <w:spacing w:after="0" w:line="28" w:lineRule="exact"/>
        <w:rPr>
          <w:sz w:val="20"/>
          <w:szCs w:val="20"/>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information included in this prospectus and otherwise available to the underwriters;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market conditions for initial public offerings;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history of and prospectus for our business and our past and present operations;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our past and present earnings and current financial position;</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market of securities of companies in business similar to ours;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general condition of the securities markets.</w:t>
      </w:r>
    </w:p>
    <w:p>
      <w:pPr>
        <w:spacing w:after="0" w:line="145" w:lineRule="exact"/>
        <w:rPr>
          <w:sz w:val="20"/>
          <w:szCs w:val="20"/>
          <w:color w:val="auto"/>
        </w:rPr>
      </w:pPr>
    </w:p>
    <w:p>
      <w:pPr>
        <w:ind w:right="280" w:firstLine="458"/>
        <w:spacing w:after="0" w:line="289" w:lineRule="auto"/>
        <w:rPr>
          <w:sz w:val="20"/>
          <w:szCs w:val="20"/>
          <w:color w:val="auto"/>
        </w:rPr>
      </w:pPr>
      <w:r>
        <w:rPr>
          <w:rFonts w:ascii="Arial" w:cs="Arial" w:eastAsia="Arial" w:hAnsi="Arial"/>
          <w:sz w:val="14"/>
          <w:szCs w:val="14"/>
          <w:color w:val="auto"/>
        </w:rPr>
        <w:t>The initial public offering price may not correspond to the price at which our common stock will trade in the public market subsequent to this offering, and an active trading market may not develop and continue after this offering.</w:t>
      </w:r>
    </w:p>
    <w:p>
      <w:pPr>
        <w:spacing w:after="0" w:line="93" w:lineRule="exact"/>
        <w:rPr>
          <w:sz w:val="20"/>
          <w:szCs w:val="20"/>
          <w:color w:val="auto"/>
        </w:rPr>
      </w:pPr>
    </w:p>
    <w:p>
      <w:pPr>
        <w:ind w:right="480" w:firstLine="458"/>
        <w:spacing w:after="0" w:line="289" w:lineRule="auto"/>
        <w:rPr>
          <w:sz w:val="20"/>
          <w:szCs w:val="20"/>
          <w:color w:val="auto"/>
        </w:rPr>
      </w:pPr>
      <w:r>
        <w:rPr>
          <w:rFonts w:ascii="Arial" w:cs="Arial" w:eastAsia="Arial" w:hAnsi="Arial"/>
          <w:sz w:val="14"/>
          <w:szCs w:val="14"/>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28" w:lineRule="exact"/>
        <w:rPr>
          <w:sz w:val="20"/>
          <w:szCs w:val="20"/>
          <w:color w:val="auto"/>
        </w:rPr>
      </w:pPr>
    </w:p>
    <w:p>
      <w:pPr>
        <w:ind w:left="780" w:hanging="240"/>
        <w:spacing w:after="0"/>
        <w:tabs>
          <w:tab w:leader="none" w:pos="7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Stabilizing transactions permit bids to purchase the underlying security so long as the stabilizing bids do not exceed a specified maximum.</w:t>
      </w:r>
    </w:p>
    <w:p>
      <w:pPr>
        <w:spacing w:after="0" w:line="79" w:lineRule="exact"/>
        <w:rPr>
          <w:rFonts w:ascii="Arial" w:cs="Arial" w:eastAsia="Arial" w:hAnsi="Arial"/>
          <w:sz w:val="14"/>
          <w:szCs w:val="14"/>
          <w:color w:val="auto"/>
        </w:rPr>
      </w:pPr>
    </w:p>
    <w:p>
      <w:pPr>
        <w:ind w:left="780" w:hanging="240"/>
        <w:spacing w:after="0" w:line="297" w:lineRule="auto"/>
        <w:tabs>
          <w:tab w:leader="none" w:pos="7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460"/>
          </w:cols>
          <w:pgMar w:left="220" w:top="398" w:right="21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right="280" w:hanging="240"/>
        <w:spacing w:after="0" w:line="293" w:lineRule="auto"/>
        <w:tabs>
          <w:tab w:leader="none" w:pos="7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7" w:lineRule="exact"/>
        <w:rPr>
          <w:rFonts w:ascii="Arial" w:cs="Arial" w:eastAsia="Arial" w:hAnsi="Arial"/>
          <w:sz w:val="13"/>
          <w:szCs w:val="13"/>
          <w:color w:val="auto"/>
        </w:rPr>
      </w:pPr>
    </w:p>
    <w:p>
      <w:pPr>
        <w:ind w:left="780" w:right="540" w:hanging="240"/>
        <w:spacing w:after="0" w:line="289" w:lineRule="auto"/>
        <w:tabs>
          <w:tab w:leader="none" w:pos="7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93"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02"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06" w:lineRule="exact"/>
        <w:rPr>
          <w:sz w:val="20"/>
          <w:szCs w:val="20"/>
          <w:color w:val="auto"/>
        </w:rPr>
      </w:pPr>
    </w:p>
    <w:p>
      <w:pPr>
        <w:jc w:val="both"/>
        <w:ind w:right="100" w:firstLine="458"/>
        <w:spacing w:after="0" w:line="275" w:lineRule="auto"/>
        <w:rPr>
          <w:sz w:val="20"/>
          <w:szCs w:val="20"/>
          <w:color w:val="auto"/>
        </w:rPr>
      </w:pPr>
      <w:r>
        <w:rPr>
          <w:rFonts w:ascii="Arial" w:cs="Arial" w:eastAsia="Arial" w:hAnsi="Arial"/>
          <w:sz w:val="14"/>
          <w:szCs w:val="14"/>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common stock is offered for sale in those jurisdictions in the United States, Europe, Asia and elsewhere where it is lawful to make such offers.</w:t>
      </w:r>
    </w:p>
    <w:p>
      <w:pPr>
        <w:spacing w:after="0" w:line="145"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Each of the underwriters has represented and agreed that it has not offered, sold or delivered and will not offer, sell or deliver any of the common stock directly or indirectly, or distribute this prospectus supplement or the accompanying prospectus or any other offering material relating to the common stock, in or from any jurisdiction except under circumstances that will result in compliance with the applicable laws and regulations thereof and that will not impose any obligations on us except as set forth in the underwriting agreement.</w:t>
      </w:r>
    </w:p>
    <w:p>
      <w:pPr>
        <w:spacing w:after="0" w:line="102"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(the “Relevant Implementation Date”) it has not made and will not make an offer of Securities to the public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Securities to the public in that Relevant Member State at any time,</w:t>
      </w:r>
    </w:p>
    <w:p>
      <w:pPr>
        <w:spacing w:after="0" w:line="27" w:lineRule="exact"/>
        <w:rPr>
          <w:sz w:val="20"/>
          <w:szCs w:val="20"/>
          <w:color w:val="auto"/>
        </w:rPr>
      </w:pPr>
    </w:p>
    <w:p>
      <w:pPr>
        <w:jc w:val="center"/>
        <w:ind w:left="5620" w:right="460" w:hanging="4983"/>
        <w:spacing w:after="0" w:line="469" w:lineRule="auto"/>
        <w:tabs>
          <w:tab w:leader="none" w:pos="896"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 legal entities which are authorized or regulated to operate in the financial markets or, if not so authorized or regulated, whose corporate purpose is solely to invest in securities; 167</w:t>
      </w:r>
    </w:p>
    <w:p>
      <w:pPr>
        <w:sectPr>
          <w:pgSz w:w="11900" w:h="16838" w:orient="portrait"/>
          <w:cols w:equalWidth="0" w:num="1">
            <w:col w:w="11460"/>
          </w:cols>
          <w:pgMar w:left="220" w:top="399" w:right="21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900" w:right="80" w:hanging="271"/>
        <w:spacing w:after="0" w:line="289" w:lineRule="auto"/>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27" w:lineRule="exact"/>
        <w:rPr>
          <w:rFonts w:ascii="Arial" w:cs="Arial" w:eastAsia="Arial" w:hAnsi="Arial"/>
          <w:sz w:val="14"/>
          <w:szCs w:val="14"/>
          <w:color w:val="auto"/>
        </w:rPr>
      </w:pPr>
    </w:p>
    <w:p>
      <w:pPr>
        <w:ind w:left="900" w:right="80" w:hanging="263"/>
        <w:spacing w:after="0" w:line="289" w:lineRule="auto"/>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fewer than 100 natural or legal persons (other than qualified investors as defined in the Prospectus Directive) subject to obtaining the prior consent of the manager for any such offer; or</w:t>
      </w:r>
    </w:p>
    <w:p>
      <w:pPr>
        <w:spacing w:after="0" w:line="27" w:lineRule="exact"/>
        <w:rPr>
          <w:rFonts w:ascii="Arial" w:cs="Arial" w:eastAsia="Arial" w:hAnsi="Arial"/>
          <w:sz w:val="14"/>
          <w:szCs w:val="14"/>
          <w:color w:val="auto"/>
        </w:rPr>
      </w:pPr>
    </w:p>
    <w:p>
      <w:pPr>
        <w:ind w:left="900" w:hanging="271"/>
        <w:spacing w:after="0"/>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 any other circumstances which do not require the publication by the Issuer of a prospectus pursuant to Article 3 of the Prospectus Directive.</w:t>
      </w:r>
    </w:p>
    <w:p>
      <w:pPr>
        <w:spacing w:after="0" w:line="145"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Each of the underwriters severally represents, warrants and agrees as follows:</w:t>
      </w:r>
    </w:p>
    <w:p>
      <w:pPr>
        <w:spacing w:after="0" w:line="79" w:lineRule="exact"/>
        <w:rPr>
          <w:sz w:val="20"/>
          <w:szCs w:val="20"/>
          <w:color w:val="auto"/>
        </w:rPr>
      </w:pPr>
    </w:p>
    <w:p>
      <w:pPr>
        <w:ind w:left="900" w:right="40" w:hanging="263"/>
        <w:spacing w:after="0" w:line="275" w:lineRule="auto"/>
        <w:tabs>
          <w:tab w:leader="none" w:pos="9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36" w:lineRule="exact"/>
        <w:rPr>
          <w:rFonts w:ascii="Arial" w:cs="Arial" w:eastAsia="Arial" w:hAnsi="Arial"/>
          <w:sz w:val="14"/>
          <w:szCs w:val="14"/>
          <w:color w:val="auto"/>
        </w:rPr>
      </w:pPr>
    </w:p>
    <w:p>
      <w:pPr>
        <w:ind w:left="900" w:right="220" w:hanging="271"/>
        <w:spacing w:after="0" w:line="289" w:lineRule="auto"/>
        <w:tabs>
          <w:tab w:leader="none" w:pos="9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it has complied with, and will comply with all applicable provisions of FSMA with respect to anything done by it in relation to the common stock in, from or otherwise involving the United Kingdom.</w:t>
      </w:r>
    </w:p>
    <w:p>
      <w:pPr>
        <w:spacing w:after="0" w:line="9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The underwriters will not offer or sell any of our common stock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06" w:lineRule="exact"/>
        <w:rPr>
          <w:sz w:val="20"/>
          <w:szCs w:val="20"/>
          <w:color w:val="auto"/>
        </w:rPr>
      </w:pPr>
    </w:p>
    <w:p>
      <w:pPr>
        <w:ind w:right="20" w:firstLine="458"/>
        <w:spacing w:after="0" w:line="287" w:lineRule="auto"/>
        <w:rPr>
          <w:sz w:val="20"/>
          <w:szCs w:val="20"/>
          <w:color w:val="auto"/>
        </w:rPr>
      </w:pPr>
      <w:r>
        <w:rPr>
          <w:rFonts w:ascii="Arial" w:cs="Arial" w:eastAsia="Arial" w:hAnsi="Arial"/>
          <w:sz w:val="13"/>
          <w:szCs w:val="13"/>
          <w:color w:val="auto"/>
        </w:rPr>
        <w:t>The underwriters and each of their affiliates have not (i) offered or sold, and will not offer or sell, in Hong Kong, by means of any document, our common stock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(ii) issued or had in its possession for the purposes of issue, and will not issue or have in its possession for the purposes of issue, whether in Hong Kong or elsewhere any advertisement, invitation or document relating to our common stock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00"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This prospectus or any other offering material relating to our common stock has not been and will not be registered as a prospectus with the Monetary Authority of Singapore, and the common stock will be offered in Singapore pursuant to exemptions under Section 274 and Section 275 of the Securities and Futures Act, Chapter 289 of Singapore (the “ Securities and Futures Act”). Accordingly our common stock may not be offered or sold,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440"/>
          </w:cols>
          <w:pgMar w:left="220" w:top="399" w:right="23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or be the subject of an invitation for subscription or purchase, nor may this prospectus or any other offering material relating to our common stock be circulated or distributed, whether directly or indirectly, to the public or any member of the public in Singapore other than (a) to an institutional investor or other person specified in Section 274 of the Securities and Futures Act, (b) to a sophisticated investor, and in accordance with the conditions specified in Section 275 of the Securities and Futures Act or (c) otherwise pursuant to, and in accordance with the conditions of, any other applicable provision of the Securities and Futures Act.</w:t>
      </w:r>
    </w:p>
    <w:p>
      <w:pPr>
        <w:spacing w:after="0" w:line="106"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Our common stock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common stock is publicly announced (whether electronically or otherwise) in The Netherlands it is stated that such offer is and will be exclusively made to such Professional Investors. Individual or legal entities who are not Professional Investors may not participate in the offering of our common stock, and this prospectus or any other offering material relating to our common stock may not be considered an offer or the prospect of an offer to sell or exchange our common stock.</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340"/>
          </w:cols>
          <w:pgMar w:left="220" w:top="398" w:right="33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49"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We are represented by Holme Roberts &amp; Owen LLP, Denver, Colorado, who will pass upon the validity of the shares of common stock offered hereby. The underwriters are represented by Skadden, Arps, Slate, Meagher &amp; Flom LLP, Los Angeles, California.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EXPERTS</w:t>
      </w:r>
    </w:p>
    <w:p>
      <w:pPr>
        <w:spacing w:after="0" w:line="149"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The financial statement of National CineMedia, Inc. as of October 5, 2006, included in this prospectus has been audited by Deloitte &amp; Touche LLP, an independent registered public accounting firm, as stated in their report appearing herein and elsewhere in the registration statement, and has been so included in reliance upon the report of such firm given upon their authority as experts in accounting and auditing.</w:t>
      </w:r>
    </w:p>
    <w:p>
      <w:pPr>
        <w:spacing w:after="0" w:line="102"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color w:val="auto"/>
        </w:rPr>
        <w:t>The financial statements of National CineMedia, LLC as of December 29, 2005 and September 28, 2006, and for the nine months ended December 29, 2005 and September 28, 2006, included in this prospectus have been audited by Deloitte &amp; Touche LLP, an independent registered public accounting firm, as stated in their report appearing herein and elsewhere in the registration statement, and have been so included in reliance upon the report of such firm given upon their authority as experts in accounting and auditing.</w:t>
      </w:r>
    </w:p>
    <w:p>
      <w:pPr>
        <w:spacing w:after="0" w:line="102" w:lineRule="exact"/>
        <w:rPr>
          <w:sz w:val="20"/>
          <w:szCs w:val="20"/>
          <w:color w:val="auto"/>
        </w:rPr>
      </w:pPr>
    </w:p>
    <w:p>
      <w:pPr>
        <w:jc w:val="both"/>
        <w:ind w:right="200" w:firstLine="458"/>
        <w:spacing w:after="0" w:line="341" w:lineRule="auto"/>
        <w:rPr>
          <w:sz w:val="20"/>
          <w:szCs w:val="20"/>
          <w:color w:val="auto"/>
        </w:rPr>
      </w:pPr>
      <w:r>
        <w:rPr>
          <w:rFonts w:ascii="Arial" w:cs="Arial" w:eastAsia="Arial" w:hAnsi="Arial"/>
          <w:sz w:val="12"/>
          <w:szCs w:val="12"/>
          <w:color w:val="auto"/>
        </w:rPr>
        <w:t>The financial statements of Regal CineMedia Corporation, a predecessor of National CineMedia, LLC, as of December 30, 2004, and for the years ended January 1, 2004 and December 30, 2004 and the three months ended March 31, 2005, included in this prospectus have been audited by Deloitte &amp; Touche LLP, an independent registered public accounting firm, as stated in their report appearing herein and elsewhere in the registration statement, and have been so included in reliance upon the report of such firm given upon their authority as experts in accounting and auditing.</w:t>
      </w:r>
    </w:p>
    <w:p>
      <w:pPr>
        <w:spacing w:after="0" w:line="68"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The financial statements of National Cinema Network, Inc., joint predecessor of National CineMedia, LLC, as of March 31, 2005, for the successor period from December 24, 2004, through March 31, 2005, and for the predecessor periods from April 2, 2004 through December 23, 2004 and the year ended April 1, 2004, included in this prospectus have been audited by Deloitte &amp; Touche LLP, an independent registered public accounting firm, as stated in their report appearing herein and elsewhere in the registration statement, and have been so included in reliance upon the report of such firm given upon their authority as experts in accounting and auditing.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WHERE YOU CAN FIND MORE INFORMATION</w:t>
      </w:r>
    </w:p>
    <w:p>
      <w:pPr>
        <w:spacing w:after="0" w:line="149"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 xml:space="preserve">We have filed with the SEC, in Washington, D.C., a registration statement on Form S-1 under the Securities Act with respect to the common stock offered hereby. This prospectus is a part of the registration statement and, as permitted by the SEC’s rules, does not contain all of the information presented in the registration statement. For further information with respect to us and our common stock offered hereby,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A copy of the registration statement, including the exhibits and schedules thereto, may be read and copied at the SEC’s Public Reference Room at 100 F Street, NE, Washington, D.C. 20549. Information on the operation of the Public Reference Room may be obtained by calling the SEC at 1-800-SEC-0330. In addition, the SEC maintains an Internet site at </w:t>
      </w:r>
      <w:r>
        <w:rPr>
          <w:rFonts w:ascii="Arial" w:cs="Arial" w:eastAsia="Arial" w:hAnsi="Arial"/>
          <w:sz w:val="13"/>
          <w:szCs w:val="13"/>
          <w:i w:val="1"/>
          <w:iCs w:val="1"/>
          <w:color w:val="auto"/>
        </w:rPr>
        <w:t>www.sec.gov</w:t>
      </w:r>
      <w:r>
        <w:rPr>
          <w:rFonts w:ascii="Arial" w:cs="Arial" w:eastAsia="Arial" w:hAnsi="Arial"/>
          <w:sz w:val="13"/>
          <w:szCs w:val="13"/>
          <w:color w:val="auto"/>
        </w:rPr>
        <w:t>, from which interested persons can electronically access the registration statement, including the exhibits and any schedules thereto. The registration statement, including the exhibits and schedules thereto, is also available for reading and copying at the offices of the The Nasdaq Stock Market at One Liberty Plaza, 165 Broadway, New York, NY 10006.</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460"/>
          </w:cols>
          <w:pgMar w:left="220" w:top="399" w:right="21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firstLine="458"/>
        <w:spacing w:after="0" w:line="328" w:lineRule="auto"/>
        <w:rPr>
          <w:sz w:val="20"/>
          <w:szCs w:val="20"/>
          <w:color w:val="auto"/>
        </w:rPr>
      </w:pPr>
      <w:r>
        <w:rPr>
          <w:rFonts w:ascii="Arial" w:cs="Arial" w:eastAsia="Arial" w:hAnsi="Arial"/>
          <w:sz w:val="12"/>
          <w:szCs w:val="12"/>
          <w:color w:val="auto"/>
        </w:rPr>
        <w:t xml:space="preserve">As a result of this offering, we will become subject to the informational requirements of the Exchange Act. We will fulfill our obligations with respect to such requirements by filing periodic reports, proxy statements and other information with the SEC. We intend to furnish our stockholders with annual reports containing consolidated financial statements certified by an independent public accounting firm. We also maintain an Internet site at </w:t>
      </w:r>
      <w:r>
        <w:rPr>
          <w:rFonts w:ascii="Arial" w:cs="Arial" w:eastAsia="Arial" w:hAnsi="Arial"/>
          <w:sz w:val="12"/>
          <w:szCs w:val="12"/>
          <w:i w:val="1"/>
          <w:iCs w:val="1"/>
          <w:color w:val="auto"/>
        </w:rPr>
        <w:t>www.ncm.com</w:t>
      </w:r>
      <w:r>
        <w:rPr>
          <w:rFonts w:ascii="Arial" w:cs="Arial" w:eastAsia="Arial" w:hAnsi="Arial"/>
          <w:sz w:val="12"/>
          <w:szCs w:val="12"/>
          <w:color w:val="auto"/>
        </w:rPr>
        <w:t xml:space="preserve">. </w:t>
      </w:r>
      <w:r>
        <w:rPr>
          <w:rFonts w:ascii="Arial" w:cs="Arial" w:eastAsia="Arial" w:hAnsi="Arial"/>
          <w:sz w:val="12"/>
          <w:szCs w:val="12"/>
          <w:b w:val="1"/>
          <w:bCs w:val="1"/>
          <w:color w:val="auto"/>
        </w:rPr>
        <w:t>Our website and the information contained therein or connected thereto shall not be deemed to be incorporated into this</w:t>
      </w:r>
      <w:r>
        <w:rPr>
          <w:rFonts w:ascii="Arial" w:cs="Arial" w:eastAsia="Arial" w:hAnsi="Arial"/>
          <w:sz w:val="12"/>
          <w:szCs w:val="12"/>
          <w:color w:val="auto"/>
        </w:rPr>
        <w:t xml:space="preserve"> </w:t>
      </w:r>
      <w:r>
        <w:rPr>
          <w:rFonts w:ascii="Arial" w:cs="Arial" w:eastAsia="Arial" w:hAnsi="Arial"/>
          <w:sz w:val="12"/>
          <w:szCs w:val="12"/>
          <w:b w:val="1"/>
          <w:bCs w:val="1"/>
          <w:color w:val="auto"/>
        </w:rPr>
        <w:t>prospectus or the registration statement of which this prospectus forms a part, and you should not rely on any such information in making your decision whether to purchase our securities.</w:t>
      </w:r>
    </w:p>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380"/>
          </w:cols>
          <w:pgMar w:left="220" w:top="399" w:right="29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00" w:type="dxa"/>
            <w:vAlign w:val="bottom"/>
            <w:gridSpan w:val="11"/>
          </w:tcPr>
          <w:p>
            <w:pPr>
              <w:jc w:val="center"/>
              <w:ind w:right="3620"/>
              <w:spacing w:after="0"/>
              <w:rPr>
                <w:sz w:val="20"/>
                <w:szCs w:val="20"/>
                <w:color w:val="auto"/>
              </w:rPr>
            </w:pPr>
            <w:r>
              <w:rPr>
                <w:rFonts w:ascii="Arial" w:cs="Arial" w:eastAsia="Arial" w:hAnsi="Arial"/>
                <w:sz w:val="14"/>
                <w:szCs w:val="14"/>
                <w:b w:val="1"/>
                <w:bCs w:val="1"/>
                <w:color w:val="auto"/>
              </w:rPr>
              <w:t>INDEX TO FINANCIAL STATEMENTS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100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National CineMedia, Inc.</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8"/>
        </w:trPr>
        <w:tc>
          <w:tcPr>
            <w:tcW w:w="11000" w:type="dxa"/>
            <w:vAlign w:val="bottom"/>
            <w:gridSpan w:val="27"/>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0640" w:type="dxa"/>
            <w:vAlign w:val="bottom"/>
            <w:gridSpan w:val="26"/>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460" w:type="dxa"/>
            <w:vAlign w:val="bottom"/>
          </w:tcPr>
          <w:p>
            <w:pPr>
              <w:jc w:val="right"/>
              <w:spacing w:after="0"/>
              <w:rPr>
                <w:sz w:val="20"/>
                <w:szCs w:val="20"/>
                <w:color w:val="auto"/>
              </w:rPr>
            </w:pPr>
            <w:r>
              <w:rPr>
                <w:rFonts w:ascii="Arial" w:cs="Arial" w:eastAsia="Arial" w:hAnsi="Arial"/>
                <w:sz w:val="14"/>
                <w:szCs w:val="14"/>
                <w:color w:val="auto"/>
              </w:rPr>
              <w:t>F-2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0640" w:type="dxa"/>
            <w:vAlign w:val="bottom"/>
            <w:gridSpan w:val="26"/>
          </w:tcPr>
          <w:p>
            <w:pPr>
              <w:spacing w:after="0"/>
              <w:rPr>
                <w:sz w:val="20"/>
                <w:szCs w:val="20"/>
                <w:color w:val="auto"/>
              </w:rPr>
            </w:pPr>
            <w:r>
              <w:rPr>
                <w:rFonts w:ascii="Arial" w:cs="Arial" w:eastAsia="Arial" w:hAnsi="Arial"/>
                <w:sz w:val="14"/>
                <w:szCs w:val="14"/>
                <w:color w:val="auto"/>
              </w:rPr>
              <w:t>Balance Sheet as of October 5, 2006</w:t>
            </w:r>
          </w:p>
        </w:tc>
        <w:tc>
          <w:tcPr>
            <w:tcW w:w="460" w:type="dxa"/>
            <w:vAlign w:val="bottom"/>
          </w:tcPr>
          <w:p>
            <w:pPr>
              <w:jc w:val="right"/>
              <w:spacing w:after="0"/>
              <w:rPr>
                <w:sz w:val="20"/>
                <w:szCs w:val="20"/>
                <w:color w:val="auto"/>
              </w:rPr>
            </w:pPr>
            <w:r>
              <w:rPr>
                <w:rFonts w:ascii="Arial" w:cs="Arial" w:eastAsia="Arial" w:hAnsi="Arial"/>
                <w:sz w:val="14"/>
                <w:szCs w:val="14"/>
                <w:color w:val="auto"/>
              </w:rPr>
              <w:t>F-3</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10640" w:type="dxa"/>
            <w:vAlign w:val="bottom"/>
            <w:gridSpan w:val="26"/>
          </w:tcPr>
          <w:p>
            <w:pPr>
              <w:spacing w:after="0"/>
              <w:rPr>
                <w:sz w:val="20"/>
                <w:szCs w:val="20"/>
                <w:color w:val="auto"/>
              </w:rPr>
            </w:pPr>
            <w:r>
              <w:rPr>
                <w:rFonts w:ascii="Arial" w:cs="Arial" w:eastAsia="Arial" w:hAnsi="Arial"/>
                <w:sz w:val="14"/>
                <w:szCs w:val="14"/>
                <w:color w:val="auto"/>
              </w:rPr>
              <w:t>Notes to Financial Statement</w:t>
            </w:r>
          </w:p>
        </w:tc>
        <w:tc>
          <w:tcPr>
            <w:tcW w:w="460" w:type="dxa"/>
            <w:vAlign w:val="bottom"/>
          </w:tcPr>
          <w:p>
            <w:pPr>
              <w:jc w:val="right"/>
              <w:spacing w:after="0"/>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231"/>
        </w:trPr>
        <w:tc>
          <w:tcPr>
            <w:tcW w:w="1600" w:type="dxa"/>
            <w:vAlign w:val="bottom"/>
            <w:tcBorders>
              <w:bottom w:val="single" w:sz="8" w:color="0000EE"/>
            </w:tcBorders>
            <w:gridSpan w:val="4"/>
          </w:tcPr>
          <w:p>
            <w:pPr>
              <w:spacing w:after="0"/>
              <w:rPr>
                <w:rFonts w:ascii="Arial" w:cs="Arial" w:eastAsia="Arial" w:hAnsi="Arial"/>
                <w:sz w:val="14"/>
                <w:szCs w:val="14"/>
                <w:b w:val="1"/>
                <w:bCs w:val="1"/>
                <w:color w:val="0000EE"/>
                <w:w w:val="96"/>
              </w:rPr>
            </w:pPr>
            <w:hyperlink w:anchor="page180">
              <w:r>
                <w:rPr>
                  <w:rFonts w:ascii="Arial" w:cs="Arial" w:eastAsia="Arial" w:hAnsi="Arial"/>
                  <w:sz w:val="14"/>
                  <w:szCs w:val="14"/>
                  <w:b w:val="1"/>
                  <w:bCs w:val="1"/>
                  <w:color w:val="0000EE"/>
                  <w:w w:val="96"/>
                </w:rPr>
                <w:t>National CineMedia, LLC</w:t>
              </w:r>
            </w:hyperlink>
          </w:p>
        </w:tc>
        <w:tc>
          <w:tcPr>
            <w:tcW w:w="9400" w:type="dxa"/>
            <w:vAlign w:val="bottom"/>
            <w:gridSpan w:val="23"/>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340" w:type="dxa"/>
            <w:vAlign w:val="bottom"/>
            <w:tcBorders>
              <w:bottom w:val="single" w:sz="8" w:color="0000EE"/>
            </w:tcBorders>
            <w:gridSpan w:val="14"/>
          </w:tcPr>
          <w:p>
            <w:pPr>
              <w:spacing w:after="0" w:line="155" w:lineRule="exact"/>
              <w:rPr>
                <w:rFonts w:ascii="Arial" w:cs="Arial" w:eastAsia="Arial" w:hAnsi="Arial"/>
                <w:sz w:val="14"/>
                <w:szCs w:val="14"/>
                <w:color w:val="0000EE"/>
                <w:w w:val="92"/>
              </w:rPr>
            </w:pPr>
            <w:hyperlink w:anchor="page180">
              <w:r>
                <w:rPr>
                  <w:rFonts w:ascii="Arial" w:cs="Arial" w:eastAsia="Arial" w:hAnsi="Arial"/>
                  <w:sz w:val="14"/>
                  <w:szCs w:val="14"/>
                  <w:color w:val="0000EE"/>
                  <w:w w:val="92"/>
                </w:rPr>
                <w:t>Report of Independent Registered Public Accounting Firm</w:t>
              </w:r>
            </w:hyperlink>
          </w:p>
        </w:tc>
        <w:tc>
          <w:tcPr>
            <w:tcW w:w="7300" w:type="dxa"/>
            <w:vAlign w:val="bottom"/>
            <w:gridSpan w:val="12"/>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F-5</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740" w:type="dxa"/>
            <w:vAlign w:val="bottom"/>
            <w:tcBorders>
              <w:bottom w:val="single" w:sz="8" w:color="0000EE"/>
            </w:tcBorders>
            <w:gridSpan w:val="15"/>
          </w:tcPr>
          <w:p>
            <w:pPr>
              <w:spacing w:after="0" w:line="155" w:lineRule="exact"/>
              <w:rPr>
                <w:rFonts w:ascii="Arial" w:cs="Arial" w:eastAsia="Arial" w:hAnsi="Arial"/>
                <w:sz w:val="14"/>
                <w:szCs w:val="14"/>
                <w:color w:val="0000EE"/>
                <w:w w:val="89"/>
              </w:rPr>
            </w:pPr>
            <w:hyperlink w:anchor="page181">
              <w:r>
                <w:rPr>
                  <w:rFonts w:ascii="Arial" w:cs="Arial" w:eastAsia="Arial" w:hAnsi="Arial"/>
                  <w:sz w:val="14"/>
                  <w:szCs w:val="14"/>
                  <w:color w:val="0000EE"/>
                  <w:w w:val="89"/>
                </w:rPr>
                <w:t>Balance Sheets as of December 29, 2005 and September 28, 2006</w:t>
              </w:r>
            </w:hyperlink>
          </w:p>
        </w:tc>
        <w:tc>
          <w:tcPr>
            <w:tcW w:w="6900" w:type="dxa"/>
            <w:vAlign w:val="bottom"/>
            <w:gridSpan w:val="11"/>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F-6</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182">
              <w:r>
                <w:rPr>
                  <w:rFonts w:ascii="Arial" w:cs="Arial" w:eastAsia="Arial" w:hAnsi="Arial"/>
                  <w:sz w:val="14"/>
                  <w:szCs w:val="14"/>
                  <w:color w:val="0000EE"/>
                </w:rPr>
                <w:t>Statements of Operations for the nine months ended December 29, 2005 and September 28, 2006</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183">
              <w:r>
                <w:rPr>
                  <w:rFonts w:ascii="Arial" w:cs="Arial" w:eastAsia="Arial" w:hAnsi="Arial"/>
                  <w:sz w:val="14"/>
                  <w:szCs w:val="14"/>
                  <w:color w:val="0000EE"/>
                </w:rPr>
                <w:t>Statement of Members’ Equity for the nine months ended December 29, 2005 and September 28, 2006</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F-8</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840" w:type="dxa"/>
            <w:vAlign w:val="bottom"/>
            <w:tcBorders>
              <w:top w:val="single" w:sz="8" w:color="0000EE"/>
            </w:tcBorders>
            <w:gridSpan w:val="18"/>
          </w:tcPr>
          <w:p>
            <w:pPr>
              <w:spacing w:after="0" w:line="155" w:lineRule="exact"/>
              <w:rPr>
                <w:rFonts w:ascii="Arial" w:cs="Arial" w:eastAsia="Arial" w:hAnsi="Arial"/>
                <w:sz w:val="14"/>
                <w:szCs w:val="14"/>
                <w:color w:val="0000EE"/>
                <w:w w:val="94"/>
              </w:rPr>
            </w:pPr>
            <w:hyperlink w:anchor="page184">
              <w:r>
                <w:rPr>
                  <w:rFonts w:ascii="Arial" w:cs="Arial" w:eastAsia="Arial" w:hAnsi="Arial"/>
                  <w:sz w:val="14"/>
                  <w:szCs w:val="14"/>
                  <w:color w:val="0000EE"/>
                  <w:w w:val="94"/>
                </w:rPr>
                <w:t>Statements of Cash Flows for the nine months ended December 29, 2005 and September 28, 2006</w:t>
              </w:r>
            </w:hyperlink>
          </w:p>
        </w:tc>
        <w:tc>
          <w:tcPr>
            <w:tcW w:w="4800" w:type="dxa"/>
            <w:vAlign w:val="bottom"/>
            <w:gridSpan w:val="8"/>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F-9</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720" w:type="dxa"/>
            <w:vAlign w:val="bottom"/>
            <w:tcBorders>
              <w:top w:val="single" w:sz="8" w:color="0000EE"/>
              <w:bottom w:val="single" w:sz="8" w:color="0000EE"/>
            </w:tcBorders>
            <w:gridSpan w:val="7"/>
          </w:tcPr>
          <w:p>
            <w:pPr>
              <w:spacing w:after="0" w:line="155" w:lineRule="exact"/>
              <w:rPr>
                <w:rFonts w:ascii="Arial" w:cs="Arial" w:eastAsia="Arial" w:hAnsi="Arial"/>
                <w:sz w:val="14"/>
                <w:szCs w:val="14"/>
                <w:color w:val="0000EE"/>
                <w:w w:val="91"/>
              </w:rPr>
            </w:pPr>
            <w:hyperlink w:anchor="page185">
              <w:r>
                <w:rPr>
                  <w:rFonts w:ascii="Arial" w:cs="Arial" w:eastAsia="Arial" w:hAnsi="Arial"/>
                  <w:sz w:val="14"/>
                  <w:szCs w:val="14"/>
                  <w:color w:val="0000EE"/>
                  <w:w w:val="91"/>
                </w:rPr>
                <w:t>Notes to Financial Statements</w:t>
              </w:r>
            </w:hyperlink>
          </w:p>
        </w:tc>
        <w:tc>
          <w:tcPr>
            <w:tcW w:w="3840" w:type="dxa"/>
            <w:vAlign w:val="bottom"/>
            <w:tcBorders>
              <w:top w:val="single" w:sz="8" w:color="0000EE"/>
            </w:tcBorders>
            <w:gridSpan w:val="10"/>
          </w:tcPr>
          <w:p>
            <w:pPr>
              <w:spacing w:after="0"/>
              <w:rPr>
                <w:sz w:val="13"/>
                <w:szCs w:val="13"/>
                <w:color w:val="auto"/>
              </w:rPr>
            </w:pPr>
          </w:p>
        </w:tc>
        <w:tc>
          <w:tcPr>
            <w:tcW w:w="5080" w:type="dxa"/>
            <w:vAlign w:val="bottom"/>
            <w:gridSpan w:val="9"/>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F-10</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w w:val="99"/>
              </w:rPr>
            </w:pPr>
            <w:hyperlink w:anchor="page198">
              <w:r>
                <w:rPr>
                  <w:rFonts w:ascii="Arial" w:cs="Arial" w:eastAsia="Arial" w:hAnsi="Arial"/>
                  <w:sz w:val="14"/>
                  <w:szCs w:val="14"/>
                  <w:color w:val="0000EE"/>
                  <w:w w:val="99"/>
                </w:rPr>
                <w:t>Condensed Statements of Operations for the six months ended September 29, 2005, and the three months ended September 29, 2005, and September 28, 2006 (unaudited)</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F-23</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060" w:type="dxa"/>
            <w:vAlign w:val="bottom"/>
            <w:tcBorders>
              <w:top w:val="single" w:sz="8" w:color="0000EE"/>
              <w:bottom w:val="single" w:sz="8" w:color="0000EE"/>
            </w:tcBorders>
            <w:gridSpan w:val="12"/>
          </w:tcPr>
          <w:p>
            <w:pPr>
              <w:spacing w:after="0" w:line="155" w:lineRule="exact"/>
              <w:rPr>
                <w:rFonts w:ascii="Arial" w:cs="Arial" w:eastAsia="Arial" w:hAnsi="Arial"/>
                <w:sz w:val="14"/>
                <w:szCs w:val="14"/>
                <w:color w:val="0000EE"/>
                <w:w w:val="90"/>
              </w:rPr>
            </w:pPr>
            <w:hyperlink w:anchor="page199">
              <w:r>
                <w:rPr>
                  <w:rFonts w:ascii="Arial" w:cs="Arial" w:eastAsia="Arial" w:hAnsi="Arial"/>
                  <w:sz w:val="14"/>
                  <w:szCs w:val="14"/>
                  <w:color w:val="0000EE"/>
                  <w:w w:val="90"/>
                </w:rPr>
                <w:t>Notes to Condensed Financial Statements (unaudited)</w:t>
              </w:r>
            </w:hyperlink>
          </w:p>
        </w:tc>
        <w:tc>
          <w:tcPr>
            <w:tcW w:w="6600" w:type="dxa"/>
            <w:vAlign w:val="bottom"/>
            <w:tcBorders>
              <w:top w:val="single" w:sz="8" w:color="0000EE"/>
            </w:tcBorders>
            <w:gridSpan w:val="10"/>
          </w:tcPr>
          <w:p>
            <w:pPr>
              <w:spacing w:after="0"/>
              <w:rPr>
                <w:sz w:val="13"/>
                <w:szCs w:val="13"/>
                <w:color w:val="auto"/>
              </w:rPr>
            </w:pPr>
          </w:p>
        </w:tc>
        <w:tc>
          <w:tcPr>
            <w:tcW w:w="980" w:type="dxa"/>
            <w:vAlign w:val="bottom"/>
            <w:gridSpan w:val="4"/>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F-24</w:t>
            </w:r>
          </w:p>
        </w:tc>
        <w:tc>
          <w:tcPr>
            <w:tcW w:w="0" w:type="dxa"/>
            <w:vAlign w:val="bottom"/>
          </w:tcPr>
          <w:p>
            <w:pPr>
              <w:spacing w:after="0"/>
              <w:rPr>
                <w:sz w:val="1"/>
                <w:szCs w:val="1"/>
                <w:color w:val="auto"/>
              </w:rPr>
            </w:pPr>
          </w:p>
        </w:tc>
      </w:tr>
      <w:tr>
        <w:trPr>
          <w:trHeight w:val="242"/>
        </w:trPr>
        <w:tc>
          <w:tcPr>
            <w:tcW w:w="1860" w:type="dxa"/>
            <w:vAlign w:val="bottom"/>
            <w:tcBorders>
              <w:bottom w:val="single" w:sz="8" w:color="0000EE"/>
            </w:tcBorders>
            <w:gridSpan w:val="5"/>
          </w:tcPr>
          <w:p>
            <w:pPr>
              <w:spacing w:after="0"/>
              <w:rPr>
                <w:rFonts w:ascii="Arial" w:cs="Arial" w:eastAsia="Arial" w:hAnsi="Arial"/>
                <w:sz w:val="14"/>
                <w:szCs w:val="14"/>
                <w:b w:val="1"/>
                <w:bCs w:val="1"/>
                <w:color w:val="0000EE"/>
                <w:w w:val="93"/>
              </w:rPr>
            </w:pPr>
            <w:hyperlink w:anchor="page203">
              <w:r>
                <w:rPr>
                  <w:rFonts w:ascii="Arial" w:cs="Arial" w:eastAsia="Arial" w:hAnsi="Arial"/>
                  <w:sz w:val="14"/>
                  <w:szCs w:val="14"/>
                  <w:b w:val="1"/>
                  <w:bCs w:val="1"/>
                  <w:color w:val="0000EE"/>
                  <w:w w:val="93"/>
                </w:rPr>
                <w:t>Regal CineMedia Corporation</w:t>
              </w:r>
            </w:hyperlink>
          </w:p>
        </w:tc>
        <w:tc>
          <w:tcPr>
            <w:tcW w:w="9140" w:type="dxa"/>
            <w:vAlign w:val="bottom"/>
            <w:gridSpan w:val="22"/>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203">
              <w:r>
                <w:rPr>
                  <w:rFonts w:ascii="Arial" w:cs="Arial" w:eastAsia="Arial" w:hAnsi="Arial"/>
                  <w:sz w:val="14"/>
                  <w:szCs w:val="14"/>
                  <w:color w:val="0000EE"/>
                </w:rPr>
                <w:t>Report of Independent Registered Public Accounting Firm</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F-28</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320" w:type="dxa"/>
            <w:vAlign w:val="bottom"/>
            <w:tcBorders>
              <w:top w:val="single" w:sz="8" w:color="0000EE"/>
            </w:tcBorders>
            <w:gridSpan w:val="13"/>
          </w:tcPr>
          <w:p>
            <w:pPr>
              <w:spacing w:after="0" w:line="155" w:lineRule="exact"/>
              <w:rPr>
                <w:rFonts w:ascii="Arial" w:cs="Arial" w:eastAsia="Arial" w:hAnsi="Arial"/>
                <w:sz w:val="14"/>
                <w:szCs w:val="14"/>
                <w:color w:val="0000EE"/>
              </w:rPr>
            </w:pPr>
            <w:hyperlink w:anchor="page204">
              <w:r>
                <w:rPr>
                  <w:rFonts w:ascii="Arial" w:cs="Arial" w:eastAsia="Arial" w:hAnsi="Arial"/>
                  <w:sz w:val="14"/>
                  <w:szCs w:val="14"/>
                  <w:color w:val="0000EE"/>
                </w:rPr>
                <w:t>Balance Sheet as of December 30, 2004</w:t>
              </w:r>
            </w:hyperlink>
          </w:p>
        </w:tc>
        <w:tc>
          <w:tcPr>
            <w:tcW w:w="7320" w:type="dxa"/>
            <w:vAlign w:val="bottom"/>
            <w:gridSpan w:val="13"/>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F-29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7460" w:type="dxa"/>
            <w:vAlign w:val="bottom"/>
            <w:tcBorders>
              <w:bottom w:val="single" w:sz="8" w:color="0000EE"/>
            </w:tcBorders>
            <w:gridSpan w:val="19"/>
          </w:tcPr>
          <w:p>
            <w:pPr>
              <w:spacing w:after="0" w:line="155" w:lineRule="exact"/>
              <w:rPr>
                <w:rFonts w:ascii="Arial" w:cs="Arial" w:eastAsia="Arial" w:hAnsi="Arial"/>
                <w:sz w:val="14"/>
                <w:szCs w:val="14"/>
                <w:color w:val="0000EE"/>
                <w:w w:val="90"/>
              </w:rPr>
            </w:pPr>
            <w:hyperlink w:anchor="page205">
              <w:r>
                <w:rPr>
                  <w:rFonts w:ascii="Arial" w:cs="Arial" w:eastAsia="Arial" w:hAnsi="Arial"/>
                  <w:sz w:val="14"/>
                  <w:szCs w:val="14"/>
                  <w:color w:val="0000EE"/>
                  <w:w w:val="90"/>
                </w:rPr>
                <w:t>Statements of Operations for the years ended January 1, 2004 and December 30, 2004, and the three months ended March 31, 2005</w:t>
              </w:r>
            </w:hyperlink>
          </w:p>
        </w:tc>
        <w:tc>
          <w:tcPr>
            <w:tcW w:w="3180" w:type="dxa"/>
            <w:vAlign w:val="bottom"/>
            <w:gridSpan w:val="7"/>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F-30</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206">
              <w:r>
                <w:rPr>
                  <w:rFonts w:ascii="Arial" w:cs="Arial" w:eastAsia="Arial" w:hAnsi="Arial"/>
                  <w:sz w:val="14"/>
                  <w:szCs w:val="14"/>
                  <w:color w:val="0000EE"/>
                </w:rPr>
                <w:t>Statement of Stockholder’s Equity for the years ended January 1, 2004 and December 30, 2004, and the three months ended March 31, 2005</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F-31</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7540" w:type="dxa"/>
            <w:vAlign w:val="bottom"/>
            <w:tcBorders>
              <w:top w:val="single" w:sz="8" w:color="0000EE"/>
              <w:bottom w:val="single" w:sz="8" w:color="0000EE"/>
            </w:tcBorders>
            <w:gridSpan w:val="20"/>
          </w:tcPr>
          <w:p>
            <w:pPr>
              <w:spacing w:after="0" w:line="155" w:lineRule="exact"/>
              <w:rPr>
                <w:rFonts w:ascii="Arial" w:cs="Arial" w:eastAsia="Arial" w:hAnsi="Arial"/>
                <w:sz w:val="14"/>
                <w:szCs w:val="14"/>
                <w:color w:val="0000EE"/>
                <w:w w:val="90"/>
              </w:rPr>
            </w:pPr>
            <w:hyperlink w:anchor="page207">
              <w:r>
                <w:rPr>
                  <w:rFonts w:ascii="Arial" w:cs="Arial" w:eastAsia="Arial" w:hAnsi="Arial"/>
                  <w:sz w:val="14"/>
                  <w:szCs w:val="14"/>
                  <w:color w:val="0000EE"/>
                  <w:w w:val="90"/>
                </w:rPr>
                <w:t>Statements of Cash Flows for the years ended January 1, 2004 and December 30, 2004, and the three months ended March 31, 2005.</w:t>
              </w:r>
            </w:hyperlink>
          </w:p>
        </w:tc>
        <w:tc>
          <w:tcPr>
            <w:tcW w:w="440" w:type="dxa"/>
            <w:vAlign w:val="bottom"/>
            <w:tcBorders>
              <w:top w:val="single" w:sz="8" w:color="0000EE"/>
            </w:tcBorders>
          </w:tcPr>
          <w:p>
            <w:pPr>
              <w:spacing w:after="0"/>
              <w:rPr>
                <w:sz w:val="13"/>
                <w:szCs w:val="13"/>
                <w:color w:val="auto"/>
              </w:rPr>
            </w:pPr>
          </w:p>
        </w:tc>
        <w:tc>
          <w:tcPr>
            <w:tcW w:w="2660" w:type="dxa"/>
            <w:vAlign w:val="bottom"/>
            <w:gridSpan w:val="5"/>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F-32</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700" w:type="dxa"/>
            <w:vAlign w:val="bottom"/>
            <w:tcBorders>
              <w:bottom w:val="single" w:sz="8" w:color="0000EE"/>
            </w:tcBorders>
            <w:gridSpan w:val="6"/>
          </w:tcPr>
          <w:p>
            <w:pPr>
              <w:spacing w:after="0" w:line="155" w:lineRule="exact"/>
              <w:rPr>
                <w:rFonts w:ascii="Arial" w:cs="Arial" w:eastAsia="Arial" w:hAnsi="Arial"/>
                <w:sz w:val="14"/>
                <w:szCs w:val="14"/>
                <w:color w:val="0000EE"/>
                <w:w w:val="89"/>
              </w:rPr>
            </w:pPr>
            <w:hyperlink w:anchor="page208">
              <w:r>
                <w:rPr>
                  <w:rFonts w:ascii="Arial" w:cs="Arial" w:eastAsia="Arial" w:hAnsi="Arial"/>
                  <w:sz w:val="14"/>
                  <w:szCs w:val="14"/>
                  <w:color w:val="0000EE"/>
                  <w:w w:val="89"/>
                </w:rPr>
                <w:t>Notes to Financial Statements</w:t>
              </w:r>
            </w:hyperlink>
          </w:p>
        </w:tc>
        <w:tc>
          <w:tcPr>
            <w:tcW w:w="8940" w:type="dxa"/>
            <w:vAlign w:val="bottom"/>
            <w:gridSpan w:val="20"/>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F-33</w:t>
            </w:r>
          </w:p>
        </w:tc>
        <w:tc>
          <w:tcPr>
            <w:tcW w:w="0" w:type="dxa"/>
            <w:vAlign w:val="bottom"/>
          </w:tcPr>
          <w:p>
            <w:pPr>
              <w:spacing w:after="0"/>
              <w:rPr>
                <w:sz w:val="1"/>
                <w:szCs w:val="1"/>
                <w:color w:val="auto"/>
              </w:rPr>
            </w:pPr>
          </w:p>
        </w:tc>
      </w:tr>
      <w:tr>
        <w:trPr>
          <w:trHeight w:val="242"/>
        </w:trPr>
        <w:tc>
          <w:tcPr>
            <w:tcW w:w="11000" w:type="dxa"/>
            <w:vAlign w:val="bottom"/>
            <w:gridSpan w:val="27"/>
          </w:tcPr>
          <w:p>
            <w:pPr>
              <w:spacing w:after="0"/>
              <w:rPr>
                <w:rFonts w:ascii="Arial" w:cs="Arial" w:eastAsia="Arial" w:hAnsi="Arial"/>
                <w:sz w:val="14"/>
                <w:szCs w:val="14"/>
                <w:b w:val="1"/>
                <w:bCs w:val="1"/>
                <w:color w:val="0000EE"/>
              </w:rPr>
            </w:pPr>
            <w:hyperlink w:anchor="page207">
              <w:r>
                <w:rPr>
                  <w:rFonts w:ascii="Arial" w:cs="Arial" w:eastAsia="Arial" w:hAnsi="Arial"/>
                  <w:sz w:val="14"/>
                  <w:szCs w:val="14"/>
                  <w:b w:val="1"/>
                  <w:bCs w:val="1"/>
                  <w:color w:val="0000EE"/>
                </w:rPr>
                <w:t>National Cinema Network, Inc.</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208">
              <w:r>
                <w:rPr>
                  <w:rFonts w:ascii="Arial" w:cs="Arial" w:eastAsia="Arial" w:hAnsi="Arial"/>
                  <w:sz w:val="14"/>
                  <w:szCs w:val="14"/>
                  <w:color w:val="0000EE"/>
                </w:rPr>
                <w:t>Report of Independent Registered Public Accounting Firm</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F-41</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60" w:type="dxa"/>
            <w:vAlign w:val="bottom"/>
            <w:tcBorders>
              <w:top w:val="single" w:sz="8" w:color="0000EE"/>
              <w:bottom w:val="single" w:sz="8" w:color="0000EE"/>
            </w:tcBorders>
            <w:gridSpan w:val="8"/>
          </w:tcPr>
          <w:p>
            <w:pPr>
              <w:spacing w:after="0" w:line="155" w:lineRule="exact"/>
              <w:rPr>
                <w:rFonts w:ascii="Arial" w:cs="Arial" w:eastAsia="Arial" w:hAnsi="Arial"/>
                <w:sz w:val="14"/>
                <w:szCs w:val="14"/>
                <w:color w:val="0000EE"/>
                <w:w w:val="90"/>
              </w:rPr>
            </w:pPr>
            <w:hyperlink w:anchor="page183">
              <w:r>
                <w:rPr>
                  <w:rFonts w:ascii="Arial" w:cs="Arial" w:eastAsia="Arial" w:hAnsi="Arial"/>
                  <w:sz w:val="14"/>
                  <w:szCs w:val="14"/>
                  <w:color w:val="0000EE"/>
                  <w:w w:val="90"/>
                </w:rPr>
                <w:t>Balance Sheet as of March 31, 2005</w:t>
              </w:r>
            </w:hyperlink>
          </w:p>
        </w:tc>
        <w:tc>
          <w:tcPr>
            <w:tcW w:w="1260" w:type="dxa"/>
            <w:vAlign w:val="bottom"/>
            <w:tcBorders>
              <w:top w:val="single" w:sz="8" w:color="0000EE"/>
            </w:tcBorders>
            <w:gridSpan w:val="5"/>
          </w:tcPr>
          <w:p>
            <w:pPr>
              <w:spacing w:after="0"/>
              <w:rPr>
                <w:sz w:val="13"/>
                <w:szCs w:val="13"/>
                <w:color w:val="auto"/>
              </w:rPr>
            </w:pPr>
          </w:p>
        </w:tc>
        <w:tc>
          <w:tcPr>
            <w:tcW w:w="7320" w:type="dxa"/>
            <w:vAlign w:val="bottom"/>
            <w:gridSpan w:val="13"/>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F-42</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9880" w:type="dxa"/>
            <w:vAlign w:val="bottom"/>
            <w:tcBorders>
              <w:bottom w:val="single" w:sz="8" w:color="0000EE"/>
            </w:tcBorders>
            <w:gridSpan w:val="24"/>
          </w:tcPr>
          <w:p>
            <w:pPr>
              <w:spacing w:after="0" w:line="155" w:lineRule="exact"/>
              <w:rPr>
                <w:rFonts w:ascii="Arial" w:cs="Arial" w:eastAsia="Arial" w:hAnsi="Arial"/>
                <w:sz w:val="14"/>
                <w:szCs w:val="14"/>
                <w:color w:val="0000EE"/>
                <w:w w:val="91"/>
              </w:rPr>
            </w:pPr>
            <w:hyperlink w:anchor="page218">
              <w:r>
                <w:rPr>
                  <w:rFonts w:ascii="Arial" w:cs="Arial" w:eastAsia="Arial" w:hAnsi="Arial"/>
                  <w:sz w:val="14"/>
                  <w:szCs w:val="14"/>
                  <w:color w:val="0000EE"/>
                  <w:w w:val="91"/>
                </w:rPr>
                <w:t>Statements of Operations for the predecessor periods from April 2, 2004 through December 23, 2004 and the 52 weeks ended April 1, 2004 and for the successor period from</w:t>
              </w:r>
            </w:hyperlink>
          </w:p>
        </w:tc>
        <w:tc>
          <w:tcPr>
            <w:tcW w:w="76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tcBorders>
              <w:bottom w:val="single" w:sz="8" w:color="0000EE"/>
            </w:tcBorders>
            <w:gridSpan w:val="10"/>
          </w:tcPr>
          <w:p>
            <w:pPr>
              <w:spacing w:after="0" w:line="155" w:lineRule="exact"/>
              <w:rPr>
                <w:rFonts w:ascii="Arial" w:cs="Arial" w:eastAsia="Arial" w:hAnsi="Arial"/>
                <w:sz w:val="14"/>
                <w:szCs w:val="14"/>
                <w:color w:val="0000EE"/>
                <w:w w:val="91"/>
              </w:rPr>
            </w:pPr>
            <w:hyperlink w:anchor="page218">
              <w:r>
                <w:rPr>
                  <w:rFonts w:ascii="Arial" w:cs="Arial" w:eastAsia="Arial" w:hAnsi="Arial"/>
                  <w:sz w:val="14"/>
                  <w:szCs w:val="14"/>
                  <w:color w:val="0000EE"/>
                  <w:w w:val="91"/>
                </w:rPr>
                <w:t>December 24, 2004 through March 31, 2005</w:t>
              </w:r>
            </w:hyperlink>
          </w:p>
        </w:tc>
        <w:tc>
          <w:tcPr>
            <w:tcW w:w="7920" w:type="dxa"/>
            <w:vAlign w:val="bottom"/>
            <w:gridSpan w:val="15"/>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F-43</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9840" w:type="dxa"/>
            <w:vAlign w:val="bottom"/>
            <w:tcBorders>
              <w:bottom w:val="single" w:sz="8" w:color="0000EE"/>
            </w:tcBorders>
            <w:gridSpan w:val="23"/>
          </w:tcPr>
          <w:p>
            <w:pPr>
              <w:spacing w:after="0" w:line="155" w:lineRule="exact"/>
              <w:rPr>
                <w:rFonts w:ascii="Arial" w:cs="Arial" w:eastAsia="Arial" w:hAnsi="Arial"/>
                <w:sz w:val="14"/>
                <w:szCs w:val="14"/>
                <w:color w:val="0000EE"/>
                <w:w w:val="91"/>
              </w:rPr>
            </w:pPr>
            <w:hyperlink w:anchor="page219">
              <w:r>
                <w:rPr>
                  <w:rFonts w:ascii="Arial" w:cs="Arial" w:eastAsia="Arial" w:hAnsi="Arial"/>
                  <w:sz w:val="14"/>
                  <w:szCs w:val="14"/>
                  <w:color w:val="0000EE"/>
                  <w:w w:val="91"/>
                </w:rPr>
                <w:t>Statements of Stockholder’s Equity for the predecessor period from April 3, 2003 through December 23, 2004 and for the successor period from December 24, 2004 through</w:t>
              </w:r>
            </w:hyperlink>
          </w:p>
        </w:tc>
        <w:tc>
          <w:tcPr>
            <w:tcW w:w="80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Borders>
              <w:bottom w:val="single" w:sz="8" w:color="0000EE"/>
            </w:tcBorders>
          </w:tcPr>
          <w:p>
            <w:pPr>
              <w:spacing w:after="0" w:line="155" w:lineRule="exact"/>
              <w:rPr>
                <w:rFonts w:ascii="Arial" w:cs="Arial" w:eastAsia="Arial" w:hAnsi="Arial"/>
                <w:sz w:val="14"/>
                <w:szCs w:val="14"/>
                <w:color w:val="0000EE"/>
                <w:w w:val="90"/>
              </w:rPr>
            </w:pPr>
            <w:hyperlink w:anchor="page219">
              <w:r>
                <w:rPr>
                  <w:rFonts w:ascii="Arial" w:cs="Arial" w:eastAsia="Arial" w:hAnsi="Arial"/>
                  <w:sz w:val="14"/>
                  <w:szCs w:val="14"/>
                  <w:color w:val="0000EE"/>
                  <w:w w:val="90"/>
                </w:rPr>
                <w:t>March 31, 2005</w:t>
              </w:r>
            </w:hyperlink>
          </w:p>
        </w:tc>
        <w:tc>
          <w:tcPr>
            <w:tcW w:w="9560" w:type="dxa"/>
            <w:vAlign w:val="bottom"/>
            <w:gridSpan w:val="24"/>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F-44</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9920" w:type="dxa"/>
            <w:vAlign w:val="bottom"/>
            <w:tcBorders>
              <w:bottom w:val="single" w:sz="8" w:color="0000EE"/>
            </w:tcBorders>
            <w:gridSpan w:val="25"/>
          </w:tcPr>
          <w:p>
            <w:pPr>
              <w:spacing w:after="0" w:line="155" w:lineRule="exact"/>
              <w:rPr>
                <w:rFonts w:ascii="Arial" w:cs="Arial" w:eastAsia="Arial" w:hAnsi="Arial"/>
                <w:sz w:val="14"/>
                <w:szCs w:val="14"/>
                <w:color w:val="0000EE"/>
                <w:w w:val="91"/>
              </w:rPr>
            </w:pPr>
            <w:hyperlink w:anchor="page220">
              <w:r>
                <w:rPr>
                  <w:rFonts w:ascii="Arial" w:cs="Arial" w:eastAsia="Arial" w:hAnsi="Arial"/>
                  <w:sz w:val="14"/>
                  <w:szCs w:val="14"/>
                  <w:color w:val="0000EE"/>
                  <w:w w:val="91"/>
                </w:rPr>
                <w:t>Statements of Cash Flows for the predecessor periods from April 2, 2004 through December 23, 2004 and the 52 weeks ended April 1, 2004 and for the successor period from</w:t>
              </w:r>
            </w:hyperlink>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60" w:type="dxa"/>
            <w:vAlign w:val="bottom"/>
            <w:gridSpan w:val="25"/>
          </w:tcPr>
          <w:p>
            <w:pPr>
              <w:spacing w:after="0" w:line="155" w:lineRule="exact"/>
              <w:rPr>
                <w:rFonts w:ascii="Arial" w:cs="Arial" w:eastAsia="Arial" w:hAnsi="Arial"/>
                <w:sz w:val="14"/>
                <w:szCs w:val="14"/>
                <w:color w:val="0000EE"/>
              </w:rPr>
            </w:pPr>
            <w:hyperlink w:anchor="page220">
              <w:r>
                <w:rPr>
                  <w:rFonts w:ascii="Arial" w:cs="Arial" w:eastAsia="Arial" w:hAnsi="Arial"/>
                  <w:sz w:val="14"/>
                  <w:szCs w:val="14"/>
                  <w:color w:val="0000EE"/>
                </w:rPr>
                <w:t>December 24, 2004 through March 31, 2005</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9"/>
            <w:shd w:val="clear" w:color="auto" w:fill="0000EE"/>
          </w:tcPr>
          <w:p>
            <w:pPr>
              <w:spacing w:after="0" w:line="20" w:lineRule="exact"/>
              <w:rPr>
                <w:sz w:val="1"/>
                <w:szCs w:val="1"/>
                <w:color w:val="auto"/>
              </w:rPr>
            </w:pPr>
          </w:p>
        </w:tc>
        <w:tc>
          <w:tcPr>
            <w:tcW w:w="794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221">
              <w:r>
                <w:rPr>
                  <w:rFonts w:ascii="Arial" w:cs="Arial" w:eastAsia="Arial" w:hAnsi="Arial"/>
                  <w:sz w:val="14"/>
                  <w:szCs w:val="14"/>
                  <w:color w:val="0000EE"/>
                </w:rPr>
                <w:t>Notes to Financial Statements</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F-46</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gridSpan w:val="11"/>
          </w:tcPr>
          <w:p>
            <w:pPr>
              <w:jc w:val="center"/>
              <w:ind w:right="3620"/>
              <w:spacing w:after="0"/>
              <w:rPr>
                <w:sz w:val="20"/>
                <w:szCs w:val="20"/>
                <w:color w:val="auto"/>
              </w:rPr>
            </w:pPr>
            <w:r>
              <w:rPr>
                <w:rFonts w:ascii="Arial" w:cs="Arial" w:eastAsia="Arial" w:hAnsi="Arial"/>
                <w:sz w:val="14"/>
                <w:szCs w:val="14"/>
                <w:color w:val="auto"/>
                <w:w w:val="95"/>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the Board of Directors of</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National CineMedia,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Centennial, Colorado</w:t>
      </w:r>
    </w:p>
    <w:p>
      <w:pPr>
        <w:spacing w:after="0" w:line="139" w:lineRule="exact"/>
        <w:rPr>
          <w:sz w:val="20"/>
          <w:szCs w:val="20"/>
          <w:color w:val="auto"/>
        </w:rPr>
      </w:pPr>
    </w:p>
    <w:p>
      <w:pPr>
        <w:ind w:right="620" w:firstLine="458"/>
        <w:spacing w:after="0" w:line="289" w:lineRule="auto"/>
        <w:rPr>
          <w:sz w:val="20"/>
          <w:szCs w:val="20"/>
          <w:color w:val="auto"/>
        </w:rPr>
      </w:pPr>
      <w:r>
        <w:rPr>
          <w:rFonts w:ascii="Arial" w:cs="Arial" w:eastAsia="Arial" w:hAnsi="Arial"/>
          <w:sz w:val="14"/>
          <w:szCs w:val="14"/>
          <w:color w:val="auto"/>
        </w:rPr>
        <w:t>We have audited the accompanying balance sheet of National CineMedia, Inc. (the “Company”) as of October 5, 2006. This financial statement is the responsibility of the Company’s management. Our responsibility is to express an opinion on this financial statement based on our audit.</w:t>
      </w:r>
    </w:p>
    <w:p>
      <w:pPr>
        <w:spacing w:after="0" w:line="93"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96"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In our opinion, such balance sheet presents fairly, in all material respects, the financial position of the Company at October 5, 2006, in conformity with accounting principles generally accepted in the United States of America.</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Deloitte &amp; Touche LLP</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January 9, 2007</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40"/>
          </w:cols>
          <w:pgMar w:left="220" w:top="398" w:right="23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 as of October 5, 2006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1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1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7"/>
        </w:trPr>
        <w:tc>
          <w:tcPr>
            <w:tcW w:w="1112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11120" w:type="dxa"/>
            <w:vAlign w:val="bottom"/>
            <w:vMerge w:val="restart"/>
          </w:tcPr>
          <w:p>
            <w:pPr>
              <w:spacing w:after="0"/>
              <w:rPr>
                <w:sz w:val="20"/>
                <w:szCs w:val="20"/>
                <w:color w:val="auto"/>
              </w:rPr>
            </w:pPr>
            <w:r>
              <w:rPr>
                <w:rFonts w:ascii="Arial" w:cs="Arial" w:eastAsia="Arial" w:hAnsi="Arial"/>
                <w:sz w:val="14"/>
                <w:szCs w:val="14"/>
                <w:b w:val="1"/>
                <w:bCs w:val="1"/>
                <w:color w:val="auto"/>
              </w:rPr>
              <w:t>Stockholder’s Equity</w:t>
            </w: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120" w:type="dxa"/>
            <w:vAlign w:val="bottom"/>
          </w:tcPr>
          <w:p>
            <w:pPr>
              <w:spacing w:after="0"/>
              <w:rPr>
                <w:sz w:val="20"/>
                <w:szCs w:val="20"/>
                <w:color w:val="auto"/>
              </w:rPr>
            </w:pPr>
            <w:r>
              <w:rPr>
                <w:rFonts w:ascii="Arial" w:cs="Arial" w:eastAsia="Arial" w:hAnsi="Arial"/>
                <w:sz w:val="14"/>
                <w:szCs w:val="14"/>
                <w:color w:val="auto"/>
              </w:rPr>
              <w:t>Common stock, $0.001 par value, 1,000 shares authorized, none issued or outstanding</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8"/>
        </w:trPr>
        <w:tc>
          <w:tcPr>
            <w:tcW w:w="11120" w:type="dxa"/>
            <w:vAlign w:val="bottom"/>
          </w:tcPr>
          <w:p>
            <w:pPr>
              <w:ind w:left="36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1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balance sheet.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60"/>
          </w:cols>
          <w:pgMar w:left="220" w:top="399" w:right="21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National CineMedia, Inc.</w:t>
      </w:r>
    </w:p>
    <w:p>
      <w:pPr>
        <w:spacing w:after="0" w:line="79"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Notes to Balance Sheet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October 5, 2006</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83"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National CineMedia, Inc. (the “Company”), was incorporated in the state of Delaware on October 5, 2006 for the sole purpose of being a member and sole manager of National CineMedia, LLC. The Company filed its initial registration statement on Form S-1 with the Securities and Exchange Commission on October 12, 2006 concerning the sale of common stock. Upon completion of its initial public offering, the Company will use all of the proceeds to purchase an interest in National CineMedia, LLC and act as the sole manager, and to reimburse National CineMedia, LLC for deferred offering costs it has incurred related to the initial public offering. As of October 5, 2006 the Company has not been capitalized nor have any common or preferred shares been issued.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60"/>
          </w:cols>
          <w:pgMar w:left="220" w:top="399" w:right="21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the Board of Directors and Members of</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National CineMedia, LLC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Centennial, Colorado</w:t>
      </w:r>
    </w:p>
    <w:p>
      <w:pPr>
        <w:spacing w:after="0" w:line="139"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We have audited the accompanying balance sheets of National CineMedia, LLC (“NCM”) as of December 29, 2005 and September 28, 2006 and the related statements of operations, members’ equity, and cash flows for the nine month periods ended December 29, 2005 and September 28, 2006. These financial statements are the responsibility of NCM’s management. Our responsibility is to express an opinion on these financial statements based on our audits.</w:t>
      </w:r>
    </w:p>
    <w:p>
      <w:pPr>
        <w:spacing w:after="0" w:line="102"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0" w:lineRule="exact"/>
        <w:rPr>
          <w:sz w:val="20"/>
          <w:szCs w:val="20"/>
          <w:color w:val="auto"/>
        </w:rPr>
      </w:pPr>
    </w:p>
    <w:p>
      <w:pPr>
        <w:jc w:val="both"/>
        <w:ind w:right="200" w:firstLine="458"/>
        <w:spacing w:after="0" w:line="275" w:lineRule="auto"/>
        <w:rPr>
          <w:sz w:val="20"/>
          <w:szCs w:val="20"/>
          <w:color w:val="auto"/>
        </w:rPr>
      </w:pPr>
      <w:r>
        <w:rPr>
          <w:rFonts w:ascii="Arial" w:cs="Arial" w:eastAsia="Arial" w:hAnsi="Arial"/>
          <w:sz w:val="14"/>
          <w:szCs w:val="14"/>
          <w:color w:val="auto"/>
        </w:rPr>
        <w:t>In our opinion, such financial statements present fairly, in all material respects, the financial position of National CineMedia, LLC as of December 29, 2005 and September 28, 2006 and the results of its operations and its cash flows for the nine month periods ended December 29, 2005 and September 28, 2006, in conformity with accounting principles generally accepted in the United States of America.</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20, 2006</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00"/>
          </w:cols>
          <w:pgMar w:left="220" w:top="399" w:right="27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20"/>
        </w:trPr>
        <w:tc>
          <w:tcPr>
            <w:tcW w:w="7580" w:type="dxa"/>
            <w:vAlign w:val="bottom"/>
          </w:tcPr>
          <w:p>
            <w:pPr>
              <w:spacing w:after="0"/>
              <w:rPr>
                <w:sz w:val="10"/>
                <w:szCs w:val="10"/>
                <w:color w:val="auto"/>
              </w:rPr>
            </w:pPr>
          </w:p>
        </w:tc>
        <w:tc>
          <w:tcPr>
            <w:tcW w:w="15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11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46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3"/>
              </w:rPr>
              <w:t>September 28,</w:t>
            </w: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2005</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2006</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92"/>
              </w:rPr>
              <w:t>(Unaudited,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Note 14)</w:t>
            </w:r>
          </w:p>
        </w:tc>
        <w:tc>
          <w:tcPr>
            <w:tcW w:w="0" w:type="dxa"/>
            <w:vAlign w:val="bottom"/>
          </w:tcPr>
          <w:p>
            <w:pPr>
              <w:spacing w:after="0"/>
              <w:rPr>
                <w:sz w:val="1"/>
                <w:szCs w:val="1"/>
                <w:color w:val="auto"/>
              </w:rPr>
            </w:pPr>
          </w:p>
        </w:tc>
      </w:tr>
      <w:tr>
        <w:trPr>
          <w:trHeight w:val="157"/>
        </w:trPr>
        <w:tc>
          <w:tcPr>
            <w:tcW w:w="7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58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4.6</w:t>
            </w: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Receivables—net</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36.6</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51.9</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81"/>
        </w:trPr>
        <w:tc>
          <w:tcPr>
            <w:tcW w:w="758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37.6</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57.6</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0"/>
                <w:szCs w:val="20"/>
                <w:color w:val="auto"/>
              </w:rPr>
            </w:pPr>
            <w:r>
              <w:rPr>
                <w:rFonts w:ascii="Arial" w:cs="Arial" w:eastAsia="Arial" w:hAnsi="Arial"/>
                <w:sz w:val="14"/>
                <w:szCs w:val="14"/>
                <w:color w:val="auto"/>
              </w:rPr>
              <w:t>PROPERTY AND EQUIPMENT, net of accumulated</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7580" w:type="dxa"/>
            <w:vAlign w:val="bottom"/>
          </w:tcPr>
          <w:p>
            <w:pPr>
              <w:ind w:left="180"/>
              <w:spacing w:after="0"/>
              <w:rPr>
                <w:sz w:val="20"/>
                <w:szCs w:val="20"/>
                <w:color w:val="auto"/>
              </w:rPr>
            </w:pPr>
            <w:r>
              <w:rPr>
                <w:rFonts w:ascii="Arial" w:cs="Arial" w:eastAsia="Arial" w:hAnsi="Arial"/>
                <w:sz w:val="14"/>
                <w:szCs w:val="14"/>
                <w:color w:val="auto"/>
              </w:rPr>
              <w:t>depreciation of $8.7 million in 2005 and $11.4 million in 2006</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11.6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Network affiliate agreements, net of accumulated</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540"/>
              <w:spacing w:after="0"/>
              <w:rPr>
                <w:sz w:val="20"/>
                <w:szCs w:val="20"/>
                <w:color w:val="auto"/>
              </w:rPr>
            </w:pPr>
            <w:r>
              <w:rPr>
                <w:rFonts w:ascii="Arial" w:cs="Arial" w:eastAsia="Arial" w:hAnsi="Arial"/>
                <w:sz w:val="14"/>
                <w:szCs w:val="14"/>
                <w:color w:val="auto"/>
              </w:rPr>
              <w:t>amortization of $1.2 million in 2005 and $1.9 million in 2006</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0.4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Deferred offering costs</w:t>
            </w:r>
          </w:p>
        </w:tc>
        <w:tc>
          <w:tcPr>
            <w:tcW w:w="140" w:type="dxa"/>
            <w:vAlign w:val="bottom"/>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2.3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Debt issuance costs</w:t>
            </w:r>
          </w:p>
        </w:tc>
        <w:tc>
          <w:tcPr>
            <w:tcW w:w="140" w:type="dxa"/>
            <w:vAlign w:val="bottom"/>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0.1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1"/>
        </w:trPr>
        <w:tc>
          <w:tcPr>
            <w:tcW w:w="7580" w:type="dxa"/>
            <w:vAlign w:val="bottom"/>
          </w:tcPr>
          <w:p>
            <w:pPr>
              <w:ind w:left="360"/>
              <w:spacing w:after="0"/>
              <w:rPr>
                <w:sz w:val="20"/>
                <w:szCs w:val="20"/>
                <w:color w:val="auto"/>
              </w:rPr>
            </w:pPr>
            <w:r>
              <w:rPr>
                <w:rFonts w:ascii="Arial" w:cs="Arial" w:eastAsia="Arial" w:hAnsi="Arial"/>
                <w:sz w:val="14"/>
                <w:szCs w:val="14"/>
                <w:color w:val="auto"/>
              </w:rPr>
              <w:t>Deposits and other</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other assets</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48.8</w:t>
            </w:r>
          </w:p>
        </w:tc>
        <w:tc>
          <w:tcPr>
            <w:tcW w:w="9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72.2</w:t>
            </w:r>
          </w:p>
        </w:tc>
        <w:tc>
          <w:tcPr>
            <w:tcW w:w="460" w:type="dxa"/>
            <w:vAlign w:val="bottom"/>
          </w:tcPr>
          <w:p>
            <w:pPr>
              <w:spacing w:after="0"/>
              <w:rPr>
                <w:sz w:val="15"/>
                <w:szCs w:val="15"/>
                <w:color w:val="auto"/>
              </w:rPr>
            </w:pP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9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5.0</w:t>
            </w: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Amounts due to Members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24.0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43.8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Short-term borrowings from Members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Accrued payroll and related expenses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6.1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1.9</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1"/>
        </w:trPr>
        <w:tc>
          <w:tcPr>
            <w:tcW w:w="758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39.0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59.0</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Unit option plan payable</w:t>
            </w:r>
          </w:p>
        </w:tc>
        <w:tc>
          <w:tcPr>
            <w:tcW w:w="140" w:type="dxa"/>
            <w:vAlign w:val="bottom"/>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580" w:type="dxa"/>
            <w:vAlign w:val="bottom"/>
          </w:tcPr>
          <w:p>
            <w:pPr>
              <w:ind w:left="360"/>
              <w:spacing w:after="0"/>
              <w:rPr>
                <w:sz w:val="20"/>
                <w:szCs w:val="20"/>
                <w:color w:val="auto"/>
              </w:rPr>
            </w:pPr>
            <w:r>
              <w:rPr>
                <w:rFonts w:ascii="Arial" w:cs="Arial" w:eastAsia="Arial" w:hAnsi="Arial"/>
                <w:sz w:val="14"/>
                <w:szCs w:val="14"/>
                <w:color w:val="auto"/>
              </w:rPr>
              <w:t>Borrowings</w:t>
            </w:r>
          </w:p>
        </w:tc>
        <w:tc>
          <w:tcPr>
            <w:tcW w:w="140" w:type="dxa"/>
            <w:vAlign w:val="bottom"/>
          </w:tcPr>
          <w:p>
            <w:pPr>
              <w:spacing w:after="0"/>
              <w:rPr>
                <w:sz w:val="15"/>
                <w:szCs w:val="15"/>
                <w:color w:val="auto"/>
              </w:rPr>
            </w:pP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other liabilities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39.0</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70.1</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177"/>
        </w:trPr>
        <w:tc>
          <w:tcPr>
            <w:tcW w:w="7580" w:type="dxa"/>
            <w:vAlign w:val="bottom"/>
          </w:tcPr>
          <w:p>
            <w:pPr>
              <w:spacing w:after="0"/>
              <w:rPr>
                <w:sz w:val="20"/>
                <w:szCs w:val="20"/>
                <w:color w:val="auto"/>
              </w:rPr>
            </w:pPr>
            <w:r>
              <w:rPr>
                <w:rFonts w:ascii="Arial" w:cs="Arial" w:eastAsia="Arial" w:hAnsi="Arial"/>
                <w:sz w:val="14"/>
                <w:szCs w:val="14"/>
                <w:color w:val="auto"/>
              </w:rPr>
              <w:t>COMMITMENTS AND CONTINGENCIES (Notes 1, 8 and 12)</w:t>
            </w: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580" w:type="dxa"/>
            <w:vAlign w:val="bottom"/>
          </w:tcPr>
          <w:p>
            <w:pPr>
              <w:spacing w:after="0"/>
              <w:rPr>
                <w:sz w:val="20"/>
                <w:szCs w:val="20"/>
                <w:color w:val="auto"/>
              </w:rPr>
            </w:pPr>
            <w:r>
              <w:rPr>
                <w:rFonts w:ascii="Arial" w:cs="Arial" w:eastAsia="Arial" w:hAnsi="Arial"/>
                <w:sz w:val="14"/>
                <w:szCs w:val="14"/>
                <w:color w:val="auto"/>
              </w:rPr>
              <w:t>MEMBERS’ EQUITY</w:t>
            </w:r>
          </w:p>
        </w:tc>
        <w:tc>
          <w:tcPr>
            <w:tcW w:w="14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9.8</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(709.6)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8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48.8</w:t>
            </w:r>
          </w:p>
        </w:tc>
        <w:tc>
          <w:tcPr>
            <w:tcW w:w="9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72.2</w:t>
            </w:r>
          </w:p>
        </w:tc>
        <w:tc>
          <w:tcPr>
            <w:tcW w:w="460" w:type="dxa"/>
            <w:vAlign w:val="bottom"/>
          </w:tcPr>
          <w:p>
            <w:pPr>
              <w:spacing w:after="0"/>
              <w:rPr>
                <w:sz w:val="15"/>
                <w:szCs w:val="15"/>
                <w:color w:val="auto"/>
              </w:rPr>
            </w:pP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60"/>
          </w:cols>
          <w:pgMar w:left="220" w:top="399" w:right="21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5"/>
              </w:rPr>
              <w:t>9 Months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9 Months</w:t>
            </w:r>
          </w:p>
        </w:tc>
        <w:tc>
          <w:tcPr>
            <w:tcW w:w="0" w:type="dxa"/>
            <w:vAlign w:val="bottom"/>
          </w:tcPr>
          <w:p>
            <w:pPr>
              <w:spacing w:after="0"/>
              <w:rPr>
                <w:sz w:val="1"/>
                <w:szCs w:val="1"/>
                <w:color w:val="auto"/>
              </w:rPr>
            </w:pPr>
          </w:p>
        </w:tc>
      </w:tr>
      <w:tr>
        <w:trPr>
          <w:trHeight w:val="120"/>
        </w:trPr>
        <w:tc>
          <w:tcPr>
            <w:tcW w:w="9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w w:val="89"/>
              </w:rPr>
              <w:t>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9180" w:type="dxa"/>
            <w:vAlign w:val="bottom"/>
          </w:tcPr>
          <w:p>
            <w:pPr>
              <w:spacing w:after="0"/>
              <w:rPr>
                <w:sz w:val="10"/>
                <w:szCs w:val="10"/>
                <w:color w:val="auto"/>
              </w:rPr>
            </w:pPr>
          </w:p>
        </w:tc>
        <w:tc>
          <w:tcPr>
            <w:tcW w:w="1120" w:type="dxa"/>
            <w:vAlign w:val="bottom"/>
            <w:gridSpan w:val="3"/>
          </w:tcPr>
          <w:p>
            <w:pPr>
              <w:jc w:val="center"/>
              <w:ind w:right="460"/>
              <w:spacing w:after="0" w:line="121" w:lineRule="exact"/>
              <w:rPr>
                <w:sz w:val="20"/>
                <w:szCs w:val="20"/>
                <w:color w:val="auto"/>
              </w:rPr>
            </w:pPr>
            <w:r>
              <w:rPr>
                <w:rFonts w:ascii="Arial" w:cs="Arial" w:eastAsia="Arial" w:hAnsi="Arial"/>
                <w:sz w:val="11"/>
                <w:szCs w:val="11"/>
                <w:b w:val="1"/>
                <w:bCs w:val="1"/>
                <w:color w:val="auto"/>
                <w:w w:val="86"/>
              </w:rPr>
              <w:t>December 29,</w:t>
            </w:r>
          </w:p>
        </w:tc>
        <w:tc>
          <w:tcPr>
            <w:tcW w:w="440" w:type="dxa"/>
            <w:vAlign w:val="bottom"/>
          </w:tcPr>
          <w:p>
            <w:pPr>
              <w:spacing w:after="0"/>
              <w:rPr>
                <w:sz w:val="10"/>
                <w:szCs w:val="10"/>
                <w:color w:val="auto"/>
              </w:rPr>
            </w:pPr>
          </w:p>
        </w:tc>
        <w:tc>
          <w:tcPr>
            <w:tcW w:w="72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0" w:type="dxa"/>
            <w:vAlign w:val="bottom"/>
          </w:tcPr>
          <w:p>
            <w:pPr>
              <w:spacing w:after="0"/>
              <w:rPr>
                <w:sz w:val="1"/>
                <w:szCs w:val="1"/>
                <w:color w:val="auto"/>
              </w:rPr>
            </w:pPr>
          </w:p>
        </w:tc>
      </w:tr>
      <w:tr>
        <w:trPr>
          <w:trHeight w:val="142"/>
        </w:trPr>
        <w:tc>
          <w:tcPr>
            <w:tcW w:w="918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2005</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56.0</w:t>
            </w:r>
          </w:p>
        </w:tc>
        <w:tc>
          <w:tcPr>
            <w:tcW w:w="4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Administrative fees—Members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30.8</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1"/>
        </w:trPr>
        <w:tc>
          <w:tcPr>
            <w:tcW w:w="9180" w:type="dxa"/>
            <w:vAlign w:val="bottom"/>
          </w:tcPr>
          <w:p>
            <w:pPr>
              <w:ind w:left="3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7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98.8</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20"/>
                <w:szCs w:val="20"/>
                <w:color w:val="auto"/>
              </w:rPr>
            </w:pPr>
            <w:r>
              <w:rPr>
                <w:rFonts w:ascii="Arial" w:cs="Arial" w:eastAsia="Arial" w:hAnsi="Arial"/>
                <w:sz w:val="14"/>
                <w:szCs w:val="14"/>
                <w:color w:val="auto"/>
              </w:rPr>
              <w:t>EXPENSES: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Meetings and events operating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Circuit share costs—Members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38.6</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Selling and marketing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24.9</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Administrative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Severance Plan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1"/>
        </w:trPr>
        <w:tc>
          <w:tcPr>
            <w:tcW w:w="9180" w:type="dxa"/>
            <w:vAlign w:val="bottom"/>
          </w:tcPr>
          <w:p>
            <w:pPr>
              <w:ind w:left="360"/>
              <w:spacing w:after="0"/>
              <w:rPr>
                <w:sz w:val="20"/>
                <w:szCs w:val="20"/>
                <w:color w:val="auto"/>
              </w:rPr>
            </w:pPr>
            <w:r>
              <w:rPr>
                <w:rFonts w:ascii="Arial" w:cs="Arial" w:eastAsia="Arial" w:hAnsi="Arial"/>
                <w:sz w:val="14"/>
                <w:szCs w:val="14"/>
                <w:color w:val="auto"/>
              </w:rPr>
              <w:t>Other costs</w:t>
            </w:r>
          </w:p>
        </w:tc>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7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105.7</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4"/>
                <w:szCs w:val="14"/>
                <w:color w:val="auto"/>
              </w:rPr>
              <w:t>OPERATING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(6.9)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1"/>
        </w:trPr>
        <w:tc>
          <w:tcPr>
            <w:tcW w:w="9180" w:type="dxa"/>
            <w:vAlign w:val="bottom"/>
          </w:tcPr>
          <w:p>
            <w:pPr>
              <w:spacing w:after="0"/>
              <w:rPr>
                <w:sz w:val="20"/>
                <w:szCs w:val="20"/>
                <w:color w:val="auto"/>
              </w:rPr>
            </w:pPr>
            <w:r>
              <w:rPr>
                <w:rFonts w:ascii="Arial" w:cs="Arial" w:eastAsia="Arial" w:hAnsi="Arial"/>
                <w:sz w:val="14"/>
                <w:szCs w:val="14"/>
                <w:color w:val="auto"/>
              </w:rPr>
              <w:t>INTEREST EXPENSE—NET</w:t>
            </w:r>
          </w:p>
        </w:tc>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18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(6.9)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60"/>
          </w:cols>
          <w:pgMar w:left="220" w:top="399" w:right="21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STATEMENT OF MEMBERS’ EQUITY</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(In millions)</w:t>
      </w: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Statement of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643318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3318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Issuance of initial units at inception date in exchange for contributed assets, net of liabilities assumed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Issuance of additional units in exchange for cash</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Contribution of Severance Plan payments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Balance—December 29, 2005</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Capital contribution from member</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Contribution of Severance Plan payments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Distribution to Members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28,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280"/>
        <w:spacing w:after="0"/>
        <w:rPr>
          <w:sz w:val="20"/>
          <w:szCs w:val="20"/>
          <w:color w:val="auto"/>
        </w:rPr>
      </w:pPr>
      <w:r>
        <w:rPr>
          <w:rFonts w:ascii="Arial" w:cs="Arial" w:eastAsia="Arial" w:hAnsi="Arial"/>
          <w:sz w:val="12"/>
          <w:szCs w:val="12"/>
          <w:color w:val="auto"/>
        </w:rPr>
        <w:t>See accompanying notes to financial statements.</w:t>
      </w:r>
    </w:p>
    <w:p>
      <w:pPr>
        <w:spacing w:after="0" w:line="157" w:lineRule="exact"/>
        <w:rPr>
          <w:sz w:val="20"/>
          <w:szCs w:val="20"/>
          <w:color w:val="auto"/>
        </w:rPr>
      </w:pPr>
    </w:p>
    <w:p>
      <w:pPr>
        <w:jc w:val="center"/>
        <w:ind w:left="1280"/>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0"/>
          <w:szCs w:val="10"/>
          <w:b w:val="1"/>
          <w:bCs w:val="1"/>
          <w:color w:val="auto"/>
        </w:rPr>
        <w:t>Members’</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11"/>
          <w:szCs w:val="11"/>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0543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ind w:left="300" w:hanging="295"/>
        <w:spacing w:after="0"/>
        <w:tabs>
          <w:tab w:leader="none" w:pos="3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0.9</w:t>
      </w:r>
    </w:p>
    <w:p>
      <w:pPr>
        <w:spacing w:after="0" w:line="12"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7.3</w:t>
      </w:r>
    </w:p>
    <w:p>
      <w:pPr>
        <w:spacing w:after="0" w:line="13"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8.5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543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0543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0.9</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(0.9)</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543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spacing w:after="0" w:line="10" w:lineRule="exact"/>
        <w:rPr>
          <w:sz w:val="20"/>
          <w:szCs w:val="20"/>
          <w:color w:val="auto"/>
        </w:rPr>
      </w:pPr>
    </w:p>
    <w:p>
      <w:pPr>
        <w:ind w:left="300" w:hanging="295"/>
        <w:spacing w:after="0"/>
        <w:tabs>
          <w:tab w:leader="none" w:pos="300" w:val="left"/>
        </w:tabs>
        <w:numPr>
          <w:ilvl w:val="0"/>
          <w:numId w:val="111"/>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30543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sectPr>
          <w:pgSz w:w="11900" w:h="16838" w:orient="portrait"/>
          <w:cols w:equalWidth="0" w:num="2">
            <w:col w:w="10200" w:space="720"/>
            <w:col w:w="540"/>
          </w:cols>
          <w:pgMar w:left="220" w:top="399" w:right="21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CASH FLOWS</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Adjustments to reconcile net income (loss) to net cash provided by operating (used in) activities: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Depreciation and amortization</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Non-cash Severance Plan and Share-Based Compensation costs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Changes in operating assets and liabilities: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Decrease (increase) in receivables—net</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Decrease (increase) in prepaid expenses and other current assets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in deposits and other assets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(decrease) in accounts payable</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in amounts due to Members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(decrease) in accrued expenses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Payment of Severance Plan costs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(decrease) in deferred revenue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cash provided by (used in) operating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property and equipment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in deferred offering costs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of short-term borrowings from Members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Repayments of short-term borrowings to Members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borrowings under Revolving Credit Facility</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Repayments of borrowings under Revolving Credit Facility</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Member contribution</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issuance of units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Distribution to Members</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cash provided by financing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INCREASE IN CASH AND CASH EQUIVALENTS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Beginning of period</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End of period</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Supplemental disclosure of non-cash financing and investing activity:</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Contribution of Severance Plan payments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Increase in deferred offering costs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Increase in property and equipment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020"/>
        <w:spacing w:after="0"/>
        <w:rPr>
          <w:sz w:val="20"/>
          <w:szCs w:val="20"/>
          <w:color w:val="auto"/>
        </w:rPr>
      </w:pPr>
      <w:r>
        <w:rPr>
          <w:rFonts w:ascii="Arial" w:cs="Arial" w:eastAsia="Arial" w:hAnsi="Arial"/>
          <w:sz w:val="12"/>
          <w:szCs w:val="12"/>
          <w:color w:val="auto"/>
        </w:rPr>
        <w:t>See accompanying notes to financial statements.</w:t>
      </w:r>
    </w:p>
    <w:p>
      <w:pPr>
        <w:spacing w:after="0" w:line="157" w:lineRule="exact"/>
        <w:rPr>
          <w:sz w:val="20"/>
          <w:szCs w:val="20"/>
          <w:color w:val="auto"/>
        </w:rPr>
      </w:pPr>
    </w:p>
    <w:p>
      <w:pPr>
        <w:jc w:val="center"/>
        <w:ind w:left="3020"/>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5"/>
              </w:rPr>
              <w:t>9 Months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9 Months</w:t>
            </w:r>
          </w:p>
        </w:tc>
      </w:tr>
      <w:tr>
        <w:trPr>
          <w:trHeight w:val="120"/>
        </w:trPr>
        <w:tc>
          <w:tcPr>
            <w:tcW w:w="100" w:type="dxa"/>
            <w:vAlign w:val="bottom"/>
          </w:tcPr>
          <w:p>
            <w:pPr>
              <w:spacing w:after="0"/>
              <w:rPr>
                <w:sz w:val="10"/>
                <w:szCs w:val="10"/>
                <w:color w:val="auto"/>
              </w:rPr>
            </w:pPr>
          </w:p>
        </w:tc>
        <w:tc>
          <w:tcPr>
            <w:tcW w:w="102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w w:val="89"/>
              </w:rPr>
              <w:t>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r>
      <w:tr>
        <w:trPr>
          <w:trHeight w:val="120"/>
        </w:trPr>
        <w:tc>
          <w:tcPr>
            <w:tcW w:w="11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December 29,</w:t>
            </w:r>
          </w:p>
        </w:tc>
        <w:tc>
          <w:tcPr>
            <w:tcW w:w="44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3"/>
              </w:rPr>
              <w:t>September 28,</w:t>
            </w:r>
          </w:p>
        </w:tc>
      </w:tr>
      <w:tr>
        <w:trPr>
          <w:trHeight w:val="142"/>
        </w:trPr>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2005</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12"/>
                <w:szCs w:val="12"/>
                <w:color w:val="auto"/>
              </w:rPr>
            </w:pPr>
          </w:p>
        </w:tc>
      </w:tr>
      <w:tr>
        <w:trPr>
          <w:trHeight w:val="339"/>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(6.9)</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(11.2)</w:t>
            </w:r>
          </w:p>
        </w:tc>
      </w:tr>
      <w:tr>
        <w:trPr>
          <w:trHeight w:val="344"/>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r>
      <w:tr>
        <w:trPr>
          <w:trHeight w:val="181"/>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r>
      <w:tr>
        <w:trPr>
          <w:trHeight w:val="344"/>
        </w:trPr>
        <w:tc>
          <w:tcPr>
            <w:tcW w:w="1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(36.6)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(15.3)</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(0.6)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(0.1)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23.3</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(3.5)</w:t>
            </w:r>
          </w:p>
        </w:tc>
      </w:tr>
      <w:tr>
        <w:trPr>
          <w:trHeight w:val="181"/>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(2.9)</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2"/>
        </w:trPr>
        <w:tc>
          <w:tcPr>
            <w:tcW w:w="1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(5.9)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(8.2)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27.5</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(17.5)</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0.9</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1"/>
        </w:trPr>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r>
      <w:tr>
        <w:trPr>
          <w:trHeight w:val="351"/>
        </w:trPr>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460" w:type="dxa"/>
            <w:vAlign w:val="bottom"/>
          </w:tcPr>
          <w:p>
            <w:pPr>
              <w:spacing w:after="0"/>
              <w:rPr>
                <w:sz w:val="24"/>
                <w:szCs w:val="24"/>
                <w:color w:val="auto"/>
              </w:rPr>
            </w:pP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r>
      <w:tr>
        <w:trPr>
          <w:trHeight w:val="175"/>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81"/>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r>
    </w:tbl>
    <w:p>
      <w:pPr>
        <w:sectPr>
          <w:pgSz w:w="11900" w:h="16838" w:orient="portrait"/>
          <w:cols w:equalWidth="0" w:num="2">
            <w:col w:w="8460" w:space="720"/>
            <w:col w:w="2280"/>
          </w:cols>
          <w:pgMar w:left="220" w:top="398" w:right="21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 AND BASIS OF PRESENTATION</w:t>
      </w:r>
    </w:p>
    <w:p>
      <w:pPr>
        <w:spacing w:after="0" w:line="83"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National CineMedia, LLC (“NCM”) provides advertising, business meetings, and event services to its Members under Exhibitor Services Agreements that extend through April 1, 2010. NCM also provides such services to certain third-party theatre circuits under “Network Affiliate Agreements” expiring at various dates through September 2009. NCM operates on a fiscal year ending on the first Thursday after December 25, which in certain years results in a 53-week year. The business meetings and event services operations are operating segments but do not meet the quantitative thresholds for segment reporting.</w:t>
      </w:r>
    </w:p>
    <w:p>
      <w:pPr>
        <w:spacing w:after="0" w:line="106"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NCM was formed on March 29, 2005 through the combination of the operations of National Cinema Network, Inc. (“NCN”), a wholly owned subsidiary of AMC Entertainment, Inc. (“AMCE”), and Regal CineMedia Corporation (“RCM”), a wholly owned subsidiary of Regal Entertainment Group (“Regal”, or, in relation to RCM, the “Parent”). In accordance with the Contribution and Unit Holders Agreement entered into on that date by NCM, NCN, and RCM, 370 units were issued to NCN and 630 units were issued to Regal CineMedia Holdings, LLC (“RCM Holdings”) in exchange for the contribution of $0.9 million of cash and other assets, net of liabilities assumed. All assets contributed to and liabilities assumed by NCM were recorded on NCM’s records in the amounts as reflected on the Members’ historic accounting records, based on the application of accounting principles for the formation of a joint venture under EITF 98-4, “</w:t>
      </w:r>
      <w:r>
        <w:rPr>
          <w:rFonts w:ascii="Arial" w:cs="Arial" w:eastAsia="Arial" w:hAnsi="Arial"/>
          <w:sz w:val="13"/>
          <w:szCs w:val="13"/>
          <w:i w:val="1"/>
          <w:iCs w:val="1"/>
          <w:color w:val="auto"/>
        </w:rPr>
        <w:t>Accounting by a Joint Venture</w:t>
      </w:r>
      <w:r>
        <w:rPr>
          <w:rFonts w:ascii="Arial" w:cs="Arial" w:eastAsia="Arial" w:hAnsi="Arial"/>
          <w:sz w:val="13"/>
          <w:szCs w:val="13"/>
          <w:color w:val="auto"/>
        </w:rPr>
        <w:t xml:space="preserve"> </w:t>
      </w:r>
      <w:r>
        <w:rPr>
          <w:rFonts w:ascii="Arial" w:cs="Arial" w:eastAsia="Arial" w:hAnsi="Arial"/>
          <w:sz w:val="13"/>
          <w:szCs w:val="13"/>
          <w:i w:val="1"/>
          <w:iCs w:val="1"/>
          <w:color w:val="auto"/>
        </w:rPr>
        <w:t>for Businesses Received at Its Formation</w:t>
      </w:r>
      <w:r>
        <w:rPr>
          <w:rFonts w:ascii="Arial" w:cs="Arial" w:eastAsia="Arial" w:hAnsi="Arial"/>
          <w:sz w:val="13"/>
          <w:szCs w:val="13"/>
          <w:color w:val="auto"/>
        </w:rPr>
        <w:t>”. Although legally structured as a limited liability company, NCM is considered a joint venture for accounting purposes given the joint control provisions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operating agreement among the members, consistent with Accounting Principles Board Opinion No. 18, “</w:t>
      </w:r>
      <w:r>
        <w:rPr>
          <w:rFonts w:ascii="Arial" w:cs="Arial" w:eastAsia="Arial" w:hAnsi="Arial"/>
          <w:sz w:val="13"/>
          <w:szCs w:val="13"/>
          <w:i w:val="1"/>
          <w:iCs w:val="1"/>
          <w:color w:val="auto"/>
        </w:rPr>
        <w:t>The Equity Method of Accounting for Investments in Common Stock</w:t>
      </w:r>
      <w:r>
        <w:rPr>
          <w:rFonts w:ascii="Arial" w:cs="Arial" w:eastAsia="Arial" w:hAnsi="Arial"/>
          <w:sz w:val="13"/>
          <w:szCs w:val="13"/>
          <w:color w:val="auto"/>
        </w:rPr>
        <w:t>”. RCM and NCN are each considered to be predecessors of NCM. The following table summarizes the assets contributed to and liabilities assumed by NCM: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Cash</w:t>
            </w:r>
          </w:p>
        </w:tc>
        <w:tc>
          <w:tcPr>
            <w:tcW w:w="300" w:type="dxa"/>
            <w:vAlign w:val="bottom"/>
          </w:tcPr>
          <w:p>
            <w:pPr>
              <w:jc w:val="right"/>
              <w:spacing w:after="0"/>
              <w:rPr>
                <w:sz w:val="20"/>
                <w:szCs w:val="20"/>
                <w:color w:val="auto"/>
              </w:rPr>
            </w:pPr>
            <w:r>
              <w:rPr>
                <w:rFonts w:ascii="Arial" w:cs="Arial" w:eastAsia="Arial" w:hAnsi="Arial"/>
                <w:sz w:val="14"/>
                <w:szCs w:val="14"/>
                <w:color w:val="auto"/>
                <w:w w:val="89"/>
              </w:rPr>
              <w:t>$ 0.2</w:t>
            </w:r>
          </w:p>
        </w:tc>
        <w:tc>
          <w:tcPr>
            <w:tcW w:w="60" w:type="dxa"/>
            <w:vAlign w:val="bottom"/>
          </w:tcPr>
          <w:p>
            <w:pPr>
              <w:spacing w:after="0"/>
              <w:rPr>
                <w:sz w:val="15"/>
                <w:szCs w:val="15"/>
                <w:color w:val="auto"/>
              </w:rPr>
            </w:pPr>
          </w:p>
        </w:tc>
      </w:t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Property and equipment</w:t>
            </w:r>
          </w:p>
        </w:tc>
        <w:tc>
          <w:tcPr>
            <w:tcW w:w="300" w:type="dxa"/>
            <w:vAlign w:val="bottom"/>
          </w:tcPr>
          <w:p>
            <w:pPr>
              <w:jc w:val="right"/>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5"/>
                <w:szCs w:val="15"/>
                <w:color w:val="auto"/>
              </w:rPr>
            </w:pPr>
          </w:p>
        </w:tc>
      </w:t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Network affiliate agreements</w:t>
            </w:r>
          </w:p>
        </w:tc>
        <w:tc>
          <w:tcPr>
            <w:tcW w:w="30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5"/>
                <w:szCs w:val="15"/>
                <w:color w:val="auto"/>
              </w:rPr>
            </w:pPr>
          </w:p>
        </w:tc>
      </w:t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Other assets</w:t>
            </w:r>
          </w:p>
        </w:tc>
        <w:tc>
          <w:tcPr>
            <w:tcW w:w="30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5"/>
                <w:szCs w:val="15"/>
                <w:color w:val="auto"/>
              </w:rPr>
            </w:pPr>
          </w:p>
        </w:tc>
      </w:t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Compensation-related obligation</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(4.0)</w:t>
            </w:r>
          </w:p>
        </w:tc>
      </w:tr>
      <w:tr>
        <w:trPr>
          <w:trHeight w:val="181"/>
        </w:trPr>
        <w:tc>
          <w:tcPr>
            <w:tcW w:w="11100" w:type="dxa"/>
            <w:vAlign w:val="bottom"/>
          </w:tcPr>
          <w:p>
            <w:pPr>
              <w:spacing w:after="0"/>
              <w:rPr>
                <w:sz w:val="20"/>
                <w:szCs w:val="20"/>
                <w:color w:val="auto"/>
              </w:rPr>
            </w:pPr>
            <w:r>
              <w:rPr>
                <w:rFonts w:ascii="Arial" w:cs="Arial" w:eastAsia="Arial" w:hAnsi="Arial"/>
                <w:sz w:val="14"/>
                <w:szCs w:val="14"/>
                <w:color w:val="auto"/>
              </w:rPr>
              <w:t>Accrued expenses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178"/>
        </w:trPr>
        <w:tc>
          <w:tcPr>
            <w:tcW w:w="1110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$ 0.9</w:t>
            </w:r>
          </w:p>
        </w:tc>
        <w:tc>
          <w:tcPr>
            <w:tcW w:w="60" w:type="dxa"/>
            <w:vAlign w:val="bottom"/>
          </w:tcPr>
          <w:p>
            <w:pPr>
              <w:spacing w:after="0"/>
              <w:rPr>
                <w:sz w:val="15"/>
                <w:szCs w:val="15"/>
                <w:color w:val="auto"/>
              </w:rPr>
            </w:pPr>
          </w:p>
        </w:tc>
      </w:tr>
      <w:tr>
        <w:trPr>
          <w:trHeight w:val="20"/>
        </w:trPr>
        <w:tc>
          <w:tcPr>
            <w:tcW w:w="1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On July 15, 2005, in exchange for a cash contribution of $7.3 million, 261 NCM units were issued to Cinemark Media, Inc. (“Cinemark Media”), a wholly owned subsidiary of Cinemark USA, Inc. (“Cinemark”).</w:t>
      </w:r>
    </w:p>
    <w:p>
      <w:pPr>
        <w:spacing w:after="0" w:line="93" w:lineRule="exact"/>
        <w:rPr>
          <w:sz w:val="20"/>
          <w:szCs w:val="20"/>
          <w:color w:val="auto"/>
        </w:rPr>
      </w:pPr>
    </w:p>
    <w:p>
      <w:pPr>
        <w:ind w:right="280" w:firstLine="458"/>
        <w:spacing w:after="0" w:line="330" w:lineRule="auto"/>
        <w:rPr>
          <w:sz w:val="20"/>
          <w:szCs w:val="20"/>
          <w:color w:val="auto"/>
        </w:rPr>
      </w:pPr>
      <w:r>
        <w:rPr>
          <w:rFonts w:ascii="Arial" w:cs="Arial" w:eastAsia="Arial" w:hAnsi="Arial"/>
          <w:sz w:val="13"/>
          <w:szCs w:val="13"/>
          <w:color w:val="auto"/>
        </w:rPr>
        <w:t>As the result of final adjustments to the valuations attributed to the contributed assets and liabilities resulting from AMC’s merger on December 23, 2004 with Marquee Holdings Inc., NCN contributed additional cash during 2006, which was then distributed to RCM Holdings and Cinemark Media, thus having no impact on the assets and liabilities of NCM.</w:t>
      </w:r>
    </w:p>
    <w:p>
      <w:pPr>
        <w:spacing w:after="0" w:line="70" w:lineRule="exact"/>
        <w:rPr>
          <w:sz w:val="20"/>
          <w:szCs w:val="20"/>
          <w:color w:val="auto"/>
        </w:rPr>
      </w:pPr>
    </w:p>
    <w:p>
      <w:pPr>
        <w:jc w:val="both"/>
        <w:ind w:right="220" w:firstLine="458"/>
        <w:spacing w:after="0" w:line="275" w:lineRule="auto"/>
        <w:rPr>
          <w:sz w:val="20"/>
          <w:szCs w:val="20"/>
          <w:color w:val="auto"/>
        </w:rPr>
      </w:pPr>
      <w:r>
        <w:rPr>
          <w:rFonts w:ascii="Arial" w:cs="Arial" w:eastAsia="Arial" w:hAnsi="Arial"/>
          <w:sz w:val="14"/>
          <w:szCs w:val="14"/>
          <w:color w:val="auto"/>
        </w:rPr>
        <w:t>NCN, RCM Holdings, and Cinemark Media have signed an Amended and Restated Limited Liability Company Operating Agreement (“LLCOA”), in order to set forth their respective rights and obligations in connection with their ownership of NCM. Among other provisions, each of the three Members is allowed to designate three board members, with NCM’s Chief Executive Officer being the tenth board member. Matters that require the approval of NCM’s board of directors require the approval of nine board members.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60"/>
          </w:cols>
          <w:pgMar w:left="220" w:top="399" w:right="21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jc w:val="both"/>
        <w:ind w:right="180" w:firstLine="458"/>
        <w:spacing w:after="0" w:line="275" w:lineRule="auto"/>
        <w:rPr>
          <w:sz w:val="20"/>
          <w:szCs w:val="20"/>
          <w:color w:val="auto"/>
        </w:rPr>
      </w:pPr>
      <w:r>
        <w:rPr>
          <w:rFonts w:ascii="Arial" w:cs="Arial" w:eastAsia="Arial" w:hAnsi="Arial"/>
          <w:sz w:val="14"/>
          <w:szCs w:val="14"/>
          <w:color w:val="auto"/>
        </w:rPr>
        <w:t>There are currently 1,261 Member units outstanding, of which 630 (50.0%) are owned by RCM Holdings, 370 (29.3%) are owned by NCN, and 261 (20.7%) are owned by Cinemark Media. Should a Liquidity Event as defined in the LLCOA occur, each Member’s ownership percentage will be recalculated based upon the total Advertising Circuit Share percentage (as defined below) for the previous twelve months for that Member.</w:t>
      </w:r>
    </w:p>
    <w:p>
      <w:pPr>
        <w:spacing w:after="0" w:line="102" w:lineRule="exact"/>
        <w:rPr>
          <w:sz w:val="20"/>
          <w:szCs w:val="20"/>
          <w:color w:val="auto"/>
        </w:rPr>
      </w:pPr>
    </w:p>
    <w:p>
      <w:pPr>
        <w:ind w:right="80" w:firstLine="458"/>
        <w:spacing w:after="0" w:line="305" w:lineRule="auto"/>
        <w:rPr>
          <w:sz w:val="20"/>
          <w:szCs w:val="20"/>
          <w:color w:val="auto"/>
        </w:rPr>
      </w:pPr>
      <w:r>
        <w:rPr>
          <w:rFonts w:ascii="Arial" w:cs="Arial" w:eastAsia="Arial" w:hAnsi="Arial"/>
          <w:sz w:val="13"/>
          <w:szCs w:val="13"/>
          <w:color w:val="auto"/>
        </w:rPr>
        <w:t>NCM, RCM, Cinemark, and American Multi-Cinema, Inc. (“AMC”), a wholly owned subsidiary of AMCE, entered into an Amended and Restated Software License Agreement in connection with the licensing of software and related rights ancillary to the use of such software by NCM for the conduct of its business. Improvements made to this software subsequent to March 31, 2005 are owned by the Company. None of RCM, Cinemark, or AMC can use its software to provide the services performed by NCM pursuant to the Exhibitor Services Agreements (as described herein).</w:t>
      </w:r>
    </w:p>
    <w:p>
      <w:pPr>
        <w:spacing w:after="0" w:line="86"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In addition, a Transition Services Agreement was entered into by NCM, AMC, NCN, Regal, and RCM pursuant to which the parties agreed to reimburse each other for services provided on the behalf of others during a transition period from April 1, 2005 through December 31, 2005.</w:t>
      </w:r>
    </w:p>
    <w:p>
      <w:pPr>
        <w:spacing w:after="0" w:line="93"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color w:val="auto"/>
        </w:rPr>
        <w:t>NCM has entered into an Exhibitor Services Agreement (“ESA”) with Regal Cinemas, Inc. (“RCI”), a wholly owned subsidiary of Regal, with AMC, and with Cinemark. Under these agreements, subject to limited exceptions, NCM is the exclusive provider of advertising and event services to the Members’ theatres. In the case of Cinemark, the ESA is also subject to the advertising services agreements between Cinemark on the one hand and Technicolor Screen Services, Inc. and Val Morgan Advertising, Inc. on the other hand. Both of these agreements (the “Screenvision Agreements”) expired December 31, 2005, with certain “advertising runout” rights that extended through March 31, 2006. In exchange for the right to provide these services to the Members, NCM is required to pay to the Members a specified percentage of NCM’s advertising revenue (“Advertising Circuit Share”), and an agreed-upon auditorium rent (“Auditorium Rent”) in relation to the meetings and events held in Member theatres, in aggregate known as “Circuit Share Expense.” During 2005, the “Advertising Circuit Share Percentage” was 65%. During 2006, the “Advertising Circuit Share” percentage was 68%, a change approved by the members at the end of 2005. The Advertising Circuit Share is allocated among the Members based on a formula that takes into account the number of patrons served and screens operated by each Member during the previous quarter. In accordance with the LLCOA, the Advertising Circuit Share Percentage may be changed at the end of each year by a unanimous vote of the Members. These agreements would terminate immediately upon the dissolution of NCM LLC. Each of these agreements would also terminate in the event of withdrawal by AMC, Cinemark or Regal, respectively, from NCM LLC pursuant to the terms of NCM LLC’s Operating Agreement. Each of the agreements may also be terminated (i) in the event of a material breach of any provision of the agreement which breach remains uncured after notice and an opportunity to cure and (ii) in the event a permanent injunction or other final order or decree is entered by a governmental, regulatory or judicial entity which enjoins or otherwise prevents performance of obligations under the agreement.</w:t>
      </w:r>
    </w:p>
    <w:p>
      <w:pPr>
        <w:spacing w:after="0" w:line="99"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Pursuant to the ESAs, AMC and Regal, through their subsidiaries, retained all advertising contracts sold by NCN’s or RCM’s sales teams prior to April 1, 2005 (“AMC Legacy Contracts” and “Regal Legacy Contracts,” respectively), and agreed to pay an administrative fee as a percentage of revenue (equal to 35% during 2005 and 32% during 2006) from these contracts payable to NCM to service these contracts through their expiration. Cinemark retained all advertising contracts signed pursuant to the Screenvision Agreements (“Cinemark Legacy Contracts,” and together with AMC Legacy Contracts and Regal Legacy Contracts, the “Legacy Contracts”),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40"/>
          </w:cols>
          <w:pgMar w:left="220" w:top="399" w:right="23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subject to an administrative fee (35% in 2005 and 32% in 2006), payable to NCM for all revenue generated by the Screenvision Agreements subsequent to December 31, 2005. Total advertising revenue managed by NCM associated with the Legacy Contracts was $88.0 million for the period ended December 29, 2005 and $13.4 million for the period ended September 28, 2006. Administrative fee revenue will decline over time as the Legacy Contracts expire.</w:t>
      </w:r>
    </w:p>
    <w:p>
      <w:pPr>
        <w:spacing w:after="0" w:line="102"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As a result of the various related party agreements discussed in Note 6, the operating results as presented are not necessarily indicative of the results that would have occurred if all agreements were with non-related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83"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b w:val="1"/>
          <w:bCs w:val="1"/>
          <w:i w:val="1"/>
          <w:iCs w:val="1"/>
          <w:color w:val="auto"/>
        </w:rPr>
        <w:t>Revenue Recognition—</w:t>
      </w:r>
      <w:r>
        <w:rPr>
          <w:rFonts w:ascii="Arial" w:cs="Arial" w:eastAsia="Arial" w:hAnsi="Arial"/>
          <w:sz w:val="14"/>
          <w:szCs w:val="14"/>
          <w:color w:val="auto"/>
        </w:rPr>
        <w:t>Advertising revenue and administrative fees from Legacy Contracts are recognized in the period in which an advertising contract is fulfilled against the contracted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theatre attendees. Deferred revenue refers to the unearned portion of advertising contracts. All deferred revenue is classified as a current liability. Meetings and events revenue is recognized in the period in which the event was held. Legacy Contracts are contracts for advertising services with customers sold by founding members prior to the formation of NCM, which were not assigned to NCM, where the services were to be delivered after the formation. Administrative fees are earned by the Company for its services in fulfilling the Legacy Contracts, based on a percentage of Legacy Contract revenue (32% during 2006 and 35% during 2005). Administrative fees will decline as Legacy Contracts are fulfilled. Except for administrative fees, the Company’s revenue is earned from contracts with third parties.</w:t>
      </w:r>
    </w:p>
    <w:p>
      <w:pPr>
        <w:spacing w:after="0" w:line="106" w:lineRule="exact"/>
        <w:rPr>
          <w:sz w:val="20"/>
          <w:szCs w:val="20"/>
          <w:color w:val="auto"/>
        </w:rPr>
      </w:pPr>
    </w:p>
    <w:p>
      <w:pPr>
        <w:jc w:val="both"/>
        <w:ind w:right="380" w:firstLine="458"/>
        <w:spacing w:after="0" w:line="278" w:lineRule="auto"/>
        <w:rPr>
          <w:sz w:val="20"/>
          <w:szCs w:val="20"/>
          <w:color w:val="auto"/>
        </w:rPr>
      </w:pPr>
      <w:r>
        <w:rPr>
          <w:rFonts w:ascii="Arial" w:cs="Arial" w:eastAsia="Arial" w:hAnsi="Arial"/>
          <w:sz w:val="14"/>
          <w:szCs w:val="14"/>
          <w:b w:val="1"/>
          <w:bCs w:val="1"/>
          <w:i w:val="1"/>
          <w:iCs w:val="1"/>
          <w:color w:val="auto"/>
        </w:rPr>
        <w:t>Operating Costs</w:t>
      </w:r>
      <w:r>
        <w:rPr>
          <w:rFonts w:ascii="Arial" w:cs="Arial" w:eastAsia="Arial" w:hAnsi="Arial"/>
          <w:sz w:val="14"/>
          <w:szCs w:val="14"/>
          <w:b w:val="1"/>
          <w:bCs w:val="1"/>
          <w:color w:val="auto"/>
        </w:rPr>
        <w:t>—</w:t>
      </w:r>
      <w:r>
        <w:rPr>
          <w:rFonts w:ascii="Arial" w:cs="Arial" w:eastAsia="Arial" w:hAnsi="Arial"/>
          <w:sz w:val="14"/>
          <w:szCs w:val="14"/>
          <w:color w:val="auto"/>
        </w:rPr>
        <w:t>Advertising-related operating costs primarily include personnel and other costs related to advertising fulfillment and, to a lesser degree production costs of non-digital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advertising and payments due to unaffiliated theatres circuits under the “Network Affiliate Agreements”. These costs relate to the advertising revenue recorded by the Company as well as NCM’s administrative fees associated with the Legacy Contracts.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Meeting and event operating costs include equipment rental, catering, movie tickets acquired primarily from the theatre circuits, and other direct costs of the meeting or event.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Circuit share costs are fees payable to the theatre circuits for the right to exhibit advertisements within the theatres.</w:t>
      </w:r>
    </w:p>
    <w:p>
      <w:pPr>
        <w:spacing w:after="0" w:line="145" w:lineRule="exact"/>
        <w:rPr>
          <w:sz w:val="20"/>
          <w:szCs w:val="20"/>
          <w:color w:val="auto"/>
        </w:rPr>
      </w:pPr>
    </w:p>
    <w:p>
      <w:pPr>
        <w:ind w:right="340" w:firstLine="458"/>
        <w:spacing w:after="0" w:line="289" w:lineRule="auto"/>
        <w:rPr>
          <w:sz w:val="20"/>
          <w:szCs w:val="20"/>
          <w:color w:val="auto"/>
        </w:rPr>
      </w:pPr>
      <w:r>
        <w:rPr>
          <w:rFonts w:ascii="Arial" w:cs="Arial" w:eastAsia="Arial" w:hAnsi="Arial"/>
          <w:sz w:val="14"/>
          <w:szCs w:val="14"/>
          <w:color w:val="auto"/>
        </w:rPr>
        <w:t>Network costs include personnel, satellite bandwidth, repairs, and other costs of maintaining and operating the digital network and preparing advertising and other content for transmission across the digital network. These costs may be applicable to either the advertising or the meetings and events business lines.</w:t>
      </w:r>
    </w:p>
    <w:p>
      <w:pPr>
        <w:spacing w:after="0" w:line="89"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b w:val="1"/>
          <w:bCs w:val="1"/>
          <w:i w:val="1"/>
          <w:iCs w:val="1"/>
          <w:color w:val="auto"/>
        </w:rPr>
        <w:t>Cash and Equivalents</w:t>
      </w:r>
      <w:r>
        <w:rPr>
          <w:rFonts w:ascii="Arial" w:cs="Arial" w:eastAsia="Arial" w:hAnsi="Arial"/>
          <w:sz w:val="14"/>
          <w:szCs w:val="14"/>
          <w:b w:val="1"/>
          <w:bCs w:val="1"/>
          <w:color w:val="auto"/>
        </w:rPr>
        <w:t>—</w:t>
      </w:r>
      <w:r>
        <w:rPr>
          <w:rFonts w:ascii="Arial" w:cs="Arial" w:eastAsia="Arial" w:hAnsi="Arial"/>
          <w:sz w:val="14"/>
          <w:szCs w:val="14"/>
          <w:color w:val="auto"/>
        </w:rPr>
        <w:t>All highly liquid debt instruments and investments purchased with a remaining maturity of three months or less are classified as cash equivalents. Periodically these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cash balances in a bank in excess of the federally insured limits or in the form of a money market demand account with a major financial institution.</w:t>
      </w:r>
    </w:p>
    <w:p>
      <w:pPr>
        <w:spacing w:after="0" w:line="89" w:lineRule="exact"/>
        <w:rPr>
          <w:sz w:val="20"/>
          <w:szCs w:val="20"/>
          <w:color w:val="auto"/>
        </w:rPr>
      </w:pPr>
    </w:p>
    <w:p>
      <w:pPr>
        <w:jc w:val="center"/>
        <w:ind w:right="240"/>
        <w:spacing w:after="0" w:line="469" w:lineRule="auto"/>
        <w:rPr>
          <w:sz w:val="20"/>
          <w:szCs w:val="20"/>
          <w:color w:val="auto"/>
        </w:rPr>
      </w:pPr>
      <w:r>
        <w:rPr>
          <w:rFonts w:ascii="Arial" w:cs="Arial" w:eastAsia="Arial" w:hAnsi="Arial"/>
          <w:sz w:val="14"/>
          <w:szCs w:val="14"/>
          <w:color w:val="auto"/>
        </w:rPr>
        <w:t>A cash overdraft of $0.2 million is included in accounts payable and reflects the balances held in bank accounts, net of $0.9 million of outstanding checks, as of December 29, 2005. F-12</w:t>
      </w:r>
    </w:p>
    <w:p>
      <w:pPr>
        <w:sectPr>
          <w:pgSz w:w="11900" w:h="16838" w:orient="portrait"/>
          <w:cols w:equalWidth="0" w:num="1">
            <w:col w:w="11440"/>
          </w:cols>
          <w:pgMar w:left="220" w:top="399" w:right="23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ind w:right="40" w:firstLine="458"/>
        <w:spacing w:after="0" w:line="337" w:lineRule="auto"/>
        <w:rPr>
          <w:sz w:val="20"/>
          <w:szCs w:val="20"/>
          <w:color w:val="auto"/>
        </w:rPr>
      </w:pPr>
      <w:r>
        <w:rPr>
          <w:rFonts w:ascii="Arial" w:cs="Arial" w:eastAsia="Arial" w:hAnsi="Arial"/>
          <w:sz w:val="13"/>
          <w:szCs w:val="13"/>
          <w:b w:val="1"/>
          <w:bCs w:val="1"/>
          <w:i w:val="1"/>
          <w:iCs w:val="1"/>
          <w:color w:val="auto"/>
        </w:rPr>
        <w:t>Receivables</w:t>
      </w:r>
      <w:r>
        <w:rPr>
          <w:rFonts w:ascii="Arial" w:cs="Arial" w:eastAsia="Arial" w:hAnsi="Arial"/>
          <w:sz w:val="13"/>
          <w:szCs w:val="13"/>
          <w:b w:val="1"/>
          <w:bCs w:val="1"/>
          <w:color w:val="auto"/>
        </w:rPr>
        <w:t>—</w:t>
      </w:r>
      <w:r>
        <w:rPr>
          <w:rFonts w:ascii="Arial" w:cs="Arial" w:eastAsia="Arial" w:hAnsi="Arial"/>
          <w:sz w:val="13"/>
          <w:szCs w:val="13"/>
          <w:color w:val="auto"/>
        </w:rPr>
        <w:t>Bad debts are provided for using the allowance for doubtful accounts method based on historical experience and management’s evaluation of outstanding receivables at the end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Trade accounts receivable are uncollateralized and represent a large number of geographically dispersed debtors, none of which are individually material.</w:t>
      </w:r>
    </w:p>
    <w:p>
      <w:pPr>
        <w:spacing w:after="0" w:line="61" w:lineRule="exact"/>
        <w:rPr>
          <w:sz w:val="20"/>
          <w:szCs w:val="20"/>
          <w:color w:val="auto"/>
        </w:rPr>
      </w:pPr>
    </w:p>
    <w:p>
      <w:pPr>
        <w:ind w:right="260" w:firstLine="458"/>
        <w:spacing w:after="0" w:line="344" w:lineRule="auto"/>
        <w:rPr>
          <w:sz w:val="20"/>
          <w:szCs w:val="20"/>
          <w:color w:val="auto"/>
        </w:rPr>
      </w:pPr>
      <w:r>
        <w:rPr>
          <w:rFonts w:ascii="Arial" w:cs="Arial" w:eastAsia="Arial" w:hAnsi="Arial"/>
          <w:sz w:val="12"/>
          <w:szCs w:val="12"/>
          <w:b w:val="1"/>
          <w:bCs w:val="1"/>
          <w:i w:val="1"/>
          <w:iCs w:val="1"/>
          <w:color w:val="auto"/>
        </w:rPr>
        <w:t>Property and Equipment</w:t>
      </w:r>
      <w:r>
        <w:rPr>
          <w:rFonts w:ascii="Arial" w:cs="Arial" w:eastAsia="Arial" w:hAnsi="Arial"/>
          <w:sz w:val="12"/>
          <w:szCs w:val="12"/>
          <w:b w:val="1"/>
          <w:bCs w:val="1"/>
          <w:color w:val="auto"/>
        </w:rPr>
        <w:t>—</w:t>
      </w:r>
      <w:r>
        <w:rPr>
          <w:rFonts w:ascii="Arial" w:cs="Arial" w:eastAsia="Arial" w:hAnsi="Arial"/>
          <w:sz w:val="12"/>
          <w:szCs w:val="12"/>
          <w:color w:val="auto"/>
        </w:rPr>
        <w:t>Property and equipment is stated at cost. Major renewals and improvements are capitalized, while replacements, maintenance, and repairs that do not improve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extend the lives of the respective assets are expensed currently. In general, the equipment associated with the digital network that is located within the theatre is owned by the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60"/>
          </w:cols>
          <w:pgMar w:left="220" w:top="399" w:right="21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Equipment</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Computer hardware and software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4–10 years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3–5 years</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Lesser of lease term or asset life</w:t>
      </w:r>
    </w:p>
    <w:p>
      <w:pPr>
        <w:spacing w:after="0" w:line="162" w:lineRule="exact"/>
        <w:rPr>
          <w:sz w:val="20"/>
          <w:szCs w:val="20"/>
          <w:color w:val="auto"/>
        </w:rPr>
      </w:pPr>
    </w:p>
    <w:p>
      <w:pPr>
        <w:sectPr>
          <w:pgSz w:w="11900" w:h="16838" w:orient="portrait"/>
          <w:cols w:equalWidth="0" w:num="2">
            <w:col w:w="5360" w:space="720"/>
            <w:col w:w="5380"/>
          </w:cols>
          <w:pgMar w:left="220" w:top="399" w:right="219" w:bottom="1440" w:gutter="0" w:footer="0" w:header="0"/>
          <w:type w:val="continuous"/>
        </w:sectPr>
      </w:pPr>
    </w:p>
    <w:p>
      <w:pPr>
        <w:ind w:left="460"/>
        <w:spacing w:after="0"/>
        <w:rPr>
          <w:sz w:val="20"/>
          <w:szCs w:val="20"/>
          <w:color w:val="auto"/>
        </w:rPr>
      </w:pPr>
      <w:r>
        <w:rPr>
          <w:rFonts w:ascii="Arial" w:cs="Arial" w:eastAsia="Arial" w:hAnsi="Arial"/>
          <w:sz w:val="13"/>
          <w:szCs w:val="13"/>
          <w:b w:val="1"/>
          <w:bCs w:val="1"/>
          <w:i w:val="1"/>
          <w:iCs w:val="1"/>
          <w:color w:val="auto"/>
        </w:rPr>
        <w:t>Amounts due to Members</w:t>
      </w:r>
      <w:r>
        <w:rPr>
          <w:rFonts w:ascii="Arial" w:cs="Arial" w:eastAsia="Arial" w:hAnsi="Arial"/>
          <w:sz w:val="13"/>
          <w:szCs w:val="13"/>
          <w:color w:val="auto"/>
        </w:rPr>
        <w:t>—Amounts due to founding members include circuit share costs and cost reimbursements and are offset by the administrative fees earned on Legacy Contracts.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Payments to our founding members against outstanding balances are made monthly.</w:t>
      </w:r>
    </w:p>
    <w:p>
      <w:pPr>
        <w:spacing w:after="0" w:line="139" w:lineRule="exact"/>
        <w:rPr>
          <w:sz w:val="20"/>
          <w:szCs w:val="20"/>
          <w:color w:val="auto"/>
        </w:rPr>
      </w:pPr>
    </w:p>
    <w:p>
      <w:pPr>
        <w:jc w:val="both"/>
        <w:ind w:right="260" w:firstLine="458"/>
        <w:spacing w:after="0" w:line="270" w:lineRule="auto"/>
        <w:rPr>
          <w:sz w:val="20"/>
          <w:szCs w:val="20"/>
          <w:color w:val="auto"/>
        </w:rPr>
      </w:pPr>
      <w:r>
        <w:rPr>
          <w:rFonts w:ascii="Arial" w:cs="Arial" w:eastAsia="Arial" w:hAnsi="Arial"/>
          <w:sz w:val="14"/>
          <w:szCs w:val="14"/>
          <w:b w:val="1"/>
          <w:bCs w:val="1"/>
          <w:i w:val="1"/>
          <w:iCs w:val="1"/>
          <w:color w:val="auto"/>
        </w:rPr>
        <w:t>Network Affiliate Agreements—</w:t>
      </w:r>
      <w:r>
        <w:rPr>
          <w:rFonts w:ascii="Arial" w:cs="Arial" w:eastAsia="Arial" w:hAnsi="Arial"/>
          <w:sz w:val="14"/>
          <w:szCs w:val="14"/>
          <w:color w:val="auto"/>
        </w:rPr>
        <w:t>Network affiliate agreements were contributed at NCM’s formation at the net book value of the Members and are amortized on a straight-line basis over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remaining life of the agreement. These agreements require payment to the affiliate of 35% to 55% of the advertising revenue associated with the advertisements played in affiliate theatres, and also specify minimum payments that must be made. Amortization expense related to the network affiliate agreements for the period ended December 29, 2005 was $1.2 million and for the period ended September 28, 2006 was $0.7 million.</w:t>
      </w:r>
    </w:p>
    <w:p>
      <w:pPr>
        <w:spacing w:after="0" w:line="106"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As a limited liability company, NCM LLC’s taxable income or loss is allocated to Members in accordance with the provisions in the Amended and Restated Limited Liability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Operating Agreement. Therefore, no provision or liability for income taxes has been included in the financial statements.</w:t>
      </w:r>
    </w:p>
    <w:p>
      <w:pPr>
        <w:spacing w:after="0" w:line="93" w:lineRule="exact"/>
        <w:rPr>
          <w:sz w:val="20"/>
          <w:szCs w:val="20"/>
          <w:color w:val="auto"/>
        </w:rPr>
      </w:pPr>
    </w:p>
    <w:p>
      <w:pPr>
        <w:ind w:firstLine="458"/>
        <w:spacing w:after="0" w:line="313" w:lineRule="auto"/>
        <w:rPr>
          <w:sz w:val="20"/>
          <w:szCs w:val="20"/>
          <w:color w:val="auto"/>
        </w:rPr>
      </w:pPr>
      <w:r>
        <w:rPr>
          <w:rFonts w:ascii="Arial" w:cs="Arial" w:eastAsia="Arial" w:hAnsi="Arial"/>
          <w:sz w:val="12"/>
          <w:szCs w:val="12"/>
          <w:b w:val="1"/>
          <w:bCs w:val="1"/>
          <w:i w:val="1"/>
          <w:iCs w:val="1"/>
          <w:color w:val="auto"/>
        </w:rPr>
        <w:t>Stock-Based Compensation—</w:t>
      </w:r>
      <w:r>
        <w:rPr>
          <w:rFonts w:ascii="Arial" w:cs="Arial" w:eastAsia="Arial" w:hAnsi="Arial"/>
          <w:sz w:val="12"/>
          <w:szCs w:val="12"/>
          <w:color w:val="auto"/>
        </w:rPr>
        <w:t>In December 2002, the FASB issued SFAS No. 148,</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 for Stock-Based Compensation—Transition and Disclosure</w:t>
      </w:r>
      <w:r>
        <w:rPr>
          <w:rFonts w:ascii="Arial" w:cs="Arial" w:eastAsia="Arial" w:hAnsi="Arial"/>
          <w:sz w:val="12"/>
          <w:szCs w:val="12"/>
          <w:color w:val="auto"/>
        </w:rPr>
        <w:t>. SFAS No. 148 amends SFAS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No. 123, </w:t>
      </w:r>
      <w:r>
        <w:rPr>
          <w:rFonts w:ascii="Arial" w:cs="Arial" w:eastAsia="Arial" w:hAnsi="Arial"/>
          <w:sz w:val="12"/>
          <w:szCs w:val="12"/>
          <w:i w:val="1"/>
          <w:iCs w:val="1"/>
          <w:color w:val="auto"/>
        </w:rPr>
        <w:t>Accounting for Stock- Based Compensation</w:t>
      </w:r>
      <w:r>
        <w:rPr>
          <w:rFonts w:ascii="Arial" w:cs="Arial" w:eastAsia="Arial" w:hAnsi="Arial"/>
          <w:sz w:val="12"/>
          <w:szCs w:val="12"/>
          <w:color w:val="auto"/>
        </w:rPr>
        <w:t xml:space="preserve">, to provide alternative methods of transition for a voluntary change to SFAS No. 123’s fair value based method of accounting for stock-based employee compensation. In addition, SFAS No. 148 amends the disclosure requirements of SFAS No. 123 and APB Opinion No. 28, </w:t>
      </w:r>
      <w:r>
        <w:rPr>
          <w:rFonts w:ascii="Arial" w:cs="Arial" w:eastAsia="Arial" w:hAnsi="Arial"/>
          <w:sz w:val="12"/>
          <w:szCs w:val="12"/>
          <w:i w:val="1"/>
          <w:iCs w:val="1"/>
          <w:color w:val="auto"/>
        </w:rPr>
        <w:t>Interim Financial Reporting</w:t>
      </w:r>
      <w:r>
        <w:rPr>
          <w:rFonts w:ascii="Arial" w:cs="Arial" w:eastAsia="Arial" w:hAnsi="Arial"/>
          <w:sz w:val="12"/>
          <w:szCs w:val="12"/>
          <w:color w:val="auto"/>
        </w:rPr>
        <w:t xml:space="preserve">, to require disclosure in the summary of significant accounting policies of the effects of an entity’s accounting policy with respect to stock-based employee compensation on reported net income and earnings per share in annual and interim financial statements. Under SFAS No. 123, entities are permitted to recognize as expense the fair value of all stock-based awards on the date of grant over the vesting period and alternatively allows entities to continue to apply the provisions of APB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and related interpretations, and provide pro forma net income or loss and earnings or loss per share disclosures as if the fair-value-based method defined in SFAS No. 123 had been applied. In December 2004, the FASB revised SFAS 123 with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SFAS 123(R) eliminates the intrinsic value-based method and requires all entities to recognize compensation expense in an amount equal to the fair value of share based payments granted to employees. NCM LLC adopted SFAS 123(R) December 30, 2005, but the adoption had no impact on financial position or results of operations because there were no share based awards outstanding at the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60"/>
          </w:cols>
          <w:pgMar w:left="220" w:top="399" w:right="219" w:bottom="1440" w:gutter="0" w:footer="0" w:header="0"/>
          <w:type w:val="continuous"/>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date of adoption. On April 4, 2006, NCM’s Board of Directors approved the NCM LLC 2006 Unit Option Plan, as more fully described in Note 11. The Company has recorded expense of $1.1 million for the nine months ended September 28, 2006 for the options issued under the 2006 Unit Option Plan pursuant to the requirements of SFAS 123(R).</w:t>
      </w:r>
    </w:p>
    <w:p>
      <w:pPr>
        <w:spacing w:after="0" w:line="93" w:lineRule="exact"/>
        <w:rPr>
          <w:sz w:val="20"/>
          <w:szCs w:val="20"/>
          <w:color w:val="auto"/>
        </w:rPr>
      </w:pPr>
    </w:p>
    <w:p>
      <w:pPr>
        <w:jc w:val="both"/>
        <w:ind w:right="220" w:firstLine="458"/>
        <w:spacing w:after="0" w:line="270" w:lineRule="auto"/>
        <w:rPr>
          <w:sz w:val="20"/>
          <w:szCs w:val="20"/>
          <w:color w:val="auto"/>
        </w:rPr>
      </w:pPr>
      <w:r>
        <w:rPr>
          <w:rFonts w:ascii="Arial" w:cs="Arial" w:eastAsia="Arial" w:hAnsi="Arial"/>
          <w:sz w:val="14"/>
          <w:szCs w:val="14"/>
          <w:b w:val="1"/>
          <w:bCs w:val="1"/>
          <w:i w:val="1"/>
          <w:iCs w:val="1"/>
          <w:color w:val="auto"/>
        </w:rPr>
        <w:t>Estimates—</w:t>
      </w:r>
      <w:r>
        <w:rPr>
          <w:rFonts w:ascii="Arial" w:cs="Arial" w:eastAsia="Arial" w:hAnsi="Arial"/>
          <w:sz w:val="14"/>
          <w:szCs w:val="14"/>
          <w:color w:val="auto"/>
        </w:rPr>
        <w:t>The preparation of financial statements in conformity with accounting principles generally accepted in the United States of America requires management to make estimates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assumptions that affect the reported amounts of assets and liabilities and disclosure of contingent assets and liabilities at the date of the financial statements and the reported amounts of revenue and expenses during the reporting period. Significant estimates include those related to the reserve for uncollectible accounts receivable, deferred revenue and equity based compensation. Actual results could differ from those estimates.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RECENT ACCOUNTING PRONOUNCEMENTS</w:t>
      </w:r>
    </w:p>
    <w:p>
      <w:pPr>
        <w:spacing w:after="0" w:line="83"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 xml:space="preserve">During June 2006, the FASB issued Interpretation No. (“FIN”)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—an interpretation of FASB Statement No. 109. This interpretation clarifies the accounting for uncertainty in income taxes recognized in an enterprise’s financial statements in accordance with Statement of Financial Accounting Standards (“SFAS”) No. 109, </w:t>
      </w:r>
      <w:r>
        <w:rPr>
          <w:rFonts w:ascii="Arial" w:cs="Arial" w:eastAsia="Arial" w:hAnsi="Arial"/>
          <w:sz w:val="13"/>
          <w:szCs w:val="13"/>
          <w:i w:val="1"/>
          <w:iCs w:val="1"/>
          <w:color w:val="auto"/>
        </w:rPr>
        <w:t>Accounting for Income</w:t>
      </w:r>
      <w:r>
        <w:rPr>
          <w:rFonts w:ascii="Arial" w:cs="Arial" w:eastAsia="Arial" w:hAnsi="Arial"/>
          <w:sz w:val="13"/>
          <w:szCs w:val="13"/>
          <w:color w:val="auto"/>
        </w:rPr>
        <w:t xml:space="preserve"> </w:t>
      </w:r>
      <w:r>
        <w:rPr>
          <w:rFonts w:ascii="Arial" w:cs="Arial" w:eastAsia="Arial" w:hAnsi="Arial"/>
          <w:sz w:val="13"/>
          <w:szCs w:val="13"/>
          <w:i w:val="1"/>
          <w:iCs w:val="1"/>
          <w:color w:val="auto"/>
        </w:rPr>
        <w:t>Taxes</w:t>
      </w:r>
      <w:r>
        <w:rPr>
          <w:rFonts w:ascii="Arial" w:cs="Arial" w:eastAsia="Arial" w:hAnsi="Arial"/>
          <w:sz w:val="13"/>
          <w:szCs w:val="13"/>
          <w:color w:val="auto"/>
        </w:rPr>
        <w:t>, and prescribes a recognition threshold and measurement attribute for the financial statement recognition and measurement of a tax position taken or expected to be taken in a tax return. This</w:t>
      </w:r>
      <w:r>
        <w:rPr>
          <w:rFonts w:ascii="Arial" w:cs="Arial" w:eastAsia="Arial" w:hAnsi="Arial"/>
          <w:sz w:val="13"/>
          <w:szCs w:val="13"/>
          <w:i w:val="1"/>
          <w:iCs w:val="1"/>
          <w:color w:val="auto"/>
        </w:rPr>
        <w:t xml:space="preserve"> </w:t>
      </w:r>
      <w:r>
        <w:rPr>
          <w:rFonts w:ascii="Arial" w:cs="Arial" w:eastAsia="Arial" w:hAnsi="Arial"/>
          <w:sz w:val="13"/>
          <w:szCs w:val="13"/>
          <w:color w:val="auto"/>
        </w:rPr>
        <w:t>interpretation also provides guidance on derecognition, classification, interest and penalties, accounting in interim periods, disclosure, and transition. This interpretation is effective for fiscal years beginning after December 15, 2006. As a limited liability company, NCM’s taxable income or loss is allocated to the Founding Members in accordance with the provisions of its operating documents. However, with the proposed formation of National CineMedia, Inc., it will be a taxable entity and will be required to consider this interpretation as it relates to both itself and the Company’s consolidated tax position at National CineMedia, Inc. The Company is currently evaluating the impact the interpretation may have on its future financial condition, results of operations, and cash flows.</w:t>
      </w:r>
    </w:p>
    <w:p>
      <w:pPr>
        <w:spacing w:after="0" w:line="95"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 xml:space="preserve">During October 2006, the FASB issued SFAS No.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This statement does not require any new fair value measurements but provides guidance on how to measure fair value and clarifies the definition of fair value under accounting principles generally accepted in the United States of America. The statement also require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The statement will be applied prospectively by the Company for any fair value measurements that arise after the date of adoption.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FASB has also issued SFAS No. 158, </w:t>
      </w:r>
      <w:r>
        <w:rPr>
          <w:rFonts w:ascii="Arial" w:cs="Arial" w:eastAsia="Arial" w:hAnsi="Arial"/>
          <w:sz w:val="12"/>
          <w:szCs w:val="12"/>
          <w:i w:val="1"/>
          <w:iCs w:val="1"/>
          <w:color w:val="auto"/>
        </w:rPr>
        <w:t>Employers’ Accounting for Defined Benefit Pension and Other Postretirement Plans—an amendment of FASB Statements No. 87, 88, 106, and 132(R).</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As the Company has no plans covered by this standard, it will have no effect on the Company’s financial statements.</w:t>
      </w:r>
    </w:p>
    <w:p>
      <w:pPr>
        <w:spacing w:after="0" w:line="139" w:lineRule="exact"/>
        <w:rPr>
          <w:sz w:val="20"/>
          <w:szCs w:val="20"/>
          <w:color w:val="auto"/>
        </w:rPr>
      </w:pPr>
    </w:p>
    <w:p>
      <w:pPr>
        <w:ind w:right="340" w:firstLine="458"/>
        <w:spacing w:after="0" w:line="305" w:lineRule="auto"/>
        <w:rPr>
          <w:sz w:val="20"/>
          <w:szCs w:val="20"/>
          <w:color w:val="auto"/>
        </w:rPr>
      </w:pPr>
      <w:r>
        <w:rPr>
          <w:rFonts w:ascii="Arial" w:cs="Arial" w:eastAsia="Arial" w:hAnsi="Arial"/>
          <w:sz w:val="13"/>
          <w:szCs w:val="13"/>
          <w:color w:val="auto"/>
        </w:rPr>
        <w:t xml:space="preserve">The SEC has issued Staff Accounting Bulletin No. 108, </w:t>
      </w:r>
      <w:r>
        <w:rPr>
          <w:rFonts w:ascii="Arial" w:cs="Arial" w:eastAsia="Arial" w:hAnsi="Arial"/>
          <w:sz w:val="13"/>
          <w:szCs w:val="13"/>
          <w:i w:val="1"/>
          <w:iCs w:val="1"/>
          <w:color w:val="auto"/>
        </w:rPr>
        <w:t>Considering the Effects of Prior Year Misstatements when Quantifying Misstatements in Current Year Financial Statements</w:t>
      </w:r>
      <w:r>
        <w:rPr>
          <w:rFonts w:ascii="Arial" w:cs="Arial" w:eastAsia="Arial" w:hAnsi="Arial"/>
          <w:sz w:val="13"/>
          <w:szCs w:val="13"/>
          <w:color w:val="auto"/>
        </w:rPr>
        <w:t xml:space="preserve"> (“SAB 108”), in September 2006. SAB 108 requires entities to quantify misstatements based on their impact on each of their financial statements and related disclosures. SAB 108 is effective as of December 31, 2006. The adoption of this standard is not expected have an impact on the Company’s consolidated results of operations, cash flows or financial position.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40"/>
          </w:cols>
          <w:pgMar w:left="220" w:top="399" w:right="23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RECEIVABLES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Receivables consisted of the following at December 29, 2005 and September 28, 2006:</w:t>
      </w:r>
    </w:p>
    <w:p>
      <w:pPr>
        <w:spacing w:after="0" w:line="174" w:lineRule="exact"/>
        <w:rPr>
          <w:sz w:val="20"/>
          <w:szCs w:val="20"/>
          <w:color w:val="auto"/>
        </w:rPr>
      </w:pPr>
    </w:p>
    <w:p>
      <w:pPr>
        <w:jc w:val="center"/>
        <w:ind w:left="8780"/>
        <w:spacing w:after="0"/>
        <w:rPr>
          <w:sz w:val="20"/>
          <w:szCs w:val="20"/>
          <w:color w:val="auto"/>
        </w:rPr>
      </w:pPr>
      <w:r>
        <w:rPr>
          <w:rFonts w:ascii="Arial" w:cs="Arial" w:eastAsia="Arial" w:hAnsi="Arial"/>
          <w:sz w:val="9"/>
          <w:szCs w:val="9"/>
          <w:b w:val="1"/>
          <w:bCs w:val="1"/>
          <w:color w:val="auto"/>
        </w:rPr>
        <w:t>December 29,</w:t>
      </w:r>
    </w:p>
    <w:p>
      <w:pPr>
        <w:spacing w:after="0" w:line="29" w:lineRule="exact"/>
        <w:rPr>
          <w:sz w:val="20"/>
          <w:szCs w:val="20"/>
          <w:color w:val="auto"/>
        </w:rPr>
      </w:pPr>
    </w:p>
    <w:p>
      <w:pPr>
        <w:jc w:val="center"/>
        <w:ind w:left="8780"/>
        <w:spacing w:after="0"/>
        <w:rPr>
          <w:sz w:val="20"/>
          <w:szCs w:val="20"/>
          <w:color w:val="auto"/>
        </w:rPr>
      </w:pPr>
      <w:r>
        <w:rPr>
          <w:rFonts w:ascii="Arial" w:cs="Arial" w:eastAsia="Arial" w:hAnsi="Arial"/>
          <w:sz w:val="11"/>
          <w:szCs w:val="11"/>
          <w:b w:val="1"/>
          <w:bCs w:val="1"/>
          <w:color w:val="auto"/>
        </w:rPr>
        <w:t>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9"/>
          <w:szCs w:val="9"/>
          <w:b w:val="1"/>
          <w:bCs w:val="1"/>
          <w:color w:val="auto"/>
        </w:rPr>
        <w:t>September 28,</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1"/>
          <w:szCs w:val="11"/>
          <w:b w:val="1"/>
          <w:bCs w:val="1"/>
          <w:color w:val="auto"/>
        </w:rPr>
        <w:t>2006</w:t>
      </w:r>
    </w:p>
    <w:p>
      <w:pPr>
        <w:spacing w:after="0" w:line="20" w:lineRule="exact"/>
        <w:rPr>
          <w:sz w:val="20"/>
          <w:szCs w:val="20"/>
          <w:color w:val="auto"/>
        </w:rPr>
      </w:pPr>
    </w:p>
    <w:p>
      <w:pPr>
        <w:sectPr>
          <w:pgSz w:w="11900" w:h="16838" w:orient="portrait"/>
          <w:cols w:equalWidth="0" w:num="2">
            <w:col w:w="10020" w:space="720"/>
            <w:col w:w="720"/>
          </w:cols>
          <w:pgMar w:left="220" w:top="399" w:right="219" w:bottom="1440" w:gutter="0" w:footer="0" w:header="0"/>
        </w:sectPr>
      </w:pPr>
    </w:p>
    <w:tbl>
      <w:tblPr>
        <w:tblLayout w:type="fixed"/>
        <w:tblInd w:w="0" w:type="dxa"/>
        <w:tblCellMar>
          <w:top w:w="0" w:type="dxa"/>
          <w:left w:w="0" w:type="dxa"/>
          <w:bottom w:w="0" w:type="dxa"/>
          <w:right w:w="0" w:type="dxa"/>
        </w:tblCellMar>
      </w:tblPr>
      <w:tr>
        <w:trPr>
          <w:trHeight w:val="20"/>
        </w:trPr>
        <w:tc>
          <w:tcPr>
            <w:tcW w:w="9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9080" w:type="dxa"/>
            <w:vAlign w:val="bottom"/>
          </w:tcPr>
          <w:p>
            <w:pPr>
              <w:spacing w:after="0" w:line="139" w:lineRule="exact"/>
              <w:rPr>
                <w:sz w:val="20"/>
                <w:szCs w:val="20"/>
                <w:color w:val="auto"/>
              </w:rPr>
            </w:pPr>
            <w:r>
              <w:rPr>
                <w:rFonts w:ascii="Arial" w:cs="Arial" w:eastAsia="Arial" w:hAnsi="Arial"/>
                <w:sz w:val="14"/>
                <w:szCs w:val="14"/>
                <w:color w:val="auto"/>
              </w:rPr>
              <w:t>Trade accounts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39" w:lineRule="exact"/>
              <w:rPr>
                <w:sz w:val="20"/>
                <w:szCs w:val="20"/>
                <w:color w:val="auto"/>
              </w:rPr>
            </w:pPr>
            <w:r>
              <w:rPr>
                <w:rFonts w:ascii="Arial" w:cs="Arial" w:eastAsia="Arial" w:hAnsi="Arial"/>
                <w:sz w:val="14"/>
                <w:szCs w:val="14"/>
                <w:color w:val="auto"/>
              </w:rPr>
              <w:t>37.0</w:t>
            </w:r>
          </w:p>
        </w:tc>
        <w:tc>
          <w:tcPr>
            <w:tcW w:w="540" w:type="dxa"/>
            <w:vAlign w:val="bottom"/>
          </w:tcPr>
          <w:p>
            <w:pPr>
              <w:spacing w:after="0"/>
              <w:rPr>
                <w:sz w:val="12"/>
                <w:szCs w:val="12"/>
                <w:color w:val="auto"/>
              </w:rPr>
            </w:pPr>
          </w:p>
        </w:tc>
        <w:tc>
          <w:tcPr>
            <w:tcW w:w="72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60"/>
              <w:spacing w:after="0" w:line="13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5"/>
        </w:trPr>
        <w:tc>
          <w:tcPr>
            <w:tcW w:w="9080" w:type="dxa"/>
            <w:vAlign w:val="bottom"/>
          </w:tcPr>
          <w:p>
            <w:pPr>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9080" w:type="dxa"/>
            <w:vAlign w:val="bottom"/>
          </w:tcPr>
          <w:p>
            <w:pPr>
              <w:spacing w:after="0"/>
              <w:rPr>
                <w:sz w:val="20"/>
                <w:szCs w:val="20"/>
                <w:color w:val="auto"/>
              </w:rPr>
            </w:pPr>
            <w:r>
              <w:rPr>
                <w:rFonts w:ascii="Arial" w:cs="Arial" w:eastAsia="Arial" w:hAnsi="Arial"/>
                <w:sz w:val="14"/>
                <w:szCs w:val="14"/>
                <w:color w:val="auto"/>
              </w:rPr>
              <w:t>Less allowance for doubtful accounts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(0.5)</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080" w:type="dxa"/>
            <w:vAlign w:val="bottom"/>
            <w:vMerge w:val="continue"/>
          </w:tcPr>
          <w:p>
            <w:pPr>
              <w:spacing w:after="0"/>
              <w:rPr>
                <w:sz w:val="15"/>
                <w:szCs w:val="15"/>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36.6</w:t>
            </w:r>
          </w:p>
        </w:tc>
        <w:tc>
          <w:tcPr>
            <w:tcW w:w="5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DEFERRED OFFERING COSTS</w:t>
      </w:r>
    </w:p>
    <w:p>
      <w:pPr>
        <w:spacing w:after="0" w:line="83"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The Company has paid certain costs associated with the proposed initial public offering (“IPO”) of National CineMedia, Inc., a newly formed holding company whose sole asset will be approximately 40.5% of the common membership units of the Company (See Note 14). These costs will be reimbursed to the Company by National CineMedia, Inc. at the time of the IPO. Should the National CineMedia, Inc. IPO not be completed, these deferred offering costs would be expensed as administrative expenses at the time the determination is made that the IPO will not occur or is significantly delayed.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RELATED-PARTY TRANSACTIONS</w:t>
      </w:r>
    </w:p>
    <w:p>
      <w:pPr>
        <w:spacing w:after="0" w:line="83"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Included in media and events operating costs is $2.1 million and $1.7 million for the nine months ended December 29, 2005 and September 28, 2006, respectively, related to purchases of movie tickets and concession products from the Members primarily for resale to NCM’s customers, of which $1.9 million and $1.2 million for the nine months ended December 29, 2005 and September 28, 2006, respectively, was paid to Regal and $0.2 million and $0.5 million for the nine months ended December 29, 2005 and September 28, 2006, respectively, was paid to AMC.</w:t>
      </w:r>
    </w:p>
    <w:p>
      <w:pPr>
        <w:spacing w:after="0" w:line="86"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As discussed in Note 1, at the formation of NCM and upon the admission of Cinemark as a Member, circuit share agreements and administrative services fee agreements were consummated with each Member. Circuit share expense and administrative fee revenue by Member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4"/>
          </w:tcPr>
          <w:p>
            <w:pPr>
              <w:jc w:val="center"/>
              <w:ind w:left="194"/>
              <w:spacing w:after="0"/>
              <w:rPr>
                <w:sz w:val="20"/>
                <w:szCs w:val="20"/>
                <w:color w:val="auto"/>
              </w:rPr>
            </w:pPr>
            <w:r>
              <w:rPr>
                <w:rFonts w:ascii="Arial" w:cs="Arial" w:eastAsia="Arial" w:hAnsi="Arial"/>
                <w:sz w:val="11"/>
                <w:szCs w:val="11"/>
                <w:b w:val="1"/>
                <w:bCs w:val="1"/>
                <w:color w:val="auto"/>
                <w:w w:val="89"/>
              </w:rPr>
              <w:t>For the nine months ended</w:t>
            </w: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4"/>
          </w:tcPr>
          <w:p>
            <w:pPr>
              <w:jc w:val="right"/>
              <w:ind w:right="87"/>
              <w:spacing w:after="0"/>
              <w:rPr>
                <w:sz w:val="20"/>
                <w:szCs w:val="20"/>
                <w:color w:val="auto"/>
              </w:rPr>
            </w:pPr>
            <w:r>
              <w:rPr>
                <w:rFonts w:ascii="Arial" w:cs="Arial" w:eastAsia="Arial" w:hAnsi="Arial"/>
                <w:sz w:val="11"/>
                <w:szCs w:val="11"/>
                <w:b w:val="1"/>
                <w:bCs w:val="1"/>
                <w:color w:val="auto"/>
              </w:rPr>
              <w:t>For the nine months ended</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8"/>
              </w:rPr>
              <w:t>December 29, 2005</w:t>
            </w:r>
          </w:p>
        </w:tc>
        <w:tc>
          <w:tcPr>
            <w:tcW w:w="3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267"/>
              <w:spacing w:after="0"/>
              <w:rPr>
                <w:sz w:val="20"/>
                <w:szCs w:val="20"/>
                <w:color w:val="auto"/>
              </w:rPr>
            </w:pPr>
            <w:r>
              <w:rPr>
                <w:rFonts w:ascii="Arial" w:cs="Arial" w:eastAsia="Arial" w:hAnsi="Arial"/>
                <w:sz w:val="11"/>
                <w:szCs w:val="11"/>
                <w:b w:val="1"/>
                <w:bCs w:val="1"/>
                <w:color w:val="auto"/>
                <w:w w:val="87"/>
              </w:rPr>
              <w:t>September 28, 2006</w:t>
            </w: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3"/>
          </w:tcPr>
          <w:p>
            <w:pPr>
              <w:spacing w:after="0" w:line="100" w:lineRule="exact"/>
              <w:rPr>
                <w:sz w:val="20"/>
                <w:szCs w:val="20"/>
                <w:color w:val="auto"/>
              </w:rPr>
            </w:pPr>
            <w:r>
              <w:rPr>
                <w:rFonts w:ascii="Arial" w:cs="Arial" w:eastAsia="Arial" w:hAnsi="Arial"/>
                <w:sz w:val="11"/>
                <w:szCs w:val="11"/>
                <w:b w:val="1"/>
                <w:bCs w:val="1"/>
                <w:color w:val="auto"/>
                <w:w w:val="90"/>
              </w:rPr>
              <w:t>Circuit Share</w:t>
            </w:r>
          </w:p>
        </w:tc>
        <w:tc>
          <w:tcPr>
            <w:tcW w:w="860" w:type="dxa"/>
            <w:vAlign w:val="bottom"/>
          </w:tcPr>
          <w:p>
            <w:pPr>
              <w:spacing w:after="0"/>
              <w:rPr>
                <w:sz w:val="8"/>
                <w:szCs w:val="8"/>
                <w:color w:val="auto"/>
              </w:rPr>
            </w:pPr>
          </w:p>
        </w:tc>
        <w:tc>
          <w:tcPr>
            <w:tcW w:w="70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88"/>
              </w:rPr>
              <w:t>Administrative</w:t>
            </w:r>
          </w:p>
        </w:tc>
        <w:tc>
          <w:tcPr>
            <w:tcW w:w="900" w:type="dxa"/>
            <w:vAlign w:val="bottom"/>
          </w:tcPr>
          <w:p>
            <w:pPr>
              <w:spacing w:after="0"/>
              <w:rPr>
                <w:sz w:val="8"/>
                <w:szCs w:val="8"/>
                <w:color w:val="auto"/>
              </w:rPr>
            </w:pPr>
          </w:p>
        </w:tc>
        <w:tc>
          <w:tcPr>
            <w:tcW w:w="640" w:type="dxa"/>
            <w:vAlign w:val="bottom"/>
            <w:gridSpan w:val="3"/>
          </w:tcPr>
          <w:p>
            <w:pPr>
              <w:jc w:val="right"/>
              <w:ind w:right="20"/>
              <w:spacing w:after="0" w:line="100" w:lineRule="exact"/>
              <w:rPr>
                <w:sz w:val="20"/>
                <w:szCs w:val="20"/>
                <w:color w:val="auto"/>
              </w:rPr>
            </w:pPr>
            <w:r>
              <w:rPr>
                <w:rFonts w:ascii="Arial" w:cs="Arial" w:eastAsia="Arial" w:hAnsi="Arial"/>
                <w:sz w:val="11"/>
                <w:szCs w:val="11"/>
                <w:b w:val="1"/>
                <w:bCs w:val="1"/>
                <w:color w:val="auto"/>
                <w:w w:val="87"/>
              </w:rPr>
              <w:t>Circuit Share</w:t>
            </w:r>
          </w:p>
        </w:tc>
        <w:tc>
          <w:tcPr>
            <w:tcW w:w="880" w:type="dxa"/>
            <w:vAlign w:val="bottom"/>
          </w:tcPr>
          <w:p>
            <w:pPr>
              <w:spacing w:after="0"/>
              <w:rPr>
                <w:sz w:val="8"/>
                <w:szCs w:val="8"/>
                <w:color w:val="auto"/>
              </w:rPr>
            </w:pPr>
          </w:p>
        </w:tc>
        <w:tc>
          <w:tcPr>
            <w:tcW w:w="700" w:type="dxa"/>
            <w:vAlign w:val="bottom"/>
            <w:gridSpan w:val="2"/>
          </w:tcPr>
          <w:p>
            <w:pPr>
              <w:jc w:val="right"/>
              <w:spacing w:after="0" w:line="100" w:lineRule="exact"/>
              <w:rPr>
                <w:sz w:val="20"/>
                <w:szCs w:val="20"/>
                <w:color w:val="auto"/>
              </w:rPr>
            </w:pPr>
            <w:r>
              <w:rPr>
                <w:rFonts w:ascii="Arial" w:cs="Arial" w:eastAsia="Arial" w:hAnsi="Arial"/>
                <w:sz w:val="11"/>
                <w:szCs w:val="11"/>
                <w:b w:val="1"/>
                <w:bCs w:val="1"/>
                <w:color w:val="auto"/>
                <w:w w:val="88"/>
              </w:rPr>
              <w:t>Administrative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Expense</w:t>
            </w:r>
          </w:p>
        </w:tc>
        <w:tc>
          <w:tcPr>
            <w:tcW w:w="860" w:type="dxa"/>
            <w:vAlign w:val="bottom"/>
          </w:tcPr>
          <w:p>
            <w:pPr>
              <w:spacing w:after="0"/>
              <w:rPr>
                <w:sz w:val="12"/>
                <w:szCs w:val="12"/>
                <w:color w:val="auto"/>
              </w:rPr>
            </w:pPr>
          </w:p>
        </w:tc>
        <w:tc>
          <w:tcPr>
            <w:tcW w:w="1600" w:type="dxa"/>
            <w:vAlign w:val="bottom"/>
            <w:gridSpan w:val="3"/>
          </w:tcPr>
          <w:p>
            <w:pPr>
              <w:ind w:left="60"/>
              <w:spacing w:after="0"/>
              <w:rPr>
                <w:sz w:val="20"/>
                <w:szCs w:val="20"/>
                <w:color w:val="auto"/>
              </w:rPr>
            </w:pPr>
            <w:r>
              <w:rPr>
                <w:rFonts w:ascii="Arial" w:cs="Arial" w:eastAsia="Arial" w:hAnsi="Arial"/>
                <w:sz w:val="11"/>
                <w:szCs w:val="11"/>
                <w:b w:val="1"/>
                <w:bCs w:val="1"/>
                <w:color w:val="auto"/>
              </w:rPr>
              <w:t>Fee Revenue</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8"/>
              </w:rPr>
              <w:t>Expense</w:t>
            </w:r>
          </w:p>
        </w:tc>
        <w:tc>
          <w:tcPr>
            <w:tcW w:w="88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1"/>
              </w:rPr>
              <w:t>Fee Revenue</w:t>
            </w:r>
          </w:p>
        </w:tc>
        <w:tc>
          <w:tcPr>
            <w:tcW w:w="0" w:type="dxa"/>
            <w:vAlign w:val="bottom"/>
          </w:tcPr>
          <w:p>
            <w:pPr>
              <w:spacing w:after="0"/>
              <w:rPr>
                <w:sz w:val="1"/>
                <w:szCs w:val="1"/>
                <w:color w:val="auto"/>
              </w:rPr>
            </w:pPr>
          </w:p>
        </w:tc>
      </w:tr>
      <w:tr>
        <w:trPr>
          <w:trHeight w:val="159"/>
        </w:trPr>
        <w:tc>
          <w:tcPr>
            <w:tcW w:w="6120" w:type="dxa"/>
            <w:vAlign w:val="bottom"/>
          </w:tcPr>
          <w:p>
            <w:pPr>
              <w:spacing w:after="0" w:line="159" w:lineRule="exact"/>
              <w:rPr>
                <w:sz w:val="20"/>
                <w:szCs w:val="20"/>
                <w:color w:val="auto"/>
              </w:rPr>
            </w:pPr>
            <w:r>
              <w:rPr>
                <w:rFonts w:ascii="Arial" w:cs="Arial" w:eastAsia="Arial" w:hAnsi="Arial"/>
                <w:sz w:val="14"/>
                <w:szCs w:val="14"/>
                <w:color w:val="auto"/>
              </w:rPr>
              <w:t>AMC</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19.4</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8.3</w:t>
            </w:r>
          </w:p>
        </w:tc>
        <w:tc>
          <w:tcPr>
            <w:tcW w:w="9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27.1</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Borders>
              <w:top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20" w:type="dxa"/>
            <w:vAlign w:val="bottom"/>
          </w:tcPr>
          <w:p>
            <w:pPr>
              <w:spacing w:after="0"/>
              <w:rPr>
                <w:sz w:val="20"/>
                <w:szCs w:val="20"/>
                <w:color w:val="auto"/>
              </w:rPr>
            </w:pPr>
            <w:r>
              <w:rPr>
                <w:rFonts w:ascii="Arial" w:cs="Arial" w:eastAsia="Arial" w:hAnsi="Arial"/>
                <w:sz w:val="14"/>
                <w:szCs w:val="14"/>
                <w:color w:val="auto"/>
              </w:rPr>
              <w:t>Cinemark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9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18.9</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6120" w:type="dxa"/>
            <w:vAlign w:val="bottom"/>
          </w:tcPr>
          <w:p>
            <w:pPr>
              <w:spacing w:after="0"/>
              <w:rPr>
                <w:sz w:val="20"/>
                <w:szCs w:val="20"/>
                <w:color w:val="auto"/>
              </w:rPr>
            </w:pPr>
            <w:r>
              <w:rPr>
                <w:rFonts w:ascii="Arial" w:cs="Arial" w:eastAsia="Arial" w:hAnsi="Arial"/>
                <w:sz w:val="14"/>
                <w:szCs w:val="14"/>
                <w:color w:val="auto"/>
              </w:rPr>
              <w:t>Regal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19.1</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42.6</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20" w:type="dxa"/>
            <w:vAlign w:val="bottom"/>
            <w:vMerge w:val="continue"/>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38.6</w:t>
            </w: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900"/>
              <w:spacing w:after="0"/>
              <w:rPr>
                <w:sz w:val="20"/>
                <w:szCs w:val="20"/>
                <w:color w:val="auto"/>
              </w:rPr>
            </w:pPr>
            <w:r>
              <w:rPr>
                <w:rFonts w:ascii="Arial" w:cs="Arial" w:eastAsia="Arial" w:hAnsi="Arial"/>
                <w:sz w:val="14"/>
                <w:szCs w:val="14"/>
                <w:color w:val="auto"/>
              </w:rPr>
              <w:t>30.8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88.6</w:t>
            </w:r>
          </w:p>
        </w:tc>
        <w:tc>
          <w:tcPr>
            <w:tcW w:w="1240" w:type="dxa"/>
            <w:vAlign w:val="bottom"/>
            <w:gridSpan w:val="2"/>
          </w:tcPr>
          <w:p>
            <w:pPr>
              <w:jc w:val="right"/>
              <w:ind w:right="247"/>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Upon the formation of NCM, the level of such payments as a percentage of advertising revenue was significantly increased. Also, advertising revenue and related circuit share costs related to founding member Legacy Contracts that would have been recorded as such by the founding members are not included in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60"/>
          </w:cols>
          <w:pgMar w:left="220" w:top="399" w:right="219" w:bottom="1440" w:gutter="0" w:footer="0" w:header="0"/>
          <w:type w:val="continuous"/>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statement of operations of NCM because of the provisions of the administrative services agreement, under which NCM earned a fee of 35% of the $88.0 million of revenue from such contracts for the nine months ended December 29, 2005 and NCM earned a fee of 32% of the $13.4 million of revenue from such contracts for the nine months ended September 28, 2006. As the Legacy Contracts expire and NCM sells new advertising agreements, advertising revenue and related circuit share costs will increase.</w:t>
      </w:r>
    </w:p>
    <w:p>
      <w:pPr>
        <w:spacing w:after="0" w:line="102" w:lineRule="exact"/>
        <w:rPr>
          <w:sz w:val="20"/>
          <w:szCs w:val="20"/>
          <w:color w:val="auto"/>
        </w:rPr>
      </w:pPr>
    </w:p>
    <w:p>
      <w:pPr>
        <w:ind w:right="340" w:firstLine="458"/>
        <w:spacing w:after="0" w:line="275" w:lineRule="auto"/>
        <w:rPr>
          <w:sz w:val="20"/>
          <w:szCs w:val="20"/>
          <w:color w:val="auto"/>
        </w:rPr>
      </w:pPr>
      <w:r>
        <w:rPr>
          <w:rFonts w:ascii="Arial" w:cs="Arial" w:eastAsia="Arial" w:hAnsi="Arial"/>
          <w:sz w:val="14"/>
          <w:szCs w:val="14"/>
          <w:color w:val="auto"/>
        </w:rPr>
        <w:t>Payments from NCM for employee and other services provided under the Transition Services Agreement to Regal and its subsidiaries totaled $3.3 million, and to AMC and its subsidiaries totaled $3.2 million for the nine months ended December 29, 2005. Additionally, Regal and its subsidiaries paid $0.1 million to NCM for services provided by NCM to RCI under the Transition Services Agreement for the nine months ended December 29, 2005.</w:t>
      </w:r>
    </w:p>
    <w:p>
      <w:pPr>
        <w:spacing w:after="0" w:line="102"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During 2005, AMC and RCI purchased $0.5 million and $0.6 million, respectively, of NCM’s advertising inventory for their own use and during 2006, AMC and RCI purchased $0.5 million and $1.0 million of NCM’s advertising inventory for their own use. The value of such purchases are calculated by reference to NCM’s advertising rate card and is included in advertising revenue with a percentage of such amounts returned by NCM to the members as advertising circuit share.</w:t>
      </w:r>
    </w:p>
    <w:p>
      <w:pPr>
        <w:spacing w:after="0" w:line="102" w:lineRule="exact"/>
        <w:rPr>
          <w:sz w:val="20"/>
          <w:szCs w:val="20"/>
          <w:color w:val="auto"/>
        </w:rPr>
      </w:pPr>
    </w:p>
    <w:p>
      <w:pPr>
        <w:ind w:right="20" w:firstLine="458"/>
        <w:spacing w:after="0" w:line="285" w:lineRule="auto"/>
        <w:rPr>
          <w:sz w:val="20"/>
          <w:szCs w:val="20"/>
          <w:color w:val="auto"/>
        </w:rPr>
      </w:pPr>
      <w:r>
        <w:rPr>
          <w:rFonts w:ascii="Arial" w:cs="Arial" w:eastAsia="Arial" w:hAnsi="Arial"/>
          <w:sz w:val="13"/>
          <w:szCs w:val="13"/>
          <w:color w:val="auto"/>
        </w:rPr>
        <w:t>As further described in Note 10 “Stock Option Plan”, certain RCM employees who would become employees of NCM had been granted Regal stock options and restricted stock. As specified within the Contribution and Unit Holders Agreement and in accordance with the RCI Severance Plan for Equity Compensation (the “Severance Plan”), in lieu of continued participation in the Regal stock option and restricted stock plan by these employees, Regal agreed to make cash payments to these employees at an agreed-upon value for such options and restricted stock, with payments to be made on the dates which such options and restricted stock would have otherwise vested. Additionally, the Contribution and Unit Holders Agreement provided that NCM will reimburse Regal $4.0 million associated with Regal’s obligations under this arrangement. This $4.0 million obligation was recorded as a liability on NCM’s records as of March 29, 2005, reducing the capital accounts of AMC and Regal pro-rata to their ownership percentages. The first payment of $0.5 million was made to Regal on March 29, 2005, with the remaining $3.5 million paid to Regal on March 29, 2006.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National CineMedia, the cost of the Severance Plan will be recorded as an expense over the remaining required service periods. As the payments under the Plan are being funded by Regal, Regal will be credited with a capital contribution equal to this severance plan expense. During the periods ended December 29, 2005 and September 28, 2006, severance expense and the related capital contribution were $8.5 million and $3.4 million, respectively. Severance expense for the remainder of fiscal 2006, and for fiscal years 2007 and 2008 at a minimum is expected to be $0.7 million, $1.9 million and $0.6 million, respectively, prior to the inclusion of payments in lieu of distributions on restricted stock and the impact of any employee terminations.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Amounts due to (from) Members at December 29, 2005 is comprised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vMerge w:val="restart"/>
          </w:tcPr>
          <w:p>
            <w:pPr>
              <w:spacing w:after="0"/>
              <w:rPr>
                <w:sz w:val="20"/>
                <w:szCs w:val="20"/>
                <w:color w:val="auto"/>
              </w:rPr>
            </w:pPr>
            <w:r>
              <w:rPr>
                <w:rFonts w:ascii="Arial" w:cs="Arial" w:eastAsia="Arial" w:hAnsi="Arial"/>
                <w:sz w:val="14"/>
                <w:szCs w:val="14"/>
                <w:color w:val="auto"/>
              </w:rPr>
              <w:t>Circuit share payments</w:t>
            </w:r>
          </w:p>
        </w:tc>
        <w:tc>
          <w:tcPr>
            <w:tcW w:w="488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AMC</w:t>
            </w:r>
          </w:p>
        </w:tc>
        <w:tc>
          <w:tcPr>
            <w:tcW w:w="22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w w:val="91"/>
              </w:rPr>
              <w:t>Cinemark</w:t>
            </w:r>
          </w:p>
        </w:tc>
        <w:tc>
          <w:tcPr>
            <w:tcW w:w="44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3"/>
              </w:rPr>
              <w:t>Regal</w:t>
            </w:r>
          </w:p>
        </w:tc>
        <w:tc>
          <w:tcPr>
            <w:tcW w:w="22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8"/>
        </w:trPr>
        <w:tc>
          <w:tcPr>
            <w:tcW w:w="3700" w:type="dxa"/>
            <w:vAlign w:val="bottom"/>
            <w:vMerge w:val="continue"/>
          </w:tcPr>
          <w:p>
            <w:pPr>
              <w:spacing w:after="0"/>
              <w:rPr>
                <w:sz w:val="13"/>
                <w:szCs w:val="13"/>
                <w:color w:val="auto"/>
              </w:rPr>
            </w:pPr>
          </w:p>
        </w:tc>
        <w:tc>
          <w:tcPr>
            <w:tcW w:w="488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$11.7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$10.6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$22.4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Cost reimbursement</w:t>
            </w:r>
          </w:p>
        </w:tc>
        <w:tc>
          <w:tcPr>
            <w:tcW w:w="520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Compensation-related payment</w:t>
            </w:r>
          </w:p>
        </w:tc>
        <w:tc>
          <w:tcPr>
            <w:tcW w:w="4880" w:type="dxa"/>
            <w:vAlign w:val="bottom"/>
          </w:tcPr>
          <w:p>
            <w:pPr>
              <w:spacing w:after="0"/>
              <w:rPr>
                <w:sz w:val="15"/>
                <w:szCs w:val="15"/>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28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Administrative fee</w:t>
            </w:r>
          </w:p>
        </w:tc>
        <w:tc>
          <w:tcPr>
            <w:tcW w:w="488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(2.5)</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00" w:type="dxa"/>
            <w:vAlign w:val="bottom"/>
            <w:vMerge w:val="continue"/>
          </w:tcPr>
          <w:p>
            <w:pPr>
              <w:spacing w:after="0"/>
              <w:rPr>
                <w:sz w:val="15"/>
                <w:szCs w:val="15"/>
                <w:color w:val="auto"/>
              </w:rPr>
            </w:pPr>
          </w:p>
        </w:tc>
        <w:tc>
          <w:tcPr>
            <w:tcW w:w="52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12.3</w:t>
            </w:r>
          </w:p>
        </w:tc>
        <w:tc>
          <w:tcPr>
            <w:tcW w:w="220" w:type="dxa"/>
            <w:vAlign w:val="bottom"/>
          </w:tcPr>
          <w:p>
            <w:pPr>
              <w:spacing w:after="0"/>
              <w:rPr>
                <w:sz w:val="15"/>
                <w:szCs w:val="15"/>
                <w:color w:val="auto"/>
              </w:rPr>
            </w:pP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0.1</w:t>
            </w:r>
          </w:p>
        </w:tc>
        <w:tc>
          <w:tcPr>
            <w:tcW w:w="1040" w:type="dxa"/>
            <w:vAlign w:val="bottom"/>
            <w:gridSpan w:val="3"/>
          </w:tcPr>
          <w:p>
            <w:pPr>
              <w:jc w:val="right"/>
              <w:ind w:right="2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11.6</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00" w:type="dxa"/>
            <w:vAlign w:val="bottom"/>
          </w:tcPr>
          <w:p>
            <w:pPr>
              <w:spacing w:after="0"/>
              <w:rPr>
                <w:sz w:val="24"/>
                <w:szCs w:val="24"/>
                <w:color w:val="auto"/>
              </w:rPr>
            </w:pPr>
          </w:p>
        </w:tc>
        <w:tc>
          <w:tcPr>
            <w:tcW w:w="5420" w:type="dxa"/>
            <w:vAlign w:val="bottom"/>
            <w:gridSpan w:val="3"/>
          </w:tcPr>
          <w:p>
            <w:pPr>
              <w:ind w:left="1900"/>
              <w:spacing w:after="0"/>
              <w:rPr>
                <w:sz w:val="20"/>
                <w:szCs w:val="20"/>
                <w:color w:val="auto"/>
              </w:rPr>
            </w:pPr>
            <w:r>
              <w:rPr>
                <w:rFonts w:ascii="Arial" w:cs="Arial" w:eastAsia="Arial" w:hAnsi="Arial"/>
                <w:sz w:val="14"/>
                <w:szCs w:val="14"/>
                <w:color w:val="auto"/>
              </w:rPr>
              <w:t>F-16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8" w:right="21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Amounts due to (from) Members at September 28, 2006 is comprised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580" w:type="dxa"/>
            <w:vAlign w:val="bottom"/>
            <w:vMerge w:val="restart"/>
          </w:tcPr>
          <w:p>
            <w:pPr>
              <w:spacing w:after="0"/>
              <w:rPr>
                <w:sz w:val="20"/>
                <w:szCs w:val="20"/>
                <w:color w:val="auto"/>
              </w:rPr>
            </w:pPr>
            <w:r>
              <w:rPr>
                <w:rFonts w:ascii="Arial" w:cs="Arial" w:eastAsia="Arial" w:hAnsi="Arial"/>
                <w:sz w:val="14"/>
                <w:szCs w:val="14"/>
                <w:color w:val="auto"/>
              </w:rPr>
              <w:t>Circuit share payments</w:t>
            </w:r>
          </w:p>
        </w:tc>
        <w:tc>
          <w:tcPr>
            <w:tcW w:w="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w w:val="95"/>
              </w:rPr>
              <w:t>AMC</w:t>
            </w:r>
          </w:p>
        </w:tc>
        <w:tc>
          <w:tcPr>
            <w:tcW w:w="44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w w:val="91"/>
              </w:rPr>
              <w:t>Cinemark</w:t>
            </w:r>
          </w:p>
        </w:tc>
        <w:tc>
          <w:tcPr>
            <w:tcW w:w="44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3"/>
              </w:rPr>
              <w:t>Regal</w:t>
            </w:r>
          </w:p>
        </w:tc>
        <w:tc>
          <w:tcPr>
            <w:tcW w:w="22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8"/>
        </w:trPr>
        <w:tc>
          <w:tcPr>
            <w:tcW w:w="8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9"/>
              </w:rPr>
              <w:t>$13.0</w:t>
            </w: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9.8</w:t>
            </w:r>
          </w:p>
        </w:tc>
        <w:tc>
          <w:tcPr>
            <w:tcW w:w="44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$21.1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$43.9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580" w:type="dxa"/>
            <w:vAlign w:val="bottom"/>
          </w:tcPr>
          <w:p>
            <w:pPr>
              <w:spacing w:after="0"/>
              <w:rPr>
                <w:sz w:val="20"/>
                <w:szCs w:val="20"/>
                <w:color w:val="auto"/>
              </w:rPr>
            </w:pPr>
            <w:r>
              <w:rPr>
                <w:rFonts w:ascii="Arial" w:cs="Arial" w:eastAsia="Arial" w:hAnsi="Arial"/>
                <w:sz w:val="14"/>
                <w:szCs w:val="14"/>
                <w:color w:val="auto"/>
              </w:rPr>
              <w:t>Cost reimbursement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4"/>
                <w:szCs w:val="14"/>
                <w:color w:val="auto"/>
              </w:rPr>
              <w:t>Administrative fee</w:t>
            </w:r>
          </w:p>
        </w:tc>
        <w:tc>
          <w:tcPr>
            <w:tcW w:w="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(0.3)</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580" w:type="dxa"/>
            <w:vAlign w:val="bottom"/>
            <w:vMerge w:val="continue"/>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13.1</w:t>
            </w:r>
          </w:p>
        </w:tc>
        <w:tc>
          <w:tcPr>
            <w:tcW w:w="6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9.</w:t>
            </w:r>
            <w:r>
              <w:rPr>
                <w:rFonts w:ascii="Arial" w:cs="Arial" w:eastAsia="Arial" w:hAnsi="Arial"/>
                <w:sz w:val="14"/>
                <w:szCs w:val="14"/>
                <w:u w:val="single" w:color="auto"/>
                <w:color w:val="auto"/>
              </w:rPr>
              <w:t>8</w:t>
            </w:r>
          </w:p>
        </w:tc>
        <w:tc>
          <w:tcPr>
            <w:tcW w:w="7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20.9</w:t>
            </w:r>
          </w:p>
        </w:tc>
        <w:tc>
          <w:tcPr>
            <w:tcW w:w="28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BORROWINGS</w:t>
      </w:r>
    </w:p>
    <w:p>
      <w:pPr>
        <w:spacing w:after="0" w:line="83" w:lineRule="exact"/>
        <w:rPr>
          <w:sz w:val="20"/>
          <w:szCs w:val="20"/>
          <w:color w:val="auto"/>
        </w:rPr>
      </w:pPr>
    </w:p>
    <w:p>
      <w:pPr>
        <w:jc w:val="both"/>
        <w:ind w:right="160" w:firstLine="458"/>
        <w:spacing w:after="0" w:line="270" w:lineRule="auto"/>
        <w:rPr>
          <w:sz w:val="20"/>
          <w:szCs w:val="20"/>
          <w:color w:val="auto"/>
        </w:rPr>
      </w:pPr>
      <w:r>
        <w:rPr>
          <w:rFonts w:ascii="Arial" w:cs="Arial" w:eastAsia="Arial" w:hAnsi="Arial"/>
          <w:sz w:val="14"/>
          <w:szCs w:val="14"/>
          <w:b w:val="1"/>
          <w:bCs w:val="1"/>
          <w:i w:val="1"/>
          <w:iCs w:val="1"/>
          <w:color w:val="auto"/>
        </w:rPr>
        <w:t>Short-term borrowings from members</w:t>
      </w:r>
      <w:r>
        <w:rPr>
          <w:rFonts w:ascii="Arial" w:cs="Arial" w:eastAsia="Arial" w:hAnsi="Arial"/>
          <w:sz w:val="14"/>
          <w:szCs w:val="14"/>
          <w:color w:val="auto"/>
        </w:rPr>
        <w:t>—In 2005, NCM signed an Amended and Restated Demand Promissory Note (the “Demand Note”) with its Members (the “Holders”) under which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could borrow up to $11 million on a revolving basis. Borrowings under the Demand Note were funded by the Members pro rata to their ownership of units. Interest was payable monthly, at 200 basis points over LIBOR. Interest paid to the Members during 2005 and 2006 was less than $0.1 million, respectively. As of December 29, 2005, outstanding borrowings under the Demand Note totaled $1.3 million. The interest rate as of that date was 6.34%. The demand note was repaid and cancelled on March 22, 2006.</w:t>
      </w:r>
    </w:p>
    <w:p>
      <w:pPr>
        <w:spacing w:after="0" w:line="106" w:lineRule="exact"/>
        <w:rPr>
          <w:sz w:val="20"/>
          <w:szCs w:val="20"/>
          <w:color w:val="auto"/>
        </w:rPr>
      </w:pPr>
    </w:p>
    <w:p>
      <w:pPr>
        <w:ind w:right="160" w:firstLine="458"/>
        <w:spacing w:after="0" w:line="267" w:lineRule="auto"/>
        <w:rPr>
          <w:sz w:val="20"/>
          <w:szCs w:val="20"/>
          <w:color w:val="auto"/>
        </w:rPr>
      </w:pPr>
      <w:r>
        <w:rPr>
          <w:rFonts w:ascii="Arial" w:cs="Arial" w:eastAsia="Arial" w:hAnsi="Arial"/>
          <w:sz w:val="14"/>
          <w:szCs w:val="14"/>
          <w:b w:val="1"/>
          <w:bCs w:val="1"/>
          <w:i w:val="1"/>
          <w:iCs w:val="1"/>
          <w:color w:val="auto"/>
        </w:rPr>
        <w:t>Long-term borrowings</w:t>
      </w:r>
      <w:r>
        <w:rPr>
          <w:rFonts w:ascii="Arial" w:cs="Arial" w:eastAsia="Arial" w:hAnsi="Arial"/>
          <w:sz w:val="14"/>
          <w:szCs w:val="14"/>
          <w:color w:val="auto"/>
        </w:rPr>
        <w:t>—On March 22, 2006, NCM entered into a bank-funded $20 million Revolving Credit Agreement (the “Revolver”), of which $2 million may be utilized in support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letters of credit. The Revolver is collateralized by trade receivables, and borrowings under the Revolver are limited to 85% of eligible trade receivables as defined. The Revolver has a final maturity date of March 22, 2008, but may be prepaid by the Company at its option pursuant to the terms of the Revolver, and it bears interest, at NCM’s option, at either an adjusted Eurodollar rate or the base rate plus, in each case, an applicable margin. Outstanding borrowings at September 28, 2006, were $10.0 million. Available borrowings under the Revolver were $10.0 million at September 28, 2006. The aggregate interest rate on outstanding borrowings as of that date was 7.86%.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LEASE OBLIGATIONS</w:t>
      </w:r>
    </w:p>
    <w:p>
      <w:pPr>
        <w:spacing w:after="0" w:line="83" w:lineRule="exact"/>
        <w:rPr>
          <w:sz w:val="20"/>
          <w:szCs w:val="20"/>
          <w:color w:val="auto"/>
        </w:rPr>
      </w:pPr>
    </w:p>
    <w:p>
      <w:pPr>
        <w:ind w:right="240" w:firstLine="458"/>
        <w:spacing w:after="0" w:line="330" w:lineRule="auto"/>
        <w:rPr>
          <w:sz w:val="20"/>
          <w:szCs w:val="20"/>
          <w:color w:val="auto"/>
        </w:rPr>
      </w:pPr>
      <w:r>
        <w:rPr>
          <w:rFonts w:ascii="Arial" w:cs="Arial" w:eastAsia="Arial" w:hAnsi="Arial"/>
          <w:sz w:val="13"/>
          <w:szCs w:val="13"/>
          <w:color w:val="auto"/>
        </w:rPr>
        <w:t>The Company leases office facilities for its headquarters in Centennial, Colorado and also in various cities for its sales and marketing personnel as sales offices. The Company has no capital lease obligations. Total lease expense for the nine months ended December 29, 2005 and September 28, 2006 was $1.1 million and $1.2 million,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ind w:left="460"/>
              <w:spacing w:after="0"/>
              <w:rPr>
                <w:sz w:val="20"/>
                <w:szCs w:val="20"/>
                <w:color w:val="auto"/>
              </w:rPr>
            </w:pPr>
            <w:r>
              <w:rPr>
                <w:rFonts w:ascii="Arial" w:cs="Arial" w:eastAsia="Arial" w:hAnsi="Arial"/>
                <w:sz w:val="14"/>
                <w:szCs w:val="14"/>
                <w:color w:val="auto"/>
                <w:w w:val="93"/>
              </w:rPr>
              <w:t>Future minimum lease payments under noncancelable operating leases are as follows:</w:t>
            </w:r>
          </w:p>
        </w:tc>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33"/>
        </w:trPr>
        <w:tc>
          <w:tcPr>
            <w:tcW w:w="5480" w:type="dxa"/>
            <w:vAlign w:val="bottom"/>
          </w:tcPr>
          <w:p>
            <w:pPr>
              <w:spacing w:after="0"/>
              <w:rPr>
                <w:sz w:val="20"/>
                <w:szCs w:val="20"/>
                <w:color w:val="auto"/>
              </w:rPr>
            </w:pPr>
            <w:r>
              <w:rPr>
                <w:rFonts w:ascii="Arial" w:cs="Arial" w:eastAsia="Arial" w:hAnsi="Arial"/>
                <w:sz w:val="14"/>
                <w:szCs w:val="14"/>
                <w:color w:val="auto"/>
              </w:rPr>
              <w:t>2006 (fourth quarter)</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2007</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2008</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2009</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2010</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2011</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181"/>
        </w:trPr>
        <w:tc>
          <w:tcPr>
            <w:tcW w:w="5480" w:type="dxa"/>
            <w:vAlign w:val="bottom"/>
          </w:tcPr>
          <w:p>
            <w:pPr>
              <w:spacing w:after="0"/>
              <w:rPr>
                <w:sz w:val="20"/>
                <w:szCs w:val="20"/>
                <w:color w:val="auto"/>
              </w:rPr>
            </w:pPr>
            <w:r>
              <w:rPr>
                <w:rFonts w:ascii="Arial" w:cs="Arial" w:eastAsia="Arial" w:hAnsi="Arial"/>
                <w:sz w:val="14"/>
                <w:szCs w:val="14"/>
                <w:color w:val="auto"/>
              </w:rPr>
              <w:t>Thereafter</w:t>
            </w:r>
          </w:p>
        </w:tc>
        <w:tc>
          <w:tcPr>
            <w:tcW w:w="57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78"/>
        </w:trPr>
        <w:tc>
          <w:tcPr>
            <w:tcW w:w="5480" w:type="dxa"/>
            <w:vAlign w:val="bottom"/>
          </w:tcPr>
          <w:p>
            <w:pPr>
              <w:spacing w:after="0"/>
              <w:rPr>
                <w:sz w:val="20"/>
                <w:szCs w:val="20"/>
                <w:color w:val="auto"/>
              </w:rPr>
            </w:pPr>
            <w:r>
              <w:rPr>
                <w:rFonts w:ascii="Arial" w:cs="Arial" w:eastAsia="Arial" w:hAnsi="Arial"/>
                <w:sz w:val="14"/>
                <w:szCs w:val="14"/>
                <w:color w:val="auto"/>
              </w:rPr>
              <w:t>Total</w:t>
            </w:r>
          </w:p>
        </w:tc>
        <w:tc>
          <w:tcPr>
            <w:tcW w:w="59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9.9</w:t>
            </w:r>
          </w:p>
        </w:tc>
      </w:tr>
      <w:tr>
        <w:trPr>
          <w:trHeight w:val="20"/>
        </w:trPr>
        <w:tc>
          <w:tcPr>
            <w:tcW w:w="5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480" w:type="dxa"/>
            <w:vAlign w:val="bottom"/>
          </w:tcPr>
          <w:p>
            <w:pPr>
              <w:spacing w:after="0"/>
              <w:rPr>
                <w:sz w:val="24"/>
                <w:szCs w:val="24"/>
                <w:color w:val="auto"/>
              </w:rPr>
            </w:pPr>
          </w:p>
        </w:tc>
        <w:tc>
          <w:tcPr>
            <w:tcW w:w="5980" w:type="dxa"/>
            <w:vAlign w:val="bottom"/>
            <w:gridSpan w:val="2"/>
          </w:tcPr>
          <w:p>
            <w:pPr>
              <w:jc w:val="right"/>
              <w:ind w:right="5529"/>
              <w:spacing w:after="0"/>
              <w:rPr>
                <w:sz w:val="20"/>
                <w:szCs w:val="20"/>
                <w:color w:val="auto"/>
              </w:rPr>
            </w:pPr>
            <w:r>
              <w:rPr>
                <w:rFonts w:ascii="Arial" w:cs="Arial" w:eastAsia="Arial" w:hAnsi="Arial"/>
                <w:sz w:val="14"/>
                <w:szCs w:val="14"/>
                <w:color w:val="auto"/>
              </w:rPr>
              <w:t>F-17</w:t>
            </w:r>
          </w:p>
        </w:tc>
      </w:tr>
    </w:tbl>
    <w:p>
      <w:pPr>
        <w:sectPr>
          <w:pgSz w:w="11900" w:h="16838" w:orient="portrait"/>
          <w:cols w:equalWidth="0" w:num="1">
            <w:col w:w="11460"/>
          </w:cols>
          <w:pgMar w:left="220" w:top="399" w:right="21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EMPLOYEE BENEFIT PLANS</w:t>
      </w:r>
    </w:p>
    <w:p>
      <w:pPr>
        <w:spacing w:after="0" w:line="8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NCM sponsors the National CineMedia LLC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elections made by the employee. The Company made discretionary contributions of $0.3 million and $0.4 million during the periods ended December 29, 2005 and September 28, 2006,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STOCK OPTION PLAN</w:t>
      </w:r>
    </w:p>
    <w:p>
      <w:pPr>
        <w:spacing w:after="0" w:line="83" w:lineRule="exact"/>
        <w:rPr>
          <w:sz w:val="20"/>
          <w:szCs w:val="20"/>
          <w:color w:val="auto"/>
        </w:rPr>
      </w:pPr>
    </w:p>
    <w:p>
      <w:pPr>
        <w:ind w:right="20" w:firstLine="458"/>
        <w:spacing w:after="0" w:line="284" w:lineRule="auto"/>
        <w:rPr>
          <w:sz w:val="20"/>
          <w:szCs w:val="20"/>
          <w:color w:val="auto"/>
        </w:rPr>
      </w:pPr>
      <w:r>
        <w:rPr>
          <w:rFonts w:ascii="Arial" w:cs="Arial" w:eastAsia="Arial" w:hAnsi="Arial"/>
          <w:sz w:val="13"/>
          <w:szCs w:val="13"/>
          <w:color w:val="auto"/>
        </w:rPr>
        <w:t>In connection with the formation of National CineMedia, on May 11, 2005, Regal Cinemas, Inc. (“RCI”, a wholly-owned subsidiary of Regal) adopted and approved the RCI Severance Plan for Equity Compensation (the “Severance Plan”). Participation in the Severance Plan is limited to employees of RCM, who held unvested options to purchase shares of Regal’s common stock or unvested shares of Regal’s restricted common stock pursuant to the terms of the Incentive Plan immediately prior to such employee’s termination of employment with RCM and commencement of employment with National CineMedia. Each employee’s termination of employment with RCM was effective as of the close of business on May 24, 2005, and commencement of employment with National CineMedia was effective as of the next business day on May 25, 2005. (Between April 1, 2005 and May 24, 2005, NCM was billed for the costs of these employees’ compensation and related benefits.) Under the terms of and subject to the conditions of the Severance Plan, each eligible employee who participates in the Severance Plan (a “Participant”) is, at the times set forth in the Severance Plan, entitled to a cash payment equal to (1) with respect to each unvested stock option held on May 24, 2005, the difference between the exercise price of such unvested option and $20.19 (the fair market value of a share of Regal’s common stock on May 24, 2005, as calculated pursuant to the terms of the Severance Plan) and (2) with respect to each unvested share of restricted stock, $20.19 (the fair market value of a share of Regal’s common stock on May 24, 2005, as calculated pursuant to the terms of the Severance Plan). In addition, the Severance Plan provides that each Participant who held unvested shares of restricted stock on May 24, 2005, will be entitled to receive payments in lieu of dividend distributions in an amount equal to the per share value of dividends paid on Regal’s common stock times the number of shares of such restricted stock. Each such Participant will receive these payments in lieu of dividend distributions until the date that each such Participant’s restricted stock would have vested in accordance with the Incentive Plan. Solely for purposes of the calculation of such payments with respect to restricted stock, in the event of any stock dividend, stock split or other change in the corporate structure affecting Regal’s common stock, there shall be an equitable proportionate adjustment to the number of shares of restricted stock held by each Participant immediately prior to his or her termination of employment with RCM.</w:t>
      </w:r>
    </w:p>
    <w:p>
      <w:pPr>
        <w:spacing w:after="0" w:line="103"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Each Participant’s cash payment will vest according to the year and date on which such unvested options and restricted stock held by such Participant would have vested pursuant to the terms of the Incentive Plan and the related award agreement had employment with RCM not ceased. The Severance Plan is a change in terms of the Regal options and restricted stock, resulting in a new measurement date for these equity compensation arrangements.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NCM, the cost of the Severance Plan will be recorded as an expense over the remaining required service periods. As expenses recognized, Regal, which is funding payments under the Severance Plan, is credited with a capital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60"/>
          </w:cols>
          <w:pgMar w:left="220" w:top="399" w:right="21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contribution. During the nine-months ended December 29, 2005 and September 28, 2006, the Company recorded total severance expense of approximately $8.5 million, including approximately</w:t>
      </w:r>
    </w:p>
    <w:p>
      <w:pPr>
        <w:spacing w:after="0" w:line="3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$0.1 million of payments in lieu of dividends, and $3.4 million, respectively, related to the Severance Plan.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 The table below presents the estimated allocation of the expense if the Company did allocate it to these specific line items: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Nine Months</w:t>
            </w:r>
          </w:p>
        </w:tc>
        <w:tc>
          <w:tcPr>
            <w:tcW w:w="960" w:type="dxa"/>
            <w:vAlign w:val="bottom"/>
          </w:tcPr>
          <w:p>
            <w:pPr>
              <w:spacing w:after="0"/>
              <w:rPr>
                <w:sz w:val="10"/>
                <w:szCs w:val="10"/>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0"/>
              </w:rPr>
              <w:t>Nine Months</w:t>
            </w:r>
          </w:p>
        </w:tc>
        <w:tc>
          <w:tcPr>
            <w:tcW w:w="0" w:type="dxa"/>
            <w:vAlign w:val="bottom"/>
          </w:tcPr>
          <w:p>
            <w:pPr>
              <w:spacing w:after="0"/>
              <w:rPr>
                <w:sz w:val="1"/>
                <w:szCs w:val="1"/>
                <w:color w:val="auto"/>
              </w:rPr>
            </w:pPr>
          </w:p>
        </w:tc>
      </w:tr>
      <w:tr>
        <w:trPr>
          <w:trHeight w:val="120"/>
        </w:trPr>
        <w:tc>
          <w:tcPr>
            <w:tcW w:w="9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54"/>
              <w:spacing w:after="0" w:line="121" w:lineRule="exact"/>
              <w:rPr>
                <w:sz w:val="20"/>
                <w:szCs w:val="20"/>
                <w:color w:val="auto"/>
              </w:rPr>
            </w:pPr>
            <w:r>
              <w:rPr>
                <w:rFonts w:ascii="Arial" w:cs="Arial" w:eastAsia="Arial" w:hAnsi="Arial"/>
                <w:sz w:val="11"/>
                <w:szCs w:val="11"/>
                <w:b w:val="1"/>
                <w:bCs w:val="1"/>
                <w:color w:val="auto"/>
                <w:w w:val="89"/>
              </w:rPr>
              <w:t>Ended</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9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83"/>
              </w:rPr>
              <w:t>December 29,</w:t>
            </w:r>
          </w:p>
        </w:tc>
        <w:tc>
          <w:tcPr>
            <w:tcW w:w="960" w:type="dxa"/>
            <w:vAlign w:val="bottom"/>
          </w:tcPr>
          <w:p>
            <w:pPr>
              <w:spacing w:after="0"/>
              <w:rPr>
                <w:sz w:val="10"/>
                <w:szCs w:val="10"/>
                <w:color w:val="auto"/>
              </w:rPr>
            </w:pPr>
          </w:p>
        </w:tc>
        <w:tc>
          <w:tcPr>
            <w:tcW w:w="680" w:type="dxa"/>
            <w:vAlign w:val="bottom"/>
            <w:gridSpan w:val="3"/>
          </w:tcPr>
          <w:p>
            <w:pPr>
              <w:jc w:val="right"/>
              <w:ind w:right="20"/>
              <w:spacing w:after="0" w:line="121" w:lineRule="exact"/>
              <w:rPr>
                <w:sz w:val="20"/>
                <w:szCs w:val="20"/>
                <w:color w:val="auto"/>
              </w:rPr>
            </w:pPr>
            <w:r>
              <w:rPr>
                <w:rFonts w:ascii="Arial" w:cs="Arial" w:eastAsia="Arial" w:hAnsi="Arial"/>
                <w:sz w:val="11"/>
                <w:szCs w:val="11"/>
                <w:b w:val="1"/>
                <w:bCs w:val="1"/>
                <w:color w:val="auto"/>
                <w:w w:val="85"/>
              </w:rPr>
              <w:t>September 28,</w:t>
            </w:r>
          </w:p>
        </w:tc>
        <w:tc>
          <w:tcPr>
            <w:tcW w:w="0" w:type="dxa"/>
            <w:vAlign w:val="bottom"/>
          </w:tcPr>
          <w:p>
            <w:pPr>
              <w:spacing w:after="0"/>
              <w:rPr>
                <w:sz w:val="1"/>
                <w:szCs w:val="1"/>
                <w:color w:val="auto"/>
              </w:rPr>
            </w:pPr>
          </w:p>
        </w:tc>
      </w:tr>
      <w:tr>
        <w:trPr>
          <w:trHeight w:val="131"/>
        </w:trPr>
        <w:tc>
          <w:tcPr>
            <w:tcW w:w="9180" w:type="dxa"/>
            <w:vAlign w:val="bottom"/>
            <w:vMerge w:val="restart"/>
          </w:tcPr>
          <w:p>
            <w:pPr>
              <w:spacing w:after="0"/>
              <w:rPr>
                <w:sz w:val="20"/>
                <w:szCs w:val="20"/>
                <w:color w:val="auto"/>
              </w:rPr>
            </w:pPr>
            <w:r>
              <w:rPr>
                <w:rFonts w:ascii="Arial" w:cs="Arial" w:eastAsia="Arial" w:hAnsi="Arial"/>
                <w:sz w:val="14"/>
                <w:szCs w:val="14"/>
                <w:color w:val="auto"/>
              </w:rPr>
              <w:t>Advertising operating costs</w:t>
            </w: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9"/>
              </w:rPr>
              <w:t>2005</w:t>
            </w:r>
          </w:p>
        </w:tc>
        <w:tc>
          <w:tcPr>
            <w:tcW w:w="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9"/>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96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180" w:type="dxa"/>
            <w:vAlign w:val="bottom"/>
          </w:tcPr>
          <w:p>
            <w:pPr>
              <w:spacing w:after="0"/>
              <w:rPr>
                <w:sz w:val="20"/>
                <w:szCs w:val="20"/>
                <w:color w:val="auto"/>
              </w:rPr>
            </w:pPr>
            <w:r>
              <w:rPr>
                <w:rFonts w:ascii="Arial" w:cs="Arial" w:eastAsia="Arial" w:hAnsi="Arial"/>
                <w:sz w:val="14"/>
                <w:szCs w:val="14"/>
                <w:color w:val="auto"/>
              </w:rPr>
              <w:t>Network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5"/>
        </w:trPr>
        <w:tc>
          <w:tcPr>
            <w:tcW w:w="9180" w:type="dxa"/>
            <w:vAlign w:val="bottom"/>
          </w:tcPr>
          <w:p>
            <w:pPr>
              <w:spacing w:after="0"/>
              <w:rPr>
                <w:sz w:val="20"/>
                <w:szCs w:val="20"/>
                <w:color w:val="auto"/>
              </w:rPr>
            </w:pPr>
            <w:r>
              <w:rPr>
                <w:rFonts w:ascii="Arial" w:cs="Arial" w:eastAsia="Arial" w:hAnsi="Arial"/>
                <w:sz w:val="14"/>
                <w:szCs w:val="14"/>
                <w:color w:val="auto"/>
              </w:rPr>
              <w:t>Selling and marketing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9180" w:type="dxa"/>
            <w:vAlign w:val="bottom"/>
          </w:tcPr>
          <w:p>
            <w:pPr>
              <w:spacing w:after="0"/>
              <w:rPr>
                <w:sz w:val="20"/>
                <w:szCs w:val="20"/>
                <w:color w:val="auto"/>
              </w:rPr>
            </w:pPr>
            <w:r>
              <w:rPr>
                <w:rFonts w:ascii="Arial" w:cs="Arial" w:eastAsia="Arial" w:hAnsi="Arial"/>
                <w:sz w:val="14"/>
                <w:szCs w:val="14"/>
                <w:color w:val="auto"/>
              </w:rPr>
              <w:t>Administrative costs</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180" w:type="dxa"/>
            <w:vAlign w:val="bottom"/>
          </w:tcPr>
          <w:p>
            <w:pPr>
              <w:ind w:left="360"/>
              <w:spacing w:after="0"/>
              <w:rPr>
                <w:sz w:val="20"/>
                <w:szCs w:val="20"/>
                <w:color w:val="auto"/>
              </w:rPr>
            </w:pPr>
            <w:r>
              <w:rPr>
                <w:rFonts w:ascii="Arial" w:cs="Arial" w:eastAsia="Arial" w:hAnsi="Arial"/>
                <w:sz w:val="14"/>
                <w:szCs w:val="14"/>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8.5</w:t>
            </w:r>
          </w:p>
        </w:tc>
        <w:tc>
          <w:tcPr>
            <w:tcW w:w="1080" w:type="dxa"/>
            <w:vAlign w:val="bottom"/>
            <w:gridSpan w:val="2"/>
          </w:tcPr>
          <w:p>
            <w:pPr>
              <w:jc w:val="right"/>
              <w:ind w:right="7"/>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Future charges under the Severance Plan are estimated to be $0.7 million in the remainder of 2006, $1.9 million in 2007 and $0.6 million in 2008.</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UNIT OPTION PLAN</w:t>
      </w:r>
    </w:p>
    <w:p>
      <w:pPr>
        <w:spacing w:after="0" w:line="8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On April 4, 2006, the Company’s board of directors approved a unit option plan. 27.640 units are reserved for issuance under option grants as of September 28, 2006. Activity in the unit option plan has been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8"/>
              </w:rPr>
              <w:t>Weighted</w:t>
            </w:r>
          </w:p>
        </w:tc>
        <w:tc>
          <w:tcPr>
            <w:tcW w:w="0" w:type="dxa"/>
            <w:vAlign w:val="bottom"/>
          </w:tcPr>
          <w:p>
            <w:pPr>
              <w:spacing w:after="0"/>
              <w:rPr>
                <w:sz w:val="1"/>
                <w:szCs w:val="1"/>
                <w:color w:val="auto"/>
              </w:rPr>
            </w:pPr>
          </w:p>
        </w:tc>
      </w:tr>
      <w:tr>
        <w:trPr>
          <w:trHeight w:val="120"/>
        </w:trPr>
        <w:tc>
          <w:tcPr>
            <w:tcW w:w="9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60"/>
              <w:spacing w:after="0" w:line="121"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42"/>
        </w:trPr>
        <w:tc>
          <w:tcPr>
            <w:tcW w:w="9840" w:type="dxa"/>
            <w:vAlign w:val="bottom"/>
            <w:vMerge w:val="restart"/>
          </w:tcPr>
          <w:p>
            <w:pPr>
              <w:spacing w:after="0"/>
              <w:rPr>
                <w:sz w:val="20"/>
                <w:szCs w:val="20"/>
                <w:color w:val="auto"/>
              </w:rPr>
            </w:pPr>
            <w:r>
              <w:rPr>
                <w:rFonts w:ascii="Arial" w:cs="Arial" w:eastAsia="Arial" w:hAnsi="Arial"/>
                <w:sz w:val="14"/>
                <w:szCs w:val="14"/>
                <w:color w:val="auto"/>
              </w:rPr>
              <w:t>Granted</w:t>
            </w:r>
          </w:p>
        </w:tc>
        <w:tc>
          <w:tcPr>
            <w:tcW w:w="96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w w:val="79"/>
              </w:rPr>
              <w:t>Units</w:t>
            </w:r>
          </w:p>
        </w:tc>
        <w:tc>
          <w:tcPr>
            <w:tcW w:w="6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5"/>
              </w:rPr>
              <w:t>Exercise Price</w:t>
            </w:r>
          </w:p>
        </w:tc>
        <w:tc>
          <w:tcPr>
            <w:tcW w:w="0" w:type="dxa"/>
            <w:vAlign w:val="bottom"/>
          </w:tcPr>
          <w:p>
            <w:pPr>
              <w:spacing w:after="0"/>
              <w:rPr>
                <w:sz w:val="1"/>
                <w:szCs w:val="1"/>
                <w:color w:val="auto"/>
              </w:rPr>
            </w:pPr>
          </w:p>
        </w:tc>
      </w:tr>
      <w:tr>
        <w:trPr>
          <w:trHeight w:val="158"/>
        </w:trPr>
        <w:tc>
          <w:tcPr>
            <w:tcW w:w="9840" w:type="dxa"/>
            <w:vAlign w:val="bottom"/>
            <w:vMerge w:val="continue"/>
          </w:tcPr>
          <w:p>
            <w:pPr>
              <w:spacing w:after="0"/>
              <w:rPr>
                <w:sz w:val="13"/>
                <w:szCs w:val="13"/>
                <w:color w:val="auto"/>
              </w:rPr>
            </w:pPr>
          </w:p>
        </w:tc>
        <w:tc>
          <w:tcPr>
            <w:tcW w:w="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0"/>
              </w:rPr>
              <w:t>27.2</w:t>
            </w:r>
          </w:p>
        </w:tc>
        <w:tc>
          <w:tcPr>
            <w:tcW w:w="7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840" w:type="dxa"/>
            <w:vAlign w:val="bottom"/>
          </w:tcPr>
          <w:p>
            <w:pPr>
              <w:spacing w:after="0"/>
              <w:rPr>
                <w:sz w:val="20"/>
                <w:szCs w:val="20"/>
                <w:color w:val="auto"/>
              </w:rPr>
            </w:pPr>
            <w:r>
              <w:rPr>
                <w:rFonts w:ascii="Arial" w:cs="Arial" w:eastAsia="Arial" w:hAnsi="Arial"/>
                <w:sz w:val="14"/>
                <w:szCs w:val="14"/>
                <w:color w:val="auto"/>
              </w:rPr>
              <w:t>Forfeited</w:t>
            </w:r>
          </w:p>
        </w:tc>
        <w:tc>
          <w:tcPr>
            <w:tcW w:w="960" w:type="dxa"/>
            <w:vAlign w:val="bottom"/>
            <w:gridSpan w:val="2"/>
          </w:tcPr>
          <w:p>
            <w:pPr>
              <w:jc w:val="right"/>
              <w:ind w:right="660"/>
              <w:spacing w:after="0"/>
              <w:rPr>
                <w:sz w:val="20"/>
                <w:szCs w:val="20"/>
                <w:color w:val="auto"/>
              </w:rPr>
            </w:pPr>
            <w:r>
              <w:rPr>
                <w:rFonts w:ascii="Arial" w:cs="Arial" w:eastAsia="Arial" w:hAnsi="Arial"/>
                <w:sz w:val="14"/>
                <w:szCs w:val="14"/>
                <w:color w:val="auto"/>
                <w:w w:val="97"/>
              </w:rPr>
              <w:t>(2.0)</w:t>
            </w: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9840" w:type="dxa"/>
            <w:vAlign w:val="bottom"/>
          </w:tcPr>
          <w:p>
            <w:pPr>
              <w:spacing w:after="0"/>
              <w:rPr>
                <w:sz w:val="20"/>
                <w:szCs w:val="20"/>
                <w:color w:val="auto"/>
              </w:rPr>
            </w:pPr>
            <w:r>
              <w:rPr>
                <w:rFonts w:ascii="Arial" w:cs="Arial" w:eastAsia="Arial" w:hAnsi="Arial"/>
                <w:sz w:val="14"/>
                <w:szCs w:val="14"/>
                <w:color w:val="auto"/>
              </w:rPr>
              <w:t>Balance at September 28, 2006</w:t>
            </w:r>
          </w:p>
        </w:tc>
        <w:tc>
          <w:tcPr>
            <w:tcW w:w="960" w:type="dxa"/>
            <w:vAlign w:val="bottom"/>
            <w:gridSpan w:val="2"/>
          </w:tcPr>
          <w:p>
            <w:pPr>
              <w:jc w:val="right"/>
              <w:ind w:right="720"/>
              <w:spacing w:after="0"/>
              <w:rPr>
                <w:sz w:val="20"/>
                <w:szCs w:val="20"/>
                <w:color w:val="auto"/>
              </w:rPr>
            </w:pPr>
            <w:r>
              <w:rPr>
                <w:rFonts w:ascii="Arial" w:cs="Arial" w:eastAsia="Arial" w:hAnsi="Arial"/>
                <w:sz w:val="14"/>
                <w:szCs w:val="14"/>
                <w:color w:val="auto"/>
                <w:w w:val="80"/>
              </w:rPr>
              <w:t>25.2</w:t>
            </w: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No options are exercisable at September 28, 2006. Options outstanding at September 28, 2006 have been granted at the following exercise prices: 21.6 units at $1.0 million per unit; 2.4 units at $1.1 million per unit and 1.2 units at $1.5 million per unit, all at an average remaining life of approximately nine years.</w:t>
      </w:r>
    </w:p>
    <w:p>
      <w:pPr>
        <w:spacing w:after="0" w:line="93" w:lineRule="exact"/>
        <w:rPr>
          <w:sz w:val="20"/>
          <w:szCs w:val="20"/>
          <w:color w:val="auto"/>
        </w:rPr>
      </w:pPr>
    </w:p>
    <w:p>
      <w:pPr>
        <w:jc w:val="both"/>
        <w:ind w:right="320" w:firstLine="458"/>
        <w:spacing w:after="0" w:line="275" w:lineRule="auto"/>
        <w:rPr>
          <w:sz w:val="20"/>
          <w:szCs w:val="20"/>
          <w:color w:val="auto"/>
        </w:rPr>
      </w:pPr>
      <w:r>
        <w:rPr>
          <w:rFonts w:ascii="Arial" w:cs="Arial" w:eastAsia="Arial" w:hAnsi="Arial"/>
          <w:sz w:val="14"/>
          <w:szCs w:val="14"/>
          <w:color w:val="auto"/>
        </w:rPr>
        <w:t>All options granted vest over periods of 69 through 81 months. The options include provisions under which, in certain circumstances, the holders may be able to put the options back to the Company and receive a cash payment based on a formula tied to the attainment of certain operating objectives. Therefore, under SFAS No. 123(R), the options are accounted for as liability awards rather than equity awards.</w:t>
      </w:r>
    </w:p>
    <w:p>
      <w:pPr>
        <w:spacing w:after="0" w:line="102" w:lineRule="exact"/>
        <w:rPr>
          <w:sz w:val="20"/>
          <w:szCs w:val="20"/>
          <w:color w:val="auto"/>
        </w:rPr>
      </w:pPr>
    </w:p>
    <w:p>
      <w:pPr>
        <w:ind w:right="580" w:firstLine="458"/>
        <w:spacing w:after="0" w:line="330" w:lineRule="auto"/>
        <w:rPr>
          <w:sz w:val="20"/>
          <w:szCs w:val="20"/>
          <w:color w:val="auto"/>
        </w:rPr>
      </w:pPr>
      <w:r>
        <w:rPr>
          <w:rFonts w:ascii="Arial" w:cs="Arial" w:eastAsia="Arial" w:hAnsi="Arial"/>
          <w:sz w:val="13"/>
          <w:szCs w:val="13"/>
          <w:color w:val="auto"/>
        </w:rPr>
        <w:t>The Company has estimated the calculated value of these options at $0.5 million per unit, based on the Black-Scholes option pricing model. The Black-Scholes model requires that the Company make estimates of various factors used in the Black-Scholes model, the most critical of which are the fair value of equity and the expected volatility of</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60"/>
          </w:cols>
          <w:pgMar w:left="220" w:top="399" w:right="21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20"/>
        <w:spacing w:after="0" w:line="289" w:lineRule="auto"/>
        <w:rPr>
          <w:sz w:val="20"/>
          <w:szCs w:val="20"/>
          <w:color w:val="auto"/>
        </w:rPr>
      </w:pPr>
      <w:r>
        <w:rPr>
          <w:rFonts w:ascii="Arial" w:cs="Arial" w:eastAsia="Arial" w:hAnsi="Arial"/>
          <w:sz w:val="13"/>
          <w:szCs w:val="13"/>
          <w:color w:val="auto"/>
        </w:rPr>
        <w:t>equity value. Since the Company’s options were granted in contemplation of an IPO as described in Note 14, the Company has considered the expected pricing of the IPO to estimate the equity value, for each unit underlying the options. As the NCM LLC unit options were issued in contemplation of an IPO (see Note 14), the Company has determined the calculated value of the options based on the estimated equity fair value of NCM LLC, as derived from the expected IPO pricing. The estimate of equity fair value was calculated by (i) applying the estimated multiple of net income (loss) before interest expense, income tax benefit (provision) and depreciation and amortization expense (“EBITDA”) that will be used in pricing the IPO, determined from our ongoing discussions with our investment bankers, to our estimate of 2007 EBITDA, to arrive at enterprise value, and then (ii) subtracting the estimated senior secured term debt expected to be outstanding at the consummation of the offering, to arrive at equity value. Under liability accounting, the Company will reestimate the calculated value of the options as of each reporting date. The calculated value of the options will be charged to operations over the vesting period. Charges or credits related to changes in the estimated calculated value of the options will be recognized as of each reporting date.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assumptions were used in the valuation of the options:</w:t>
      </w:r>
    </w:p>
    <w:p>
      <w:pPr>
        <w:spacing w:after="0" w:line="79" w:lineRule="exact"/>
        <w:rPr>
          <w:sz w:val="20"/>
          <w:szCs w:val="20"/>
          <w:color w:val="auto"/>
        </w:rPr>
      </w:pPr>
    </w:p>
    <w:p>
      <w:pPr>
        <w:ind w:left="780" w:right="220" w:hanging="240"/>
        <w:spacing w:after="0" w:line="289" w:lineRule="auto"/>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Expected life of options—9 years. The expected life of the options was determined by using the average of the vesting and contractual terms of the options (the “simplified method” as described in SEC Staff Accounting Bulletin 102).</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Risk free interest rate—4.9%. The risk-free interest rate was determined by using the applicable Treasury rate as of the grant date.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Expected volatility of membership units—30.0%. Expected volatility was estimated based on comparable companies and industry indexes for historic stock price volatility.</w:t>
      </w:r>
    </w:p>
    <w:p>
      <w:pPr>
        <w:spacing w:after="0" w:line="79"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Dividend yield—3.0%. The estimated dividend yield was determined using management’s expectations based on estimated cash flow characteristics and expected dividend policy after the IPO discussed in Note 14.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forfeiture rate was not significant, because a substantial number of options are held by a few executives of the Company who are expected to continue employment through the vesting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period.</w:t>
      </w:r>
    </w:p>
    <w:p>
      <w:pPr>
        <w:spacing w:after="0" w:line="139"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For the nine-month period ended September 28, 2006, the Company recognized $1.1 million of share-based compensation expense for these options. As of September 28, 2006, unrecognized compensation cost related to nonvested options was $12.5 million, which will be recognized over a weighted average remaining period of between 63 and 75 months, subject to variability due to the requirement to reestimate fair value of the options as of each reporting date under the liability method.</w:t>
      </w:r>
    </w:p>
    <w:p>
      <w:pPr>
        <w:spacing w:after="0" w:line="102"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At the completion of the contemplated IPO of National CineMedia, Inc., the public company expects to issue in substitution options of the public company to holders of the outstanding options under the Unit Option Plan, under defined terms and conditions and pursuant to a formula that will be approved at the consummation of the IPO.</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83"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20"/>
          </w:cols>
          <w:pgMar w:left="220" w:top="399" w:right="25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QUARTERLY FINANCIAL DATA (UNAUDITED)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First</w:t>
            </w:r>
          </w:p>
        </w:tc>
        <w:tc>
          <w:tcPr>
            <w:tcW w:w="380" w:type="dxa"/>
            <w:vAlign w:val="bottom"/>
          </w:tcPr>
          <w:p>
            <w:pPr>
              <w:spacing w:after="0"/>
              <w:rPr>
                <w:sz w:val="10"/>
                <w:szCs w:val="10"/>
                <w:color w:val="auto"/>
              </w:rPr>
            </w:pPr>
          </w:p>
        </w:tc>
        <w:tc>
          <w:tcPr>
            <w:tcW w:w="760" w:type="dxa"/>
            <w:vAlign w:val="bottom"/>
            <w:gridSpan w:val="4"/>
          </w:tcPr>
          <w:p>
            <w:pPr>
              <w:jc w:val="center"/>
              <w:ind w:right="420"/>
              <w:spacing w:after="0"/>
              <w:rPr>
                <w:sz w:val="20"/>
                <w:szCs w:val="20"/>
                <w:color w:val="auto"/>
              </w:rPr>
            </w:pPr>
            <w:r>
              <w:rPr>
                <w:rFonts w:ascii="Arial" w:cs="Arial" w:eastAsia="Arial" w:hAnsi="Arial"/>
                <w:sz w:val="11"/>
                <w:szCs w:val="11"/>
                <w:b w:val="1"/>
                <w:bCs w:val="1"/>
                <w:color w:val="auto"/>
                <w:w w:val="85"/>
              </w:rPr>
              <w:t>Second</w:t>
            </w:r>
          </w:p>
        </w:tc>
        <w:tc>
          <w:tcPr>
            <w:tcW w:w="100" w:type="dxa"/>
            <w:vAlign w:val="bottom"/>
          </w:tcPr>
          <w:p>
            <w:pPr>
              <w:spacing w:after="0"/>
              <w:rPr>
                <w:sz w:val="10"/>
                <w:szCs w:val="10"/>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Third</w:t>
            </w: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500" w:type="dxa"/>
            <w:vAlign w:val="bottom"/>
            <w:gridSpan w:val="4"/>
          </w:tcPr>
          <w:p>
            <w:pPr>
              <w:spacing w:after="0"/>
              <w:rPr>
                <w:sz w:val="20"/>
                <w:szCs w:val="20"/>
                <w:color w:val="auto"/>
              </w:rPr>
            </w:pPr>
            <w:r>
              <w:rPr>
                <w:rFonts w:ascii="Arial" w:cs="Arial" w:eastAsia="Arial" w:hAnsi="Arial"/>
                <w:sz w:val="11"/>
                <w:szCs w:val="11"/>
                <w:b w:val="1"/>
                <w:bCs w:val="1"/>
                <w:color w:val="auto"/>
              </w:rPr>
              <w:t>Quarter</w:t>
            </w:r>
          </w:p>
        </w:tc>
        <w:tc>
          <w:tcPr>
            <w:tcW w:w="1140" w:type="dxa"/>
            <w:vAlign w:val="bottom"/>
            <w:gridSpan w:val="5"/>
          </w:tcPr>
          <w:p>
            <w:pPr>
              <w:ind w:left="360"/>
              <w:spacing w:after="0"/>
              <w:rPr>
                <w:sz w:val="20"/>
                <w:szCs w:val="20"/>
                <w:color w:val="auto"/>
              </w:rPr>
            </w:pPr>
            <w:r>
              <w:rPr>
                <w:rFonts w:ascii="Arial" w:cs="Arial" w:eastAsia="Arial" w:hAnsi="Arial"/>
                <w:sz w:val="11"/>
                <w:szCs w:val="11"/>
                <w:b w:val="1"/>
                <w:bCs w:val="1"/>
                <w:color w:val="auto"/>
              </w:rPr>
              <w:t>Quarter</w:t>
            </w:r>
          </w:p>
        </w:tc>
        <w:tc>
          <w:tcPr>
            <w:tcW w:w="540" w:type="dxa"/>
            <w:vAlign w:val="bottom"/>
            <w:gridSpan w:val="4"/>
          </w:tcPr>
          <w:p>
            <w:pPr>
              <w:ind w:left="100"/>
              <w:spacing w:after="0"/>
              <w:rPr>
                <w:sz w:val="20"/>
                <w:szCs w:val="20"/>
                <w:color w:val="auto"/>
              </w:rPr>
            </w:pPr>
            <w:r>
              <w:rPr>
                <w:rFonts w:ascii="Arial" w:cs="Arial" w:eastAsia="Arial" w:hAnsi="Arial"/>
                <w:sz w:val="11"/>
                <w:szCs w:val="11"/>
                <w:b w:val="1"/>
                <w:bCs w:val="1"/>
                <w:color w:val="auto"/>
              </w:rPr>
              <w:t>Quarter</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58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2006</w:t>
            </w: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90"/>
              </w:rPr>
              <w:t>(Dollars 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vMerge w:val="continue"/>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Operations:</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Advertising and other revenue</w:t>
            </w:r>
          </w:p>
        </w:tc>
        <w:tc>
          <w:tcPr>
            <w:tcW w:w="5940" w:type="dxa"/>
            <w:vAlign w:val="bottom"/>
            <w:gridSpan w:val="4"/>
          </w:tcPr>
          <w:p>
            <w:pPr>
              <w:jc w:val="right"/>
              <w:spacing w:after="0"/>
              <w:rPr>
                <w:sz w:val="20"/>
                <w:szCs w:val="20"/>
                <w:color w:val="auto"/>
              </w:rPr>
            </w:pPr>
            <w:r>
              <w:rPr>
                <w:rFonts w:ascii="Arial" w:cs="Arial" w:eastAsia="Arial" w:hAnsi="Arial"/>
                <w:sz w:val="14"/>
                <w:szCs w:val="14"/>
                <w:color w:val="auto"/>
              </w:rPr>
              <w:t>$ 27.4</w:t>
            </w: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$ 57.1</w:t>
            </w:r>
          </w:p>
        </w:tc>
        <w:tc>
          <w:tcPr>
            <w:tcW w:w="380" w:type="dxa"/>
            <w:vAlign w:val="bottom"/>
          </w:tcPr>
          <w:p>
            <w:pPr>
              <w:spacing w:after="0"/>
              <w:rPr>
                <w:sz w:val="15"/>
                <w:szCs w:val="15"/>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color w:val="auto"/>
              </w:rPr>
              <w:t>$ 60.7</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Expenses</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7"/>
              </w:rPr>
              <w:t>36.8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58.3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61.3</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558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vMerge w:val="continue"/>
          </w:tcPr>
          <w:p>
            <w:pPr>
              <w:spacing w:after="0"/>
              <w:rPr>
                <w:sz w:val="15"/>
                <w:szCs w:val="15"/>
                <w:color w:val="auto"/>
              </w:rPr>
            </w:pPr>
          </w:p>
        </w:tc>
        <w:tc>
          <w:tcPr>
            <w:tcW w:w="5580" w:type="dxa"/>
            <w:vAlign w:val="bottom"/>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(9.4)</w:t>
            </w:r>
          </w:p>
        </w:tc>
        <w:tc>
          <w:tcPr>
            <w:tcW w:w="4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360"/>
              <w:spacing w:after="0"/>
              <w:rPr>
                <w:sz w:val="20"/>
                <w:szCs w:val="20"/>
                <w:color w:val="auto"/>
              </w:rPr>
            </w:pPr>
            <w:r>
              <w:rPr>
                <w:rFonts w:ascii="Arial" w:cs="Arial" w:eastAsia="Arial" w:hAnsi="Arial"/>
                <w:sz w:val="14"/>
                <w:szCs w:val="14"/>
                <w:color w:val="auto"/>
              </w:rPr>
              <w:t>(1.2)</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 Sheet:</w:t>
            </w: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00" w:type="dxa"/>
            <w:vAlign w:val="bottom"/>
            <w:vMerge w:val="continue"/>
          </w:tcPr>
          <w:p>
            <w:pPr>
              <w:spacing w:after="0"/>
              <w:rPr>
                <w:sz w:val="13"/>
                <w:szCs w:val="13"/>
                <w:color w:val="auto"/>
              </w:rPr>
            </w:pPr>
          </w:p>
        </w:tc>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Total assets</w:t>
            </w:r>
          </w:p>
        </w:tc>
        <w:tc>
          <w:tcPr>
            <w:tcW w:w="558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w w:val="87"/>
              </w:rPr>
              <w:t>$ 36.8</w:t>
            </w: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$ 64.8</w:t>
            </w:r>
          </w:p>
        </w:tc>
        <w:tc>
          <w:tcPr>
            <w:tcW w:w="380" w:type="dxa"/>
            <w:vAlign w:val="bottom"/>
          </w:tcPr>
          <w:p>
            <w:pPr>
              <w:spacing w:after="0"/>
              <w:rPr>
                <w:sz w:val="15"/>
                <w:szCs w:val="15"/>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color w:val="auto"/>
              </w:rPr>
              <w:t>$ 72.2</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Members’ equity</w:t>
            </w: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00" w:type="dxa"/>
            <w:vAlign w:val="bottom"/>
            <w:vMerge w:val="continue"/>
          </w:tcPr>
          <w:p>
            <w:pPr>
              <w:spacing w:after="0"/>
              <w:rPr>
                <w:sz w:val="13"/>
                <w:szCs w:val="13"/>
                <w:color w:val="auto"/>
              </w:rPr>
            </w:pPr>
          </w:p>
        </w:tc>
        <w:tc>
          <w:tcPr>
            <w:tcW w:w="5580" w:type="dxa"/>
            <w:vAlign w:val="bottom"/>
          </w:tcPr>
          <w:p>
            <w:pPr>
              <w:spacing w:after="0"/>
              <w:rPr>
                <w:sz w:val="13"/>
                <w:szCs w:val="13"/>
                <w:color w:val="auto"/>
              </w:rPr>
            </w:pPr>
          </w:p>
        </w:tc>
        <w:tc>
          <w:tcPr>
            <w:tcW w:w="10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3"/>
                <w:szCs w:val="13"/>
                <w:color w:val="auto"/>
              </w:rPr>
            </w:pPr>
          </w:p>
        </w:tc>
        <w:tc>
          <w:tcPr>
            <w:tcW w:w="4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w:t>
            </w:r>
          </w:p>
        </w:tc>
        <w:tc>
          <w:tcPr>
            <w:tcW w:w="380" w:type="dxa"/>
            <w:vAlign w:val="bottom"/>
          </w:tcPr>
          <w:p>
            <w:pPr>
              <w:spacing w:after="0"/>
              <w:rPr>
                <w:sz w:val="13"/>
                <w:szCs w:val="13"/>
                <w:color w:val="auto"/>
              </w:rPr>
            </w:pP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70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80"/>
              </w:rPr>
              <w:t>Second</w:t>
            </w:r>
          </w:p>
        </w:tc>
        <w:tc>
          <w:tcPr>
            <w:tcW w:w="380" w:type="dxa"/>
            <w:vAlign w:val="bottom"/>
          </w:tcPr>
          <w:p>
            <w:pPr>
              <w:spacing w:after="0"/>
              <w:rPr>
                <w:sz w:val="22"/>
                <w:szCs w:val="22"/>
                <w:color w:val="auto"/>
              </w:rPr>
            </w:pPr>
          </w:p>
        </w:tc>
        <w:tc>
          <w:tcPr>
            <w:tcW w:w="760" w:type="dxa"/>
            <w:vAlign w:val="bottom"/>
            <w:gridSpan w:val="4"/>
          </w:tcPr>
          <w:p>
            <w:pPr>
              <w:jc w:val="center"/>
              <w:ind w:right="400"/>
              <w:spacing w:after="0"/>
              <w:rPr>
                <w:sz w:val="20"/>
                <w:szCs w:val="20"/>
                <w:color w:val="auto"/>
              </w:rPr>
            </w:pPr>
            <w:r>
              <w:rPr>
                <w:rFonts w:ascii="Arial" w:cs="Arial" w:eastAsia="Arial" w:hAnsi="Arial"/>
                <w:sz w:val="11"/>
                <w:szCs w:val="11"/>
                <w:b w:val="1"/>
                <w:bCs w:val="1"/>
                <w:color w:val="auto"/>
              </w:rPr>
              <w:t>Third</w:t>
            </w:r>
          </w:p>
        </w:tc>
        <w:tc>
          <w:tcPr>
            <w:tcW w:w="10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7"/>
              </w:rPr>
              <w:t>Fourth</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00" w:type="dxa"/>
            <w:vAlign w:val="bottom"/>
            <w:gridSpan w:val="4"/>
          </w:tcPr>
          <w:p>
            <w:pPr>
              <w:spacing w:after="0"/>
              <w:rPr>
                <w:sz w:val="20"/>
                <w:szCs w:val="20"/>
                <w:color w:val="auto"/>
              </w:rPr>
            </w:pPr>
            <w:r>
              <w:rPr>
                <w:rFonts w:ascii="Arial" w:cs="Arial" w:eastAsia="Arial" w:hAnsi="Arial"/>
                <w:sz w:val="11"/>
                <w:szCs w:val="11"/>
                <w:b w:val="1"/>
                <w:bCs w:val="1"/>
                <w:color w:val="auto"/>
              </w:rPr>
              <w:t>Quarter</w:t>
            </w:r>
          </w:p>
        </w:tc>
        <w:tc>
          <w:tcPr>
            <w:tcW w:w="380" w:type="dxa"/>
            <w:vAlign w:val="bottom"/>
          </w:tcPr>
          <w:p>
            <w:pPr>
              <w:spacing w:after="0"/>
              <w:rPr>
                <w:sz w:val="12"/>
                <w:szCs w:val="12"/>
                <w:color w:val="auto"/>
              </w:rPr>
            </w:pPr>
          </w:p>
        </w:tc>
        <w:tc>
          <w:tcPr>
            <w:tcW w:w="760" w:type="dxa"/>
            <w:vAlign w:val="bottom"/>
            <w:gridSpan w:val="4"/>
          </w:tcPr>
          <w:p>
            <w:pPr>
              <w:spacing w:after="0"/>
              <w:rPr>
                <w:sz w:val="20"/>
                <w:szCs w:val="20"/>
                <w:color w:val="auto"/>
              </w:rPr>
            </w:pPr>
            <w:r>
              <w:rPr>
                <w:rFonts w:ascii="Arial" w:cs="Arial" w:eastAsia="Arial" w:hAnsi="Arial"/>
                <w:sz w:val="11"/>
                <w:szCs w:val="11"/>
                <w:b w:val="1"/>
                <w:bCs w:val="1"/>
                <w:color w:val="auto"/>
              </w:rPr>
              <w:t>Quarter</w:t>
            </w:r>
          </w:p>
        </w:tc>
        <w:tc>
          <w:tcPr>
            <w:tcW w:w="540" w:type="dxa"/>
            <w:vAlign w:val="bottom"/>
            <w:gridSpan w:val="4"/>
          </w:tcPr>
          <w:p>
            <w:pPr>
              <w:ind w:left="100"/>
              <w:spacing w:after="0"/>
              <w:rPr>
                <w:sz w:val="20"/>
                <w:szCs w:val="20"/>
                <w:color w:val="auto"/>
              </w:rPr>
            </w:pPr>
            <w:r>
              <w:rPr>
                <w:rFonts w:ascii="Arial" w:cs="Arial" w:eastAsia="Arial" w:hAnsi="Arial"/>
                <w:sz w:val="11"/>
                <w:szCs w:val="11"/>
                <w:b w:val="1"/>
                <w:bCs w:val="1"/>
                <w:color w:val="auto"/>
              </w:rPr>
              <w:t>Quarter</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2005</w:t>
            </w: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90"/>
              </w:rPr>
              <w:t>(Dollars 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vMerge w:val="continue"/>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Operations:</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Advertising and Other Revenue</w:t>
            </w:r>
          </w:p>
        </w:tc>
        <w:tc>
          <w:tcPr>
            <w:tcW w:w="5940" w:type="dxa"/>
            <w:vAlign w:val="bottom"/>
            <w:gridSpan w:val="4"/>
          </w:tcPr>
          <w:p>
            <w:pPr>
              <w:jc w:val="right"/>
              <w:spacing w:after="0"/>
              <w:rPr>
                <w:sz w:val="20"/>
                <w:szCs w:val="20"/>
                <w:color w:val="auto"/>
              </w:rPr>
            </w:pPr>
            <w:r>
              <w:rPr>
                <w:rFonts w:ascii="Arial" w:cs="Arial" w:eastAsia="Arial" w:hAnsi="Arial"/>
                <w:sz w:val="14"/>
                <w:szCs w:val="14"/>
                <w:color w:val="auto"/>
              </w:rPr>
              <w:t>$ 25.6</w:t>
            </w:r>
          </w:p>
        </w:tc>
        <w:tc>
          <w:tcPr>
            <w:tcW w:w="140" w:type="dxa"/>
            <w:vAlign w:val="bottom"/>
          </w:tcPr>
          <w:p>
            <w:pPr>
              <w:spacing w:after="0"/>
              <w:rPr>
                <w:sz w:val="15"/>
                <w:szCs w:val="15"/>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$ 28.6</w:t>
            </w:r>
          </w:p>
        </w:tc>
        <w:tc>
          <w:tcPr>
            <w:tcW w:w="380" w:type="dxa"/>
            <w:vAlign w:val="bottom"/>
          </w:tcPr>
          <w:p>
            <w:pPr>
              <w:spacing w:after="0"/>
              <w:rPr>
                <w:sz w:val="15"/>
                <w:szCs w:val="15"/>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color w:val="auto"/>
              </w:rPr>
              <w:t>$ 44.6</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Expenses</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5"/>
              </w:rPr>
              <w:t>27.7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47.6</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Income tax provision</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20"/>
                <w:szCs w:val="20"/>
                <w:color w:val="auto"/>
              </w:rPr>
            </w:pPr>
            <w:r>
              <w:rPr>
                <w:rFonts w:ascii="Arial" w:cs="Arial" w:eastAsia="Arial" w:hAnsi="Arial"/>
                <w:sz w:val="14"/>
                <w:szCs w:val="14"/>
                <w:color w:val="auto"/>
              </w:rPr>
              <w:t>Net income (loss)</w:t>
            </w:r>
          </w:p>
        </w:tc>
        <w:tc>
          <w:tcPr>
            <w:tcW w:w="5680" w:type="dxa"/>
            <w:vAlign w:val="bottom"/>
            <w:gridSpan w:val="3"/>
          </w:tcPr>
          <w:p>
            <w:pPr>
              <w:ind w:left="558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4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340"/>
              <w:spacing w:after="0"/>
              <w:rPr>
                <w:sz w:val="20"/>
                <w:szCs w:val="20"/>
                <w:color w:val="auto"/>
              </w:rPr>
            </w:pPr>
            <w:r>
              <w:rPr>
                <w:rFonts w:ascii="Arial" w:cs="Arial" w:eastAsia="Arial" w:hAnsi="Arial"/>
                <w:sz w:val="14"/>
                <w:szCs w:val="14"/>
                <w:color w:val="auto"/>
              </w:rPr>
              <w:t>(1.8)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 Sheet:</w:t>
            </w: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00" w:type="dxa"/>
            <w:vAlign w:val="bottom"/>
            <w:vMerge w:val="continue"/>
          </w:tcPr>
          <w:p>
            <w:pPr>
              <w:spacing w:after="0"/>
              <w:rPr>
                <w:sz w:val="13"/>
                <w:szCs w:val="13"/>
                <w:color w:val="auto"/>
              </w:rPr>
            </w:pPr>
          </w:p>
        </w:tc>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Total assets</w:t>
            </w:r>
          </w:p>
        </w:tc>
        <w:tc>
          <w:tcPr>
            <w:tcW w:w="5940" w:type="dxa"/>
            <w:vAlign w:val="bottom"/>
            <w:gridSpan w:val="4"/>
          </w:tcPr>
          <w:p>
            <w:pPr>
              <w:jc w:val="right"/>
              <w:spacing w:after="0"/>
              <w:rPr>
                <w:sz w:val="20"/>
                <w:szCs w:val="20"/>
                <w:color w:val="auto"/>
              </w:rPr>
            </w:pPr>
            <w:r>
              <w:rPr>
                <w:rFonts w:ascii="Arial" w:cs="Arial" w:eastAsia="Arial" w:hAnsi="Arial"/>
                <w:sz w:val="14"/>
                <w:szCs w:val="14"/>
                <w:color w:val="auto"/>
              </w:rPr>
              <w:t>$ 25.4</w:t>
            </w:r>
          </w:p>
        </w:tc>
        <w:tc>
          <w:tcPr>
            <w:tcW w:w="140" w:type="dxa"/>
            <w:vAlign w:val="bottom"/>
          </w:tcPr>
          <w:p>
            <w:pPr>
              <w:spacing w:after="0"/>
              <w:rPr>
                <w:sz w:val="15"/>
                <w:szCs w:val="15"/>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$ 32.4</w:t>
            </w:r>
          </w:p>
        </w:tc>
        <w:tc>
          <w:tcPr>
            <w:tcW w:w="380" w:type="dxa"/>
            <w:vAlign w:val="bottom"/>
          </w:tcPr>
          <w:p>
            <w:pPr>
              <w:spacing w:after="0"/>
              <w:rPr>
                <w:sz w:val="15"/>
                <w:szCs w:val="15"/>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color w:val="auto"/>
              </w:rPr>
              <w:t>$ 48.8</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Stockholders’/Members’ equity</w:t>
            </w:r>
          </w:p>
        </w:tc>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00" w:type="dxa"/>
            <w:vAlign w:val="bottom"/>
            <w:vMerge w:val="continue"/>
          </w:tcPr>
          <w:p>
            <w:pPr>
              <w:spacing w:after="0"/>
              <w:rPr>
                <w:sz w:val="13"/>
                <w:szCs w:val="13"/>
                <w:color w:val="auto"/>
              </w:rPr>
            </w:pPr>
          </w:p>
        </w:tc>
        <w:tc>
          <w:tcPr>
            <w:tcW w:w="5680" w:type="dxa"/>
            <w:vAlign w:val="bottom"/>
            <w:gridSpan w:val="3"/>
          </w:tcPr>
          <w:p>
            <w:pPr>
              <w:ind w:left="55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3"/>
                <w:szCs w:val="13"/>
                <w:color w:val="auto"/>
              </w:rPr>
            </w:pPr>
          </w:p>
        </w:tc>
        <w:tc>
          <w:tcPr>
            <w:tcW w:w="7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$ 10.4</w:t>
            </w:r>
          </w:p>
        </w:tc>
        <w:tc>
          <w:tcPr>
            <w:tcW w:w="380" w:type="dxa"/>
            <w:vAlign w:val="bottom"/>
          </w:tcPr>
          <w:p>
            <w:pPr>
              <w:spacing w:after="0"/>
              <w:rPr>
                <w:sz w:val="13"/>
                <w:szCs w:val="13"/>
                <w:color w:val="auto"/>
              </w:rPr>
            </w:pP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00" w:type="dxa"/>
            <w:vAlign w:val="bottom"/>
          </w:tcPr>
          <w:p>
            <w:pPr>
              <w:spacing w:after="0"/>
              <w:rPr>
                <w:sz w:val="24"/>
                <w:szCs w:val="24"/>
                <w:color w:val="auto"/>
              </w:rPr>
            </w:pPr>
          </w:p>
        </w:tc>
        <w:tc>
          <w:tcPr>
            <w:tcW w:w="5680" w:type="dxa"/>
            <w:vAlign w:val="bottom"/>
            <w:gridSpan w:val="3"/>
          </w:tcPr>
          <w:p>
            <w:pPr>
              <w:ind w:left="1900"/>
              <w:spacing w:after="0"/>
              <w:rPr>
                <w:sz w:val="20"/>
                <w:szCs w:val="20"/>
                <w:color w:val="auto"/>
              </w:rPr>
            </w:pPr>
            <w:r>
              <w:rPr>
                <w:rFonts w:ascii="Arial" w:cs="Arial" w:eastAsia="Arial" w:hAnsi="Arial"/>
                <w:sz w:val="14"/>
                <w:szCs w:val="14"/>
                <w:color w:val="auto"/>
              </w:rPr>
              <w:t>F-21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PRO FORMA BALANCE SHEET (UNAUDITED)</w:t>
      </w:r>
    </w:p>
    <w:p>
      <w:pPr>
        <w:spacing w:after="0" w:line="83" w:lineRule="exact"/>
        <w:rPr>
          <w:sz w:val="20"/>
          <w:szCs w:val="20"/>
          <w:color w:val="auto"/>
        </w:rPr>
      </w:pPr>
    </w:p>
    <w:p>
      <w:pPr>
        <w:ind w:right="360" w:firstLine="458"/>
        <w:spacing w:after="0" w:line="330" w:lineRule="auto"/>
        <w:rPr>
          <w:sz w:val="20"/>
          <w:szCs w:val="20"/>
          <w:color w:val="auto"/>
        </w:rPr>
      </w:pPr>
      <w:r>
        <w:rPr>
          <w:rFonts w:ascii="Arial" w:cs="Arial" w:eastAsia="Arial" w:hAnsi="Arial"/>
          <w:sz w:val="13"/>
          <w:szCs w:val="13"/>
          <w:color w:val="auto"/>
        </w:rPr>
        <w:t>National CineMedia, Inc., a newly formed holding company, has filed a registration statement for an IPO of its common stock. The net proceeds from the offering, estimated to be $674.3 million, will be used to acquire an approximate 40.5% interest in the Company. In connection therewith, the Company intends to effect a recapitalization under which:</w:t>
      </w:r>
    </w:p>
    <w:p>
      <w:pPr>
        <w:spacing w:after="0" w:line="4" w:lineRule="exact"/>
        <w:rPr>
          <w:sz w:val="20"/>
          <w:szCs w:val="20"/>
          <w:color w:val="auto"/>
        </w:rPr>
      </w:pPr>
    </w:p>
    <w:p>
      <w:pPr>
        <w:ind w:left="780" w:right="200" w:hanging="240"/>
        <w:spacing w:after="0" w:line="289" w:lineRule="auto"/>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Company will be recapitalized on a noncash basis with a distribution to the Members of common membership units and preferred membership units for each currently outstanding membership unit.</w:t>
      </w:r>
    </w:p>
    <w:p>
      <w:pPr>
        <w:spacing w:after="0" w:line="27"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Company will split the newly issued common membership units into the number of units necessary to allow National CineMedia, Inc. to acquire one common membership unit of the Company for each share issued in the IPO and achieve an approximate 40.5% ownership interest in the Company.</w:t>
      </w:r>
    </w:p>
    <w:p>
      <w:pPr>
        <w:spacing w:after="0" w:line="27" w:lineRule="exact"/>
        <w:rPr>
          <w:rFonts w:ascii="Arial" w:cs="Arial" w:eastAsia="Arial" w:hAnsi="Arial"/>
          <w:sz w:val="14"/>
          <w:szCs w:val="14"/>
          <w:color w:val="auto"/>
        </w:rPr>
      </w:pPr>
    </w:p>
    <w:p>
      <w:pPr>
        <w:ind w:left="780" w:right="20" w:hanging="240"/>
        <w:spacing w:after="0" w:line="289" w:lineRule="auto"/>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National CineMedia, Inc. will become a member and the managing member of the Company upon its purchase of common membership units as described above at a price per share equal to the IPO offering price of National CineMedia, Inc. common stock, net of underwriting discounts and commissions and offering expenses.</w:t>
      </w:r>
    </w:p>
    <w:p>
      <w:pPr>
        <w:spacing w:after="0" w:line="27" w:lineRule="exact"/>
        <w:rPr>
          <w:rFonts w:ascii="Arial" w:cs="Arial" w:eastAsia="Arial" w:hAnsi="Arial"/>
          <w:sz w:val="14"/>
          <w:szCs w:val="14"/>
          <w:color w:val="auto"/>
        </w:rPr>
      </w:pPr>
    </w:p>
    <w:p>
      <w:pPr>
        <w:ind w:left="780" w:right="20" w:hanging="240"/>
        <w:spacing w:after="0" w:line="322" w:lineRule="auto"/>
        <w:tabs>
          <w:tab w:leader="none" w:pos="7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Company will pay the proceeds from the sale of common membership units to National CineMedia, Inc. to the Founding Members in consideration of the Members agreeing to change the terms of the exhibitor services agreements. The modifications will change the method by which payments are made under the exhibitor services agreements from a percentage of revenue to a fixed monthly amount per digital screen operated by the founding members plus a charge per theatre patron. Under the modified exhibitor services agreements the amount of payment will be significantly reduced. As the modified exhibitor services agreement contracts represent an intangible asset received from a founder, and in accordance with accounting guidance for payments made to promoters at the time of an initial public offering, the payments to the founding members will be accounted for as a capital distribution.</w:t>
      </w:r>
    </w:p>
    <w:p>
      <w:pPr>
        <w:spacing w:after="0" w:line="14" w:lineRule="exact"/>
        <w:rPr>
          <w:rFonts w:ascii="Arial" w:cs="Arial" w:eastAsia="Arial" w:hAnsi="Arial"/>
          <w:sz w:val="12"/>
          <w:szCs w:val="12"/>
          <w:color w:val="auto"/>
        </w:rPr>
      </w:pPr>
    </w:p>
    <w:p>
      <w:pPr>
        <w:ind w:left="780" w:right="780" w:hanging="240"/>
        <w:spacing w:after="0" w:line="289" w:lineRule="auto"/>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Approximately $735.0 million will be borrowed under a new senior credit facility, the net proceeds of which will be used to repay the Company’s existing bank debt and pay approximately $698.5 million to the Founding Members to redeem the newly created preferred membership units.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The pro forma balance sheet presented in the financial statements reflects the impact of the above transactions on the historic balance sheet as if they had occurred on September 28, 2006.</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  *  *  *  *</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00"/>
          </w:cols>
          <w:pgMar w:left="220" w:top="399" w:right="27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OPERATIONS</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(In millions)</w:t>
      </w:r>
    </w:p>
    <w:p>
      <w:pPr>
        <w:spacing w:after="0" w:line="14"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tcPr>
          <w:p>
            <w:pPr>
              <w:ind w:left="100"/>
              <w:spacing w:after="0"/>
              <w:rPr>
                <w:sz w:val="20"/>
                <w:szCs w:val="20"/>
                <w:color w:val="auto"/>
              </w:rPr>
            </w:pPr>
            <w:r>
              <w:rPr>
                <w:rFonts w:ascii="Arial" w:cs="Arial" w:eastAsia="Arial" w:hAnsi="Arial"/>
                <w:sz w:val="11"/>
                <w:szCs w:val="11"/>
                <w:b w:val="1"/>
                <w:bCs w:val="1"/>
                <w:color w:val="auto"/>
              </w:rPr>
              <w:t>6 months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gridSpan w:val="2"/>
          </w:tcPr>
          <w:p>
            <w:pPr>
              <w:jc w:val="right"/>
              <w:ind w:right="1480"/>
              <w:spacing w:after="0"/>
              <w:rPr>
                <w:sz w:val="20"/>
                <w:szCs w:val="20"/>
                <w:color w:val="auto"/>
              </w:rPr>
            </w:pPr>
            <w:r>
              <w:rPr>
                <w:rFonts w:ascii="Arial" w:cs="Arial" w:eastAsia="Arial" w:hAnsi="Arial"/>
                <w:sz w:val="11"/>
                <w:szCs w:val="11"/>
                <w:b w:val="1"/>
                <w:bCs w:val="1"/>
                <w:color w:val="auto"/>
              </w:rPr>
              <w:t>3 months</w:t>
            </w:r>
          </w:p>
        </w:tc>
        <w:tc>
          <w:tcPr>
            <w:tcW w:w="160" w:type="dxa"/>
            <w:vAlign w:val="bottom"/>
          </w:tcPr>
          <w:p>
            <w:pPr>
              <w:spacing w:after="0"/>
              <w:rPr>
                <w:sz w:val="10"/>
                <w:szCs w:val="1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 months</w:t>
            </w:r>
          </w:p>
        </w:tc>
        <w:tc>
          <w:tcPr>
            <w:tcW w:w="0" w:type="dxa"/>
            <w:vAlign w:val="bottom"/>
          </w:tcPr>
          <w:p>
            <w:pPr>
              <w:spacing w:after="0"/>
              <w:rPr>
                <w:sz w:val="1"/>
                <w:szCs w:val="1"/>
                <w:color w:val="auto"/>
              </w:rPr>
            </w:pPr>
          </w:p>
        </w:tc>
      </w:tr>
      <w:tr>
        <w:trPr>
          <w:trHeight w:val="120"/>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tcPr>
          <w:p>
            <w:pPr>
              <w:ind w:left="180"/>
              <w:spacing w:after="0" w:line="121" w:lineRule="exact"/>
              <w:rPr>
                <w:sz w:val="20"/>
                <w:szCs w:val="20"/>
                <w:color w:val="auto"/>
              </w:rPr>
            </w:pPr>
            <w:r>
              <w:rPr>
                <w:rFonts w:ascii="Arial" w:cs="Arial" w:eastAsia="Arial" w:hAnsi="Arial"/>
                <w:sz w:val="11"/>
                <w:szCs w:val="11"/>
                <w:b w:val="1"/>
                <w:bCs w:val="1"/>
                <w:color w:val="auto"/>
              </w:rPr>
              <w:t>ended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gridSpan w:val="2"/>
          </w:tcPr>
          <w:p>
            <w:pPr>
              <w:jc w:val="right"/>
              <w:ind w:right="1560"/>
              <w:spacing w:after="0" w:line="121" w:lineRule="exact"/>
              <w:rPr>
                <w:sz w:val="20"/>
                <w:szCs w:val="20"/>
                <w:color w:val="auto"/>
              </w:rPr>
            </w:pPr>
            <w:r>
              <w:rPr>
                <w:rFonts w:ascii="Arial" w:cs="Arial" w:eastAsia="Arial" w:hAnsi="Arial"/>
                <w:sz w:val="11"/>
                <w:szCs w:val="11"/>
                <w:b w:val="1"/>
                <w:bCs w:val="1"/>
                <w:color w:val="auto"/>
              </w:rPr>
              <w:t>ended</w:t>
            </w:r>
          </w:p>
        </w:tc>
        <w:tc>
          <w:tcPr>
            <w:tcW w:w="160" w:type="dxa"/>
            <w:vAlign w:val="bottom"/>
          </w:tcPr>
          <w:p>
            <w:pPr>
              <w:spacing w:after="0"/>
              <w:rPr>
                <w:sz w:val="10"/>
                <w:szCs w:val="10"/>
                <w:color w:val="auto"/>
              </w:rPr>
            </w:pPr>
          </w:p>
        </w:tc>
        <w:tc>
          <w:tcPr>
            <w:tcW w:w="820" w:type="dxa"/>
            <w:vAlign w:val="bottom"/>
            <w:gridSpan w:val="2"/>
          </w:tcPr>
          <w:p>
            <w:pPr>
              <w:jc w:val="right"/>
              <w:ind w:right="380"/>
              <w:spacing w:after="0" w:line="121" w:lineRule="exact"/>
              <w:rPr>
                <w:sz w:val="20"/>
                <w:szCs w:val="20"/>
                <w:color w:val="auto"/>
              </w:rPr>
            </w:pPr>
            <w:r>
              <w:rPr>
                <w:rFonts w:ascii="Arial" w:cs="Arial" w:eastAsia="Arial" w:hAnsi="Arial"/>
                <w:sz w:val="11"/>
                <w:szCs w:val="11"/>
                <w:b w:val="1"/>
                <w:bCs w:val="1"/>
                <w:color w:val="auto"/>
              </w:rPr>
              <w:t>ended</w:t>
            </w:r>
          </w:p>
        </w:tc>
        <w:tc>
          <w:tcPr>
            <w:tcW w:w="0" w:type="dxa"/>
            <w:vAlign w:val="bottom"/>
          </w:tcPr>
          <w:p>
            <w:pPr>
              <w:spacing w:after="0"/>
              <w:rPr>
                <w:sz w:val="1"/>
                <w:szCs w:val="1"/>
                <w:color w:val="auto"/>
              </w:rPr>
            </w:pPr>
          </w:p>
        </w:tc>
      </w:tr>
      <w:tr>
        <w:trPr>
          <w:trHeight w:val="141"/>
        </w:trPr>
        <w:tc>
          <w:tcPr>
            <w:tcW w:w="6180" w:type="dxa"/>
            <w:vAlign w:val="bottom"/>
          </w:tcPr>
          <w:p>
            <w:pPr>
              <w:spacing w:after="0"/>
              <w:rPr>
                <w:sz w:val="12"/>
                <w:szCs w:val="12"/>
                <w:color w:val="auto"/>
              </w:rPr>
            </w:pPr>
          </w:p>
        </w:tc>
        <w:tc>
          <w:tcPr>
            <w:tcW w:w="1560" w:type="dxa"/>
            <w:vAlign w:val="bottom"/>
            <w:gridSpan w:val="4"/>
          </w:tcPr>
          <w:p>
            <w:pPr>
              <w:spacing w:after="0"/>
              <w:rPr>
                <w:sz w:val="20"/>
                <w:szCs w:val="20"/>
                <w:color w:val="auto"/>
              </w:rPr>
            </w:pPr>
            <w:r>
              <w:rPr>
                <w:rFonts w:ascii="Arial" w:cs="Arial" w:eastAsia="Arial" w:hAnsi="Arial"/>
                <w:sz w:val="11"/>
                <w:szCs w:val="11"/>
                <w:b w:val="1"/>
                <w:bCs w:val="1"/>
                <w:color w:val="auto"/>
              </w:rPr>
              <w:t>September 29, 2005</w:t>
            </w:r>
          </w:p>
        </w:tc>
        <w:tc>
          <w:tcPr>
            <w:tcW w:w="58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1"/>
                <w:szCs w:val="11"/>
                <w:b w:val="1"/>
                <w:bCs w:val="1"/>
                <w:color w:val="auto"/>
              </w:rPr>
              <w:t>September 29, 2005</w:t>
            </w: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w w:val="91"/>
              </w:rPr>
              <w:t>September 28, 2006</w:t>
            </w:r>
          </w:p>
        </w:tc>
        <w:tc>
          <w:tcPr>
            <w:tcW w:w="0" w:type="dxa"/>
            <w:vAlign w:val="bottom"/>
          </w:tcPr>
          <w:p>
            <w:pPr>
              <w:spacing w:after="0"/>
              <w:rPr>
                <w:sz w:val="1"/>
                <w:szCs w:val="1"/>
                <w:color w:val="auto"/>
              </w:rPr>
            </w:pPr>
          </w:p>
        </w:tc>
      </w:tr>
      <w:tr>
        <w:trPr>
          <w:trHeight w:val="159"/>
        </w:trPr>
        <w:tc>
          <w:tcPr>
            <w:tcW w:w="6180" w:type="dxa"/>
            <w:vAlign w:val="bottom"/>
          </w:tcPr>
          <w:p>
            <w:pPr>
              <w:spacing w:after="0" w:line="159" w:lineRule="exact"/>
              <w:rPr>
                <w:sz w:val="20"/>
                <w:szCs w:val="20"/>
                <w:color w:val="auto"/>
              </w:rPr>
            </w:pPr>
            <w:r>
              <w:rPr>
                <w:rFonts w:ascii="Arial" w:cs="Arial" w:eastAsia="Arial" w:hAnsi="Arial"/>
                <w:sz w:val="14"/>
                <w:szCs w:val="14"/>
                <w:color w:val="auto"/>
              </w:rPr>
              <w:t>REVENUE:</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24.8</w:t>
            </w:r>
          </w:p>
        </w:tc>
        <w:tc>
          <w:tcPr>
            <w:tcW w:w="640" w:type="dxa"/>
            <w:vAlign w:val="bottom"/>
          </w:tcPr>
          <w:p>
            <w:pPr>
              <w:spacing w:after="0"/>
              <w:rPr>
                <w:sz w:val="15"/>
                <w:szCs w:val="15"/>
                <w:color w:val="auto"/>
              </w:rPr>
            </w:pPr>
          </w:p>
        </w:tc>
        <w:tc>
          <w:tcPr>
            <w:tcW w:w="7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15.8</w:t>
            </w:r>
          </w:p>
        </w:tc>
        <w:tc>
          <w:tcPr>
            <w:tcW w:w="12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Administrative fees—Members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23.2</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6.1</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1"/>
        </w:trPr>
        <w:tc>
          <w:tcPr>
            <w:tcW w:w="6180" w:type="dxa"/>
            <w:vAlign w:val="bottom"/>
          </w:tcPr>
          <w:p>
            <w:pPr>
              <w:ind w:left="36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70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28.6</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color w:val="auto"/>
              </w:rPr>
              <w:t>EXPENSES: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Meetings and events operating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Circuit share costs—Members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16.8</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5.7</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Selling and marketing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15.1</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Administrative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Severance Plan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6.1</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6180" w:type="dxa"/>
            <w:vAlign w:val="bottom"/>
          </w:tcPr>
          <w:p>
            <w:pPr>
              <w:ind w:left="360"/>
              <w:spacing w:after="0"/>
              <w:rPr>
                <w:sz w:val="20"/>
                <w:szCs w:val="20"/>
                <w:color w:val="auto"/>
              </w:rPr>
            </w:pPr>
            <w:r>
              <w:rPr>
                <w:rFonts w:ascii="Arial" w:cs="Arial" w:eastAsia="Arial" w:hAnsi="Arial"/>
                <w:sz w:val="14"/>
                <w:szCs w:val="14"/>
                <w:color w:val="auto"/>
              </w:rPr>
              <w:t>Other costs</w:t>
            </w:r>
          </w:p>
        </w:tc>
        <w:tc>
          <w:tcPr>
            <w:tcW w:w="14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70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color w:val="auto"/>
              </w:rPr>
              <w:t>Operating loss</w:t>
            </w:r>
          </w:p>
        </w:tc>
        <w:tc>
          <w:tcPr>
            <w:tcW w:w="1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ind w:left="540"/>
              <w:spacing w:after="0"/>
              <w:rPr>
                <w:sz w:val="20"/>
                <w:szCs w:val="20"/>
                <w:color w:val="auto"/>
              </w:rPr>
            </w:pPr>
            <w:r>
              <w:rPr>
                <w:rFonts w:ascii="Arial" w:cs="Arial" w:eastAsia="Arial" w:hAnsi="Arial"/>
                <w:sz w:val="14"/>
                <w:szCs w:val="14"/>
                <w:color w:val="auto"/>
              </w:rPr>
              <w:t>(4.0)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120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6180" w:type="dxa"/>
            <w:vAlign w:val="bottom"/>
          </w:tcPr>
          <w:p>
            <w:pPr>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8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gridSpan w:val="3"/>
          </w:tcPr>
          <w:p>
            <w:pPr>
              <w:ind w:left="540"/>
              <w:spacing w:after="0"/>
              <w:rPr>
                <w:sz w:val="20"/>
                <w:szCs w:val="20"/>
                <w:color w:val="auto"/>
              </w:rPr>
            </w:pPr>
            <w:r>
              <w:rPr>
                <w:rFonts w:ascii="Arial" w:cs="Arial" w:eastAsia="Arial" w:hAnsi="Arial"/>
                <w:sz w:val="14"/>
                <w:szCs w:val="14"/>
                <w:color w:val="auto"/>
              </w:rPr>
              <w:t>(4.0)</w:t>
            </w:r>
          </w:p>
        </w:tc>
        <w:tc>
          <w:tcPr>
            <w:tcW w:w="7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0" w:type="dxa"/>
            <w:vAlign w:val="bottom"/>
            <w:gridSpan w:val="2"/>
          </w:tcPr>
          <w:p>
            <w:pPr>
              <w:jc w:val="right"/>
              <w:ind w:right="120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60"/>
          </w:cols>
          <w:pgMar w:left="220" w:top="398" w:right="21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NOTES TO CONDENSED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 AND BASIS OF PRESENTATION</w:t>
      </w:r>
    </w:p>
    <w:p>
      <w:pPr>
        <w:spacing w:after="0" w:line="83"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National CineMedia, LLC (the “Company” or “NCM”) provides advertising, business meetings, and event services to its Members under Exhibitor Services Agreements which extend through April 1, 2010. NCM also provides such services to certain third-party theatre circuits under “Network Affiliate Agreements” expiring at various dates through September 16, 2009. The Company operates on a 52-week fiscal year, with the fiscal year ending on the first Thursday after December 25, which in certain years results in a 53-week year. See the footnotes to the Company’s audited financial statements included in this prospectus for a description of the transactions by which the Company was formed and capitalized.</w:t>
      </w:r>
    </w:p>
    <w:p>
      <w:pPr>
        <w:spacing w:after="0" w:line="106"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As the result of final adjustments to the valuations attributed to the assets and liabilities contributed to the Company at formation, NCN contributed additional cash to NCM during 2006, which was then distributed to RCM Holdings and Cinemark Media, thus having no impact on the assets and liabilities of NCM.</w:t>
      </w:r>
    </w:p>
    <w:p>
      <w:pPr>
        <w:spacing w:after="0" w:line="93"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There are currently 1,261 Member units outstanding, of which 630 (50.0%) are owned by RCM Holdings, 370 (29.3%) are owned by NCN, and 261 (20.7%) are owned by Cinemark Media. Should a Liquidity Event as defined in the LLCOA occur, each Member’s ownership percentage will be recalculated based upon the percentage of the total Advertising Circuit Share (as defined below) paid in the previous twelve months which was paid to that Member.</w:t>
      </w:r>
    </w:p>
    <w:p>
      <w:pPr>
        <w:spacing w:after="0" w:line="102"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NCM has entered into a variety of governance and business arrangements with NCN, RCM Holdings, and Cinemark Media and their affiliates, which are described in the Company’s audited financial statements, beginning on page F-2. Capitalized terms as used herein have the same meanings as defined in the audited financial statements.</w:t>
      </w:r>
    </w:p>
    <w:p>
      <w:pPr>
        <w:spacing w:after="0" w:line="93"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During 2006, the “Advertising Circuit Share Percentage” was 68%, while in 2005 it was 65%. The Advertising Circuit Share is allocated among the Members based on a formula which takes into account the number of patrons served and screens operated by each Member during the previous quarter. In accordance with the LLCOA, the Advertising Circuit Share Percentage may be changed at the end of each year by a unanimous vote of the Members.</w:t>
      </w:r>
    </w:p>
    <w:p>
      <w:pPr>
        <w:spacing w:after="0" w:line="10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Pursuant to the ESAs, AMC and Regal, through their subsidiaries, retained all advertising contracts sold by NCN’s or RCM’s sales teams prior to April 1, 2005 and agreed to pay an administrative fee (32% during 2006 and 35% during 2005) to NCM to service these contracts. Cinemark retained all advertising contracts signed pursuant to the Screenvision Agreements again subject to a 32% administrative fee payable to NCM for all revenue generated by these agreements subsequent to December 31, 2005. Total advertising revenue managed by NCM associated with the Legacy Contracts was $66.5 million for the six months ended September 29, 2005, and $29.8 million and $2.5 million for the three month periods ended September 29, 2005 and September 28, 2006, respectively. Administrative fee revenue will decline over time as the Legacy Contracts expire.</w:t>
      </w:r>
    </w:p>
    <w:p>
      <w:pPr>
        <w:spacing w:after="0" w:line="110"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Since NCM was not formed until March 29, 2005, there are no nine-month statements of operations or cash flows available for presentation. NCM’s balance sheet as of September 29, 2006 and its statements of operations and cash flows are presented in the financial statements beginning on page F-2.</w:t>
      </w:r>
    </w:p>
    <w:p>
      <w:pPr>
        <w:spacing w:after="0" w:line="93"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These financial statements are unaudited and are prepared in accordance with the rules and regulations of the Securities and Exchange Commission for interim financial information. The accounting policies used in the preparation of these financial statements are the same as those used in the preparation of the Company’s audited financial statements, as modified by accounting standards for interim financial statements. In the opinion of management, all adjustments, consisting only of normal recurring accruals, have been made to present fairly the Company’s interim financial position and results of operations.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60"/>
          </w:cols>
          <w:pgMar w:left="220" w:top="399" w:right="21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NOTES TO CONDENSED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As a result of the various related party agreements, the operating results as presented are not necessarily indicative of the results which would have occurred if all agreements were with non-related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RECENT ACCOUNTING PRONOUNCEMENTS</w:t>
      </w:r>
    </w:p>
    <w:p>
      <w:pPr>
        <w:spacing w:after="0" w:line="83"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During June 2006, the FASB issued FASB Interpretation No. 48, “Accounting for Uncertainty in Income Taxes—an Interpretation of FASB Statement No. 109.” This Interpretation clarifies the accounting for uncertainty in income taxes recognized in an enterprise’s financial statements in accordance with FASB Statement No. 109, “Accounting for Income Taxes,”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As a limited liability company, National CineMedia LLC’s taxable income or loss is allocated to the Founding Members in accordance with the provisions of our operating documents. However, with the proposed formation of National CineMedia Inc., it will be a taxable entity and will be required to consider this Interpretation as it relates to both itself and the Company’s consolidated tax position at NCM Inc. We are currently evaluating the impact the Interpretation may have on its future financial condition, results of operations and cash flows.</w:t>
      </w:r>
    </w:p>
    <w:p>
      <w:pPr>
        <w:spacing w:after="0" w:line="95" w:lineRule="exact"/>
        <w:rPr>
          <w:sz w:val="20"/>
          <w:szCs w:val="20"/>
          <w:color w:val="auto"/>
        </w:rPr>
      </w:pPr>
    </w:p>
    <w:p>
      <w:pPr>
        <w:jc w:val="both"/>
        <w:ind w:right="40" w:firstLine="458"/>
        <w:spacing w:after="0" w:line="328" w:lineRule="auto"/>
        <w:rPr>
          <w:sz w:val="20"/>
          <w:szCs w:val="20"/>
          <w:color w:val="auto"/>
        </w:rPr>
      </w:pPr>
      <w:r>
        <w:rPr>
          <w:rFonts w:ascii="Arial" w:cs="Arial" w:eastAsia="Arial" w:hAnsi="Arial"/>
          <w:sz w:val="12"/>
          <w:szCs w:val="12"/>
          <w:color w:val="auto"/>
        </w:rPr>
        <w:t>During October 2006 the FASB issued Statement of Financial Accounting Standards No. 157, “Fair Value Measurements.” This statement does not require any new fair value measurements but provides guidance on how to measure fair value and clarifies the definition of fair value under GAAP. The statement also requires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The statement will be applied prospectively by the Company for any fair value measurements that arise after the date of adoption.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FASB has also issued SFAS No. 158, </w:t>
      </w:r>
      <w:r>
        <w:rPr>
          <w:rFonts w:ascii="Arial" w:cs="Arial" w:eastAsia="Arial" w:hAnsi="Arial"/>
          <w:sz w:val="12"/>
          <w:szCs w:val="12"/>
          <w:i w:val="1"/>
          <w:iCs w:val="1"/>
          <w:color w:val="auto"/>
        </w:rPr>
        <w:t>Employers’ Accounting for Defined Benefit Pension and Other Postretirement Plans—an amendment of FASB Statements No. 87, 88, 106, and 132(R).</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As the Company has no plans covered by this standard, it will have no effect on the Company’s financial statements.</w:t>
      </w:r>
    </w:p>
    <w:p>
      <w:pPr>
        <w:spacing w:after="0" w:line="139" w:lineRule="exact"/>
        <w:rPr>
          <w:sz w:val="20"/>
          <w:szCs w:val="20"/>
          <w:color w:val="auto"/>
        </w:rPr>
      </w:pPr>
    </w:p>
    <w:p>
      <w:pPr>
        <w:ind w:right="360" w:firstLine="458"/>
        <w:spacing w:after="0" w:line="305" w:lineRule="auto"/>
        <w:rPr>
          <w:sz w:val="20"/>
          <w:szCs w:val="20"/>
          <w:color w:val="auto"/>
        </w:rPr>
      </w:pPr>
      <w:r>
        <w:rPr>
          <w:rFonts w:ascii="Arial" w:cs="Arial" w:eastAsia="Arial" w:hAnsi="Arial"/>
          <w:sz w:val="13"/>
          <w:szCs w:val="13"/>
          <w:color w:val="auto"/>
        </w:rPr>
        <w:t xml:space="preserve">The SEC has issued Staff Accounting Bulletin No. 108, </w:t>
      </w:r>
      <w:r>
        <w:rPr>
          <w:rFonts w:ascii="Arial" w:cs="Arial" w:eastAsia="Arial" w:hAnsi="Arial"/>
          <w:sz w:val="13"/>
          <w:szCs w:val="13"/>
          <w:i w:val="1"/>
          <w:iCs w:val="1"/>
          <w:color w:val="auto"/>
        </w:rPr>
        <w:t>Considering the Effects of Prior Year Misstatements when Quantifying Misstatements in Current Year Financial Statements</w:t>
      </w:r>
      <w:r>
        <w:rPr>
          <w:rFonts w:ascii="Arial" w:cs="Arial" w:eastAsia="Arial" w:hAnsi="Arial"/>
          <w:sz w:val="13"/>
          <w:szCs w:val="13"/>
          <w:color w:val="auto"/>
        </w:rPr>
        <w:t xml:space="preserve"> (“SAB 108”), in September 2006. SAB 108 requires entities to quantify misstatements based on their impact on each of their financial statements and related disclosures. SAB 108 is effective as of December 31, 2006. The adoption of this standard is not expected to have an impact on the Company’s consolidated results of operations, cash flows or financial position.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Circuit share expense and administrative fee revenue by Member during the six months ended September 29, 2005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120" w:type="dxa"/>
            <w:vAlign w:val="bottom"/>
            <w:vMerge w:val="restart"/>
          </w:tcPr>
          <w:p>
            <w:pPr>
              <w:spacing w:after="0"/>
              <w:rPr>
                <w:sz w:val="20"/>
                <w:szCs w:val="20"/>
                <w:color w:val="auto"/>
              </w:rPr>
            </w:pPr>
            <w:r>
              <w:rPr>
                <w:rFonts w:ascii="Arial" w:cs="Arial" w:eastAsia="Arial" w:hAnsi="Arial"/>
                <w:sz w:val="14"/>
                <w:szCs w:val="14"/>
                <w:color w:val="auto"/>
              </w:rPr>
              <w:t>AMC</w:t>
            </w:r>
          </w:p>
        </w:tc>
        <w:tc>
          <w:tcPr>
            <w:tcW w:w="452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w w:val="87"/>
              </w:rPr>
              <w:t>Circuit share expense</w:t>
            </w:r>
          </w:p>
        </w:tc>
        <w:tc>
          <w:tcPr>
            <w:tcW w:w="1540" w:type="dxa"/>
            <w:vAlign w:val="bottom"/>
          </w:tcPr>
          <w:p>
            <w:pPr>
              <w:spacing w:after="0"/>
              <w:rPr>
                <w:sz w:val="11"/>
                <w:szCs w:val="1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8"/>
              </w:rPr>
              <w:t>Administrative fee revenue</w:t>
            </w:r>
          </w:p>
        </w:tc>
        <w:tc>
          <w:tcPr>
            <w:tcW w:w="0" w:type="dxa"/>
            <w:vAlign w:val="bottom"/>
          </w:tcPr>
          <w:p>
            <w:pPr>
              <w:spacing w:after="0"/>
              <w:rPr>
                <w:sz w:val="1"/>
                <w:szCs w:val="1"/>
                <w:color w:val="auto"/>
              </w:rPr>
            </w:pPr>
          </w:p>
        </w:tc>
      </w:tr>
      <w:tr>
        <w:trPr>
          <w:trHeight w:val="158"/>
        </w:trPr>
        <w:tc>
          <w:tcPr>
            <w:tcW w:w="3120" w:type="dxa"/>
            <w:vAlign w:val="bottom"/>
            <w:vMerge w:val="continue"/>
          </w:tcPr>
          <w:p>
            <w:pPr>
              <w:spacing w:after="0"/>
              <w:rPr>
                <w:sz w:val="13"/>
                <w:szCs w:val="13"/>
                <w:color w:val="auto"/>
              </w:rPr>
            </w:pPr>
          </w:p>
        </w:tc>
        <w:tc>
          <w:tcPr>
            <w:tcW w:w="4520" w:type="dxa"/>
            <w:vAlign w:val="bottom"/>
          </w:tcPr>
          <w:p>
            <w:pPr>
              <w:spacing w:after="0"/>
              <w:rPr>
                <w:sz w:val="13"/>
                <w:szCs w:val="13"/>
                <w:color w:val="auto"/>
              </w:rPr>
            </w:pPr>
          </w:p>
        </w:tc>
        <w:tc>
          <w:tcPr>
            <w:tcW w:w="40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Borders>
              <w:top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4"/>
                <w:szCs w:val="14"/>
                <w:color w:val="auto"/>
              </w:rPr>
              <w:t>Regal</w:t>
            </w:r>
          </w:p>
        </w:tc>
        <w:tc>
          <w:tcPr>
            <w:tcW w:w="45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8.3</w:t>
            </w:r>
          </w:p>
        </w:tc>
        <w:tc>
          <w:tcPr>
            <w:tcW w:w="1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tcPr>
          <w:p>
            <w:pPr>
              <w:ind w:left="360"/>
              <w:spacing w:after="0"/>
              <w:rPr>
                <w:sz w:val="20"/>
                <w:szCs w:val="20"/>
                <w:color w:val="auto"/>
              </w:rPr>
            </w:pPr>
            <w:r>
              <w:rPr>
                <w:rFonts w:ascii="Arial" w:cs="Arial" w:eastAsia="Arial" w:hAnsi="Arial"/>
                <w:sz w:val="14"/>
                <w:szCs w:val="14"/>
                <w:color w:val="auto"/>
              </w:rPr>
              <w:t>Total</w:t>
            </w:r>
          </w:p>
        </w:tc>
        <w:tc>
          <w:tcPr>
            <w:tcW w:w="4920" w:type="dxa"/>
            <w:vAlign w:val="bottom"/>
            <w:gridSpan w:val="2"/>
          </w:tcPr>
          <w:p>
            <w:pPr>
              <w:ind w:left="45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16.8</w:t>
            </w:r>
          </w:p>
        </w:tc>
        <w:tc>
          <w:tcPr>
            <w:tcW w:w="2080" w:type="dxa"/>
            <w:vAlign w:val="bottom"/>
            <w:gridSpan w:val="2"/>
          </w:tcPr>
          <w:p>
            <w:pPr>
              <w:jc w:val="right"/>
              <w:ind w:right="427"/>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120" w:type="dxa"/>
            <w:vAlign w:val="bottom"/>
          </w:tcPr>
          <w:p>
            <w:pPr>
              <w:spacing w:after="0"/>
              <w:rPr>
                <w:sz w:val="24"/>
                <w:szCs w:val="24"/>
                <w:color w:val="auto"/>
              </w:rPr>
            </w:pPr>
          </w:p>
        </w:tc>
        <w:tc>
          <w:tcPr>
            <w:tcW w:w="4920" w:type="dxa"/>
            <w:vAlign w:val="bottom"/>
            <w:gridSpan w:val="2"/>
          </w:tcPr>
          <w:p>
            <w:pPr>
              <w:ind w:left="2480"/>
              <w:spacing w:after="0"/>
              <w:rPr>
                <w:sz w:val="20"/>
                <w:szCs w:val="20"/>
                <w:color w:val="auto"/>
              </w:rPr>
            </w:pPr>
            <w:r>
              <w:rPr>
                <w:rFonts w:ascii="Arial" w:cs="Arial" w:eastAsia="Arial" w:hAnsi="Arial"/>
                <w:sz w:val="14"/>
                <w:szCs w:val="14"/>
                <w:color w:val="auto"/>
              </w:rPr>
              <w:t>F-25</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NOTES TO CONDENSED FINANCIAL STATEMENTS—(Continued)</w:t>
      </w:r>
    </w:p>
    <w:p>
      <w:pPr>
        <w:spacing w:after="0" w:line="24"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Circuit share expense and administrative fee revenue by Member during the three months ended September 29, 2005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640" w:type="dxa"/>
            <w:vAlign w:val="bottom"/>
            <w:vMerge w:val="restart"/>
          </w:tcPr>
          <w:p>
            <w:pPr>
              <w:spacing w:after="0"/>
              <w:rPr>
                <w:sz w:val="20"/>
                <w:szCs w:val="20"/>
                <w:color w:val="auto"/>
              </w:rPr>
            </w:pPr>
            <w:r>
              <w:rPr>
                <w:rFonts w:ascii="Arial" w:cs="Arial" w:eastAsia="Arial" w:hAnsi="Arial"/>
                <w:sz w:val="14"/>
                <w:szCs w:val="14"/>
                <w:color w:val="auto"/>
              </w:rPr>
              <w:t>AMC</w:t>
            </w: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w w:val="87"/>
              </w:rPr>
              <w:t>Circuit share expense</w:t>
            </w:r>
          </w:p>
        </w:tc>
        <w:tc>
          <w:tcPr>
            <w:tcW w:w="1540" w:type="dxa"/>
            <w:vAlign w:val="bottom"/>
          </w:tcPr>
          <w:p>
            <w:pPr>
              <w:spacing w:after="0"/>
              <w:rPr>
                <w:sz w:val="11"/>
                <w:szCs w:val="1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8"/>
              </w:rPr>
              <w:t>Administrative fee revenue</w:t>
            </w:r>
          </w:p>
        </w:tc>
        <w:tc>
          <w:tcPr>
            <w:tcW w:w="0" w:type="dxa"/>
            <w:vAlign w:val="bottom"/>
          </w:tcPr>
          <w:p>
            <w:pPr>
              <w:spacing w:after="0"/>
              <w:rPr>
                <w:sz w:val="1"/>
                <w:szCs w:val="1"/>
                <w:color w:val="auto"/>
              </w:rPr>
            </w:pPr>
          </w:p>
        </w:tc>
      </w:tr>
      <w:tr>
        <w:trPr>
          <w:trHeight w:val="158"/>
        </w:trPr>
        <w:tc>
          <w:tcPr>
            <w:tcW w:w="7640" w:type="dxa"/>
            <w:vAlign w:val="bottom"/>
            <w:vMerge w:val="continue"/>
          </w:tcPr>
          <w:p>
            <w:pPr>
              <w:spacing w:after="0"/>
              <w:rPr>
                <w:sz w:val="13"/>
                <w:szCs w:val="13"/>
                <w:color w:val="auto"/>
              </w:rPr>
            </w:pPr>
          </w:p>
        </w:tc>
        <w:tc>
          <w:tcPr>
            <w:tcW w:w="54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Borders>
              <w:top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640" w:type="dxa"/>
            <w:vAlign w:val="bottom"/>
          </w:tcPr>
          <w:p>
            <w:pPr>
              <w:spacing w:after="0"/>
              <w:rPr>
                <w:sz w:val="20"/>
                <w:szCs w:val="20"/>
                <w:color w:val="auto"/>
              </w:rPr>
            </w:pPr>
            <w:r>
              <w:rPr>
                <w:rFonts w:ascii="Arial" w:cs="Arial" w:eastAsia="Arial" w:hAnsi="Arial"/>
                <w:sz w:val="14"/>
                <w:szCs w:val="14"/>
                <w:color w:val="auto"/>
              </w:rPr>
              <w:t>Regal</w:t>
            </w: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6.0</w:t>
            </w:r>
          </w:p>
        </w:tc>
        <w:tc>
          <w:tcPr>
            <w:tcW w:w="1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40" w:type="dxa"/>
            <w:vAlign w:val="bottom"/>
          </w:tcPr>
          <w:p>
            <w:pPr>
              <w:ind w:left="360"/>
              <w:spacing w:after="0"/>
              <w:rPr>
                <w:sz w:val="20"/>
                <w:szCs w:val="20"/>
                <w:color w:val="auto"/>
              </w:rPr>
            </w:pPr>
            <w:r>
              <w:rPr>
                <w:rFonts w:ascii="Arial" w:cs="Arial" w:eastAsia="Arial" w:hAnsi="Arial"/>
                <w:sz w:val="14"/>
                <w:szCs w:val="14"/>
                <w:color w:val="auto"/>
              </w:rPr>
              <w:t>Total</w:t>
            </w:r>
          </w:p>
        </w:tc>
        <w:tc>
          <w:tcPr>
            <w:tcW w:w="54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5"/>
                <w:szCs w:val="15"/>
                <w:color w:val="auto"/>
              </w:rPr>
            </w:pPr>
          </w:p>
        </w:tc>
        <w:tc>
          <w:tcPr>
            <w:tcW w:w="2080" w:type="dxa"/>
            <w:vAlign w:val="bottom"/>
            <w:gridSpan w:val="2"/>
          </w:tcPr>
          <w:p>
            <w:pPr>
              <w:jc w:val="right"/>
              <w:ind w:right="427"/>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180" w:type="dxa"/>
            <w:vAlign w:val="bottom"/>
            <w:gridSpan w:val="2"/>
          </w:tcPr>
          <w:p>
            <w:pPr>
              <w:ind w:left="460"/>
              <w:spacing w:after="0"/>
              <w:rPr>
                <w:sz w:val="20"/>
                <w:szCs w:val="20"/>
                <w:color w:val="auto"/>
              </w:rPr>
            </w:pPr>
            <w:r>
              <w:rPr>
                <w:rFonts w:ascii="Arial" w:cs="Arial" w:eastAsia="Arial" w:hAnsi="Arial"/>
                <w:sz w:val="14"/>
                <w:szCs w:val="14"/>
                <w:color w:val="auto"/>
                <w:w w:val="93"/>
              </w:rPr>
              <w:t>Circuit share expense and administrative fee revenue by Member during the three months ended September 28, 2006 are as follows: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640" w:type="dxa"/>
            <w:vAlign w:val="bottom"/>
            <w:vMerge w:val="restart"/>
          </w:tcPr>
          <w:p>
            <w:pPr>
              <w:spacing w:after="0"/>
              <w:rPr>
                <w:sz w:val="20"/>
                <w:szCs w:val="20"/>
                <w:color w:val="auto"/>
              </w:rPr>
            </w:pPr>
            <w:r>
              <w:rPr>
                <w:rFonts w:ascii="Arial" w:cs="Arial" w:eastAsia="Arial" w:hAnsi="Arial"/>
                <w:sz w:val="14"/>
                <w:szCs w:val="14"/>
                <w:color w:val="auto"/>
              </w:rPr>
              <w:t>AMC</w:t>
            </w: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w w:val="87"/>
              </w:rPr>
              <w:t>Circuit share expense</w:t>
            </w:r>
          </w:p>
        </w:tc>
        <w:tc>
          <w:tcPr>
            <w:tcW w:w="1540" w:type="dxa"/>
            <w:vAlign w:val="bottom"/>
          </w:tcPr>
          <w:p>
            <w:pPr>
              <w:spacing w:after="0"/>
              <w:rPr>
                <w:sz w:val="24"/>
                <w:szCs w:val="24"/>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8"/>
              </w:rPr>
              <w:t>Administrative fee revenue</w:t>
            </w:r>
          </w:p>
        </w:tc>
        <w:tc>
          <w:tcPr>
            <w:tcW w:w="0" w:type="dxa"/>
            <w:vAlign w:val="bottom"/>
          </w:tcPr>
          <w:p>
            <w:pPr>
              <w:spacing w:after="0"/>
              <w:rPr>
                <w:sz w:val="1"/>
                <w:szCs w:val="1"/>
                <w:color w:val="auto"/>
              </w:rPr>
            </w:pPr>
          </w:p>
        </w:tc>
      </w:tr>
      <w:tr>
        <w:trPr>
          <w:trHeight w:val="158"/>
        </w:trPr>
        <w:tc>
          <w:tcPr>
            <w:tcW w:w="7640" w:type="dxa"/>
            <w:vAlign w:val="bottom"/>
            <w:vMerge w:val="continue"/>
          </w:tcPr>
          <w:p>
            <w:pPr>
              <w:spacing w:after="0"/>
              <w:rPr>
                <w:sz w:val="13"/>
                <w:szCs w:val="13"/>
                <w:color w:val="auto"/>
              </w:rPr>
            </w:pPr>
          </w:p>
        </w:tc>
        <w:tc>
          <w:tcPr>
            <w:tcW w:w="54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11.1</w:t>
            </w: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Borders>
              <w:top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40" w:type="dxa"/>
            <w:vAlign w:val="bottom"/>
          </w:tcPr>
          <w:p>
            <w:pPr>
              <w:spacing w:after="0"/>
              <w:rPr>
                <w:sz w:val="20"/>
                <w:szCs w:val="20"/>
                <w:color w:val="auto"/>
              </w:rPr>
            </w:pPr>
            <w:r>
              <w:rPr>
                <w:rFonts w:ascii="Arial" w:cs="Arial" w:eastAsia="Arial" w:hAnsi="Arial"/>
                <w:sz w:val="14"/>
                <w:szCs w:val="14"/>
                <w:color w:val="auto"/>
              </w:rPr>
              <w:t>Cinemark</w:t>
            </w:r>
          </w:p>
        </w:tc>
        <w:tc>
          <w:tcPr>
            <w:tcW w:w="54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8.3</w:t>
            </w:r>
          </w:p>
        </w:tc>
        <w:tc>
          <w:tcPr>
            <w:tcW w:w="1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640" w:type="dxa"/>
            <w:vAlign w:val="bottom"/>
          </w:tcPr>
          <w:p>
            <w:pPr>
              <w:spacing w:after="0"/>
              <w:rPr>
                <w:sz w:val="20"/>
                <w:szCs w:val="20"/>
                <w:color w:val="auto"/>
              </w:rPr>
            </w:pPr>
            <w:r>
              <w:rPr>
                <w:rFonts w:ascii="Arial" w:cs="Arial" w:eastAsia="Arial" w:hAnsi="Arial"/>
                <w:sz w:val="14"/>
                <w:szCs w:val="14"/>
                <w:color w:val="auto"/>
              </w:rPr>
              <w:t>Regal</w:t>
            </w: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18.6</w:t>
            </w:r>
          </w:p>
        </w:tc>
        <w:tc>
          <w:tcPr>
            <w:tcW w:w="1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40" w:type="dxa"/>
            <w:vAlign w:val="bottom"/>
          </w:tcPr>
          <w:p>
            <w:pPr>
              <w:ind w:left="360"/>
              <w:spacing w:after="0"/>
              <w:rPr>
                <w:sz w:val="20"/>
                <w:szCs w:val="20"/>
                <w:color w:val="auto"/>
              </w:rPr>
            </w:pPr>
            <w:r>
              <w:rPr>
                <w:rFonts w:ascii="Arial" w:cs="Arial" w:eastAsia="Arial" w:hAnsi="Arial"/>
                <w:sz w:val="14"/>
                <w:szCs w:val="14"/>
                <w:color w:val="auto"/>
              </w:rPr>
              <w:t>Total</w:t>
            </w:r>
          </w:p>
        </w:tc>
        <w:tc>
          <w:tcPr>
            <w:tcW w:w="54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38.0</w:t>
            </w:r>
          </w:p>
        </w:tc>
        <w:tc>
          <w:tcPr>
            <w:tcW w:w="2080" w:type="dxa"/>
            <w:vAlign w:val="bottom"/>
            <w:gridSpan w:val="2"/>
          </w:tcPr>
          <w:p>
            <w:pPr>
              <w:jc w:val="right"/>
              <w:ind w:right="427"/>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Included in costs of revenue—meetings and events is $0.8 million, $0.2 million and $0.4 million for the six months ended September 29, 2005, the three months ended September 29, 2005 and the three months ended September 28, 2006, respectively, related to purchases of movie tickets and concession products from Regal primarily for resale to NCM’s customers. For AMC, $0.1 million of such products were purchased for resale for the three months ended September 28, 2006.</w:t>
      </w:r>
    </w:p>
    <w:p>
      <w:pPr>
        <w:spacing w:after="0" w:line="102" w:lineRule="exact"/>
        <w:rPr>
          <w:sz w:val="20"/>
          <w:szCs w:val="20"/>
          <w:color w:val="auto"/>
        </w:rPr>
      </w:pPr>
    </w:p>
    <w:p>
      <w:pPr>
        <w:jc w:val="both"/>
        <w:ind w:right="100" w:firstLine="458"/>
        <w:spacing w:after="0" w:line="275" w:lineRule="auto"/>
        <w:rPr>
          <w:sz w:val="20"/>
          <w:szCs w:val="20"/>
          <w:color w:val="auto"/>
        </w:rPr>
      </w:pPr>
      <w:r>
        <w:rPr>
          <w:rFonts w:ascii="Arial" w:cs="Arial" w:eastAsia="Arial" w:hAnsi="Arial"/>
          <w:sz w:val="14"/>
          <w:szCs w:val="14"/>
          <w:color w:val="auto"/>
        </w:rPr>
        <w:t>During the three months ended September 28, 2006, AMC and RCI purchased $0.3 million and $0.3 million, respectively, of NCM’s advertising inventory for their own use. The value of such purchases are calculated by reference to NCM’s advertising rate card and is included in advertising revenue, with 68% of such amounts returned by NCM to the Members as Advertising Circuit Share. There were no such purchases in 2005.</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EMPLOYEE BENEFIT PLANS</w:t>
      </w:r>
    </w:p>
    <w:p>
      <w:pPr>
        <w:spacing w:after="0" w:line="83" w:lineRule="exact"/>
        <w:rPr>
          <w:sz w:val="20"/>
          <w:szCs w:val="20"/>
          <w:color w:val="auto"/>
        </w:rPr>
      </w:pPr>
    </w:p>
    <w:p>
      <w:pPr>
        <w:ind w:right="380" w:firstLine="458"/>
        <w:spacing w:after="0" w:line="275" w:lineRule="auto"/>
        <w:rPr>
          <w:sz w:val="20"/>
          <w:szCs w:val="20"/>
          <w:color w:val="auto"/>
        </w:rPr>
      </w:pPr>
      <w:r>
        <w:rPr>
          <w:rFonts w:ascii="Arial" w:cs="Arial" w:eastAsia="Arial" w:hAnsi="Arial"/>
          <w:sz w:val="14"/>
          <w:szCs w:val="14"/>
          <w:color w:val="auto"/>
        </w:rPr>
        <w:t>The Company sponsors the National CineMedia LLC 401(k) Profit Sharing Plan (the “plan”) under section 401(k) of the Internal Revenue Code of 1986, as amended, for the benefit of substantially all full-time employees. The Company made discretionary contributions of $0.2 million, $0.1 million and $0.1 million during the six months ended September 29, 2005 and the three months ended September 29, 2005 and September 28, 2006, respectively.</w:t>
      </w:r>
    </w:p>
    <w:p>
      <w:pPr>
        <w:spacing w:after="0" w:line="102"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In accordance with the RCI Severance Plan for Equity Compensation, payments are made to certain employees of the company who were previously employed by RCM, and who held unvested options to purchase shares of Regal’s common stock on the date of their termination from RCM. The Company recorded severance expense of $6.1 million, $2.4 million and $0.7 million for the six months ended September 29, 2005, and the three months ended September 29, 2005 and September 28, 2006, respectively.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60"/>
          </w:cols>
          <w:pgMar w:left="220" w:top="399" w:right="21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NOTES TO CONDENSED FINANCIAL STATEMENTS—(Continued)</w:t>
      </w:r>
    </w:p>
    <w:p>
      <w:pPr>
        <w:spacing w:after="0" w:line="24"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current period performance. The table below presents the estimated allocation of the expense if the Company did allocate it to these specific line items: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15"/>
              <w:spacing w:after="0"/>
              <w:rPr>
                <w:sz w:val="20"/>
                <w:szCs w:val="20"/>
                <w:color w:val="auto"/>
              </w:rPr>
            </w:pPr>
            <w:r>
              <w:rPr>
                <w:rFonts w:ascii="Arial" w:cs="Arial" w:eastAsia="Arial" w:hAnsi="Arial"/>
                <w:sz w:val="11"/>
                <w:szCs w:val="11"/>
                <w:b w:val="1"/>
                <w:bCs w:val="1"/>
                <w:color w:val="auto"/>
                <w:w w:val="87"/>
              </w:rPr>
              <w:t>Six months</w:t>
            </w:r>
          </w:p>
        </w:tc>
        <w:tc>
          <w:tcPr>
            <w:tcW w:w="900" w:type="dxa"/>
            <w:vAlign w:val="bottom"/>
          </w:tcPr>
          <w:p>
            <w:pPr>
              <w:spacing w:after="0"/>
              <w:rPr>
                <w:sz w:val="10"/>
                <w:szCs w:val="10"/>
                <w:color w:val="auto"/>
              </w:rPr>
            </w:pPr>
          </w:p>
        </w:tc>
        <w:tc>
          <w:tcPr>
            <w:tcW w:w="1600" w:type="dxa"/>
            <w:vAlign w:val="bottom"/>
            <w:gridSpan w:val="3"/>
          </w:tcPr>
          <w:p>
            <w:pPr>
              <w:ind w:left="20"/>
              <w:spacing w:after="0"/>
              <w:rPr>
                <w:sz w:val="20"/>
                <w:szCs w:val="20"/>
                <w:color w:val="auto"/>
              </w:rPr>
            </w:pPr>
            <w:r>
              <w:rPr>
                <w:rFonts w:ascii="Arial" w:cs="Arial" w:eastAsia="Arial" w:hAnsi="Arial"/>
                <w:sz w:val="11"/>
                <w:szCs w:val="11"/>
                <w:b w:val="1"/>
                <w:bCs w:val="1"/>
                <w:color w:val="auto"/>
              </w:rPr>
              <w:t>Three months</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w w:val="90"/>
              </w:rPr>
              <w:t>Three months</w:t>
            </w:r>
          </w:p>
        </w:tc>
        <w:tc>
          <w:tcPr>
            <w:tcW w:w="0" w:type="dxa"/>
            <w:vAlign w:val="bottom"/>
          </w:tcPr>
          <w:p>
            <w:pPr>
              <w:spacing w:after="0"/>
              <w:rPr>
                <w:sz w:val="1"/>
                <w:szCs w:val="1"/>
                <w:color w:val="auto"/>
              </w:rPr>
            </w:pPr>
          </w:p>
        </w:tc>
      </w:tr>
      <w:tr>
        <w:trPr>
          <w:trHeight w:val="120"/>
        </w:trPr>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15"/>
              <w:spacing w:after="0" w:line="121" w:lineRule="exact"/>
              <w:rPr>
                <w:sz w:val="20"/>
                <w:szCs w:val="20"/>
                <w:color w:val="auto"/>
              </w:rPr>
            </w:pPr>
            <w:r>
              <w:rPr>
                <w:rFonts w:ascii="Arial" w:cs="Arial" w:eastAsia="Arial" w:hAnsi="Arial"/>
                <w:sz w:val="11"/>
                <w:szCs w:val="11"/>
                <w:b w:val="1"/>
                <w:bCs w:val="1"/>
                <w:color w:val="auto"/>
                <w:w w:val="86"/>
              </w:rPr>
              <w:t>ended</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ended</w:t>
            </w:r>
          </w:p>
        </w:tc>
        <w:tc>
          <w:tcPr>
            <w:tcW w:w="120" w:type="dxa"/>
            <w:vAlign w:val="bottom"/>
          </w:tcPr>
          <w:p>
            <w:pPr>
              <w:spacing w:after="0"/>
              <w:rPr>
                <w:sz w:val="10"/>
                <w:szCs w:val="10"/>
                <w:color w:val="auto"/>
              </w:rPr>
            </w:pPr>
          </w:p>
        </w:tc>
        <w:tc>
          <w:tcPr>
            <w:tcW w:w="560" w:type="dxa"/>
            <w:vAlign w:val="bottom"/>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w w:val="98"/>
              </w:rPr>
              <w:t>ended</w:t>
            </w:r>
          </w:p>
        </w:tc>
        <w:tc>
          <w:tcPr>
            <w:tcW w:w="0" w:type="dxa"/>
            <w:vAlign w:val="bottom"/>
          </w:tcPr>
          <w:p>
            <w:pPr>
              <w:spacing w:after="0"/>
              <w:rPr>
                <w:sz w:val="1"/>
                <w:szCs w:val="1"/>
                <w:color w:val="auto"/>
              </w:rPr>
            </w:pPr>
          </w:p>
        </w:tc>
      </w:tr>
      <w:tr>
        <w:trPr>
          <w:trHeight w:val="120"/>
        </w:trPr>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85"/>
              </w:rPr>
              <w:t>September 29,</w:t>
            </w:r>
          </w:p>
        </w:tc>
        <w:tc>
          <w:tcPr>
            <w:tcW w:w="900" w:type="dxa"/>
            <w:vAlign w:val="bottom"/>
          </w:tcPr>
          <w:p>
            <w:pPr>
              <w:spacing w:after="0"/>
              <w:rPr>
                <w:sz w:val="10"/>
                <w:szCs w:val="10"/>
                <w:color w:val="auto"/>
              </w:rPr>
            </w:pPr>
          </w:p>
        </w:tc>
        <w:tc>
          <w:tcPr>
            <w:tcW w:w="1600" w:type="dxa"/>
            <w:vAlign w:val="bottom"/>
            <w:gridSpan w:val="3"/>
          </w:tcPr>
          <w:p>
            <w:pPr>
              <w:jc w:val="right"/>
              <w:ind w:right="920"/>
              <w:spacing w:after="0" w:line="121" w:lineRule="exact"/>
              <w:rPr>
                <w:sz w:val="20"/>
                <w:szCs w:val="20"/>
                <w:color w:val="auto"/>
              </w:rPr>
            </w:pPr>
            <w:r>
              <w:rPr>
                <w:rFonts w:ascii="Arial" w:cs="Arial" w:eastAsia="Arial" w:hAnsi="Arial"/>
                <w:sz w:val="11"/>
                <w:szCs w:val="11"/>
                <w:b w:val="1"/>
                <w:bCs w:val="1"/>
                <w:color w:val="auto"/>
                <w:w w:val="87"/>
              </w:rPr>
              <w:t>September 29,</w:t>
            </w:r>
          </w:p>
        </w:tc>
        <w:tc>
          <w:tcPr>
            <w:tcW w:w="680" w:type="dxa"/>
            <w:vAlign w:val="bottom"/>
            <w:gridSpan w:val="3"/>
          </w:tcPr>
          <w:p>
            <w:pPr>
              <w:jc w:val="right"/>
              <w:ind w:right="20"/>
              <w:spacing w:after="0" w:line="121" w:lineRule="exact"/>
              <w:rPr>
                <w:sz w:val="20"/>
                <w:szCs w:val="20"/>
                <w:color w:val="auto"/>
              </w:rPr>
            </w:pPr>
            <w:r>
              <w:rPr>
                <w:rFonts w:ascii="Arial" w:cs="Arial" w:eastAsia="Arial" w:hAnsi="Arial"/>
                <w:sz w:val="11"/>
                <w:szCs w:val="11"/>
                <w:b w:val="1"/>
                <w:bCs w:val="1"/>
                <w:color w:val="auto"/>
                <w:w w:val="85"/>
              </w:rPr>
              <w:t>September 28,</w:t>
            </w:r>
          </w:p>
        </w:tc>
        <w:tc>
          <w:tcPr>
            <w:tcW w:w="0" w:type="dxa"/>
            <w:vAlign w:val="bottom"/>
          </w:tcPr>
          <w:p>
            <w:pPr>
              <w:spacing w:after="0"/>
              <w:rPr>
                <w:sz w:val="1"/>
                <w:szCs w:val="1"/>
                <w:color w:val="auto"/>
              </w:rPr>
            </w:pPr>
          </w:p>
        </w:tc>
      </w:tr>
      <w:tr>
        <w:trPr>
          <w:trHeight w:val="131"/>
        </w:trPr>
        <w:tc>
          <w:tcPr>
            <w:tcW w:w="7620" w:type="dxa"/>
            <w:vAlign w:val="bottom"/>
            <w:vMerge w:val="restart"/>
          </w:tcPr>
          <w:p>
            <w:pPr>
              <w:spacing w:after="0"/>
              <w:rPr>
                <w:sz w:val="20"/>
                <w:szCs w:val="20"/>
                <w:color w:val="auto"/>
              </w:rPr>
            </w:pPr>
            <w:r>
              <w:rPr>
                <w:rFonts w:ascii="Arial" w:cs="Arial" w:eastAsia="Arial" w:hAnsi="Arial"/>
                <w:sz w:val="14"/>
                <w:szCs w:val="14"/>
                <w:color w:val="auto"/>
              </w:rPr>
              <w:t>Advertising operating costs</w:t>
            </w: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89"/>
              </w:rPr>
              <w:t>2005</w:t>
            </w:r>
          </w:p>
        </w:tc>
        <w:tc>
          <w:tcPr>
            <w:tcW w:w="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2005</w:t>
            </w:r>
          </w:p>
        </w:tc>
        <w:tc>
          <w:tcPr>
            <w:tcW w:w="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9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20" w:type="dxa"/>
            <w:vAlign w:val="bottom"/>
          </w:tcPr>
          <w:p>
            <w:pPr>
              <w:spacing w:after="0"/>
              <w:rPr>
                <w:sz w:val="20"/>
                <w:szCs w:val="20"/>
                <w:color w:val="auto"/>
              </w:rPr>
            </w:pPr>
            <w:r>
              <w:rPr>
                <w:rFonts w:ascii="Arial" w:cs="Arial" w:eastAsia="Arial" w:hAnsi="Arial"/>
                <w:sz w:val="14"/>
                <w:szCs w:val="14"/>
                <w:color w:val="auto"/>
              </w:rPr>
              <w:t>Network costs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92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5"/>
        </w:trPr>
        <w:tc>
          <w:tcPr>
            <w:tcW w:w="7620" w:type="dxa"/>
            <w:vAlign w:val="bottom"/>
          </w:tcPr>
          <w:p>
            <w:pPr>
              <w:spacing w:after="0"/>
              <w:rPr>
                <w:sz w:val="20"/>
                <w:szCs w:val="20"/>
                <w:color w:val="auto"/>
              </w:rPr>
            </w:pPr>
            <w:r>
              <w:rPr>
                <w:rFonts w:ascii="Arial" w:cs="Arial" w:eastAsia="Arial" w:hAnsi="Arial"/>
                <w:sz w:val="14"/>
                <w:szCs w:val="14"/>
                <w:color w:val="auto"/>
              </w:rPr>
              <w:t>Selling and marketing costs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92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7620" w:type="dxa"/>
            <w:vAlign w:val="bottom"/>
          </w:tcPr>
          <w:p>
            <w:pPr>
              <w:spacing w:after="0"/>
              <w:rPr>
                <w:sz w:val="20"/>
                <w:szCs w:val="20"/>
                <w:color w:val="auto"/>
              </w:rPr>
            </w:pPr>
            <w:r>
              <w:rPr>
                <w:rFonts w:ascii="Arial" w:cs="Arial" w:eastAsia="Arial" w:hAnsi="Arial"/>
                <w:sz w:val="14"/>
                <w:szCs w:val="14"/>
                <w:color w:val="auto"/>
              </w:rPr>
              <w:t>Administrative costs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20" w:type="dxa"/>
            <w:vAlign w:val="bottom"/>
          </w:tcPr>
          <w:p>
            <w:pPr>
              <w:ind w:left="360"/>
              <w:spacing w:after="0"/>
              <w:rPr>
                <w:sz w:val="20"/>
                <w:szCs w:val="20"/>
                <w:color w:val="auto"/>
              </w:rPr>
            </w:pPr>
            <w:r>
              <w:rPr>
                <w:rFonts w:ascii="Arial" w:cs="Arial" w:eastAsia="Arial" w:hAnsi="Arial"/>
                <w:sz w:val="14"/>
                <w:szCs w:val="14"/>
                <w:color w:val="auto"/>
              </w:rPr>
              <w:t>Total</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10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92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On April 4, 2006 the Company’s Board of Directors approved the National CineMedia, LLC 2006 Unit Option Plan. The options include provisions under which the holders may be able to put the options back to the Company and receive a cash payment based on a formula tied to the attainment of certain operating performance thresholds. Therefore, under Statement of Financial Accounting Standard SFAS No. 123(R), these options will be accounted for as liability rather than equity awards.</w:t>
      </w:r>
    </w:p>
    <w:p>
      <w:pPr>
        <w:spacing w:after="0" w:line="102" w:lineRule="exact"/>
        <w:rPr>
          <w:sz w:val="20"/>
          <w:szCs w:val="20"/>
          <w:color w:val="auto"/>
        </w:rPr>
      </w:pPr>
    </w:p>
    <w:p>
      <w:pPr>
        <w:jc w:val="both"/>
        <w:ind w:right="60" w:firstLine="458"/>
        <w:spacing w:after="0" w:line="289" w:lineRule="auto"/>
        <w:rPr>
          <w:sz w:val="20"/>
          <w:szCs w:val="20"/>
          <w:color w:val="auto"/>
        </w:rPr>
      </w:pPr>
      <w:r>
        <w:rPr>
          <w:rFonts w:ascii="Arial" w:cs="Arial" w:eastAsia="Arial" w:hAnsi="Arial"/>
          <w:sz w:val="14"/>
          <w:szCs w:val="14"/>
          <w:color w:val="auto"/>
        </w:rPr>
        <w:t>For the three month period ended September 28, 2006, the Company issued 1.200 unit options all at an exercise price of $1.5 million. During the three month period ended September 28, 2006, no options were exercised or forfeited, and at September 28, 2006, 25.203 options are outstanding. None of the options have vested.</w:t>
      </w:r>
    </w:p>
    <w:p>
      <w:pPr>
        <w:spacing w:after="0" w:line="93" w:lineRule="exact"/>
        <w:rPr>
          <w:sz w:val="20"/>
          <w:szCs w:val="20"/>
          <w:color w:val="auto"/>
        </w:rPr>
      </w:pPr>
    </w:p>
    <w:p>
      <w:pPr>
        <w:jc w:val="both"/>
        <w:ind w:right="80" w:firstLine="458"/>
        <w:spacing w:after="0" w:line="275" w:lineRule="auto"/>
        <w:rPr>
          <w:sz w:val="20"/>
          <w:szCs w:val="20"/>
          <w:color w:val="auto"/>
        </w:rPr>
      </w:pPr>
      <w:r>
        <w:rPr>
          <w:rFonts w:ascii="Arial" w:cs="Arial" w:eastAsia="Arial" w:hAnsi="Arial"/>
          <w:sz w:val="14"/>
          <w:szCs w:val="14"/>
          <w:color w:val="auto"/>
        </w:rPr>
        <w:t>For the three month periods ended September 28, 2006, the Company recognized $0.8 million of share-based compensation expense for these options. As of September 28, 2006, unrecognized compensation cost related to non-vested options was $12.5 million, which amount will be recognized over a weighted average remaining period of between 63 and 75 months, subject to variability due to the requirement to re-estimate fair value of the options as of each reporting date.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COMMITMENTS AND CONTINGENCIES</w:t>
      </w:r>
    </w:p>
    <w:p>
      <w:pPr>
        <w:spacing w:after="0" w:line="83"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60"/>
          </w:cols>
          <w:pgMar w:left="220" w:top="399" w:right="21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the Board of Directors and Members of</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National CineMedia, LLC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Centennial, Colorado</w:t>
      </w:r>
    </w:p>
    <w:p>
      <w:pPr>
        <w:spacing w:after="0" w:line="139"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We have audited the accompanying balance sheet of Regal CineMedia Corporation (“RCM”), as of December 30, 2004 and the related statements of operations, stockholder’s equity, and cash flows for the years ended January 1, 2004, and December 30, 2004, and the three month period ended March 31, 2005. These financial statements are the responsibility of RCM’s management. Our responsibility is to express an opinion on these financial statements based on our audits.</w:t>
      </w:r>
    </w:p>
    <w:p>
      <w:pPr>
        <w:spacing w:after="0" w:line="102"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0"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In our opinion, such financial statements present fairly, in all material respects, the financial position of Regal CineMedia Corporation as of December 30, 2004 and the results of its operations and its cash flows for the years ended January 1, 2004, and December 30, 2004, and the three month period ended March 31, 2005, in conformity with accounting principles generally accepted in the United States of America.</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20, 2006</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380"/>
          </w:cols>
          <w:pgMar w:left="220" w:top="399" w:right="29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20" w:type="dxa"/>
            <w:vAlign w:val="bottom"/>
          </w:tcPr>
          <w:p>
            <w:pPr>
              <w:jc w:val="center"/>
              <w:ind w:left="569"/>
              <w:spacing w:after="0"/>
              <w:rPr>
                <w:sz w:val="20"/>
                <w:szCs w:val="20"/>
                <w:color w:val="auto"/>
              </w:rPr>
            </w:pPr>
            <w:r>
              <w:rPr>
                <w:rFonts w:ascii="Arial" w:cs="Arial" w:eastAsia="Arial" w:hAnsi="Arial"/>
                <w:sz w:val="14"/>
                <w:szCs w:val="14"/>
                <w:b w:val="1"/>
                <w:bCs w:val="1"/>
                <w:color w:val="auto"/>
              </w:rPr>
              <w:t>REGAL CINEMEDIA CORPORATION</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820" w:type="dxa"/>
            <w:vAlign w:val="bottom"/>
          </w:tcPr>
          <w:p>
            <w:pPr>
              <w:jc w:val="center"/>
              <w:ind w:left="589"/>
              <w:spacing w:after="0"/>
              <w:rPr>
                <w:sz w:val="20"/>
                <w:szCs w:val="20"/>
                <w:color w:val="auto"/>
              </w:rPr>
            </w:pPr>
            <w:r>
              <w:rPr>
                <w:rFonts w:ascii="Arial" w:cs="Arial" w:eastAsia="Arial" w:hAnsi="Arial"/>
                <w:sz w:val="14"/>
                <w:szCs w:val="14"/>
                <w:b w:val="1"/>
                <w:bCs w:val="1"/>
                <w:color w:val="auto"/>
              </w:rPr>
              <w:t>BALANCE SHEET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0820" w:type="dxa"/>
            <w:vAlign w:val="bottom"/>
          </w:tcPr>
          <w:p>
            <w:pPr>
              <w:jc w:val="center"/>
              <w:ind w:left="589"/>
              <w:spacing w:after="0"/>
              <w:rPr>
                <w:sz w:val="20"/>
                <w:szCs w:val="20"/>
                <w:color w:val="auto"/>
              </w:rPr>
            </w:pPr>
            <w:r>
              <w:rPr>
                <w:rFonts w:ascii="Arial" w:cs="Arial" w:eastAsia="Arial" w:hAnsi="Arial"/>
                <w:sz w:val="14"/>
                <w:szCs w:val="14"/>
                <w:b w:val="1"/>
                <w:bCs w:val="1"/>
                <w:color w:val="auto"/>
                <w:w w:val="91"/>
              </w:rPr>
              <w:t>(In millions, except share data)</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0820" w:type="dxa"/>
            <w:vAlign w:val="bottom"/>
          </w:tcPr>
          <w:p>
            <w:pPr>
              <w:spacing w:after="0"/>
              <w:rPr>
                <w:sz w:val="23"/>
                <w:szCs w:val="2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w w:val="86"/>
              </w:rPr>
              <w:t>December 30,</w:t>
            </w:r>
          </w:p>
        </w:tc>
        <w:tc>
          <w:tcPr>
            <w:tcW w:w="0" w:type="dxa"/>
            <w:vAlign w:val="bottom"/>
          </w:tcPr>
          <w:p>
            <w:pPr>
              <w:spacing w:after="0"/>
              <w:rPr>
                <w:sz w:val="1"/>
                <w:szCs w:val="1"/>
                <w:color w:val="auto"/>
              </w:rPr>
            </w:pPr>
          </w:p>
        </w:tc>
      </w:tr>
      <w:tr>
        <w:trPr>
          <w:trHeight w:val="131"/>
        </w:trPr>
        <w:tc>
          <w:tcPr>
            <w:tcW w:w="108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2004</w:t>
            </w:r>
          </w:p>
        </w:tc>
        <w:tc>
          <w:tcPr>
            <w:tcW w:w="0" w:type="dxa"/>
            <w:vAlign w:val="bottom"/>
          </w:tcPr>
          <w:p>
            <w:pPr>
              <w:spacing w:after="0"/>
              <w:rPr>
                <w:sz w:val="1"/>
                <w:szCs w:val="1"/>
                <w:color w:val="auto"/>
              </w:rPr>
            </w:pPr>
          </w:p>
        </w:tc>
      </w:tr>
      <w:tr>
        <w:trPr>
          <w:trHeight w:val="158"/>
        </w:trPr>
        <w:tc>
          <w:tcPr>
            <w:tcW w:w="10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82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Receivables—net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1"/>
        </w:trPr>
        <w:tc>
          <w:tcPr>
            <w:tcW w:w="1082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1"/>
        </w:trPr>
        <w:tc>
          <w:tcPr>
            <w:tcW w:w="10820" w:type="dxa"/>
            <w:vAlign w:val="bottom"/>
          </w:tcPr>
          <w:p>
            <w:pPr>
              <w:ind w:left="70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75"/>
        </w:trPr>
        <w:tc>
          <w:tcPr>
            <w:tcW w:w="10820" w:type="dxa"/>
            <w:vAlign w:val="bottom"/>
          </w:tcPr>
          <w:p>
            <w:pPr>
              <w:spacing w:after="0"/>
              <w:rPr>
                <w:sz w:val="20"/>
                <w:szCs w:val="20"/>
                <w:color w:val="auto"/>
              </w:rPr>
            </w:pPr>
            <w:r>
              <w:rPr>
                <w:rFonts w:ascii="Arial" w:cs="Arial" w:eastAsia="Arial" w:hAnsi="Arial"/>
                <w:sz w:val="14"/>
                <w:szCs w:val="14"/>
                <w:color w:val="auto"/>
              </w:rPr>
              <w:t>PROPERTY AND EQUIPMENT, net of accumulated depreciation of $6.5 million in 2004</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5"/>
        </w:trPr>
        <w:tc>
          <w:tcPr>
            <w:tcW w:w="10820" w:type="dxa"/>
            <w:vAlign w:val="bottom"/>
          </w:tcPr>
          <w:p>
            <w:pPr>
              <w:spacing w:after="0"/>
              <w:rPr>
                <w:sz w:val="20"/>
                <w:szCs w:val="20"/>
                <w:color w:val="auto"/>
              </w:rPr>
            </w:pPr>
            <w:r>
              <w:rPr>
                <w:rFonts w:ascii="Arial" w:cs="Arial" w:eastAsia="Arial" w:hAnsi="Arial"/>
                <w:sz w:val="14"/>
                <w:szCs w:val="14"/>
                <w:color w:val="auto"/>
              </w:rPr>
              <w:t>AMOUNTS DUE FROM PARENT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1"/>
        </w:trPr>
        <w:tc>
          <w:tcPr>
            <w:tcW w:w="10820" w:type="dxa"/>
            <w:vAlign w:val="bottom"/>
          </w:tcPr>
          <w:p>
            <w:pPr>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58"/>
        </w:trPr>
        <w:tc>
          <w:tcPr>
            <w:tcW w:w="108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Accrued payroll and related expenses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1"/>
        </w:trPr>
        <w:tc>
          <w:tcPr>
            <w:tcW w:w="108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7"/>
        </w:trPr>
        <w:tc>
          <w:tcPr>
            <w:tcW w:w="10820" w:type="dxa"/>
            <w:vAlign w:val="bottom"/>
          </w:tcPr>
          <w:p>
            <w:pPr>
              <w:ind w:left="70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57"/>
        </w:trPr>
        <w:tc>
          <w:tcPr>
            <w:tcW w:w="10820" w:type="dxa"/>
            <w:vAlign w:val="bottom"/>
          </w:tcPr>
          <w:p>
            <w:pPr>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0820" w:type="dxa"/>
            <w:vAlign w:val="bottom"/>
          </w:tcPr>
          <w:p>
            <w:pPr>
              <w:ind w:left="360"/>
              <w:spacing w:after="0"/>
              <w:rPr>
                <w:sz w:val="20"/>
                <w:szCs w:val="20"/>
                <w:color w:val="auto"/>
              </w:rPr>
            </w:pPr>
            <w:r>
              <w:rPr>
                <w:rFonts w:ascii="Arial" w:cs="Arial" w:eastAsia="Arial" w:hAnsi="Arial"/>
                <w:sz w:val="14"/>
                <w:szCs w:val="14"/>
                <w:color w:val="auto"/>
              </w:rPr>
              <w:t>Borrowings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7"/>
        </w:trPr>
        <w:tc>
          <w:tcPr>
            <w:tcW w:w="10820" w:type="dxa"/>
            <w:vAlign w:val="bottom"/>
          </w:tcPr>
          <w:p>
            <w:pPr>
              <w:ind w:left="700"/>
              <w:spacing w:after="0"/>
              <w:rPr>
                <w:sz w:val="20"/>
                <w:szCs w:val="20"/>
                <w:color w:val="auto"/>
              </w:rPr>
            </w:pPr>
            <w:r>
              <w:rPr>
                <w:rFonts w:ascii="Arial" w:cs="Arial" w:eastAsia="Arial" w:hAnsi="Arial"/>
                <w:sz w:val="14"/>
                <w:szCs w:val="14"/>
                <w:color w:val="auto"/>
              </w:rPr>
              <w:t>Total other liabilities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62"/>
        </w:trPr>
        <w:tc>
          <w:tcPr>
            <w:tcW w:w="108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7"/>
        </w:trPr>
        <w:tc>
          <w:tcPr>
            <w:tcW w:w="10820" w:type="dxa"/>
            <w:vAlign w:val="bottom"/>
          </w:tcPr>
          <w:p>
            <w:pPr>
              <w:ind w:left="70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7"/>
        </w:trPr>
        <w:tc>
          <w:tcPr>
            <w:tcW w:w="10820" w:type="dxa"/>
            <w:vAlign w:val="bottom"/>
          </w:tcPr>
          <w:p>
            <w:pPr>
              <w:spacing w:after="0"/>
              <w:rPr>
                <w:sz w:val="20"/>
                <w:szCs w:val="20"/>
                <w:color w:val="auto"/>
              </w:rPr>
            </w:pPr>
            <w:r>
              <w:rPr>
                <w:rFonts w:ascii="Arial" w:cs="Arial" w:eastAsia="Arial" w:hAnsi="Arial"/>
                <w:sz w:val="14"/>
                <w:szCs w:val="14"/>
                <w:color w:val="auto"/>
              </w:rPr>
              <w:t>COMMITMENTS AND CONTINGENCIES (Notes 1, 5 and 8)</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82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Common stock, $0.001 par value—authorized, issued and outstanding 5,000 shares</w:t>
            </w:r>
          </w:p>
        </w:tc>
        <w:tc>
          <w:tcPr>
            <w:tcW w:w="1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81"/>
        </w:trPr>
        <w:tc>
          <w:tcPr>
            <w:tcW w:w="10820" w:type="dxa"/>
            <w:vAlign w:val="bottom"/>
          </w:tcPr>
          <w:p>
            <w:pPr>
              <w:ind w:left="36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77"/>
        </w:trPr>
        <w:tc>
          <w:tcPr>
            <w:tcW w:w="10820" w:type="dxa"/>
            <w:vAlign w:val="bottom"/>
          </w:tcPr>
          <w:p>
            <w:pPr>
              <w:ind w:left="70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78"/>
        </w:trPr>
        <w:tc>
          <w:tcPr>
            <w:tcW w:w="10820" w:type="dxa"/>
            <w:vAlign w:val="bottom"/>
          </w:tcPr>
          <w:p>
            <w:pPr>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0"/>
        </w:trPr>
        <w:tc>
          <w:tcPr>
            <w:tcW w:w="10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60"/>
          </w:cols>
          <w:pgMar w:left="220" w:top="399" w:right="21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center"/>
              <w:ind w:right="12"/>
              <w:spacing w:after="0"/>
              <w:rPr>
                <w:sz w:val="20"/>
                <w:szCs w:val="20"/>
                <w:color w:val="auto"/>
              </w:rPr>
            </w:pPr>
            <w:r>
              <w:rPr>
                <w:rFonts w:ascii="Arial" w:cs="Arial" w:eastAsia="Arial" w:hAnsi="Arial"/>
                <w:sz w:val="11"/>
                <w:szCs w:val="11"/>
                <w:b w:val="1"/>
                <w:bCs w:val="1"/>
                <w:color w:val="auto"/>
                <w:w w:val="92"/>
              </w:rPr>
              <w:t>Year</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32"/>
              <w:spacing w:after="0"/>
              <w:rPr>
                <w:sz w:val="20"/>
                <w:szCs w:val="20"/>
                <w:color w:val="auto"/>
              </w:rPr>
            </w:pPr>
            <w:r>
              <w:rPr>
                <w:rFonts w:ascii="Arial" w:cs="Arial" w:eastAsia="Arial" w:hAnsi="Arial"/>
                <w:sz w:val="11"/>
                <w:szCs w:val="11"/>
                <w:b w:val="1"/>
                <w:bCs w:val="1"/>
                <w:color w:val="auto"/>
                <w:w w:val="92"/>
              </w:rPr>
              <w:t>Year</w:t>
            </w:r>
          </w:p>
        </w:tc>
        <w:tc>
          <w:tcPr>
            <w:tcW w:w="760" w:type="dxa"/>
            <w:vAlign w:val="bottom"/>
          </w:tcPr>
          <w:p>
            <w:pPr>
              <w:spacing w:after="0"/>
              <w:rPr>
                <w:sz w:val="10"/>
                <w:szCs w:val="10"/>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3 Months</w:t>
            </w:r>
          </w:p>
        </w:tc>
        <w:tc>
          <w:tcPr>
            <w:tcW w:w="0" w:type="dxa"/>
            <w:vAlign w:val="bottom"/>
          </w:tcPr>
          <w:p>
            <w:pPr>
              <w:spacing w:after="0"/>
              <w:rPr>
                <w:sz w:val="1"/>
                <w:szCs w:val="1"/>
                <w:color w:val="auto"/>
              </w:rPr>
            </w:pPr>
          </w:p>
        </w:tc>
      </w:tr>
      <w:tr>
        <w:trPr>
          <w:trHeight w:val="120"/>
        </w:trPr>
        <w:tc>
          <w:tcPr>
            <w:tcW w:w="8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center"/>
              <w:ind w:right="12"/>
              <w:spacing w:after="0" w:line="121" w:lineRule="exact"/>
              <w:rPr>
                <w:sz w:val="20"/>
                <w:szCs w:val="20"/>
                <w:color w:val="auto"/>
              </w:rPr>
            </w:pPr>
            <w:r>
              <w:rPr>
                <w:rFonts w:ascii="Arial" w:cs="Arial" w:eastAsia="Arial" w:hAnsi="Arial"/>
                <w:sz w:val="11"/>
                <w:szCs w:val="11"/>
                <w:b w:val="1"/>
                <w:bCs w:val="1"/>
                <w:color w:val="auto"/>
                <w:w w:val="89"/>
              </w:rPr>
              <w:t>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32"/>
              <w:spacing w:after="0" w:line="121" w:lineRule="exact"/>
              <w:rPr>
                <w:sz w:val="20"/>
                <w:szCs w:val="20"/>
                <w:color w:val="auto"/>
              </w:rPr>
            </w:pPr>
            <w:r>
              <w:rPr>
                <w:rFonts w:ascii="Arial" w:cs="Arial" w:eastAsia="Arial" w:hAnsi="Arial"/>
                <w:sz w:val="11"/>
                <w:szCs w:val="11"/>
                <w:b w:val="1"/>
                <w:bCs w:val="1"/>
                <w:color w:val="auto"/>
                <w:w w:val="89"/>
              </w:rPr>
              <w:t>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11"/>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8320" w:type="dxa"/>
            <w:vAlign w:val="bottom"/>
          </w:tcPr>
          <w:p>
            <w:pPr>
              <w:spacing w:after="0"/>
              <w:rPr>
                <w:sz w:val="10"/>
                <w:szCs w:val="10"/>
                <w:color w:val="auto"/>
              </w:rPr>
            </w:pPr>
          </w:p>
        </w:tc>
        <w:tc>
          <w:tcPr>
            <w:tcW w:w="5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1"/>
              </w:rPr>
              <w:t>January 1,</w:t>
            </w:r>
          </w:p>
        </w:tc>
        <w:tc>
          <w:tcPr>
            <w:tcW w:w="760" w:type="dxa"/>
            <w:vAlign w:val="bottom"/>
          </w:tcPr>
          <w:p>
            <w:pPr>
              <w:spacing w:after="0"/>
              <w:rPr>
                <w:sz w:val="10"/>
                <w:szCs w:val="10"/>
                <w:color w:val="auto"/>
              </w:rPr>
            </w:pPr>
          </w:p>
        </w:tc>
        <w:tc>
          <w:tcPr>
            <w:tcW w:w="64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December 30,</w:t>
            </w:r>
          </w:p>
        </w:tc>
        <w:tc>
          <w:tcPr>
            <w:tcW w:w="760" w:type="dxa"/>
            <w:vAlign w:val="bottom"/>
          </w:tcPr>
          <w:p>
            <w:pPr>
              <w:spacing w:after="0"/>
              <w:rPr>
                <w:sz w:val="10"/>
                <w:szCs w:val="10"/>
                <w:color w:val="auto"/>
              </w:rPr>
            </w:pPr>
          </w:p>
        </w:tc>
        <w:tc>
          <w:tcPr>
            <w:tcW w:w="4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2"/>
        </w:trPr>
        <w:tc>
          <w:tcPr>
            <w:tcW w:w="832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89"/>
              </w:rPr>
              <w:t>2004</w:t>
            </w:r>
          </w:p>
        </w:tc>
        <w:tc>
          <w:tcPr>
            <w:tcW w:w="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1"/>
                <w:szCs w:val="11"/>
                <w:b w:val="1"/>
                <w:bCs w:val="1"/>
                <w:color w:val="auto"/>
                <w:w w:val="89"/>
              </w:rPr>
              <w:t>2004</w:t>
            </w: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w w:val="97"/>
              </w:rPr>
              <w:t>2005</w:t>
            </w:r>
          </w:p>
        </w:tc>
        <w:tc>
          <w:tcPr>
            <w:tcW w:w="0" w:type="dxa"/>
            <w:vAlign w:val="bottom"/>
          </w:tcPr>
          <w:p>
            <w:pPr>
              <w:spacing w:after="0"/>
              <w:rPr>
                <w:sz w:val="1"/>
                <w:szCs w:val="1"/>
                <w:color w:val="auto"/>
              </w:rPr>
            </w:pPr>
          </w:p>
        </w:tc>
      </w:tr>
      <w:tr>
        <w:trPr>
          <w:trHeight w:val="158"/>
        </w:trPr>
        <w:tc>
          <w:tcPr>
            <w:tcW w:w="8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65.2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83.6</w:t>
            </w:r>
          </w:p>
        </w:tc>
        <w:tc>
          <w:tcPr>
            <w:tcW w:w="840" w:type="dxa"/>
            <w:vAlign w:val="bottom"/>
            <w:gridSpan w:val="2"/>
          </w:tcPr>
          <w:p>
            <w:pPr>
              <w:ind w:left="76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11.5</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1"/>
        </w:trPr>
        <w:tc>
          <w:tcPr>
            <w:tcW w:w="8320" w:type="dxa"/>
            <w:vAlign w:val="bottom"/>
          </w:tcPr>
          <w:p>
            <w:pPr>
              <w:ind w:left="36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7"/>
        </w:trPr>
        <w:tc>
          <w:tcPr>
            <w:tcW w:w="8320" w:type="dxa"/>
            <w:vAlign w:val="bottom"/>
          </w:tcPr>
          <w:p>
            <w:pPr>
              <w:ind w:left="70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Meetings and events operating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Circuit share costs—Members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16.6</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Selling and marketing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11.7</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15.9</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Administrative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10.8</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Deferred stock compensation</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832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7"/>
        </w:trPr>
        <w:tc>
          <w:tcPr>
            <w:tcW w:w="8320" w:type="dxa"/>
            <w:vAlign w:val="bottom"/>
          </w:tcPr>
          <w:p>
            <w:pPr>
              <w:ind w:left="70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20"/>
                <w:szCs w:val="20"/>
                <w:color w:val="auto"/>
              </w:rPr>
            </w:pPr>
            <w:r>
              <w:rPr>
                <w:rFonts w:ascii="Arial" w:cs="Arial" w:eastAsia="Arial" w:hAnsi="Arial"/>
                <w:sz w:val="14"/>
                <w:szCs w:val="14"/>
                <w:color w:val="auto"/>
              </w:rPr>
              <w:t>OPERATING INCOME (LOSS)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33.9</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2"/>
        </w:trPr>
        <w:tc>
          <w:tcPr>
            <w:tcW w:w="83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7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7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8"/>
        </w:trPr>
        <w:tc>
          <w:tcPr>
            <w:tcW w:w="8320" w:type="dxa"/>
            <w:vAlign w:val="bottom"/>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12.9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20.6</w:t>
            </w:r>
          </w:p>
        </w:tc>
        <w:tc>
          <w:tcPr>
            <w:tcW w:w="840" w:type="dxa"/>
            <w:vAlign w:val="bottom"/>
            <w:gridSpan w:val="2"/>
          </w:tcPr>
          <w:p>
            <w:pPr>
              <w:ind w:left="76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60"/>
          </w:cols>
          <w:pgMar w:left="220" w:top="398" w:right="21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STATEMENTS OF STOCKHOLDER’S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00" w:type="dxa"/>
            <w:vAlign w:val="bottom"/>
            <w:vMerge w:val="restart"/>
          </w:tcPr>
          <w:p>
            <w:pPr>
              <w:spacing w:after="0"/>
              <w:rPr>
                <w:sz w:val="20"/>
                <w:szCs w:val="20"/>
                <w:color w:val="auto"/>
              </w:rPr>
            </w:pPr>
            <w:r>
              <w:rPr>
                <w:rFonts w:ascii="Arial" w:cs="Arial" w:eastAsia="Arial" w:hAnsi="Arial"/>
                <w:sz w:val="11"/>
                <w:szCs w:val="11"/>
                <w:b w:val="1"/>
                <w:bCs w:val="1"/>
                <w:color w:val="auto"/>
              </w:rPr>
              <w:t>Statement of Stockholder’s Equity</w:t>
            </w:r>
          </w:p>
        </w:tc>
        <w:tc>
          <w:tcPr>
            <w:tcW w:w="560" w:type="dxa"/>
            <w:vAlign w:val="bottom"/>
          </w:tcPr>
          <w:p>
            <w:pPr>
              <w:spacing w:after="0"/>
              <w:rPr>
                <w:sz w:val="10"/>
                <w:szCs w:val="10"/>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w w:val="88"/>
              </w:rPr>
              <w:t>Common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10"/>
                <w:szCs w:val="10"/>
                <w:color w:val="auto"/>
              </w:rPr>
            </w:pP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Retained</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300" w:type="dxa"/>
            <w:vAlign w:val="bottom"/>
            <w:tcBorders>
              <w:bottom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line="121" w:lineRule="exact"/>
              <w:rPr>
                <w:sz w:val="20"/>
                <w:szCs w:val="20"/>
                <w:color w:val="auto"/>
              </w:rPr>
            </w:pPr>
            <w:r>
              <w:rPr>
                <w:rFonts w:ascii="Arial" w:cs="Arial" w:eastAsia="Arial" w:hAnsi="Arial"/>
                <w:sz w:val="11"/>
                <w:szCs w:val="11"/>
                <w:b w:val="1"/>
                <w:bCs w:val="1"/>
                <w:color w:val="auto"/>
              </w:rPr>
              <w:t>Stock</w:t>
            </w:r>
          </w:p>
        </w:tc>
        <w:tc>
          <w:tcPr>
            <w:tcW w:w="540" w:type="dxa"/>
            <w:vAlign w:val="bottom"/>
          </w:tcPr>
          <w:p>
            <w:pPr>
              <w:spacing w:after="0"/>
              <w:rPr>
                <w:sz w:val="12"/>
                <w:szCs w:val="12"/>
                <w:color w:val="auto"/>
              </w:rPr>
            </w:pPr>
          </w:p>
        </w:tc>
        <w:tc>
          <w:tcPr>
            <w:tcW w:w="10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Paid-in Capital</w:t>
            </w:r>
          </w:p>
        </w:tc>
        <w:tc>
          <w:tcPr>
            <w:tcW w:w="260" w:type="dxa"/>
            <w:vAlign w:val="bottom"/>
          </w:tcPr>
          <w:p>
            <w:pPr>
              <w:spacing w:after="0"/>
              <w:rPr>
                <w:sz w:val="12"/>
                <w:szCs w:val="12"/>
                <w:color w:val="auto"/>
              </w:rPr>
            </w:pPr>
          </w:p>
        </w:tc>
        <w:tc>
          <w:tcPr>
            <w:tcW w:w="10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Earnings</w:t>
            </w:r>
          </w:p>
        </w:tc>
        <w:tc>
          <w:tcPr>
            <w:tcW w:w="340" w:type="dxa"/>
            <w:vAlign w:val="bottom"/>
            <w:gridSpan w:val="3"/>
          </w:tcPr>
          <w:p>
            <w:pPr>
              <w:jc w:val="right"/>
              <w:ind w:right="60"/>
              <w:spacing w:after="0" w:line="121"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Arial" w:cs="Arial" w:eastAsia="Arial" w:hAnsi="Arial"/>
                <w:sz w:val="14"/>
                <w:szCs w:val="14"/>
                <w:color w:val="auto"/>
              </w:rPr>
              <w:t>Balance—December 26, 2002</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center"/>
              <w:ind w:left="331"/>
              <w:spacing w:after="0" w:line="149" w:lineRule="exact"/>
              <w:rPr>
                <w:sz w:val="20"/>
                <w:szCs w:val="20"/>
                <w:color w:val="auto"/>
              </w:rPr>
            </w:pPr>
            <w:r>
              <w:rPr>
                <w:rFonts w:ascii="Arial" w:cs="Arial" w:eastAsia="Arial" w:hAnsi="Arial"/>
                <w:sz w:val="14"/>
                <w:szCs w:val="14"/>
                <w:color w:val="auto"/>
                <w:w w:val="87"/>
              </w:rPr>
              <w:t>22.5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7"/>
              </w:rPr>
              <w:t>(16.5)</w:t>
            </w:r>
          </w:p>
        </w:tc>
        <w:tc>
          <w:tcPr>
            <w:tcW w:w="6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6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20"/>
                <w:szCs w:val="20"/>
                <w:color w:val="auto"/>
              </w:rPr>
            </w:pPr>
            <w:r>
              <w:rPr>
                <w:rFonts w:ascii="Arial" w:cs="Arial" w:eastAsia="Arial" w:hAnsi="Arial"/>
                <w:sz w:val="14"/>
                <w:szCs w:val="14"/>
                <w:color w:val="auto"/>
              </w:rPr>
              <w:t>Balance—January 1, 2004</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left="51"/>
              <w:spacing w:after="0"/>
              <w:rPr>
                <w:sz w:val="20"/>
                <w:szCs w:val="20"/>
                <w:color w:val="auto"/>
              </w:rPr>
            </w:pPr>
            <w:r>
              <w:rPr>
                <w:rFonts w:ascii="Arial" w:cs="Arial" w:eastAsia="Arial" w:hAnsi="Arial"/>
                <w:sz w:val="14"/>
                <w:szCs w:val="14"/>
                <w:color w:val="auto"/>
                <w:w w:val="87"/>
              </w:rPr>
              <w:t>22.5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18.9</w:t>
            </w:r>
          </w:p>
        </w:tc>
        <w:tc>
          <w:tcPr>
            <w:tcW w:w="0" w:type="dxa"/>
            <w:vAlign w:val="bottom"/>
          </w:tcPr>
          <w:p>
            <w:pPr>
              <w:spacing w:after="0"/>
              <w:rPr>
                <w:sz w:val="1"/>
                <w:szCs w:val="1"/>
                <w:color w:val="auto"/>
              </w:rPr>
            </w:pPr>
          </w:p>
        </w:tc>
      </w:tr>
      <w:tr>
        <w:trPr>
          <w:trHeight w:val="181"/>
        </w:trPr>
        <w:tc>
          <w:tcPr>
            <w:tcW w:w="730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6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20"/>
                <w:szCs w:val="20"/>
                <w:color w:val="auto"/>
              </w:rPr>
            </w:pPr>
            <w:r>
              <w:rPr>
                <w:rFonts w:ascii="Arial" w:cs="Arial" w:eastAsia="Arial" w:hAnsi="Arial"/>
                <w:sz w:val="14"/>
                <w:szCs w:val="14"/>
                <w:color w:val="auto"/>
              </w:rPr>
              <w:t>Balance—December 30, 2004</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left="51"/>
              <w:spacing w:after="0"/>
              <w:rPr>
                <w:sz w:val="20"/>
                <w:szCs w:val="20"/>
                <w:color w:val="auto"/>
              </w:rPr>
            </w:pPr>
            <w:r>
              <w:rPr>
                <w:rFonts w:ascii="Arial" w:cs="Arial" w:eastAsia="Arial" w:hAnsi="Arial"/>
                <w:sz w:val="14"/>
                <w:szCs w:val="14"/>
                <w:color w:val="auto"/>
                <w:w w:val="87"/>
              </w:rPr>
              <w:t>22.5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17.0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39.5</w:t>
            </w:r>
          </w:p>
        </w:tc>
        <w:tc>
          <w:tcPr>
            <w:tcW w:w="0" w:type="dxa"/>
            <w:vAlign w:val="bottom"/>
          </w:tcPr>
          <w:p>
            <w:pPr>
              <w:spacing w:after="0"/>
              <w:rPr>
                <w:sz w:val="1"/>
                <w:szCs w:val="1"/>
                <w:color w:val="auto"/>
              </w:rPr>
            </w:pPr>
          </w:p>
        </w:tc>
      </w:tr>
      <w:tr>
        <w:trPr>
          <w:trHeight w:val="181"/>
        </w:trPr>
        <w:tc>
          <w:tcPr>
            <w:tcW w:w="730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6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300" w:type="dxa"/>
            <w:vAlign w:val="bottom"/>
          </w:tcPr>
          <w:p>
            <w:pPr>
              <w:spacing w:after="0"/>
              <w:rPr>
                <w:sz w:val="20"/>
                <w:szCs w:val="20"/>
                <w:color w:val="auto"/>
              </w:rPr>
            </w:pPr>
            <w:r>
              <w:rPr>
                <w:rFonts w:ascii="Arial" w:cs="Arial" w:eastAsia="Arial" w:hAnsi="Arial"/>
                <w:sz w:val="14"/>
                <w:szCs w:val="14"/>
                <w:color w:val="auto"/>
              </w:rPr>
              <w:t>Balance—March 31, 2005</w:t>
            </w:r>
          </w:p>
        </w:tc>
        <w:tc>
          <w:tcPr>
            <w:tcW w:w="640" w:type="dxa"/>
            <w:vAlign w:val="bottom"/>
            <w:gridSpan w:val="2"/>
          </w:tcPr>
          <w:p>
            <w:pPr>
              <w:ind w:left="560"/>
              <w:spacing w:after="0"/>
              <w:rPr>
                <w:sz w:val="20"/>
                <w:szCs w:val="20"/>
                <w:color w:val="auto"/>
              </w:rPr>
            </w:pPr>
            <w:r>
              <w:rPr>
                <w:rFonts w:ascii="Arial" w:cs="Arial" w:eastAsia="Arial" w:hAnsi="Arial"/>
                <w:sz w:val="14"/>
                <w:szCs w:val="14"/>
                <w:color w:val="auto"/>
                <w:w w:val="76"/>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54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center"/>
              <w:ind w:left="51"/>
              <w:spacing w:after="0"/>
              <w:rPr>
                <w:sz w:val="20"/>
                <w:szCs w:val="20"/>
                <w:color w:val="auto"/>
              </w:rPr>
            </w:pPr>
            <w:r>
              <w:rPr>
                <w:rFonts w:ascii="Arial" w:cs="Arial" w:eastAsia="Arial" w:hAnsi="Arial"/>
                <w:sz w:val="14"/>
                <w:szCs w:val="14"/>
                <w:color w:val="auto"/>
                <w:w w:val="87"/>
              </w:rPr>
              <w:t>22.5</w:t>
            </w: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18.7</w:t>
            </w:r>
          </w:p>
        </w:tc>
        <w:tc>
          <w:tcPr>
            <w:tcW w:w="6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41.2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60"/>
          </w:cols>
          <w:pgMar w:left="220" w:top="399" w:right="21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80"/>
              <w:spacing w:after="0"/>
              <w:rPr>
                <w:sz w:val="20"/>
                <w:szCs w:val="20"/>
                <w:color w:val="auto"/>
              </w:rPr>
            </w:pPr>
            <w:r>
              <w:rPr>
                <w:rFonts w:ascii="Arial" w:cs="Arial" w:eastAsia="Arial" w:hAnsi="Arial"/>
                <w:sz w:val="11"/>
                <w:szCs w:val="11"/>
                <w:b w:val="1"/>
                <w:bCs w:val="1"/>
                <w:color w:val="auto"/>
                <w:w w:val="92"/>
              </w:rPr>
              <w:t>Year</w:t>
            </w:r>
          </w:p>
        </w:tc>
        <w:tc>
          <w:tcPr>
            <w:tcW w:w="120" w:type="dxa"/>
            <w:vAlign w:val="bottom"/>
          </w:tcPr>
          <w:p>
            <w:pPr>
              <w:spacing w:after="0"/>
              <w:rPr>
                <w:sz w:val="10"/>
                <w:szCs w:val="10"/>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92"/>
              </w:rPr>
              <w:t>Year</w:t>
            </w:r>
          </w:p>
        </w:tc>
        <w:tc>
          <w:tcPr>
            <w:tcW w:w="36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3 Months</w:t>
            </w:r>
          </w:p>
        </w:tc>
        <w:tc>
          <w:tcPr>
            <w:tcW w:w="0" w:type="dxa"/>
            <w:vAlign w:val="bottom"/>
          </w:tcPr>
          <w:p>
            <w:pPr>
              <w:spacing w:after="0"/>
              <w:rPr>
                <w:sz w:val="1"/>
                <w:szCs w:val="1"/>
                <w:color w:val="auto"/>
              </w:rPr>
            </w:pPr>
          </w:p>
        </w:tc>
      </w:tr>
      <w:tr>
        <w:trPr>
          <w:trHeight w:val="120"/>
        </w:trPr>
        <w:tc>
          <w:tcPr>
            <w:tcW w:w="8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8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940" w:type="dxa"/>
            <w:vAlign w:val="bottom"/>
            <w:gridSpan w:val="2"/>
          </w:tcPr>
          <w:p>
            <w:pPr>
              <w:jc w:val="center"/>
              <w:ind w:right="520"/>
              <w:spacing w:after="0" w:line="121" w:lineRule="exact"/>
              <w:rPr>
                <w:sz w:val="20"/>
                <w:szCs w:val="20"/>
                <w:color w:val="auto"/>
              </w:rPr>
            </w:pPr>
            <w:r>
              <w:rPr>
                <w:rFonts w:ascii="Arial" w:cs="Arial" w:eastAsia="Arial" w:hAnsi="Arial"/>
                <w:sz w:val="11"/>
                <w:szCs w:val="11"/>
                <w:b w:val="1"/>
                <w:bCs w:val="1"/>
                <w:color w:val="auto"/>
                <w:w w:val="89"/>
              </w:rPr>
              <w:t>Ended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8220" w:type="dxa"/>
            <w:vAlign w:val="bottom"/>
          </w:tcPr>
          <w:p>
            <w:pPr>
              <w:spacing w:after="0"/>
              <w:rPr>
                <w:sz w:val="10"/>
                <w:szCs w:val="10"/>
                <w:color w:val="auto"/>
              </w:rPr>
            </w:pPr>
          </w:p>
        </w:tc>
        <w:tc>
          <w:tcPr>
            <w:tcW w:w="1280" w:type="dxa"/>
            <w:vAlign w:val="bottom"/>
            <w:gridSpan w:val="3"/>
          </w:tcPr>
          <w:p>
            <w:pPr>
              <w:jc w:val="center"/>
              <w:ind w:right="780"/>
              <w:spacing w:after="0" w:line="121" w:lineRule="exact"/>
              <w:rPr>
                <w:sz w:val="20"/>
                <w:szCs w:val="20"/>
                <w:color w:val="auto"/>
              </w:rPr>
            </w:pPr>
            <w:r>
              <w:rPr>
                <w:rFonts w:ascii="Arial" w:cs="Arial" w:eastAsia="Arial" w:hAnsi="Arial"/>
                <w:sz w:val="11"/>
                <w:szCs w:val="11"/>
                <w:b w:val="1"/>
                <w:bCs w:val="1"/>
                <w:color w:val="auto"/>
                <w:w w:val="91"/>
              </w:rPr>
              <w:t>January 1,</w:t>
            </w:r>
          </w:p>
        </w:tc>
        <w:tc>
          <w:tcPr>
            <w:tcW w:w="1060" w:type="dxa"/>
            <w:vAlign w:val="bottom"/>
            <w:gridSpan w:val="3"/>
          </w:tcPr>
          <w:p>
            <w:pPr>
              <w:jc w:val="center"/>
              <w:ind w:right="420"/>
              <w:spacing w:after="0" w:line="121" w:lineRule="exact"/>
              <w:rPr>
                <w:sz w:val="20"/>
                <w:szCs w:val="20"/>
                <w:color w:val="auto"/>
              </w:rPr>
            </w:pPr>
            <w:r>
              <w:rPr>
                <w:rFonts w:ascii="Arial" w:cs="Arial" w:eastAsia="Arial" w:hAnsi="Arial"/>
                <w:sz w:val="11"/>
                <w:szCs w:val="11"/>
                <w:b w:val="1"/>
                <w:bCs w:val="1"/>
                <w:color w:val="auto"/>
                <w:w w:val="89"/>
              </w:rPr>
              <w:t>December 30,</w:t>
            </w:r>
          </w:p>
        </w:tc>
        <w:tc>
          <w:tcPr>
            <w:tcW w:w="360" w:type="dxa"/>
            <w:vAlign w:val="bottom"/>
          </w:tcPr>
          <w:p>
            <w:pPr>
              <w:spacing w:after="0"/>
              <w:rPr>
                <w:sz w:val="10"/>
                <w:szCs w:val="10"/>
                <w:color w:val="auto"/>
              </w:rPr>
            </w:pPr>
          </w:p>
        </w:tc>
        <w:tc>
          <w:tcPr>
            <w:tcW w:w="5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2004</w:t>
            </w: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220" w:type="dxa"/>
            <w:vAlign w:val="bottom"/>
          </w:tcPr>
          <w:p>
            <w:pPr>
              <w:spacing w:after="0" w:line="159"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12.9</w:t>
            </w:r>
          </w:p>
        </w:tc>
        <w:tc>
          <w:tcPr>
            <w:tcW w:w="7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20.6</w:t>
            </w:r>
          </w:p>
        </w:tc>
        <w:tc>
          <w:tcPr>
            <w:tcW w:w="440" w:type="dxa"/>
            <w:vAlign w:val="bottom"/>
            <w:gridSpan w:val="2"/>
          </w:tcPr>
          <w:p>
            <w:pPr>
              <w:ind w:left="360"/>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5"/>
        </w:trPr>
        <w:tc>
          <w:tcPr>
            <w:tcW w:w="8220" w:type="dxa"/>
            <w:vAlign w:val="bottom"/>
          </w:tcPr>
          <w:p>
            <w:pPr>
              <w:ind w:left="540"/>
              <w:spacing w:after="0"/>
              <w:rPr>
                <w:sz w:val="20"/>
                <w:szCs w:val="20"/>
                <w:color w:val="auto"/>
              </w:rPr>
            </w:pPr>
            <w:r>
              <w:rPr>
                <w:rFonts w:ascii="Arial" w:cs="Arial" w:eastAsia="Arial" w:hAnsi="Arial"/>
                <w:sz w:val="14"/>
                <w:szCs w:val="14"/>
                <w:color w:val="auto"/>
              </w:rPr>
              <w:t>Adjustments to reconcile net income (loss) to net cash provided by operating (used in) activities: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7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0.9</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5"/>
        </w:trPr>
        <w:tc>
          <w:tcPr>
            <w:tcW w:w="8220" w:type="dxa"/>
            <w:vAlign w:val="bottom"/>
          </w:tcPr>
          <w:p>
            <w:pPr>
              <w:ind w:left="700"/>
              <w:spacing w:after="0"/>
              <w:rPr>
                <w:sz w:val="20"/>
                <w:szCs w:val="20"/>
                <w:color w:val="auto"/>
              </w:rPr>
            </w:pPr>
            <w:r>
              <w:rPr>
                <w:rFonts w:ascii="Arial" w:cs="Arial" w:eastAsia="Arial" w:hAnsi="Arial"/>
                <w:sz w:val="14"/>
                <w:szCs w:val="14"/>
                <w:color w:val="auto"/>
              </w:rPr>
              <w:t>Deferred stock compensation</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5"/>
        </w:trPr>
        <w:tc>
          <w:tcPr>
            <w:tcW w:w="8220" w:type="dxa"/>
            <w:vAlign w:val="bottom"/>
          </w:tcPr>
          <w:p>
            <w:pPr>
              <w:ind w:left="70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0.5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5"/>
        </w:trPr>
        <w:tc>
          <w:tcPr>
            <w:tcW w:w="8220" w:type="dxa"/>
            <w:vAlign w:val="bottom"/>
          </w:tcPr>
          <w:p>
            <w:pPr>
              <w:ind w:left="700"/>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Decrease (increase) in receivables—net</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(8.2)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Decrease (increase) in prepaid expenses and other current assets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0.2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Increase (decrease) in accounts payable</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(0.8)</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Increase (decrease) in accrued expenses</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2.6</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Increase (decrease) in deferred revenue</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0.6</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8220" w:type="dxa"/>
            <w:vAlign w:val="bottom"/>
          </w:tcPr>
          <w:p>
            <w:pPr>
              <w:ind w:left="1060"/>
              <w:spacing w:after="0"/>
              <w:rPr>
                <w:sz w:val="20"/>
                <w:szCs w:val="20"/>
                <w:color w:val="auto"/>
              </w:rPr>
            </w:pPr>
            <w:r>
              <w:rPr>
                <w:rFonts w:ascii="Arial" w:cs="Arial" w:eastAsia="Arial" w:hAnsi="Arial"/>
                <w:sz w:val="14"/>
                <w:szCs w:val="14"/>
                <w:color w:val="auto"/>
              </w:rPr>
              <w:t>Increase (decrease) in other liabilities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0.1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124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6.4</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15.9</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1"/>
        </w:trPr>
        <w:tc>
          <w:tcPr>
            <w:tcW w:w="82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2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(2.7)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82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20" w:type="dxa"/>
            <w:vAlign w:val="bottom"/>
          </w:tcPr>
          <w:p>
            <w:pPr>
              <w:ind w:left="360"/>
              <w:spacing w:after="0"/>
              <w:rPr>
                <w:sz w:val="20"/>
                <w:szCs w:val="20"/>
                <w:color w:val="auto"/>
              </w:rPr>
            </w:pPr>
            <w:r>
              <w:rPr>
                <w:rFonts w:ascii="Arial" w:cs="Arial" w:eastAsia="Arial" w:hAnsi="Arial"/>
                <w:sz w:val="14"/>
                <w:szCs w:val="14"/>
                <w:color w:val="auto"/>
              </w:rPr>
              <w:t>Increase in due from Parent</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(11.2)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124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(11.2)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4"/>
                <w:szCs w:val="14"/>
                <w:color w:val="auto"/>
              </w:rPr>
              <w:t>INCREASE IN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5"/>
        </w:trPr>
        <w:tc>
          <w:tcPr>
            <w:tcW w:w="82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20" w:type="dxa"/>
            <w:vAlign w:val="bottom"/>
          </w:tcPr>
          <w:p>
            <w:pPr>
              <w:ind w:left="360"/>
              <w:spacing w:after="0"/>
              <w:rPr>
                <w:sz w:val="20"/>
                <w:szCs w:val="20"/>
                <w:color w:val="auto"/>
              </w:rPr>
            </w:pPr>
            <w:r>
              <w:rPr>
                <w:rFonts w:ascii="Arial" w:cs="Arial" w:eastAsia="Arial" w:hAnsi="Arial"/>
                <w:sz w:val="14"/>
                <w:szCs w:val="14"/>
                <w:color w:val="auto"/>
              </w:rPr>
              <w:t>Beginning of period</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0.5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360"/>
              <w:spacing w:after="0"/>
              <w:rPr>
                <w:sz w:val="20"/>
                <w:szCs w:val="20"/>
                <w:color w:val="auto"/>
              </w:rPr>
            </w:pPr>
            <w:r>
              <w:rPr>
                <w:rFonts w:ascii="Arial" w:cs="Arial" w:eastAsia="Arial" w:hAnsi="Arial"/>
                <w:sz w:val="14"/>
                <w:szCs w:val="14"/>
                <w:color w:val="auto"/>
              </w:rPr>
              <w:t>End of period</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22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0.5</w:t>
            </w:r>
          </w:p>
        </w:tc>
        <w:tc>
          <w:tcPr>
            <w:tcW w:w="7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2.5</w:t>
            </w:r>
          </w:p>
        </w:tc>
        <w:tc>
          <w:tcPr>
            <w:tcW w:w="440" w:type="dxa"/>
            <w:vAlign w:val="bottom"/>
            <w:gridSpan w:val="2"/>
          </w:tcPr>
          <w:p>
            <w:pPr>
              <w:ind w:left="360"/>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60"/>
          </w:cols>
          <w:pgMar w:left="220" w:top="399" w:right="21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NOTES TO FINANCIAL STATEMENTS</w:t>
      </w:r>
    </w:p>
    <w:p>
      <w:pPr>
        <w:spacing w:after="0" w:line="24" w:lineRule="exact"/>
        <w:rPr>
          <w:sz w:val="20"/>
          <w:szCs w:val="20"/>
          <w:color w:val="auto"/>
        </w:rPr>
      </w:pPr>
    </w:p>
    <w:p>
      <w:pPr>
        <w:jc w:val="center"/>
        <w:ind w:left="240" w:right="360"/>
        <w:spacing w:after="0" w:line="281" w:lineRule="auto"/>
        <w:rPr>
          <w:sz w:val="20"/>
          <w:szCs w:val="20"/>
          <w:color w:val="auto"/>
        </w:rPr>
      </w:pPr>
      <w:r>
        <w:rPr>
          <w:rFonts w:ascii="Arial" w:cs="Arial" w:eastAsia="Arial" w:hAnsi="Arial"/>
          <w:sz w:val="14"/>
          <w:szCs w:val="14"/>
          <w:b w:val="1"/>
          <w:bCs w:val="1"/>
          <w:color w:val="auto"/>
        </w:rPr>
        <w:t>AS OF DECEMBER 31, 2004, AND FOR THE YEARS ENDED JANUARY 1, 2004 AND DECEMBER 30, 2004, AND FOR THE THREE MONTHS ENDED MARCH 31, 2005 (In millions)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 AND BASIS OF PRESENTATION</w:t>
      </w:r>
    </w:p>
    <w:p>
      <w:pPr>
        <w:spacing w:after="0" w:line="83"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RCM provided advertising, business meetings, and event services to Regal Entertainment Group and its subsidiaries (“Regal”). RCM also provided advertising services to one theatre circuit under a “Network Affiliate Agreement” expiring in September 2009.</w:t>
      </w:r>
    </w:p>
    <w:p>
      <w:pPr>
        <w:spacing w:after="0" w:line="93"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RCM was formed in February, 2002 and became a wholly-owned subsidiary of Regal on April 12, 2002. As a subsidiary of Regal, certain services (such as information technology and human resources support and payroll processing) were provided to RCM at no cost, and RCM incurred certain network support and maintenance costs on behalf of Regal which are unrelated to RCM’s businesses. Additionally, RCM managed certain businesses other than as described above on behalf of Regal. In order to present RCM’s financial statements on a comparable basis with that of NCM, the operating results of those businesses which were not contributed to NCM are not included in the financial statements of RCM, and certain assets which were not contributed to NCM have also been excluded from these financial statements. In order to present RCM on a “stand-alone” basis, allocated costs of those services provided at no charge by Regal have been estimated based on similar costs incurred subsequent to formation and included in these financial statements, and costs of services provided to Regal by RCM which were unrelated to the businesses operated by RCM have been excluded from these financial statements. Management believes the estimates and adjustments are reasonable.</w:t>
      </w:r>
    </w:p>
    <w:p>
      <w:pPr>
        <w:spacing w:after="0" w:line="9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As a result of the various related party agreements with Regal, the operating results as presented are not necessarily indicative of the results that would have occurred if all agreements were with non-related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83" w:lineRule="exact"/>
        <w:rPr>
          <w:sz w:val="20"/>
          <w:szCs w:val="20"/>
          <w:color w:val="auto"/>
        </w:rPr>
      </w:pPr>
    </w:p>
    <w:p>
      <w:pPr>
        <w:ind w:right="360" w:firstLine="458"/>
        <w:spacing w:after="0" w:line="330" w:lineRule="auto"/>
        <w:rPr>
          <w:sz w:val="20"/>
          <w:szCs w:val="20"/>
          <w:color w:val="auto"/>
        </w:rPr>
      </w:pPr>
      <w:r>
        <w:rPr>
          <w:rFonts w:ascii="Arial" w:cs="Arial" w:eastAsia="Arial" w:hAnsi="Arial"/>
          <w:sz w:val="13"/>
          <w:szCs w:val="13"/>
          <w:b w:val="1"/>
          <w:bCs w:val="1"/>
          <w:i w:val="1"/>
          <w:iCs w:val="1"/>
          <w:color w:val="auto"/>
        </w:rPr>
        <w:t>Revenue Recognition—</w:t>
      </w:r>
      <w:r>
        <w:rPr>
          <w:rFonts w:ascii="Arial" w:cs="Arial" w:eastAsia="Arial" w:hAnsi="Arial"/>
          <w:sz w:val="13"/>
          <w:szCs w:val="13"/>
          <w:color w:val="auto"/>
        </w:rPr>
        <w:t>Advertising revenue is recognized in the period in which an advertising contract is fulfilled against the contracted theatre attendees. Deferred revenue refers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unearned portion of advertising contracts. All deferred revenue is classified as a current liability. Meetings and events revenue is recognized in the period in which the event was held.</w:t>
      </w:r>
    </w:p>
    <w:p>
      <w:pPr>
        <w:spacing w:after="0" w:line="66" w:lineRule="exact"/>
        <w:rPr>
          <w:sz w:val="20"/>
          <w:szCs w:val="20"/>
          <w:color w:val="auto"/>
        </w:rPr>
      </w:pPr>
    </w:p>
    <w:p>
      <w:pPr>
        <w:ind w:right="440" w:firstLine="458"/>
        <w:spacing w:after="0" w:line="295" w:lineRule="auto"/>
        <w:rPr>
          <w:sz w:val="20"/>
          <w:szCs w:val="20"/>
          <w:color w:val="auto"/>
        </w:rPr>
      </w:pPr>
      <w:r>
        <w:rPr>
          <w:rFonts w:ascii="Arial" w:cs="Arial" w:eastAsia="Arial" w:hAnsi="Arial"/>
          <w:sz w:val="14"/>
          <w:szCs w:val="14"/>
          <w:b w:val="1"/>
          <w:bCs w:val="1"/>
          <w:i w:val="1"/>
          <w:iCs w:val="1"/>
          <w:color w:val="auto"/>
        </w:rPr>
        <w:t>Operating Costs</w:t>
      </w:r>
      <w:r>
        <w:rPr>
          <w:rFonts w:ascii="Arial" w:cs="Arial" w:eastAsia="Arial" w:hAnsi="Arial"/>
          <w:sz w:val="14"/>
          <w:szCs w:val="14"/>
          <w:b w:val="1"/>
          <w:bCs w:val="1"/>
          <w:color w:val="auto"/>
        </w:rPr>
        <w:t>—</w:t>
      </w:r>
      <w:r>
        <w:rPr>
          <w:rFonts w:ascii="Arial" w:cs="Arial" w:eastAsia="Arial" w:hAnsi="Arial"/>
          <w:sz w:val="14"/>
          <w:szCs w:val="14"/>
          <w:color w:val="auto"/>
        </w:rPr>
        <w:t>Advertising-related operating costs primarily include personnel and other costs related to advertising fulfillment and, to a lesser degree production costs of non-digital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advertising. and payments due to unaffiliated theatres circuits under the “Network Affiliate Agreement”.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Meeting and event operating costs include equipment rental, catering, movie tickets acquired primarily from the theatre circuits, and other direct costs of the meeting or event.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Circuit share costs are fees payable to Regal for the right to exhibit advertisements within the theatres.</w:t>
      </w:r>
    </w:p>
    <w:p>
      <w:pPr>
        <w:spacing w:after="0" w:line="145" w:lineRule="exact"/>
        <w:rPr>
          <w:sz w:val="20"/>
          <w:szCs w:val="20"/>
          <w:color w:val="auto"/>
        </w:rPr>
      </w:pPr>
    </w:p>
    <w:p>
      <w:pPr>
        <w:ind w:right="340" w:firstLine="458"/>
        <w:spacing w:after="0" w:line="289" w:lineRule="auto"/>
        <w:rPr>
          <w:sz w:val="20"/>
          <w:szCs w:val="20"/>
          <w:color w:val="auto"/>
        </w:rPr>
      </w:pPr>
      <w:r>
        <w:rPr>
          <w:rFonts w:ascii="Arial" w:cs="Arial" w:eastAsia="Arial" w:hAnsi="Arial"/>
          <w:sz w:val="14"/>
          <w:szCs w:val="14"/>
          <w:color w:val="auto"/>
        </w:rPr>
        <w:t>Network costs include personnel, satellite bandwidth, repairs, and other costs of maintaining and operating the digital network and preparing advertising and other content for transmission across the digital network. These costs may be applicable to either the advertising or the meetings and events business lines.</w:t>
      </w:r>
    </w:p>
    <w:p>
      <w:pPr>
        <w:spacing w:after="0" w:line="89"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b w:val="1"/>
          <w:bCs w:val="1"/>
          <w:i w:val="1"/>
          <w:iCs w:val="1"/>
          <w:color w:val="auto"/>
        </w:rPr>
        <w:t>Cash and Equivalents</w:t>
      </w:r>
      <w:r>
        <w:rPr>
          <w:rFonts w:ascii="Arial" w:cs="Arial" w:eastAsia="Arial" w:hAnsi="Arial"/>
          <w:sz w:val="14"/>
          <w:szCs w:val="14"/>
          <w:b w:val="1"/>
          <w:bCs w:val="1"/>
          <w:color w:val="auto"/>
        </w:rPr>
        <w:t>—</w:t>
      </w:r>
      <w:r>
        <w:rPr>
          <w:rFonts w:ascii="Arial" w:cs="Arial" w:eastAsia="Arial" w:hAnsi="Arial"/>
          <w:sz w:val="14"/>
          <w:szCs w:val="14"/>
          <w:color w:val="auto"/>
        </w:rPr>
        <w:t>All highly liquid debt instruments and investments purchased with a remaining maturity of three months or less are classified as cash equivalents. Periodically these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cash balances in a bank in excess of the federally insured limits or in the form of a money market demand account with a major financial institution.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40"/>
          </w:cols>
          <w:pgMar w:left="220" w:top="399" w:right="23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ind w:right="20" w:firstLine="458"/>
        <w:spacing w:after="0" w:line="337" w:lineRule="auto"/>
        <w:rPr>
          <w:sz w:val="20"/>
          <w:szCs w:val="20"/>
          <w:color w:val="auto"/>
        </w:rPr>
      </w:pPr>
      <w:r>
        <w:rPr>
          <w:rFonts w:ascii="Arial" w:cs="Arial" w:eastAsia="Arial" w:hAnsi="Arial"/>
          <w:sz w:val="13"/>
          <w:szCs w:val="13"/>
          <w:b w:val="1"/>
          <w:bCs w:val="1"/>
          <w:i w:val="1"/>
          <w:iCs w:val="1"/>
          <w:color w:val="auto"/>
        </w:rPr>
        <w:t>Receivables</w:t>
      </w:r>
      <w:r>
        <w:rPr>
          <w:rFonts w:ascii="Arial" w:cs="Arial" w:eastAsia="Arial" w:hAnsi="Arial"/>
          <w:sz w:val="13"/>
          <w:szCs w:val="13"/>
          <w:b w:val="1"/>
          <w:bCs w:val="1"/>
          <w:color w:val="auto"/>
        </w:rPr>
        <w:t>—</w:t>
      </w:r>
      <w:r>
        <w:rPr>
          <w:rFonts w:ascii="Arial" w:cs="Arial" w:eastAsia="Arial" w:hAnsi="Arial"/>
          <w:sz w:val="13"/>
          <w:szCs w:val="13"/>
          <w:color w:val="auto"/>
        </w:rPr>
        <w:t>Bad debts are provided for using the allowance for doubtful accounts method based on historical experience and management’s evaluation of outstanding receivables at the end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Trade accounts receivable are uncollateralized and represent a large number of geographically dispersed debtors, none of which are individually material.</w:t>
      </w:r>
    </w:p>
    <w:p>
      <w:pPr>
        <w:spacing w:after="0" w:line="61" w:lineRule="exact"/>
        <w:rPr>
          <w:sz w:val="20"/>
          <w:szCs w:val="20"/>
          <w:color w:val="auto"/>
        </w:rPr>
      </w:pPr>
    </w:p>
    <w:p>
      <w:pPr>
        <w:ind w:right="60" w:firstLine="458"/>
        <w:spacing w:after="0" w:line="308" w:lineRule="auto"/>
        <w:rPr>
          <w:sz w:val="20"/>
          <w:szCs w:val="20"/>
          <w:color w:val="auto"/>
        </w:rPr>
      </w:pPr>
      <w:r>
        <w:rPr>
          <w:rFonts w:ascii="Arial" w:cs="Arial" w:eastAsia="Arial" w:hAnsi="Arial"/>
          <w:sz w:val="13"/>
          <w:szCs w:val="13"/>
          <w:b w:val="1"/>
          <w:bCs w:val="1"/>
          <w:i w:val="1"/>
          <w:iCs w:val="1"/>
          <w:color w:val="auto"/>
        </w:rPr>
        <w:t>Property and Equipment</w:t>
      </w:r>
      <w:r>
        <w:rPr>
          <w:rFonts w:ascii="Arial" w:cs="Arial" w:eastAsia="Arial" w:hAnsi="Arial"/>
          <w:sz w:val="13"/>
          <w:szCs w:val="13"/>
          <w:b w:val="1"/>
          <w:bCs w:val="1"/>
          <w:color w:val="auto"/>
        </w:rPr>
        <w:t>—</w:t>
      </w:r>
      <w:r>
        <w:rPr>
          <w:rFonts w:ascii="Arial" w:cs="Arial" w:eastAsia="Arial" w:hAnsi="Arial"/>
          <w:sz w:val="13"/>
          <w:szCs w:val="13"/>
          <w:color w:val="auto"/>
        </w:rPr>
        <w:t>Property and equipment is stated at cost. Major renewals and improvements are capitalized, while replacements, maintenance, and repairs that do not improve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extend the lives of the respective assets are expensed currently. In general, the equipment associated with the digital network that is located within the theatre is owned by the theatres, while equipment outside the theatre is owned by RCM. RCM records depreciation and amortization using the straight-line method over the following estimated useful lives:</w:t>
      </w:r>
    </w:p>
    <w:p>
      <w:pPr>
        <w:sectPr>
          <w:pgSz w:w="11900" w:h="16838" w:orient="portrait"/>
          <w:cols w:equalWidth="0" w:num="1">
            <w:col w:w="11440"/>
          </w:cols>
          <w:pgMar w:left="220" w:top="399"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Equipment</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Computer hardware and software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4–10 years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3–5 years</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Lesser of lease term or asset life</w:t>
      </w:r>
    </w:p>
    <w:p>
      <w:pPr>
        <w:spacing w:after="0" w:line="162" w:lineRule="exact"/>
        <w:rPr>
          <w:sz w:val="20"/>
          <w:szCs w:val="20"/>
          <w:color w:val="auto"/>
        </w:rPr>
      </w:pPr>
    </w:p>
    <w:p>
      <w:pPr>
        <w:sectPr>
          <w:pgSz w:w="11900" w:h="16838" w:orient="portrait"/>
          <w:cols w:equalWidth="0" w:num="2">
            <w:col w:w="5360" w:space="720"/>
            <w:col w:w="5360"/>
          </w:cols>
          <w:pgMar w:left="220" w:top="399" w:right="239" w:bottom="1440" w:gutter="0" w:footer="0" w:header="0"/>
          <w:type w:val="continuous"/>
        </w:sectPr>
      </w:pPr>
    </w:p>
    <w:p>
      <w:pPr>
        <w:ind w:right="120" w:firstLine="458"/>
        <w:spacing w:after="0" w:line="289" w:lineRule="auto"/>
        <w:rPr>
          <w:sz w:val="20"/>
          <w:szCs w:val="20"/>
          <w:color w:val="auto"/>
        </w:rPr>
      </w:pPr>
      <w:r>
        <w:rPr>
          <w:rFonts w:ascii="Arial" w:cs="Arial" w:eastAsia="Arial" w:hAnsi="Arial"/>
          <w:sz w:val="14"/>
          <w:szCs w:val="14"/>
          <w:b w:val="1"/>
          <w:bCs w:val="1"/>
          <w:i w:val="1"/>
          <w:iCs w:val="1"/>
          <w:color w:val="auto"/>
        </w:rPr>
        <w:t>Due from Parent—</w:t>
      </w:r>
      <w:r>
        <w:rPr>
          <w:rFonts w:ascii="Arial" w:cs="Arial" w:eastAsia="Arial" w:hAnsi="Arial"/>
          <w:sz w:val="14"/>
          <w:szCs w:val="14"/>
          <w:color w:val="auto"/>
        </w:rPr>
        <w:t>Amounts Due from Parent result primarily from the remittance of excess cash balances by RCM to the Parent. These amounts are non-interest-bearing, and are recorded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non-current assets as there is no intent that these will be repaid in the next twelve months.</w:t>
      </w:r>
    </w:p>
    <w:p>
      <w:pPr>
        <w:spacing w:after="0" w:line="93"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Income taxes are accounted for by RCM under the asset and liability method. Deferred tax assets and liabilities are recognized for the future tax consequences attributable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differences between the financial statement carrying amounts of existing assets and liabilities and their respective tax bases and operating loss and tax credit carryforwards. In addition, income tax rules and regulations are subject to interpretation and require judgment and may be challenged by the taxation authorities. RCM established accruals relative to tax uncertainties that management deems to be probable of loss and that can be reasonably estimated.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if it is deemed more likely than not that its deferred income tax assets will not be realized. RCM reassesses its need for the valuation allowance for its deferred income taxes on an ongoing basis.</w:t>
      </w:r>
    </w:p>
    <w:p>
      <w:pPr>
        <w:spacing w:after="0" w:line="111" w:lineRule="exact"/>
        <w:rPr>
          <w:sz w:val="20"/>
          <w:szCs w:val="20"/>
          <w:color w:val="auto"/>
        </w:rPr>
      </w:pPr>
    </w:p>
    <w:p>
      <w:pPr>
        <w:ind w:right="40" w:firstLine="458"/>
        <w:spacing w:after="0" w:line="314" w:lineRule="auto"/>
        <w:rPr>
          <w:sz w:val="20"/>
          <w:szCs w:val="20"/>
          <w:color w:val="auto"/>
        </w:rPr>
      </w:pPr>
      <w:r>
        <w:rPr>
          <w:rFonts w:ascii="Arial" w:cs="Arial" w:eastAsia="Arial" w:hAnsi="Arial"/>
          <w:sz w:val="12"/>
          <w:szCs w:val="12"/>
          <w:b w:val="1"/>
          <w:bCs w:val="1"/>
          <w:i w:val="1"/>
          <w:iCs w:val="1"/>
          <w:color w:val="auto"/>
        </w:rPr>
        <w:t>Stock-Based Compensation—</w:t>
      </w:r>
      <w:r>
        <w:rPr>
          <w:rFonts w:ascii="Arial" w:cs="Arial" w:eastAsia="Arial" w:hAnsi="Arial"/>
          <w:sz w:val="12"/>
          <w:szCs w:val="12"/>
          <w:color w:val="auto"/>
        </w:rPr>
        <w:t>In December 2002, the FASB issued SFAS No. 148,</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 for Stock-Based Compensation—Transition and Disclosure</w:t>
      </w:r>
      <w:r>
        <w:rPr>
          <w:rFonts w:ascii="Arial" w:cs="Arial" w:eastAsia="Arial" w:hAnsi="Arial"/>
          <w:sz w:val="12"/>
          <w:szCs w:val="12"/>
          <w:color w:val="auto"/>
        </w:rPr>
        <w:t>. SFAS No. 148 amends SFAS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No. 123, </w:t>
      </w:r>
      <w:r>
        <w:rPr>
          <w:rFonts w:ascii="Arial" w:cs="Arial" w:eastAsia="Arial" w:hAnsi="Arial"/>
          <w:sz w:val="12"/>
          <w:szCs w:val="12"/>
          <w:i w:val="1"/>
          <w:iCs w:val="1"/>
          <w:color w:val="auto"/>
        </w:rPr>
        <w:t>Accounting for Stock- Based Compensation</w:t>
      </w:r>
      <w:r>
        <w:rPr>
          <w:rFonts w:ascii="Arial" w:cs="Arial" w:eastAsia="Arial" w:hAnsi="Arial"/>
          <w:sz w:val="12"/>
          <w:szCs w:val="12"/>
          <w:color w:val="auto"/>
        </w:rPr>
        <w:t xml:space="preserve">, to provide alternative methods of transition for a voluntary change to SFAS No. 123’s fair value based method of accounting for stock-based employee compensation. In addition, SFAS No. 148 amends the disclosure requirements of SFAS No. 123 and APB Opinion No. 28, </w:t>
      </w:r>
      <w:r>
        <w:rPr>
          <w:rFonts w:ascii="Arial" w:cs="Arial" w:eastAsia="Arial" w:hAnsi="Arial"/>
          <w:sz w:val="12"/>
          <w:szCs w:val="12"/>
          <w:i w:val="1"/>
          <w:iCs w:val="1"/>
          <w:color w:val="auto"/>
        </w:rPr>
        <w:t>Interim Financial Reporting</w:t>
      </w:r>
      <w:r>
        <w:rPr>
          <w:rFonts w:ascii="Arial" w:cs="Arial" w:eastAsia="Arial" w:hAnsi="Arial"/>
          <w:sz w:val="12"/>
          <w:szCs w:val="12"/>
          <w:color w:val="auto"/>
        </w:rPr>
        <w:t xml:space="preserve">, to require disclosure in the summary of significant accounting policies of the effects of an entity’s accounting policy with respect to stock-based employee compensation on reported net income and earnings per share in annual and interim financial statements. Under SFAS No. 123, entities are permitted to recognize as expense the fair value of all stock-based awards on the date of grant over the vesting period and alternatively allows entities to continue to apply the provisions of APB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and related interpretations, and provide pro forma net income or loss and earnings or loss per share disclosures as if the fair-value-based method defined in SFAS No. 123 had been applied. In December 2004, the FASB revised SFAS 123 with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SFAS 123(R) eliminates the intrinsic value-based method and requires all entities to recognize compensation expense in an amount equal to the fair value of share based payments granted to employees.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40"/>
          </w:cols>
          <w:pgMar w:left="220" w:top="399" w:right="239" w:bottom="1440" w:gutter="0" w:footer="0" w:header="0"/>
          <w:type w:val="continuous"/>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200" w:firstLine="458"/>
        <w:spacing w:after="0" w:line="297" w:lineRule="auto"/>
        <w:rPr>
          <w:sz w:val="20"/>
          <w:szCs w:val="20"/>
          <w:color w:val="auto"/>
        </w:rPr>
      </w:pPr>
      <w:r>
        <w:rPr>
          <w:rFonts w:ascii="Arial" w:cs="Arial" w:eastAsia="Arial" w:hAnsi="Arial"/>
          <w:sz w:val="13"/>
          <w:szCs w:val="13"/>
          <w:color w:val="auto"/>
        </w:rPr>
        <w:t>Certain employees participated in the 2002 Regal Entertainment Group Stock Incentive Plan. As permitted by SFAS No. 123, RCM accounted for the cost of these stock option grants (the “Incentive Plan”) using the intrinsic value method in accordance with the provisions of APB No. 25, which requires compensation costs to be recognized for the excess of the fair value of options on the date of grant over the option exercise price. Had the fair value of options granted under the Stock Incentive Plan described in Note 7— “Stock Option Plan” been recognized in accordance with SFAS No. 123, as compensation expense on a straight-line basis over the vesting period of the grants, RCM’s reported net income would have been recorded in the amounts indicated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76"/>
              <w:spacing w:after="0"/>
              <w:rPr>
                <w:sz w:val="20"/>
                <w:szCs w:val="20"/>
                <w:color w:val="auto"/>
              </w:rPr>
            </w:pPr>
            <w:r>
              <w:rPr>
                <w:rFonts w:ascii="Arial" w:cs="Arial" w:eastAsia="Arial" w:hAnsi="Arial"/>
                <w:sz w:val="11"/>
                <w:szCs w:val="11"/>
                <w:b w:val="1"/>
                <w:bCs w:val="1"/>
                <w:color w:val="auto"/>
              </w:rPr>
              <w:t>13-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5"/>
              </w:rPr>
              <w:t>Weeks Ended</w:t>
            </w:r>
          </w:p>
        </w:tc>
        <w:tc>
          <w:tcPr>
            <w:tcW w:w="0" w:type="dxa"/>
            <w:vAlign w:val="bottom"/>
          </w:tcPr>
          <w:p>
            <w:pPr>
              <w:spacing w:after="0"/>
              <w:rPr>
                <w:sz w:val="1"/>
                <w:szCs w:val="1"/>
                <w:color w:val="auto"/>
              </w:rPr>
            </w:pPr>
          </w:p>
        </w:tc>
      </w:tr>
      <w:tr>
        <w:trPr>
          <w:trHeight w:val="120"/>
        </w:trPr>
        <w:tc>
          <w:tcPr>
            <w:tcW w:w="8700" w:type="dxa"/>
            <w:vAlign w:val="bottom"/>
          </w:tcPr>
          <w:p>
            <w:pPr>
              <w:spacing w:after="0"/>
              <w:rPr>
                <w:sz w:val="10"/>
                <w:szCs w:val="10"/>
                <w:color w:val="auto"/>
              </w:rPr>
            </w:pPr>
          </w:p>
        </w:tc>
        <w:tc>
          <w:tcPr>
            <w:tcW w:w="700" w:type="dxa"/>
            <w:vAlign w:val="bottom"/>
            <w:gridSpan w:val="2"/>
          </w:tcPr>
          <w:p>
            <w:pPr>
              <w:jc w:val="right"/>
              <w:ind w:right="400"/>
              <w:spacing w:after="0" w:line="121" w:lineRule="exact"/>
              <w:rPr>
                <w:sz w:val="20"/>
                <w:szCs w:val="20"/>
                <w:color w:val="auto"/>
              </w:rPr>
            </w:pPr>
            <w:r>
              <w:rPr>
                <w:rFonts w:ascii="Arial" w:cs="Arial" w:eastAsia="Arial" w:hAnsi="Arial"/>
                <w:sz w:val="11"/>
                <w:szCs w:val="11"/>
                <w:b w:val="1"/>
                <w:bCs w:val="1"/>
                <w:color w:val="auto"/>
                <w:w w:val="89"/>
              </w:rPr>
              <w:t>Fiscal</w:t>
            </w:r>
          </w:p>
        </w:tc>
        <w:tc>
          <w:tcPr>
            <w:tcW w:w="340" w:type="dxa"/>
            <w:vAlign w:val="bottom"/>
          </w:tcPr>
          <w:p>
            <w:pPr>
              <w:spacing w:after="0"/>
              <w:rPr>
                <w:sz w:val="10"/>
                <w:szCs w:val="10"/>
                <w:color w:val="auto"/>
              </w:rPr>
            </w:pPr>
          </w:p>
        </w:tc>
        <w:tc>
          <w:tcPr>
            <w:tcW w:w="1020" w:type="dxa"/>
            <w:vAlign w:val="bottom"/>
            <w:gridSpan w:val="2"/>
          </w:tcPr>
          <w:p>
            <w:pPr>
              <w:jc w:val="right"/>
              <w:ind w:right="720"/>
              <w:spacing w:after="0" w:line="121" w:lineRule="exact"/>
              <w:rPr>
                <w:sz w:val="20"/>
                <w:szCs w:val="20"/>
                <w:color w:val="auto"/>
              </w:rPr>
            </w:pPr>
            <w:r>
              <w:rPr>
                <w:rFonts w:ascii="Arial" w:cs="Arial" w:eastAsia="Arial" w:hAnsi="Arial"/>
                <w:sz w:val="11"/>
                <w:szCs w:val="11"/>
                <w:b w:val="1"/>
                <w:bCs w:val="1"/>
                <w:color w:val="auto"/>
                <w:w w:val="89"/>
              </w:rPr>
              <w:t>Fiscal</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1"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1"/>
        </w:trPr>
        <w:tc>
          <w:tcPr>
            <w:tcW w:w="8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2003</w:t>
            </w:r>
          </w:p>
        </w:tc>
        <w:tc>
          <w:tcPr>
            <w:tcW w:w="3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2004</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36"/>
              <w:spacing w:after="0"/>
              <w:rPr>
                <w:sz w:val="20"/>
                <w:szCs w:val="20"/>
                <w:color w:val="auto"/>
              </w:rPr>
            </w:pPr>
            <w:r>
              <w:rPr>
                <w:rFonts w:ascii="Arial" w:cs="Arial" w:eastAsia="Arial" w:hAnsi="Arial"/>
                <w:sz w:val="11"/>
                <w:szCs w:val="11"/>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700" w:type="dxa"/>
            <w:vAlign w:val="bottom"/>
          </w:tcPr>
          <w:p>
            <w:pPr>
              <w:spacing w:after="0" w:line="159" w:lineRule="exact"/>
              <w:rPr>
                <w:sz w:val="20"/>
                <w:szCs w:val="20"/>
                <w:color w:val="auto"/>
              </w:rPr>
            </w:pPr>
            <w:r>
              <w:rPr>
                <w:rFonts w:ascii="Arial" w:cs="Arial" w:eastAsia="Arial" w:hAnsi="Arial"/>
                <w:sz w:val="14"/>
                <w:szCs w:val="14"/>
                <w:color w:val="auto"/>
              </w:rPr>
              <w:t>Net income—as reported</w:t>
            </w:r>
          </w:p>
        </w:tc>
        <w:tc>
          <w:tcPr>
            <w:tcW w:w="3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91"/>
              </w:rPr>
              <w:t>$12.9</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$20.6</w:t>
            </w:r>
          </w:p>
        </w:tc>
        <w:tc>
          <w:tcPr>
            <w:tcW w:w="700" w:type="dxa"/>
            <w:vAlign w:val="bottom"/>
          </w:tcPr>
          <w:p>
            <w:pPr>
              <w:spacing w:after="0"/>
              <w:rPr>
                <w:sz w:val="13"/>
                <w:szCs w:val="13"/>
                <w:color w:val="auto"/>
              </w:rPr>
            </w:pPr>
          </w:p>
        </w:tc>
        <w:tc>
          <w:tcPr>
            <w:tcW w:w="8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360"/>
              <w:spacing w:after="0"/>
              <w:rPr>
                <w:sz w:val="20"/>
                <w:szCs w:val="20"/>
                <w:color w:val="auto"/>
              </w:rPr>
            </w:pPr>
            <w:r>
              <w:rPr>
                <w:rFonts w:ascii="Arial" w:cs="Arial" w:eastAsia="Arial" w:hAnsi="Arial"/>
                <w:sz w:val="14"/>
                <w:szCs w:val="14"/>
                <w:color w:val="auto"/>
              </w:rPr>
              <w:t>Add stock-based compensation recognized, net of related tax effects</w:t>
            </w:r>
          </w:p>
        </w:tc>
        <w:tc>
          <w:tcPr>
            <w:tcW w:w="340" w:type="dxa"/>
            <w:vAlign w:val="bottom"/>
          </w:tcPr>
          <w:p>
            <w:pPr>
              <w:jc w:val="right"/>
              <w:spacing w:after="0"/>
              <w:rPr>
                <w:sz w:val="20"/>
                <w:szCs w:val="20"/>
                <w:color w:val="auto"/>
              </w:rPr>
            </w:pPr>
            <w:r>
              <w:rPr>
                <w:rFonts w:ascii="Arial" w:cs="Arial" w:eastAsia="Arial" w:hAnsi="Arial"/>
                <w:sz w:val="14"/>
                <w:szCs w:val="14"/>
                <w:color w:val="auto"/>
              </w:rPr>
              <w:t>0.9</w:t>
            </w:r>
          </w:p>
        </w:tc>
        <w:tc>
          <w:tcPr>
            <w:tcW w:w="360" w:type="dxa"/>
            <w:vAlign w:val="bottom"/>
          </w:tcPr>
          <w:p>
            <w:pPr>
              <w:spacing w:after="0"/>
              <w:rPr>
                <w:sz w:val="15"/>
                <w:szCs w:val="15"/>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1"/>
        </w:trPr>
        <w:tc>
          <w:tcPr>
            <w:tcW w:w="8700" w:type="dxa"/>
            <w:vAlign w:val="bottom"/>
          </w:tcPr>
          <w:p>
            <w:pPr>
              <w:ind w:left="360"/>
              <w:spacing w:after="0"/>
              <w:rPr>
                <w:sz w:val="20"/>
                <w:szCs w:val="20"/>
                <w:color w:val="auto"/>
              </w:rPr>
            </w:pPr>
            <w:r>
              <w:rPr>
                <w:rFonts w:ascii="Arial" w:cs="Arial" w:eastAsia="Arial" w:hAnsi="Arial"/>
                <w:sz w:val="14"/>
                <w:szCs w:val="14"/>
                <w:color w:val="auto"/>
                <w:w w:val="99"/>
              </w:rPr>
              <w:t>Less stock-based employee compensation expense determined under fair value based method for all awards, net of related tax effects</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(2.0)</w:t>
            </w:r>
          </w:p>
        </w:tc>
        <w:tc>
          <w:tcPr>
            <w:tcW w:w="1360" w:type="dxa"/>
            <w:vAlign w:val="bottom"/>
            <w:gridSpan w:val="3"/>
          </w:tcPr>
          <w:p>
            <w:pPr>
              <w:jc w:val="right"/>
              <w:ind w:right="66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4"/>
                <w:szCs w:val="14"/>
                <w:color w:val="auto"/>
              </w:rPr>
              <w:t>Pro forma net income</w:t>
            </w: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700" w:type="dxa"/>
            <w:vAlign w:val="bottom"/>
            <w:vMerge w:val="continue"/>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11.8</w:t>
            </w:r>
          </w:p>
        </w:tc>
        <w:tc>
          <w:tcPr>
            <w:tcW w:w="360" w:type="dxa"/>
            <w:vAlign w:val="bottom"/>
          </w:tcPr>
          <w:p>
            <w:pPr>
              <w:spacing w:after="0"/>
              <w:rPr>
                <w:sz w:val="15"/>
                <w:szCs w:val="15"/>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The pro forma results do not purport to indicate the effects on reported net income for recognizing compensation expense that is expected to occur in future years. The fair value of each option grant is estimated on the date of grant using (1) the minimum value method for options granted prior to the exchange transaction and (2) the Black-Scholes option pricing model for the exchanged options and all options issued after the exchange transaction.</w:t>
      </w:r>
    </w:p>
    <w:p>
      <w:pPr>
        <w:spacing w:after="0" w:line="102"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The weighted-average grant-date fair value of options granted in fiscal 2003, fiscal 2004 and the thirteen weeks ended March 31, 2005, were estimated using the Black-Scholes option pricing model with the following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Fiscal</w:t>
            </w:r>
          </w:p>
        </w:tc>
        <w:tc>
          <w:tcPr>
            <w:tcW w:w="380" w:type="dxa"/>
            <w:vAlign w:val="bottom"/>
          </w:tcPr>
          <w:p>
            <w:pPr>
              <w:spacing w:after="0"/>
              <w:rPr>
                <w:sz w:val="10"/>
                <w:szCs w:val="10"/>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Fiscal</w:t>
            </w:r>
          </w:p>
        </w:tc>
      </w:tr>
      <w:tr>
        <w:trPr>
          <w:trHeight w:val="141"/>
        </w:trPr>
        <w:tc>
          <w:tcPr>
            <w:tcW w:w="5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2003</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2004</w:t>
            </w:r>
          </w:p>
        </w:tc>
        <w:tc>
          <w:tcPr>
            <w:tcW w:w="120" w:type="dxa"/>
            <w:vAlign w:val="bottom"/>
          </w:tcPr>
          <w:p>
            <w:pPr>
              <w:spacing w:after="0"/>
              <w:rPr>
                <w:sz w:val="12"/>
                <w:szCs w:val="12"/>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4"/>
                <w:szCs w:val="14"/>
                <w:color w:val="auto"/>
              </w:rPr>
              <w:t>Risk-free interest rate</w:t>
            </w:r>
          </w:p>
        </w:tc>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3.0-3.9%</w:t>
            </w:r>
          </w:p>
        </w:tc>
        <w:tc>
          <w:tcPr>
            <w:tcW w:w="380" w:type="dxa"/>
            <w:vAlign w:val="bottom"/>
          </w:tcPr>
          <w:p>
            <w:pPr>
              <w:spacing w:after="0"/>
              <w:rPr>
                <w:sz w:val="13"/>
                <w:szCs w:val="13"/>
                <w:color w:val="auto"/>
              </w:rPr>
            </w:pPr>
          </w:p>
        </w:tc>
        <w:tc>
          <w:tcPr>
            <w:tcW w:w="4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w:t>
            </w:r>
          </w:p>
        </w:tc>
      </w:tr>
      <w:tr>
        <w:trPr>
          <w:trHeight w:val="175"/>
        </w:trPr>
        <w:tc>
          <w:tcPr>
            <w:tcW w:w="5900" w:type="dxa"/>
            <w:vAlign w:val="bottom"/>
          </w:tcPr>
          <w:p>
            <w:pPr>
              <w:spacing w:after="0"/>
              <w:rPr>
                <w:sz w:val="20"/>
                <w:szCs w:val="20"/>
                <w:color w:val="auto"/>
              </w:rPr>
            </w:pPr>
            <w:r>
              <w:rPr>
                <w:rFonts w:ascii="Arial" w:cs="Arial" w:eastAsia="Arial" w:hAnsi="Arial"/>
                <w:sz w:val="14"/>
                <w:szCs w:val="14"/>
                <w:color w:val="auto"/>
              </w:rPr>
              <w:t>Expected life (years)</w:t>
            </w: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w:t>
            </w:r>
          </w:p>
        </w:tc>
        <w:tc>
          <w:tcPr>
            <w:tcW w:w="5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7.5</w:t>
            </w:r>
          </w:p>
        </w:tc>
      </w:tr>
      <w:tr>
        <w:trPr>
          <w:trHeight w:val="175"/>
        </w:trPr>
        <w:tc>
          <w:tcPr>
            <w:tcW w:w="5900" w:type="dxa"/>
            <w:vAlign w:val="bottom"/>
          </w:tcPr>
          <w:p>
            <w:pPr>
              <w:spacing w:after="0"/>
              <w:rPr>
                <w:sz w:val="20"/>
                <w:szCs w:val="20"/>
                <w:color w:val="auto"/>
              </w:rPr>
            </w:pPr>
            <w:r>
              <w:rPr>
                <w:rFonts w:ascii="Arial" w:cs="Arial" w:eastAsia="Arial" w:hAnsi="Arial"/>
                <w:sz w:val="14"/>
                <w:szCs w:val="14"/>
                <w:color w:val="auto"/>
              </w:rPr>
              <w:t>Expected volatility</w:t>
            </w: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w w:val="90"/>
              </w:rPr>
              <w:t>38%–39%</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39%</w:t>
            </w:r>
          </w:p>
        </w:tc>
      </w:tr>
      <w:tr>
        <w:trPr>
          <w:trHeight w:val="175"/>
        </w:trPr>
        <w:tc>
          <w:tcPr>
            <w:tcW w:w="590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3.0%</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4.5%</w:t>
            </w:r>
          </w:p>
        </w:tc>
      </w:tr>
      <w:tr>
        <w:trPr>
          <w:trHeight w:val="181"/>
        </w:trPr>
        <w:tc>
          <w:tcPr>
            <w:tcW w:w="5900" w:type="dxa"/>
            <w:vAlign w:val="bottom"/>
          </w:tcPr>
          <w:p>
            <w:pPr>
              <w:spacing w:after="0"/>
              <w:rPr>
                <w:sz w:val="20"/>
                <w:szCs w:val="20"/>
                <w:color w:val="auto"/>
              </w:rPr>
            </w:pPr>
            <w:r>
              <w:rPr>
                <w:rFonts w:ascii="Arial" w:cs="Arial" w:eastAsia="Arial" w:hAnsi="Arial"/>
                <w:sz w:val="14"/>
                <w:szCs w:val="14"/>
                <w:color w:val="auto"/>
              </w:rPr>
              <w:t>Weighted average grant date fair value</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6.36</w:t>
            </w:r>
          </w:p>
        </w:tc>
        <w:tc>
          <w:tcPr>
            <w:tcW w:w="5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$5.01</w:t>
            </w:r>
          </w:p>
        </w:tc>
      </w:tr>
    </w:tbl>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 stock options were granted during the thirteen weeks ended March 31, 2005 under the 2002 Regal Entertainment Group Stock Incentive Plan.</w:t>
      </w:r>
    </w:p>
    <w:p>
      <w:pPr>
        <w:spacing w:after="0" w:line="145" w:lineRule="exact"/>
        <w:rPr>
          <w:sz w:val="20"/>
          <w:szCs w:val="20"/>
          <w:color w:val="auto"/>
        </w:rPr>
      </w:pPr>
    </w:p>
    <w:p>
      <w:pPr>
        <w:jc w:val="both"/>
        <w:ind w:right="220" w:firstLine="458"/>
        <w:spacing w:after="0" w:line="270" w:lineRule="auto"/>
        <w:rPr>
          <w:sz w:val="20"/>
          <w:szCs w:val="20"/>
          <w:color w:val="auto"/>
        </w:rPr>
      </w:pPr>
      <w:r>
        <w:rPr>
          <w:rFonts w:ascii="Arial" w:cs="Arial" w:eastAsia="Arial" w:hAnsi="Arial"/>
          <w:sz w:val="14"/>
          <w:szCs w:val="14"/>
          <w:b w:val="1"/>
          <w:bCs w:val="1"/>
          <w:i w:val="1"/>
          <w:iCs w:val="1"/>
          <w:color w:val="auto"/>
        </w:rPr>
        <w:t>Estimates—</w:t>
      </w:r>
      <w:r>
        <w:rPr>
          <w:rFonts w:ascii="Arial" w:cs="Arial" w:eastAsia="Arial" w:hAnsi="Arial"/>
          <w:sz w:val="14"/>
          <w:szCs w:val="14"/>
          <w:color w:val="auto"/>
        </w:rPr>
        <w:t>The preparation of financial statements in conformity with accounting principles generally accepted in the United States of America requires management to make estimates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assumptions that affect the reported amounts of assets and liabilities and disclosure of contingent assets and liabilities at the date of the financial statements and the reported amounts of revenue and expenses during the reporting period. Significant estimates include those related to the reserve for uncollectible accounts receivable, deferred revenue, income taxes and equity based compensation. Actual results could differ from those estimates.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60"/>
          </w:cols>
          <w:pgMar w:left="220" w:top="399" w:right="21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9840" w:type="dxa"/>
            <w:vAlign w:val="bottom"/>
          </w:tcPr>
          <w:p>
            <w:pPr>
              <w:jc w:val="center"/>
              <w:ind w:left="629"/>
              <w:spacing w:after="0"/>
              <w:rPr>
                <w:sz w:val="20"/>
                <w:szCs w:val="20"/>
                <w:color w:val="auto"/>
              </w:rPr>
            </w:pPr>
            <w:r>
              <w:rPr>
                <w:rFonts w:ascii="Arial" w:cs="Arial" w:eastAsia="Arial" w:hAnsi="Arial"/>
                <w:sz w:val="14"/>
                <w:szCs w:val="14"/>
                <w:b w:val="1"/>
                <w:bCs w:val="1"/>
                <w:color w:val="auto"/>
              </w:rPr>
              <w:t>REGAL CINEMEDIA CORPORATION</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1"/>
        </w:trPr>
        <w:tc>
          <w:tcPr>
            <w:tcW w:w="460" w:type="dxa"/>
            <w:vAlign w:val="bottom"/>
          </w:tcPr>
          <w:p>
            <w:pPr>
              <w:spacing w:after="0"/>
              <w:rPr>
                <w:sz w:val="20"/>
                <w:szCs w:val="20"/>
                <w:color w:val="auto"/>
              </w:rPr>
            </w:pPr>
          </w:p>
        </w:tc>
        <w:tc>
          <w:tcPr>
            <w:tcW w:w="9840" w:type="dxa"/>
            <w:vAlign w:val="bottom"/>
          </w:tcPr>
          <w:p>
            <w:pPr>
              <w:jc w:val="center"/>
              <w:ind w:left="629"/>
              <w:spacing w:after="0"/>
              <w:rPr>
                <w:sz w:val="20"/>
                <w:szCs w:val="20"/>
                <w:color w:val="auto"/>
              </w:rPr>
            </w:pPr>
            <w:r>
              <w:rPr>
                <w:rFonts w:ascii="Arial" w:cs="Arial" w:eastAsia="Arial" w:hAnsi="Arial"/>
                <w:sz w:val="14"/>
                <w:szCs w:val="14"/>
                <w:b w:val="1"/>
                <w:bCs w:val="1"/>
                <w:color w:val="auto"/>
                <w:w w:val="99"/>
              </w:rPr>
              <w:t>NOTES TO FINANCIAL STATEMENTS—(Continued)</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5"/>
        </w:trPr>
        <w:tc>
          <w:tcPr>
            <w:tcW w:w="460" w:type="dxa"/>
            <w:vAlign w:val="bottom"/>
          </w:tcPr>
          <w:p>
            <w:pPr>
              <w:spacing w:after="0"/>
              <w:rPr>
                <w:sz w:val="15"/>
                <w:szCs w:val="15"/>
                <w:color w:val="auto"/>
              </w:rPr>
            </w:pPr>
          </w:p>
        </w:tc>
        <w:tc>
          <w:tcPr>
            <w:tcW w:w="9840" w:type="dxa"/>
            <w:vAlign w:val="bottom"/>
          </w:tcPr>
          <w:p>
            <w:pPr>
              <w:jc w:val="center"/>
              <w:ind w:left="649"/>
              <w:spacing w:after="0"/>
              <w:rPr>
                <w:sz w:val="20"/>
                <w:szCs w:val="20"/>
                <w:color w:val="auto"/>
              </w:rPr>
            </w:pPr>
            <w:r>
              <w:rPr>
                <w:rFonts w:ascii="Arial" w:cs="Arial" w:eastAsia="Arial" w:hAnsi="Arial"/>
                <w:sz w:val="14"/>
                <w:szCs w:val="14"/>
                <w:b w:val="1"/>
                <w:bCs w:val="1"/>
                <w:color w:val="auto"/>
                <w:w w:val="98"/>
              </w:rPr>
              <w:t>AS OF DECEMBER 31, 2004, AND FOR THE YEARS ENDED JANUARY 1, 2004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9840" w:type="dxa"/>
            <w:vAlign w:val="bottom"/>
          </w:tcPr>
          <w:p>
            <w:pPr>
              <w:jc w:val="center"/>
              <w:ind w:left="649"/>
              <w:spacing w:after="0"/>
              <w:rPr>
                <w:sz w:val="20"/>
                <w:szCs w:val="20"/>
                <w:color w:val="auto"/>
              </w:rPr>
            </w:pPr>
            <w:r>
              <w:rPr>
                <w:rFonts w:ascii="Arial" w:cs="Arial" w:eastAsia="Arial" w:hAnsi="Arial"/>
                <w:sz w:val="14"/>
                <w:szCs w:val="14"/>
                <w:b w:val="1"/>
                <w:bCs w:val="1"/>
                <w:color w:val="auto"/>
              </w:rPr>
              <w:t>AND DECEMBER 30, 2004, AND FOR THE THREE MONTHS ENDED MARCH 31, 2005</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460" w:type="dxa"/>
            <w:vAlign w:val="bottom"/>
          </w:tcPr>
          <w:p>
            <w:pPr>
              <w:spacing w:after="0"/>
              <w:rPr>
                <w:sz w:val="16"/>
                <w:szCs w:val="16"/>
                <w:color w:val="auto"/>
              </w:rPr>
            </w:pPr>
          </w:p>
        </w:tc>
        <w:tc>
          <w:tcPr>
            <w:tcW w:w="9840" w:type="dxa"/>
            <w:vAlign w:val="bottom"/>
          </w:tcPr>
          <w:p>
            <w:pPr>
              <w:jc w:val="center"/>
              <w:ind w:left="629"/>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95"/>
        </w:trPr>
        <w:tc>
          <w:tcPr>
            <w:tcW w:w="10300" w:type="dxa"/>
            <w:vAlign w:val="bottom"/>
            <w:gridSpan w:val="2"/>
          </w:tcPr>
          <w:p>
            <w:pPr>
              <w:spacing w:after="0"/>
              <w:rPr>
                <w:sz w:val="20"/>
                <w:szCs w:val="20"/>
                <w:color w:val="auto"/>
              </w:rPr>
            </w:pPr>
            <w:r>
              <w:rPr>
                <w:rFonts w:ascii="Arial" w:cs="Arial" w:eastAsia="Arial" w:hAnsi="Arial"/>
                <w:sz w:val="14"/>
                <w:szCs w:val="14"/>
                <w:b w:val="1"/>
                <w:bCs w:val="1"/>
                <w:color w:val="auto"/>
              </w:rPr>
              <w:t>3. RECEIVABLES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10300" w:type="dxa"/>
            <w:vAlign w:val="bottom"/>
            <w:gridSpan w:val="2"/>
          </w:tcPr>
          <w:p>
            <w:pPr>
              <w:ind w:left="460"/>
              <w:spacing w:after="0"/>
              <w:rPr>
                <w:sz w:val="20"/>
                <w:szCs w:val="20"/>
                <w:color w:val="auto"/>
              </w:rPr>
            </w:pPr>
            <w:r>
              <w:rPr>
                <w:rFonts w:ascii="Arial" w:cs="Arial" w:eastAsia="Arial" w:hAnsi="Arial"/>
                <w:sz w:val="14"/>
                <w:szCs w:val="14"/>
                <w:color w:val="auto"/>
              </w:rPr>
              <w:t>Receivables consisted of the following at December 30, 2004:</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5"/>
        </w:trPr>
        <w:tc>
          <w:tcPr>
            <w:tcW w:w="460" w:type="dxa"/>
            <w:vAlign w:val="bottom"/>
          </w:tcPr>
          <w:p>
            <w:pPr>
              <w:spacing w:after="0"/>
              <w:rPr>
                <w:sz w:val="23"/>
                <w:szCs w:val="23"/>
                <w:color w:val="auto"/>
              </w:rPr>
            </w:pPr>
          </w:p>
        </w:tc>
        <w:tc>
          <w:tcPr>
            <w:tcW w:w="9840" w:type="dxa"/>
            <w:vAlign w:val="bottom"/>
          </w:tcPr>
          <w:p>
            <w:pPr>
              <w:spacing w:after="0"/>
              <w:rPr>
                <w:sz w:val="23"/>
                <w:szCs w:val="23"/>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w w:val="94"/>
              </w:rPr>
              <w:t>December 30,</w:t>
            </w:r>
          </w:p>
        </w:tc>
      </w:tr>
      <w:tr>
        <w:trPr>
          <w:trHeight w:val="142"/>
        </w:trPr>
        <w:tc>
          <w:tcPr>
            <w:tcW w:w="46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2004</w:t>
            </w:r>
          </w:p>
        </w:tc>
        <w:tc>
          <w:tcPr>
            <w:tcW w:w="60" w:type="dxa"/>
            <w:vAlign w:val="bottom"/>
          </w:tcPr>
          <w:p>
            <w:pPr>
              <w:spacing w:after="0"/>
              <w:rPr>
                <w:sz w:val="12"/>
                <w:szCs w:val="12"/>
                <w:color w:val="auto"/>
              </w:rPr>
            </w:pPr>
          </w:p>
        </w:tc>
      </w:tr>
      <w:tr>
        <w:trPr>
          <w:trHeight w:val="166"/>
        </w:trPr>
        <w:tc>
          <w:tcPr>
            <w:tcW w:w="460" w:type="dxa"/>
            <w:vAlign w:val="bottom"/>
          </w:tcPr>
          <w:p>
            <w:pPr>
              <w:spacing w:after="0"/>
              <w:rPr>
                <w:sz w:val="14"/>
                <w:szCs w:val="14"/>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4"/>
                <w:szCs w:val="14"/>
                <w:color w:val="auto"/>
              </w:rPr>
              <w:t>Trade accounts</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60" w:type="dxa"/>
            <w:vAlign w:val="bottom"/>
            <w:shd w:val="clear" w:color="auto" w:fill="CCEEFF"/>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984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4"/>
                <w:szCs w:val="14"/>
                <w:color w:val="auto"/>
              </w:rPr>
              <w:t>Less allowance for doubtful accounts</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76"/>
        </w:trPr>
        <w:tc>
          <w:tcPr>
            <w:tcW w:w="10300" w:type="dxa"/>
            <w:vAlign w:val="bottom"/>
            <w:gridSpan w:val="2"/>
          </w:tcPr>
          <w:p>
            <w:pPr>
              <w:ind w:left="4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6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INCOME TAXES</w:t>
      </w:r>
    </w:p>
    <w:p>
      <w:pPr>
        <w:spacing w:after="0" w:line="8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RCM’s taxable income and expenses are included in the consolidated Federal and state (other than in those states requiring unitary tax returns) tax returns of Regal and amounts payable related to income tax expense are settled as part of the net Amounts Due from Parent.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components of the provision for income taxes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0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w w:val="89"/>
              </w:rPr>
              <w:t>Fiscal</w:t>
            </w:r>
          </w:p>
        </w:tc>
        <w:tc>
          <w:tcPr>
            <w:tcW w:w="640" w:type="dxa"/>
            <w:vAlign w:val="bottom"/>
          </w:tcPr>
          <w:p>
            <w:pPr>
              <w:spacing w:after="0"/>
              <w:rPr>
                <w:sz w:val="10"/>
                <w:szCs w:val="10"/>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Fiscal</w:t>
            </w:r>
          </w:p>
        </w:tc>
        <w:tc>
          <w:tcPr>
            <w:tcW w:w="320" w:type="dxa"/>
            <w:vAlign w:val="bottom"/>
          </w:tcPr>
          <w:p>
            <w:pPr>
              <w:spacing w:after="0"/>
              <w:rPr>
                <w:sz w:val="10"/>
                <w:szCs w:val="10"/>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w w:val="93"/>
              </w:rPr>
              <w:t>13-Weeks Ended</w:t>
            </w:r>
          </w:p>
        </w:tc>
        <w:tc>
          <w:tcPr>
            <w:tcW w:w="0" w:type="dxa"/>
            <w:vAlign w:val="bottom"/>
          </w:tcPr>
          <w:p>
            <w:pPr>
              <w:spacing w:after="0"/>
              <w:rPr>
                <w:sz w:val="1"/>
                <w:szCs w:val="1"/>
                <w:color w:val="auto"/>
              </w:rPr>
            </w:pPr>
          </w:p>
        </w:tc>
      </w:tr>
      <w:tr>
        <w:trPr>
          <w:trHeight w:val="141"/>
        </w:trPr>
        <w:tc>
          <w:tcPr>
            <w:tcW w:w="8700" w:type="dxa"/>
            <w:vAlign w:val="bottom"/>
          </w:tcPr>
          <w:p>
            <w:pPr>
              <w:spacing w:after="0"/>
              <w:rPr>
                <w:sz w:val="12"/>
                <w:szCs w:val="12"/>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w w:val="89"/>
              </w:rPr>
              <w:t>2003</w:t>
            </w:r>
          </w:p>
        </w:tc>
        <w:tc>
          <w:tcPr>
            <w:tcW w:w="9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2004</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4"/>
              </w:rPr>
              <w:t>March 31, 2005</w:t>
            </w:r>
          </w:p>
        </w:tc>
        <w:tc>
          <w:tcPr>
            <w:tcW w:w="0" w:type="dxa"/>
            <w:vAlign w:val="bottom"/>
          </w:tcPr>
          <w:p>
            <w:pPr>
              <w:spacing w:after="0"/>
              <w:rPr>
                <w:sz w:val="1"/>
                <w:szCs w:val="1"/>
                <w:color w:val="auto"/>
              </w:rPr>
            </w:pPr>
          </w:p>
        </w:tc>
      </w:tr>
      <w:tr>
        <w:trPr>
          <w:trHeight w:val="159"/>
        </w:trPr>
        <w:tc>
          <w:tcPr>
            <w:tcW w:w="8700" w:type="dxa"/>
            <w:vAlign w:val="bottom"/>
          </w:tcPr>
          <w:p>
            <w:pPr>
              <w:spacing w:after="0" w:line="159" w:lineRule="exact"/>
              <w:rPr>
                <w:sz w:val="20"/>
                <w:szCs w:val="20"/>
                <w:color w:val="auto"/>
              </w:rPr>
            </w:pPr>
            <w:r>
              <w:rPr>
                <w:rFonts w:ascii="Arial" w:cs="Arial" w:eastAsia="Arial" w:hAnsi="Arial"/>
                <w:sz w:val="14"/>
                <w:szCs w:val="14"/>
                <w:color w:val="auto"/>
              </w:rPr>
              <w:t>Federal:</w:t>
            </w:r>
          </w:p>
        </w:tc>
        <w:tc>
          <w:tcPr>
            <w:tcW w:w="30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36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spacing w:after="0"/>
              <w:rPr>
                <w:sz w:val="20"/>
                <w:szCs w:val="20"/>
                <w:color w:val="auto"/>
              </w:rPr>
            </w:pPr>
            <w:r>
              <w:rPr>
                <w:rFonts w:ascii="Arial" w:cs="Arial" w:eastAsia="Arial" w:hAnsi="Arial"/>
                <w:sz w:val="14"/>
                <w:szCs w:val="14"/>
                <w:color w:val="auto"/>
                <w:w w:val="89"/>
              </w:rPr>
              <w:t>$ 7.0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320" w:type="dxa"/>
            <w:vAlign w:val="bottom"/>
          </w:tcPr>
          <w:p>
            <w:pPr>
              <w:spacing w:after="0"/>
              <w:rPr>
                <w:sz w:val="15"/>
                <w:szCs w:val="15"/>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8700" w:type="dxa"/>
            <w:vAlign w:val="bottom"/>
          </w:tcPr>
          <w:p>
            <w:pPr>
              <w:ind w:left="360"/>
              <w:spacing w:after="0"/>
              <w:rPr>
                <w:sz w:val="20"/>
                <w:szCs w:val="20"/>
                <w:color w:val="auto"/>
              </w:rPr>
            </w:pPr>
            <w:r>
              <w:rPr>
                <w:rFonts w:ascii="Arial" w:cs="Arial" w:eastAsia="Arial" w:hAnsi="Arial"/>
                <w:sz w:val="14"/>
                <w:szCs w:val="14"/>
                <w:color w:val="auto"/>
              </w:rPr>
              <w:t>Deferred</w:t>
            </w:r>
          </w:p>
        </w:tc>
        <w:tc>
          <w:tcPr>
            <w:tcW w:w="300" w:type="dxa"/>
            <w:vAlign w:val="bottom"/>
          </w:tcPr>
          <w:p>
            <w:pPr>
              <w:jc w:val="right"/>
              <w:spacing w:after="0"/>
              <w:rPr>
                <w:sz w:val="20"/>
                <w:szCs w:val="20"/>
                <w:color w:val="auto"/>
              </w:rPr>
            </w:pPr>
            <w:r>
              <w:rPr>
                <w:rFonts w:ascii="Arial" w:cs="Arial" w:eastAsia="Arial" w:hAnsi="Arial"/>
                <w:sz w:val="14"/>
                <w:szCs w:val="14"/>
                <w:color w:val="auto"/>
              </w:rPr>
              <w:t>0.1</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7.1</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11.2</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1"/>
        </w:trPr>
        <w:tc>
          <w:tcPr>
            <w:tcW w:w="8700" w:type="dxa"/>
            <w:vAlign w:val="bottom"/>
          </w:tcPr>
          <w:p>
            <w:pPr>
              <w:spacing w:after="0"/>
              <w:rPr>
                <w:sz w:val="20"/>
                <w:szCs w:val="20"/>
                <w:color w:val="auto"/>
              </w:rPr>
            </w:pPr>
            <w:r>
              <w:rPr>
                <w:rFonts w:ascii="Arial" w:cs="Arial" w:eastAsia="Arial" w:hAnsi="Arial"/>
                <w:sz w:val="14"/>
                <w:szCs w:val="14"/>
                <w:color w:val="auto"/>
              </w:rPr>
              <w:t>State:</w:t>
            </w:r>
          </w:p>
        </w:tc>
        <w:tc>
          <w:tcPr>
            <w:tcW w:w="30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36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8700" w:type="dxa"/>
            <w:vAlign w:val="bottom"/>
          </w:tcPr>
          <w:p>
            <w:pPr>
              <w:ind w:left="360"/>
              <w:spacing w:after="0"/>
              <w:rPr>
                <w:sz w:val="20"/>
                <w:szCs w:val="20"/>
                <w:color w:val="auto"/>
              </w:rPr>
            </w:pPr>
            <w:r>
              <w:rPr>
                <w:rFonts w:ascii="Arial" w:cs="Arial" w:eastAsia="Arial" w:hAnsi="Arial"/>
                <w:sz w:val="14"/>
                <w:szCs w:val="14"/>
                <w:color w:val="auto"/>
              </w:rPr>
              <w:t>Deferred</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4"/>
                <w:szCs w:val="14"/>
                <w:color w:val="auto"/>
              </w:rPr>
              <w:t>Total income tax provision</w:t>
            </w: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700" w:type="dxa"/>
            <w:vAlign w:val="bottom"/>
            <w:vMerge w:val="continue"/>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9"/>
              </w:rPr>
              <w:t>$ 8.4</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13.3</w:t>
            </w:r>
          </w:p>
        </w:tc>
        <w:tc>
          <w:tcPr>
            <w:tcW w:w="320" w:type="dxa"/>
            <w:vAlign w:val="bottom"/>
          </w:tcPr>
          <w:p>
            <w:pPr>
              <w:spacing w:after="0"/>
              <w:rPr>
                <w:sz w:val="15"/>
                <w:szCs w:val="15"/>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A reconciliation of the provision for income taxes as reported and the amount computed by multiplying the income before taxes and extraordinary item by the U.S. federal statutory rate of 35%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80" w:type="dxa"/>
            <w:vAlign w:val="bottom"/>
          </w:tcPr>
          <w:p>
            <w:pPr>
              <w:spacing w:after="0"/>
              <w:rPr>
                <w:sz w:val="10"/>
                <w:szCs w:val="10"/>
                <w:color w:val="auto"/>
              </w:rPr>
            </w:pPr>
          </w:p>
        </w:tc>
        <w:tc>
          <w:tcPr>
            <w:tcW w:w="4680" w:type="dxa"/>
            <w:vAlign w:val="bottom"/>
            <w:gridSpan w:val="2"/>
          </w:tcPr>
          <w:p>
            <w:pPr>
              <w:jc w:val="right"/>
              <w:spacing w:after="0"/>
              <w:rPr>
                <w:sz w:val="20"/>
                <w:szCs w:val="20"/>
                <w:color w:val="auto"/>
              </w:rPr>
            </w:pPr>
            <w:r>
              <w:rPr>
                <w:rFonts w:ascii="Arial" w:cs="Arial" w:eastAsia="Arial" w:hAnsi="Arial"/>
                <w:sz w:val="11"/>
                <w:szCs w:val="11"/>
                <w:b w:val="1"/>
                <w:bCs w:val="1"/>
                <w:color w:val="auto"/>
              </w:rPr>
              <w:t>Fiscal</w:t>
            </w:r>
          </w:p>
        </w:tc>
        <w:tc>
          <w:tcPr>
            <w:tcW w:w="640" w:type="dxa"/>
            <w:vAlign w:val="bottom"/>
          </w:tcPr>
          <w:p>
            <w:pPr>
              <w:spacing w:after="0"/>
              <w:rPr>
                <w:sz w:val="10"/>
                <w:szCs w:val="10"/>
                <w:color w:val="auto"/>
              </w:rPr>
            </w:pPr>
          </w:p>
        </w:tc>
        <w:tc>
          <w:tcPr>
            <w:tcW w:w="98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89"/>
              </w:rPr>
              <w:t>Fiscal</w:t>
            </w:r>
          </w:p>
        </w:tc>
        <w:tc>
          <w:tcPr>
            <w:tcW w:w="80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6"/>
              </w:rPr>
              <w:t>13-Weeks Ended</w:t>
            </w:r>
          </w:p>
        </w:tc>
        <w:tc>
          <w:tcPr>
            <w:tcW w:w="0" w:type="dxa"/>
            <w:vAlign w:val="bottom"/>
          </w:tcPr>
          <w:p>
            <w:pPr>
              <w:spacing w:after="0"/>
              <w:rPr>
                <w:sz w:val="1"/>
                <w:szCs w:val="1"/>
                <w:color w:val="auto"/>
              </w:rPr>
            </w:pPr>
          </w:p>
        </w:tc>
      </w:tr>
      <w:tr>
        <w:trPr>
          <w:trHeight w:val="141"/>
        </w:trPr>
        <w:tc>
          <w:tcPr>
            <w:tcW w:w="4380" w:type="dxa"/>
            <w:vAlign w:val="bottom"/>
          </w:tcPr>
          <w:p>
            <w:pPr>
              <w:spacing w:after="0"/>
              <w:rPr>
                <w:sz w:val="12"/>
                <w:szCs w:val="12"/>
                <w:color w:val="auto"/>
              </w:rPr>
            </w:pPr>
          </w:p>
        </w:tc>
        <w:tc>
          <w:tcPr>
            <w:tcW w:w="46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2003</w:t>
            </w:r>
          </w:p>
        </w:tc>
        <w:tc>
          <w:tcPr>
            <w:tcW w:w="960" w:type="dxa"/>
            <w:vAlign w:val="bottom"/>
            <w:gridSpan w:val="2"/>
          </w:tcPr>
          <w:p>
            <w:pPr>
              <w:jc w:val="center"/>
              <w:ind w:left="597"/>
              <w:spacing w:after="0"/>
              <w:rPr>
                <w:sz w:val="20"/>
                <w:szCs w:val="20"/>
                <w:color w:val="auto"/>
              </w:rPr>
            </w:pPr>
            <w:r>
              <w:rPr>
                <w:rFonts w:ascii="Arial" w:cs="Arial" w:eastAsia="Arial" w:hAnsi="Arial"/>
                <w:sz w:val="11"/>
                <w:szCs w:val="11"/>
                <w:b w:val="1"/>
                <w:bCs w:val="1"/>
                <w:color w:val="auto"/>
                <w:w w:val="89"/>
              </w:rPr>
              <w:t>2004</w:t>
            </w:r>
          </w:p>
        </w:tc>
        <w:tc>
          <w:tcPr>
            <w:tcW w:w="660" w:type="dxa"/>
            <w:vAlign w:val="bottom"/>
          </w:tcPr>
          <w:p>
            <w:pPr>
              <w:spacing w:after="0"/>
              <w:rPr>
                <w:sz w:val="12"/>
                <w:szCs w:val="1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91"/>
              </w:rPr>
              <w:t>March 31, 2005</w:t>
            </w:r>
          </w:p>
        </w:tc>
        <w:tc>
          <w:tcPr>
            <w:tcW w:w="0" w:type="dxa"/>
            <w:vAlign w:val="bottom"/>
          </w:tcPr>
          <w:p>
            <w:pPr>
              <w:spacing w:after="0"/>
              <w:rPr>
                <w:sz w:val="1"/>
                <w:szCs w:val="1"/>
                <w:color w:val="auto"/>
              </w:rPr>
            </w:pPr>
          </w:p>
        </w:tc>
      </w:tr>
      <w:tr>
        <w:trPr>
          <w:trHeight w:val="159"/>
        </w:trPr>
        <w:tc>
          <w:tcPr>
            <w:tcW w:w="4380" w:type="dxa"/>
            <w:vAlign w:val="bottom"/>
          </w:tcPr>
          <w:p>
            <w:pPr>
              <w:spacing w:after="0" w:line="159" w:lineRule="exact"/>
              <w:rPr>
                <w:sz w:val="20"/>
                <w:szCs w:val="20"/>
                <w:color w:val="auto"/>
              </w:rPr>
            </w:pPr>
            <w:r>
              <w:rPr>
                <w:rFonts w:ascii="Arial" w:cs="Arial" w:eastAsia="Arial" w:hAnsi="Arial"/>
                <w:sz w:val="14"/>
                <w:szCs w:val="14"/>
                <w:color w:val="auto"/>
              </w:rPr>
              <w:t>Provision calculated at federal statutory income tax rate</w:t>
            </w:r>
          </w:p>
        </w:tc>
        <w:tc>
          <w:tcPr>
            <w:tcW w:w="4400" w:type="dxa"/>
            <w:vAlign w:val="bottom"/>
          </w:tcPr>
          <w:p>
            <w:pPr>
              <w:spacing w:after="0"/>
              <w:rPr>
                <w:sz w:val="13"/>
                <w:szCs w:val="13"/>
                <w:color w:val="auto"/>
              </w:rPr>
            </w:pPr>
          </w:p>
        </w:tc>
        <w:tc>
          <w:tcPr>
            <w:tcW w:w="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$ 7.5</w:t>
            </w:r>
          </w:p>
        </w:tc>
        <w:tc>
          <w:tcPr>
            <w:tcW w:w="640" w:type="dxa"/>
            <w:vAlign w:val="bottom"/>
          </w:tcPr>
          <w:p>
            <w:pPr>
              <w:spacing w:after="0"/>
              <w:rPr>
                <w:sz w:val="13"/>
                <w:szCs w:val="13"/>
                <w:color w:val="auto"/>
              </w:rPr>
            </w:pPr>
          </w:p>
        </w:tc>
        <w:tc>
          <w:tcPr>
            <w:tcW w:w="3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$11.9</w:t>
            </w:r>
          </w:p>
        </w:tc>
        <w:tc>
          <w:tcPr>
            <w:tcW w:w="660" w:type="dxa"/>
            <w:vAlign w:val="bottom"/>
          </w:tcPr>
          <w:p>
            <w:pPr>
              <w:spacing w:after="0"/>
              <w:rPr>
                <w:sz w:val="13"/>
                <w:szCs w:val="13"/>
                <w:color w:val="auto"/>
              </w:rPr>
            </w:pPr>
          </w:p>
        </w:tc>
        <w:tc>
          <w:tcPr>
            <w:tcW w:w="320" w:type="dxa"/>
            <w:vAlign w:val="bottom"/>
            <w:tcBorders>
              <w:top w:val="single" w:sz="8" w:color="auto"/>
            </w:tcBorders>
          </w:tcPr>
          <w:p>
            <w:pPr>
              <w:jc w:val="right"/>
              <w:ind w:right="207"/>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20"/>
                <w:szCs w:val="20"/>
                <w:color w:val="auto"/>
              </w:rPr>
            </w:pPr>
            <w:r>
              <w:rPr>
                <w:rFonts w:ascii="Arial" w:cs="Arial" w:eastAsia="Arial" w:hAnsi="Arial"/>
                <w:sz w:val="14"/>
                <w:szCs w:val="14"/>
                <w:color w:val="auto"/>
              </w:rPr>
              <w:t>State and local income taxes—net of federal benefit</w:t>
            </w:r>
          </w:p>
        </w:tc>
        <w:tc>
          <w:tcPr>
            <w:tcW w:w="468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1620" w:type="dxa"/>
            <w:vAlign w:val="bottom"/>
            <w:gridSpan w:val="3"/>
          </w:tcPr>
          <w:p>
            <w:pPr>
              <w:jc w:val="right"/>
              <w:ind w:right="660"/>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20"/>
                <w:szCs w:val="20"/>
                <w:color w:val="auto"/>
              </w:rPr>
            </w:pPr>
            <w:r>
              <w:rPr>
                <w:rFonts w:ascii="Arial" w:cs="Arial" w:eastAsia="Arial" w:hAnsi="Arial"/>
                <w:sz w:val="14"/>
                <w:szCs w:val="14"/>
                <w:color w:val="auto"/>
              </w:rPr>
              <w:t>Other</w:t>
            </w:r>
          </w:p>
        </w:tc>
        <w:tc>
          <w:tcPr>
            <w:tcW w:w="44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0.1</w:t>
            </w:r>
          </w:p>
        </w:tc>
        <w:tc>
          <w:tcPr>
            <w:tcW w:w="640" w:type="dxa"/>
            <w:vAlign w:val="bottom"/>
          </w:tcPr>
          <w:p>
            <w:pPr>
              <w:spacing w:after="0"/>
              <w:rPr>
                <w:sz w:val="15"/>
                <w:szCs w:val="15"/>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Total income tax provision</w:t>
            </w:r>
          </w:p>
        </w:tc>
        <w:tc>
          <w:tcPr>
            <w:tcW w:w="4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80" w:type="dxa"/>
            <w:vAlign w:val="bottom"/>
            <w:vMerge w:val="continue"/>
          </w:tcPr>
          <w:p>
            <w:pPr>
              <w:spacing w:after="0"/>
              <w:rPr>
                <w:sz w:val="15"/>
                <w:szCs w:val="15"/>
                <w:color w:val="auto"/>
              </w:rPr>
            </w:pPr>
          </w:p>
        </w:tc>
        <w:tc>
          <w:tcPr>
            <w:tcW w:w="44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3"/>
              </w:rPr>
              <w:t>$ 8.4</w:t>
            </w:r>
          </w:p>
        </w:tc>
        <w:tc>
          <w:tcPr>
            <w:tcW w:w="640" w:type="dxa"/>
            <w:vAlign w:val="bottom"/>
          </w:tcPr>
          <w:p>
            <w:pPr>
              <w:spacing w:after="0"/>
              <w:rPr>
                <w:sz w:val="15"/>
                <w:szCs w:val="15"/>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13.3</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80" w:type="dxa"/>
            <w:vAlign w:val="bottom"/>
          </w:tcPr>
          <w:p>
            <w:pPr>
              <w:spacing w:after="0"/>
              <w:rPr>
                <w:sz w:val="24"/>
                <w:szCs w:val="24"/>
                <w:color w:val="auto"/>
              </w:rPr>
            </w:pPr>
          </w:p>
        </w:tc>
        <w:tc>
          <w:tcPr>
            <w:tcW w:w="4680" w:type="dxa"/>
            <w:vAlign w:val="bottom"/>
            <w:gridSpan w:val="2"/>
          </w:tcPr>
          <w:p>
            <w:pPr>
              <w:jc w:val="right"/>
              <w:ind w:right="3129"/>
              <w:spacing w:after="0"/>
              <w:rPr>
                <w:sz w:val="20"/>
                <w:szCs w:val="20"/>
                <w:color w:val="auto"/>
              </w:rPr>
            </w:pPr>
            <w:r>
              <w:rPr>
                <w:rFonts w:ascii="Arial" w:cs="Arial" w:eastAsia="Arial" w:hAnsi="Arial"/>
                <w:sz w:val="14"/>
                <w:szCs w:val="14"/>
                <w:color w:val="auto"/>
              </w:rPr>
              <w:t>F-36</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100" w:type="dxa"/>
            <w:vAlign w:val="bottom"/>
          </w:tcPr>
          <w:p>
            <w:pPr>
              <w:jc w:val="center"/>
              <w:ind w:left="289"/>
              <w:spacing w:after="0"/>
              <w:rPr>
                <w:sz w:val="20"/>
                <w:szCs w:val="20"/>
                <w:color w:val="auto"/>
              </w:rPr>
            </w:pPr>
            <w:r>
              <w:rPr>
                <w:rFonts w:ascii="Arial" w:cs="Arial" w:eastAsia="Arial" w:hAnsi="Arial"/>
                <w:sz w:val="14"/>
                <w:szCs w:val="14"/>
                <w:b w:val="1"/>
                <w:bCs w:val="1"/>
                <w:color w:val="auto"/>
              </w:rPr>
              <w:t>REGAL CINEMEDIA CORPORATION</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1"/>
        </w:trPr>
        <w:tc>
          <w:tcPr>
            <w:tcW w:w="11100" w:type="dxa"/>
            <w:vAlign w:val="bottom"/>
          </w:tcPr>
          <w:p>
            <w:pPr>
              <w:jc w:val="center"/>
              <w:ind w:left="289"/>
              <w:spacing w:after="0"/>
              <w:rPr>
                <w:sz w:val="20"/>
                <w:szCs w:val="20"/>
                <w:color w:val="auto"/>
              </w:rPr>
            </w:pPr>
            <w:r>
              <w:rPr>
                <w:rFonts w:ascii="Arial" w:cs="Arial" w:eastAsia="Arial" w:hAnsi="Arial"/>
                <w:sz w:val="14"/>
                <w:szCs w:val="14"/>
                <w:b w:val="1"/>
                <w:bCs w:val="1"/>
                <w:color w:val="auto"/>
                <w:w w:val="99"/>
              </w:rPr>
              <w:t>NOTES TO FINANCIAL STATEMENTS—(Continued)</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5"/>
        </w:trPr>
        <w:tc>
          <w:tcPr>
            <w:tcW w:w="11100" w:type="dxa"/>
            <w:vAlign w:val="bottom"/>
          </w:tcPr>
          <w:p>
            <w:pPr>
              <w:jc w:val="center"/>
              <w:ind w:left="309"/>
              <w:spacing w:after="0"/>
              <w:rPr>
                <w:sz w:val="20"/>
                <w:szCs w:val="20"/>
                <w:color w:val="auto"/>
              </w:rPr>
            </w:pPr>
            <w:r>
              <w:rPr>
                <w:rFonts w:ascii="Arial" w:cs="Arial" w:eastAsia="Arial" w:hAnsi="Arial"/>
                <w:sz w:val="14"/>
                <w:szCs w:val="14"/>
                <w:b w:val="1"/>
                <w:bCs w:val="1"/>
                <w:color w:val="auto"/>
                <w:w w:val="98"/>
              </w:rPr>
              <w:t>AS OF DECEMBER 31, 2004, AND FOR THE YEARS ENDED JANUARY 1, 2004</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11100" w:type="dxa"/>
            <w:vAlign w:val="bottom"/>
          </w:tcPr>
          <w:p>
            <w:pPr>
              <w:jc w:val="center"/>
              <w:ind w:left="309"/>
              <w:spacing w:after="0"/>
              <w:rPr>
                <w:sz w:val="20"/>
                <w:szCs w:val="20"/>
                <w:color w:val="auto"/>
              </w:rPr>
            </w:pPr>
            <w:r>
              <w:rPr>
                <w:rFonts w:ascii="Arial" w:cs="Arial" w:eastAsia="Arial" w:hAnsi="Arial"/>
                <w:sz w:val="14"/>
                <w:szCs w:val="14"/>
                <w:b w:val="1"/>
                <w:bCs w:val="1"/>
                <w:color w:val="auto"/>
              </w:rPr>
              <w:t>AND DECEMBER 30, 2004, AND FOR THE THREE MONTHS ENDED MARCH 31, 2005</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11100" w:type="dxa"/>
            <w:vAlign w:val="bottom"/>
          </w:tcPr>
          <w:p>
            <w:pPr>
              <w:jc w:val="center"/>
              <w:ind w:left="289"/>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95"/>
        </w:trPr>
        <w:tc>
          <w:tcPr>
            <w:tcW w:w="11100" w:type="dxa"/>
            <w:vAlign w:val="bottom"/>
          </w:tcPr>
          <w:p>
            <w:pPr>
              <w:ind w:left="460"/>
              <w:spacing w:after="0"/>
              <w:rPr>
                <w:sz w:val="20"/>
                <w:szCs w:val="20"/>
                <w:color w:val="auto"/>
              </w:rPr>
            </w:pPr>
            <w:r>
              <w:rPr>
                <w:rFonts w:ascii="Arial" w:cs="Arial" w:eastAsia="Arial" w:hAnsi="Arial"/>
                <w:sz w:val="14"/>
                <w:szCs w:val="14"/>
                <w:color w:val="auto"/>
              </w:rPr>
              <w:t>Significant components of the net deferred tax asset at December 30, 2004, consisted of the following:</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3"/>
        </w:trPr>
        <w:tc>
          <w:tcPr>
            <w:tcW w:w="11100" w:type="dxa"/>
            <w:vAlign w:val="bottom"/>
          </w:tcPr>
          <w:p>
            <w:pPr>
              <w:spacing w:after="0"/>
              <w:rPr>
                <w:sz w:val="20"/>
                <w:szCs w:val="20"/>
                <w:color w:val="auto"/>
              </w:rPr>
            </w:pPr>
            <w:r>
              <w:rPr>
                <w:rFonts w:ascii="Arial" w:cs="Arial" w:eastAsia="Arial" w:hAnsi="Arial"/>
                <w:sz w:val="14"/>
                <w:szCs w:val="14"/>
                <w:color w:val="auto"/>
              </w:rPr>
              <w:t>Deferred tax assets: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11100" w:type="dxa"/>
            <w:vAlign w:val="bottom"/>
          </w:tcPr>
          <w:p>
            <w:pPr>
              <w:ind w:left="360"/>
              <w:spacing w:after="0"/>
              <w:rPr>
                <w:sz w:val="20"/>
                <w:szCs w:val="20"/>
                <w:color w:val="auto"/>
              </w:rPr>
            </w:pPr>
            <w:r>
              <w:rPr>
                <w:rFonts w:ascii="Arial" w:cs="Arial" w:eastAsia="Arial" w:hAnsi="Arial"/>
                <w:sz w:val="14"/>
                <w:szCs w:val="14"/>
                <w:color w:val="auto"/>
              </w:rPr>
              <w:t>Deferred rent</w:t>
            </w:r>
          </w:p>
        </w:tc>
        <w:tc>
          <w:tcPr>
            <w:tcW w:w="300" w:type="dxa"/>
            <w:vAlign w:val="bottom"/>
          </w:tcPr>
          <w:p>
            <w:pPr>
              <w:jc w:val="right"/>
              <w:spacing w:after="0"/>
              <w:rPr>
                <w:sz w:val="20"/>
                <w:szCs w:val="20"/>
                <w:color w:val="auto"/>
              </w:rPr>
            </w:pPr>
            <w:r>
              <w:rPr>
                <w:rFonts w:ascii="Arial" w:cs="Arial" w:eastAsia="Arial" w:hAnsi="Arial"/>
                <w:sz w:val="14"/>
                <w:szCs w:val="14"/>
                <w:color w:val="auto"/>
                <w:w w:val="89"/>
              </w:rPr>
              <w:t>$ 0.2</w:t>
            </w:r>
          </w:p>
        </w:tc>
        <w:tc>
          <w:tcPr>
            <w:tcW w:w="60" w:type="dxa"/>
            <w:vAlign w:val="bottom"/>
          </w:tcPr>
          <w:p>
            <w:pPr>
              <w:spacing w:after="0"/>
              <w:rPr>
                <w:sz w:val="15"/>
                <w:szCs w:val="15"/>
                <w:color w:val="auto"/>
              </w:rPr>
            </w:pPr>
          </w:p>
        </w:tc>
      </w:tr>
      <w:tr>
        <w:trPr>
          <w:trHeight w:val="175"/>
        </w:trPr>
        <w:tc>
          <w:tcPr>
            <w:tcW w:w="11100" w:type="dxa"/>
            <w:vAlign w:val="bottom"/>
          </w:tcPr>
          <w:p>
            <w:pPr>
              <w:ind w:left="360"/>
              <w:spacing w:after="0"/>
              <w:rPr>
                <w:sz w:val="20"/>
                <w:szCs w:val="20"/>
                <w:color w:val="auto"/>
              </w:rPr>
            </w:pPr>
            <w:r>
              <w:rPr>
                <w:rFonts w:ascii="Arial" w:cs="Arial" w:eastAsia="Arial" w:hAnsi="Arial"/>
                <w:sz w:val="14"/>
                <w:szCs w:val="14"/>
                <w:color w:val="auto"/>
              </w:rPr>
              <w:t>Allowance for bad debts</w:t>
            </w:r>
          </w:p>
        </w:tc>
        <w:tc>
          <w:tcPr>
            <w:tcW w:w="300" w:type="dxa"/>
            <w:vAlign w:val="bottom"/>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5"/>
                <w:szCs w:val="15"/>
                <w:color w:val="auto"/>
              </w:rPr>
            </w:pPr>
          </w:p>
        </w:tc>
      </w:tr>
      <w:tr>
        <w:trPr>
          <w:trHeight w:val="181"/>
        </w:trPr>
        <w:tc>
          <w:tcPr>
            <w:tcW w:w="11100" w:type="dxa"/>
            <w:vAlign w:val="bottom"/>
          </w:tcPr>
          <w:p>
            <w:pPr>
              <w:ind w:left="360"/>
              <w:spacing w:after="0"/>
              <w:rPr>
                <w:sz w:val="20"/>
                <w:szCs w:val="20"/>
                <w:color w:val="auto"/>
              </w:rPr>
            </w:pPr>
            <w:r>
              <w:rPr>
                <w:rFonts w:ascii="Arial" w:cs="Arial" w:eastAsia="Arial" w:hAnsi="Arial"/>
                <w:sz w:val="14"/>
                <w:szCs w:val="14"/>
                <w:color w:val="auto"/>
              </w:rPr>
              <w:t>Stock options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15"/>
                <w:szCs w:val="15"/>
                <w:color w:val="auto"/>
              </w:rPr>
            </w:pPr>
          </w:p>
        </w:tc>
      </w:tr>
      <w:tr>
        <w:trPr>
          <w:trHeight w:val="171"/>
        </w:trPr>
        <w:tc>
          <w:tcPr>
            <w:tcW w:w="11100" w:type="dxa"/>
            <w:vAlign w:val="bottom"/>
          </w:tcPr>
          <w:p>
            <w:pPr>
              <w:ind w:left="700"/>
              <w:spacing w:after="0"/>
              <w:rPr>
                <w:sz w:val="20"/>
                <w:szCs w:val="20"/>
                <w:color w:val="auto"/>
              </w:rPr>
            </w:pPr>
            <w:r>
              <w:rPr>
                <w:rFonts w:ascii="Arial" w:cs="Arial" w:eastAsia="Arial" w:hAnsi="Arial"/>
                <w:sz w:val="14"/>
                <w:szCs w:val="14"/>
                <w:color w:val="auto"/>
              </w:rPr>
              <w:t>Total deferred tax assets</w:t>
            </w:r>
          </w:p>
        </w:tc>
        <w:tc>
          <w:tcPr>
            <w:tcW w:w="300" w:type="dxa"/>
            <w:vAlign w:val="bottom"/>
          </w:tcPr>
          <w:p>
            <w:pPr>
              <w:jc w:val="right"/>
              <w:spacing w:after="0"/>
              <w:rPr>
                <w:sz w:val="20"/>
                <w:szCs w:val="20"/>
                <w:color w:val="auto"/>
              </w:rPr>
            </w:pPr>
            <w:r>
              <w:rPr>
                <w:rFonts w:ascii="Arial" w:cs="Arial" w:eastAsia="Arial" w:hAnsi="Arial"/>
                <w:sz w:val="14"/>
                <w:szCs w:val="14"/>
                <w:color w:val="auto"/>
              </w:rPr>
              <w:t>0.9</w:t>
            </w:r>
          </w:p>
        </w:tc>
        <w:tc>
          <w:tcPr>
            <w:tcW w:w="60" w:type="dxa"/>
            <w:vAlign w:val="bottom"/>
          </w:tcPr>
          <w:p>
            <w:pPr>
              <w:spacing w:after="0"/>
              <w:rPr>
                <w:sz w:val="14"/>
                <w:szCs w:val="14"/>
                <w:color w:val="auto"/>
              </w:rPr>
            </w:pPr>
          </w:p>
        </w:tc>
      </w:tr>
      <w:tr>
        <w:trPr>
          <w:trHeight w:val="181"/>
        </w:trPr>
        <w:tc>
          <w:tcPr>
            <w:tcW w:w="11100" w:type="dxa"/>
            <w:vAlign w:val="bottom"/>
          </w:tcPr>
          <w:p>
            <w:pPr>
              <w:ind w:left="360"/>
              <w:spacing w:after="0"/>
              <w:rPr>
                <w:sz w:val="20"/>
                <w:szCs w:val="20"/>
                <w:color w:val="auto"/>
              </w:rPr>
            </w:pPr>
            <w:r>
              <w:rPr>
                <w:rFonts w:ascii="Arial" w:cs="Arial" w:eastAsia="Arial" w:hAnsi="Arial"/>
                <w:sz w:val="14"/>
                <w:szCs w:val="14"/>
                <w:color w:val="auto"/>
              </w:rPr>
              <w:t>Valuation allowance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60" w:type="dxa"/>
            <w:vAlign w:val="bottom"/>
          </w:tcPr>
          <w:p>
            <w:pPr>
              <w:spacing w:after="0"/>
              <w:rPr>
                <w:sz w:val="15"/>
                <w:szCs w:val="15"/>
                <w:color w:val="auto"/>
              </w:rPr>
            </w:pPr>
          </w:p>
        </w:tc>
      </w:tr>
      <w:tr>
        <w:trPr>
          <w:trHeight w:val="171"/>
        </w:trPr>
        <w:tc>
          <w:tcPr>
            <w:tcW w:w="11100" w:type="dxa"/>
            <w:vAlign w:val="bottom"/>
          </w:tcPr>
          <w:p>
            <w:pPr>
              <w:ind w:left="700"/>
              <w:spacing w:after="0"/>
              <w:rPr>
                <w:sz w:val="20"/>
                <w:szCs w:val="20"/>
                <w:color w:val="auto"/>
              </w:rPr>
            </w:pPr>
            <w:r>
              <w:rPr>
                <w:rFonts w:ascii="Arial" w:cs="Arial" w:eastAsia="Arial" w:hAnsi="Arial"/>
                <w:sz w:val="14"/>
                <w:szCs w:val="14"/>
                <w:color w:val="auto"/>
              </w:rPr>
              <w:t>Total deferred tax assets—net of valuation allowance</w:t>
            </w:r>
          </w:p>
        </w:tc>
        <w:tc>
          <w:tcPr>
            <w:tcW w:w="300" w:type="dxa"/>
            <w:vAlign w:val="bottom"/>
          </w:tcPr>
          <w:p>
            <w:pPr>
              <w:jc w:val="right"/>
              <w:spacing w:after="0"/>
              <w:rPr>
                <w:sz w:val="20"/>
                <w:szCs w:val="20"/>
                <w:color w:val="auto"/>
              </w:rPr>
            </w:pPr>
            <w:r>
              <w:rPr>
                <w:rFonts w:ascii="Arial" w:cs="Arial" w:eastAsia="Arial" w:hAnsi="Arial"/>
                <w:sz w:val="14"/>
                <w:szCs w:val="14"/>
                <w:color w:val="auto"/>
              </w:rPr>
              <w:t>0.9</w:t>
            </w:r>
          </w:p>
        </w:tc>
        <w:tc>
          <w:tcPr>
            <w:tcW w:w="60" w:type="dxa"/>
            <w:vAlign w:val="bottom"/>
          </w:tcPr>
          <w:p>
            <w:pPr>
              <w:spacing w:after="0"/>
              <w:rPr>
                <w:sz w:val="14"/>
                <w:szCs w:val="14"/>
                <w:color w:val="auto"/>
              </w:rPr>
            </w:pPr>
          </w:p>
        </w:tc>
      </w:tr>
      <w:tr>
        <w:trPr>
          <w:trHeight w:val="181"/>
        </w:trPr>
        <w:tc>
          <w:tcPr>
            <w:tcW w:w="11100" w:type="dxa"/>
            <w:vAlign w:val="bottom"/>
          </w:tcPr>
          <w:p>
            <w:pPr>
              <w:spacing w:after="0"/>
              <w:rPr>
                <w:sz w:val="20"/>
                <w:szCs w:val="20"/>
                <w:color w:val="auto"/>
              </w:rPr>
            </w:pPr>
            <w:r>
              <w:rPr>
                <w:rFonts w:ascii="Arial" w:cs="Arial" w:eastAsia="Arial" w:hAnsi="Arial"/>
                <w:sz w:val="14"/>
                <w:szCs w:val="14"/>
                <w:color w:val="auto"/>
              </w:rPr>
              <w:t>Deferred tax liabilities—excess of book basis over tax basis of fixed assets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178"/>
        </w:trPr>
        <w:tc>
          <w:tcPr>
            <w:tcW w:w="11100" w:type="dxa"/>
            <w:vAlign w:val="bottom"/>
          </w:tcPr>
          <w:p>
            <w:pPr>
              <w:spacing w:after="0"/>
              <w:rPr>
                <w:sz w:val="20"/>
                <w:szCs w:val="20"/>
                <w:color w:val="auto"/>
              </w:rPr>
            </w:pPr>
            <w:r>
              <w:rPr>
                <w:rFonts w:ascii="Arial" w:cs="Arial" w:eastAsia="Arial" w:hAnsi="Arial"/>
                <w:sz w:val="14"/>
                <w:szCs w:val="14"/>
                <w:color w:val="auto"/>
              </w:rPr>
              <w:t>Net deferred tax assets (liability)</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$ 0.2</w:t>
            </w:r>
          </w:p>
        </w:tc>
        <w:tc>
          <w:tcPr>
            <w:tcW w:w="60" w:type="dxa"/>
            <w:vAlign w:val="bottom"/>
          </w:tcPr>
          <w:p>
            <w:pPr>
              <w:spacing w:after="0"/>
              <w:rPr>
                <w:sz w:val="15"/>
                <w:szCs w:val="15"/>
                <w:color w:val="auto"/>
              </w:rPr>
            </w:pPr>
          </w:p>
        </w:tc>
      </w:tr>
      <w:tr>
        <w:trPr>
          <w:trHeight w:val="20"/>
        </w:trPr>
        <w:tc>
          <w:tcPr>
            <w:tcW w:w="1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ind w:right="280" w:firstLine="458"/>
        <w:spacing w:after="0" w:line="270" w:lineRule="auto"/>
        <w:rPr>
          <w:sz w:val="20"/>
          <w:szCs w:val="20"/>
          <w:color w:val="auto"/>
        </w:rPr>
      </w:pPr>
      <w:r>
        <w:rPr>
          <w:rFonts w:ascii="Arial" w:cs="Arial" w:eastAsia="Arial" w:hAnsi="Arial"/>
          <w:sz w:val="14"/>
          <w:szCs w:val="14"/>
          <w:color w:val="auto"/>
        </w:rPr>
        <w:t>In assessing the valuation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RCM has not recorded a valuation allowance against deferred tax assets at December 30, 2004, as management believes it is not more likely than not that such deferred tax asset amounts would not be realized in future tax periods.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LEASE OBLIGATIONS</w:t>
      </w:r>
    </w:p>
    <w:p>
      <w:pPr>
        <w:spacing w:after="0" w:line="83" w:lineRule="exact"/>
        <w:rPr>
          <w:sz w:val="20"/>
          <w:szCs w:val="20"/>
          <w:color w:val="auto"/>
        </w:rPr>
      </w:pPr>
    </w:p>
    <w:p>
      <w:pPr>
        <w:ind w:right="240" w:firstLine="458"/>
        <w:spacing w:after="0" w:line="330" w:lineRule="auto"/>
        <w:rPr>
          <w:sz w:val="20"/>
          <w:szCs w:val="20"/>
          <w:color w:val="auto"/>
        </w:rPr>
      </w:pPr>
      <w:r>
        <w:rPr>
          <w:rFonts w:ascii="Arial" w:cs="Arial" w:eastAsia="Arial" w:hAnsi="Arial"/>
          <w:sz w:val="13"/>
          <w:szCs w:val="13"/>
          <w:color w:val="auto"/>
        </w:rPr>
        <w:t>The Company leases office facilities for its headquarters in Centennial, Colorado and also in various cities for its sales and marketing personnel as sales offices. The Company has no capital lease obligations. Total lease expense for fiscal 2003, fiscal 2004, and the thirteen weeks ended March 31, 2005 was $1.3 million, $1.3 million, and $0.7 million,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0" w:type="dxa"/>
            <w:vAlign w:val="bottom"/>
          </w:tcPr>
          <w:p>
            <w:pPr>
              <w:ind w:left="460"/>
              <w:spacing w:after="0"/>
              <w:rPr>
                <w:sz w:val="20"/>
                <w:szCs w:val="20"/>
                <w:color w:val="auto"/>
              </w:rPr>
            </w:pPr>
            <w:r>
              <w:rPr>
                <w:rFonts w:ascii="Arial" w:cs="Arial" w:eastAsia="Arial" w:hAnsi="Arial"/>
                <w:sz w:val="14"/>
                <w:szCs w:val="14"/>
                <w:color w:val="auto"/>
              </w:rPr>
              <w:t>Future minimum lease payments under noncancelable operating leases are as follows:</w:t>
            </w:r>
          </w:p>
        </w:tc>
        <w:tc>
          <w:tcPr>
            <w:tcW w:w="260" w:type="dxa"/>
            <w:vAlign w:val="bottom"/>
          </w:tcPr>
          <w:p>
            <w:pPr>
              <w:spacing w:after="0"/>
              <w:rPr>
                <w:sz w:val="15"/>
                <w:szCs w:val="15"/>
                <w:color w:val="auto"/>
              </w:rPr>
            </w:pPr>
          </w:p>
        </w:tc>
      </w:tr>
      <w:tr>
        <w:trPr>
          <w:trHeight w:val="333"/>
        </w:trPr>
        <w:tc>
          <w:tcPr>
            <w:tcW w:w="11200" w:type="dxa"/>
            <w:vAlign w:val="bottom"/>
          </w:tcPr>
          <w:p>
            <w:pPr>
              <w:spacing w:after="0"/>
              <w:rPr>
                <w:sz w:val="20"/>
                <w:szCs w:val="20"/>
                <w:color w:val="auto"/>
              </w:rPr>
            </w:pPr>
            <w:r>
              <w:rPr>
                <w:rFonts w:ascii="Arial" w:cs="Arial" w:eastAsia="Arial" w:hAnsi="Arial"/>
                <w:sz w:val="14"/>
                <w:szCs w:val="14"/>
                <w:color w:val="auto"/>
              </w:rPr>
              <w:t>2006 (fourth quarter)</w:t>
            </w:r>
          </w:p>
        </w:tc>
        <w:tc>
          <w:tcPr>
            <w:tcW w:w="260" w:type="dxa"/>
            <w:vAlign w:val="bottom"/>
          </w:tcPr>
          <w:p>
            <w:pPr>
              <w:jc w:val="right"/>
              <w:spacing w:after="0"/>
              <w:rPr>
                <w:sz w:val="20"/>
                <w:szCs w:val="20"/>
                <w:color w:val="auto"/>
              </w:rPr>
            </w:pPr>
            <w:r>
              <w:rPr>
                <w:rFonts w:ascii="Arial" w:cs="Arial" w:eastAsia="Arial" w:hAnsi="Arial"/>
                <w:sz w:val="14"/>
                <w:szCs w:val="14"/>
                <w:color w:val="auto"/>
                <w:w w:val="87"/>
              </w:rPr>
              <w:t>$0.4</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2007</w:t>
            </w:r>
          </w:p>
        </w:tc>
        <w:tc>
          <w:tcPr>
            <w:tcW w:w="2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2008</w:t>
            </w:r>
          </w:p>
        </w:tc>
        <w:tc>
          <w:tcPr>
            <w:tcW w:w="2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2009</w:t>
            </w:r>
          </w:p>
        </w:tc>
        <w:tc>
          <w:tcPr>
            <w:tcW w:w="2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2010</w:t>
            </w:r>
          </w:p>
        </w:tc>
        <w:tc>
          <w:tcPr>
            <w:tcW w:w="2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2011</w:t>
            </w:r>
          </w:p>
        </w:tc>
        <w:tc>
          <w:tcPr>
            <w:tcW w:w="2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1"/>
        </w:trPr>
        <w:tc>
          <w:tcPr>
            <w:tcW w:w="11200" w:type="dxa"/>
            <w:vAlign w:val="bottom"/>
          </w:tcPr>
          <w:p>
            <w:pPr>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78"/>
        </w:trPr>
        <w:tc>
          <w:tcPr>
            <w:tcW w:w="1120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87"/>
              </w:rPr>
              <w:t>$</w:t>
            </w:r>
            <w:r>
              <w:rPr>
                <w:rFonts w:ascii="Arial" w:cs="Arial" w:eastAsia="Arial" w:hAnsi="Arial"/>
                <w:sz w:val="14"/>
                <w:szCs w:val="14"/>
                <w:color w:val="auto"/>
                <w:w w:val="87"/>
              </w:rPr>
              <w:t>9.9</w:t>
            </w:r>
          </w:p>
        </w:tc>
      </w:tr>
      <w:tr>
        <w:trPr>
          <w:trHeight w:val="20"/>
        </w:trPr>
        <w:tc>
          <w:tcPr>
            <w:tcW w:w="1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the formation of NCM, all office leases to which RCM was a party were transferred to NCM, and RCM bears no financial responsibility for payments under these leases.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EMPLOYEE BENEFIT PLANS</w:t>
      </w:r>
    </w:p>
    <w:p>
      <w:pPr>
        <w:spacing w:after="0" w:line="83" w:lineRule="exact"/>
        <w:rPr>
          <w:sz w:val="20"/>
          <w:szCs w:val="20"/>
          <w:color w:val="auto"/>
        </w:rPr>
      </w:pPr>
    </w:p>
    <w:p>
      <w:pPr>
        <w:ind w:right="600" w:firstLine="458"/>
        <w:spacing w:after="0" w:line="289" w:lineRule="auto"/>
        <w:rPr>
          <w:sz w:val="20"/>
          <w:szCs w:val="20"/>
          <w:color w:val="auto"/>
        </w:rPr>
      </w:pPr>
      <w:r>
        <w:rPr>
          <w:rFonts w:ascii="Arial" w:cs="Arial" w:eastAsia="Arial" w:hAnsi="Arial"/>
          <w:sz w:val="14"/>
          <w:szCs w:val="14"/>
          <w:color w:val="auto"/>
        </w:rPr>
        <w:t>RCM participated in the Regal Entertainment Group 401(k) Profit Sharing Plan (the “plan”) under section 401(k) of the Internal Revenue Code of 1986, as amended, for the benefit of substantially all full-time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60"/>
          </w:cols>
          <w:pgMar w:left="220" w:top="398" w:right="21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260"/>
        <w:spacing w:after="0" w:line="305" w:lineRule="auto"/>
        <w:rPr>
          <w:sz w:val="20"/>
          <w:szCs w:val="20"/>
          <w:color w:val="auto"/>
        </w:rPr>
      </w:pPr>
      <w:r>
        <w:rPr>
          <w:rFonts w:ascii="Arial" w:cs="Arial" w:eastAsia="Arial" w:hAnsi="Arial"/>
          <w:sz w:val="13"/>
          <w:szCs w:val="13"/>
          <w:color w:val="auto"/>
        </w:rPr>
        <w:t>employees. The plan provides that participants may contribute up to 20% of their compensation, subject to Internal Revenue Service limitations. Employee contributions are invested in various investment funds based upon elections made by the employee. RCM made discretionary contributions of $0.1 million, $0.2 million, and $0.1 million during fiscal 2003, fiscal 2004, and the thirteen weeks ended March 31, 2005, respectively. Subsequent to the formation of NCM, all RCM participants in the Regal 401(k) plan became participants in the NCM 401(k) plan.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STOCK OPTION PLAN</w:t>
      </w:r>
    </w:p>
    <w:p>
      <w:pPr>
        <w:spacing w:after="0" w:line="83" w:lineRule="exact"/>
        <w:rPr>
          <w:sz w:val="20"/>
          <w:szCs w:val="20"/>
          <w:color w:val="auto"/>
        </w:rPr>
      </w:pPr>
    </w:p>
    <w:p>
      <w:pPr>
        <w:jc w:val="both"/>
        <w:ind w:right="140" w:firstLine="458"/>
        <w:spacing w:after="0" w:line="305" w:lineRule="auto"/>
        <w:rPr>
          <w:sz w:val="20"/>
          <w:szCs w:val="20"/>
          <w:color w:val="auto"/>
        </w:rPr>
      </w:pPr>
      <w:r>
        <w:rPr>
          <w:rFonts w:ascii="Arial" w:cs="Arial" w:eastAsia="Arial" w:hAnsi="Arial"/>
          <w:sz w:val="13"/>
          <w:szCs w:val="13"/>
          <w:color w:val="auto"/>
        </w:rPr>
        <w:t>Certain employees participated in the 2002 Regal Entertainment Group Stock Incentive Plan while employees of RCM. Stock option grants were made at exercise prices not less than the fair market value as of the date of grant and were exercisable in installments of 20% per year. For the years ended January 1, 2004, December 30, 2004, and the three months ended March 31, 2005, RCM recorded administrative compensation expense related to these stock options of $1.4 million, $1.4 million and $0.3 million, respectively, related to such options.</w:t>
      </w:r>
    </w:p>
    <w:p>
      <w:pPr>
        <w:spacing w:after="0" w:line="86" w:lineRule="exact"/>
        <w:rPr>
          <w:sz w:val="20"/>
          <w:szCs w:val="20"/>
          <w:color w:val="auto"/>
        </w:rPr>
      </w:pPr>
    </w:p>
    <w:p>
      <w:pPr>
        <w:ind w:right="60" w:firstLine="458"/>
        <w:spacing w:after="0" w:line="322" w:lineRule="auto"/>
        <w:rPr>
          <w:sz w:val="20"/>
          <w:szCs w:val="20"/>
          <w:color w:val="auto"/>
        </w:rPr>
      </w:pPr>
      <w:r>
        <w:rPr>
          <w:rFonts w:ascii="Arial" w:cs="Arial" w:eastAsia="Arial" w:hAnsi="Arial"/>
          <w:sz w:val="12"/>
          <w:szCs w:val="12"/>
          <w:color w:val="auto"/>
        </w:rPr>
        <w:t>In connection with the July 1, 2003, and June 2, 2004, extraordinary cash dividends paid by Regal and pursuant to the antidilution adjustment terms of the Incentive Plan, the exercise price and the number of shares of common stock subject to options were adjusted to prevent dilution and restore their economic position to that existing immediately before the extraordinary dividends. Stock option information presented herein has been adjusted to give effect to the extraordinary dividends. There were no accounting consequences for changes made to reduce the exercise prices and increase the number of shares underlying options as a result of the extraordinary cash dividends because (1) the aggregate intrinsic value of the awards immediately after the extraordinary dividends was not greater than the aggregate intrinsic value of the awards immediately before the extraordinary dividends and (2) the ratio of the exercise price per share to the market value per share was not reduced.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following table summarizes information about stock options outstanding held by RCM employees: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2"/>
              <w:spacing w:after="0"/>
              <w:rPr>
                <w:sz w:val="20"/>
                <w:szCs w:val="20"/>
                <w:color w:val="auto"/>
              </w:rPr>
            </w:pPr>
            <w:r>
              <w:rPr>
                <w:rFonts w:ascii="Arial" w:cs="Arial" w:eastAsia="Arial" w:hAnsi="Arial"/>
                <w:sz w:val="11"/>
                <w:szCs w:val="11"/>
                <w:b w:val="1"/>
                <w:bCs w:val="1"/>
                <w:color w:val="auto"/>
                <w:w w:val="92"/>
              </w:rPr>
              <w:t>Weighted</w:t>
            </w:r>
          </w:p>
        </w:tc>
        <w:tc>
          <w:tcPr>
            <w:tcW w:w="560" w:type="dxa"/>
            <w:vAlign w:val="bottom"/>
          </w:tcPr>
          <w:p>
            <w:pPr>
              <w:spacing w:after="0"/>
              <w:rPr>
                <w:sz w:val="10"/>
                <w:szCs w:val="10"/>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88"/>
              </w:rPr>
              <w:t>Weighted</w:t>
            </w:r>
          </w:p>
        </w:tc>
        <w:tc>
          <w:tcPr>
            <w:tcW w:w="6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1"/>
              </w:rPr>
              <w:t>Options</w:t>
            </w:r>
          </w:p>
        </w:tc>
      </w:tr>
      <w:tr>
        <w:trPr>
          <w:trHeight w:val="120"/>
        </w:trPr>
        <w:tc>
          <w:tcPr>
            <w:tcW w:w="40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2"/>
              <w:spacing w:after="0" w:line="121" w:lineRule="exact"/>
              <w:rPr>
                <w:sz w:val="20"/>
                <w:szCs w:val="20"/>
                <w:color w:val="auto"/>
              </w:rPr>
            </w:pPr>
            <w:r>
              <w:rPr>
                <w:rFonts w:ascii="Arial" w:cs="Arial" w:eastAsia="Arial" w:hAnsi="Arial"/>
                <w:sz w:val="11"/>
                <w:szCs w:val="11"/>
                <w:b w:val="1"/>
                <w:bCs w:val="1"/>
                <w:color w:val="auto"/>
                <w:w w:val="87"/>
              </w:rPr>
              <w:t>Average</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640"/>
              <w:spacing w:after="0" w:line="121" w:lineRule="exact"/>
              <w:rPr>
                <w:sz w:val="20"/>
                <w:szCs w:val="20"/>
                <w:color w:val="auto"/>
              </w:rPr>
            </w:pPr>
            <w:r>
              <w:rPr>
                <w:rFonts w:ascii="Arial" w:cs="Arial" w:eastAsia="Arial" w:hAnsi="Arial"/>
                <w:sz w:val="11"/>
                <w:szCs w:val="11"/>
                <w:b w:val="1"/>
                <w:bCs w:val="1"/>
                <w:color w:val="auto"/>
                <w:w w:val="87"/>
              </w:rPr>
              <w:t>Average</w:t>
            </w:r>
          </w:p>
        </w:tc>
        <w:tc>
          <w:tcPr>
            <w:tcW w:w="60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88"/>
              </w:rPr>
              <w:t>Exercisable</w:t>
            </w:r>
          </w:p>
        </w:tc>
      </w:tr>
      <w:tr>
        <w:trPr>
          <w:trHeight w:val="120"/>
        </w:trPr>
        <w:tc>
          <w:tcPr>
            <w:tcW w:w="40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60" w:type="dxa"/>
            <w:vAlign w:val="bottom"/>
            <w:gridSpan w:val="3"/>
          </w:tcPr>
          <w:p>
            <w:pPr>
              <w:jc w:val="right"/>
              <w:ind w:right="460"/>
              <w:spacing w:after="0" w:line="121" w:lineRule="exact"/>
              <w:rPr>
                <w:sz w:val="20"/>
                <w:szCs w:val="20"/>
                <w:color w:val="auto"/>
              </w:rPr>
            </w:pPr>
            <w:r>
              <w:rPr>
                <w:rFonts w:ascii="Arial" w:cs="Arial" w:eastAsia="Arial" w:hAnsi="Arial"/>
                <w:sz w:val="11"/>
                <w:szCs w:val="11"/>
                <w:b w:val="1"/>
                <w:bCs w:val="1"/>
                <w:color w:val="auto"/>
              </w:rPr>
              <w:t>Options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2"/>
              <w:spacing w:after="0" w:line="121" w:lineRule="exact"/>
              <w:rPr>
                <w:sz w:val="20"/>
                <w:szCs w:val="20"/>
                <w:color w:val="auto"/>
              </w:rPr>
            </w:pPr>
            <w:r>
              <w:rPr>
                <w:rFonts w:ascii="Arial" w:cs="Arial" w:eastAsia="Arial" w:hAnsi="Arial"/>
                <w:sz w:val="11"/>
                <w:szCs w:val="11"/>
                <w:b w:val="1"/>
                <w:bCs w:val="1"/>
                <w:color w:val="auto"/>
                <w:w w:val="83"/>
              </w:rPr>
              <w:t>Exercise</w:t>
            </w:r>
          </w:p>
        </w:tc>
        <w:tc>
          <w:tcPr>
            <w:tcW w:w="560" w:type="dxa"/>
            <w:vAlign w:val="bottom"/>
          </w:tcPr>
          <w:p>
            <w:pPr>
              <w:spacing w:after="0"/>
              <w:rPr>
                <w:sz w:val="10"/>
                <w:szCs w:val="10"/>
                <w:color w:val="auto"/>
              </w:rPr>
            </w:pPr>
          </w:p>
        </w:tc>
        <w:tc>
          <w:tcPr>
            <w:tcW w:w="1140" w:type="dxa"/>
            <w:vAlign w:val="bottom"/>
            <w:gridSpan w:val="3"/>
          </w:tcPr>
          <w:p>
            <w:pPr>
              <w:jc w:val="center"/>
              <w:ind w:right="580"/>
              <w:spacing w:after="0" w:line="121" w:lineRule="exact"/>
              <w:rPr>
                <w:sz w:val="20"/>
                <w:szCs w:val="20"/>
                <w:color w:val="auto"/>
              </w:rPr>
            </w:pPr>
            <w:r>
              <w:rPr>
                <w:rFonts w:ascii="Arial" w:cs="Arial" w:eastAsia="Arial" w:hAnsi="Arial"/>
                <w:sz w:val="11"/>
                <w:szCs w:val="11"/>
                <w:b w:val="1"/>
                <w:bCs w:val="1"/>
                <w:color w:val="auto"/>
                <w:w w:val="92"/>
              </w:rPr>
              <w:t>Grant Date</w:t>
            </w:r>
          </w:p>
        </w:tc>
        <w:tc>
          <w:tcPr>
            <w:tcW w:w="60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92"/>
              </w:rPr>
              <w:t>at Year</w:t>
            </w:r>
          </w:p>
        </w:tc>
      </w:tr>
      <w:tr>
        <w:trPr>
          <w:trHeight w:val="141"/>
        </w:trPr>
        <w:tc>
          <w:tcPr>
            <w:tcW w:w="40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w w:val="89"/>
              </w:rPr>
              <w:t>Outstanding</w:t>
            </w:r>
          </w:p>
        </w:tc>
        <w:tc>
          <w:tcPr>
            <w:tcW w:w="28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Shares Price</w:t>
            </w:r>
          </w:p>
        </w:tc>
        <w:tc>
          <w:tcPr>
            <w:tcW w:w="560" w:type="dxa"/>
            <w:vAlign w:val="bottom"/>
          </w:tcPr>
          <w:p>
            <w:pPr>
              <w:spacing w:after="0"/>
              <w:rPr>
                <w:sz w:val="12"/>
                <w:szCs w:val="12"/>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91"/>
              </w:rPr>
              <w:t>Fair Value</w:t>
            </w:r>
          </w:p>
        </w:tc>
        <w:tc>
          <w:tcPr>
            <w:tcW w:w="6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6"/>
              </w:rPr>
              <w:t>End</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Under option—December 26, 2002</w:t>
            </w:r>
          </w:p>
        </w:tc>
        <w:tc>
          <w:tcPr>
            <w:tcW w:w="33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3,399,682</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8.02</w:t>
            </w:r>
          </w:p>
        </w:tc>
        <w:tc>
          <w:tcPr>
            <w:tcW w:w="5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90,116</w:t>
            </w:r>
          </w:p>
        </w:tc>
        <w:tc>
          <w:tcPr>
            <w:tcW w:w="20" w:type="dxa"/>
            <w:vAlign w:val="bottom"/>
          </w:tcPr>
          <w:p>
            <w:pPr>
              <w:spacing w:after="0"/>
              <w:rPr>
                <w:sz w:val="14"/>
                <w:szCs w:val="14"/>
                <w:color w:val="auto"/>
              </w:rPr>
            </w:pPr>
          </w:p>
        </w:tc>
      </w:tr>
      <w:tr>
        <w:trPr>
          <w:trHeight w:val="249"/>
        </w:trPr>
        <w:tc>
          <w:tcPr>
            <w:tcW w:w="4020" w:type="dxa"/>
            <w:vAlign w:val="bottom"/>
          </w:tcPr>
          <w:p>
            <w:pPr>
              <w:ind w:left="360"/>
              <w:spacing w:after="0"/>
              <w:rPr>
                <w:sz w:val="20"/>
                <w:szCs w:val="20"/>
                <w:color w:val="auto"/>
              </w:rPr>
            </w:pPr>
            <w:r>
              <w:rPr>
                <w:rFonts w:ascii="Arial" w:cs="Arial" w:eastAsia="Arial" w:hAnsi="Arial"/>
                <w:sz w:val="14"/>
                <w:szCs w:val="14"/>
                <w:color w:val="auto"/>
              </w:rPr>
              <w:t>Options granted in 2003 at fair value</w:t>
            </w:r>
          </w:p>
        </w:tc>
        <w:tc>
          <w:tcPr>
            <w:tcW w:w="3940" w:type="dxa"/>
            <w:vAlign w:val="bottom"/>
            <w:gridSpan w:val="3"/>
          </w:tcPr>
          <w:p>
            <w:pPr>
              <w:jc w:val="right"/>
              <w:ind w:right="20"/>
              <w:spacing w:after="0"/>
              <w:rPr>
                <w:sz w:val="20"/>
                <w:szCs w:val="20"/>
                <w:color w:val="auto"/>
              </w:rPr>
            </w:pPr>
            <w:r>
              <w:rPr>
                <w:rFonts w:ascii="Arial" w:cs="Arial" w:eastAsia="Arial" w:hAnsi="Arial"/>
                <w:sz w:val="14"/>
                <w:szCs w:val="14"/>
                <w:color w:val="auto"/>
              </w:rPr>
              <w:t>541,018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12.89</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4.19</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5"/>
        </w:trPr>
        <w:tc>
          <w:tcPr>
            <w:tcW w:w="4020" w:type="dxa"/>
            <w:vAlign w:val="bottom"/>
          </w:tcPr>
          <w:p>
            <w:pPr>
              <w:ind w:left="360"/>
              <w:spacing w:after="0"/>
              <w:rPr>
                <w:sz w:val="20"/>
                <w:szCs w:val="20"/>
                <w:color w:val="auto"/>
              </w:rPr>
            </w:pPr>
            <w:r>
              <w:rPr>
                <w:rFonts w:ascii="Arial" w:cs="Arial" w:eastAsia="Arial" w:hAnsi="Arial"/>
                <w:sz w:val="14"/>
                <w:szCs w:val="14"/>
                <w:color w:val="auto"/>
              </w:rPr>
              <w:t>Options exercised in 2003</w:t>
            </w:r>
          </w:p>
        </w:tc>
        <w:tc>
          <w:tcPr>
            <w:tcW w:w="4260" w:type="dxa"/>
            <w:vAlign w:val="bottom"/>
            <w:gridSpan w:val="4"/>
          </w:tcPr>
          <w:p>
            <w:pPr>
              <w:jc w:val="right"/>
              <w:ind w:right="300"/>
              <w:spacing w:after="0"/>
              <w:rPr>
                <w:sz w:val="20"/>
                <w:szCs w:val="20"/>
                <w:color w:val="auto"/>
              </w:rPr>
            </w:pPr>
            <w:r>
              <w:rPr>
                <w:rFonts w:ascii="Arial" w:cs="Arial" w:eastAsia="Arial" w:hAnsi="Arial"/>
                <w:sz w:val="14"/>
                <w:szCs w:val="14"/>
                <w:color w:val="auto"/>
              </w:rPr>
              <w:t>(549,742)</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81"/>
        </w:trPr>
        <w:tc>
          <w:tcPr>
            <w:tcW w:w="4020" w:type="dxa"/>
            <w:vAlign w:val="bottom"/>
          </w:tcPr>
          <w:p>
            <w:pPr>
              <w:ind w:left="360"/>
              <w:spacing w:after="0"/>
              <w:rPr>
                <w:sz w:val="20"/>
                <w:szCs w:val="20"/>
                <w:color w:val="auto"/>
              </w:rPr>
            </w:pPr>
            <w:r>
              <w:rPr>
                <w:rFonts w:ascii="Arial" w:cs="Arial" w:eastAsia="Arial" w:hAnsi="Arial"/>
                <w:sz w:val="14"/>
                <w:szCs w:val="14"/>
                <w:color w:val="auto"/>
              </w:rPr>
              <w:t>Options canceled in 2003</w:t>
            </w:r>
          </w:p>
        </w:tc>
        <w:tc>
          <w:tcPr>
            <w:tcW w:w="330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(130,507)</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7"/>
        </w:trPr>
        <w:tc>
          <w:tcPr>
            <w:tcW w:w="4020" w:type="dxa"/>
            <w:vAlign w:val="bottom"/>
          </w:tcPr>
          <w:p>
            <w:pPr>
              <w:spacing w:after="0"/>
              <w:rPr>
                <w:sz w:val="20"/>
                <w:szCs w:val="20"/>
                <w:color w:val="auto"/>
              </w:rPr>
            </w:pPr>
            <w:r>
              <w:rPr>
                <w:rFonts w:ascii="Arial" w:cs="Arial" w:eastAsia="Arial" w:hAnsi="Arial"/>
                <w:sz w:val="14"/>
                <w:szCs w:val="14"/>
                <w:color w:val="auto"/>
              </w:rPr>
              <w:t>Under option—January 1, 2004</w:t>
            </w:r>
          </w:p>
        </w:tc>
        <w:tc>
          <w:tcPr>
            <w:tcW w:w="3300" w:type="dxa"/>
            <w:vAlign w:val="bottom"/>
          </w:tcPr>
          <w:p>
            <w:pPr>
              <w:spacing w:after="0"/>
              <w:rPr>
                <w:sz w:val="15"/>
                <w:szCs w:val="15"/>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6"/>
              </w:rPr>
              <w:t>3,260,451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5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269,332</w:t>
            </w:r>
          </w:p>
        </w:tc>
        <w:tc>
          <w:tcPr>
            <w:tcW w:w="20" w:type="dxa"/>
            <w:vAlign w:val="bottom"/>
          </w:tcPr>
          <w:p>
            <w:pPr>
              <w:spacing w:after="0"/>
              <w:rPr>
                <w:sz w:val="15"/>
                <w:szCs w:val="15"/>
                <w:color w:val="auto"/>
              </w:rPr>
            </w:pPr>
          </w:p>
        </w:tc>
      </w:tr>
      <w:tr>
        <w:trPr>
          <w:trHeight w:val="257"/>
        </w:trPr>
        <w:tc>
          <w:tcPr>
            <w:tcW w:w="4020" w:type="dxa"/>
            <w:vAlign w:val="bottom"/>
          </w:tcPr>
          <w:p>
            <w:pPr>
              <w:ind w:left="360"/>
              <w:spacing w:after="0"/>
              <w:rPr>
                <w:sz w:val="20"/>
                <w:szCs w:val="20"/>
                <w:color w:val="auto"/>
              </w:rPr>
            </w:pPr>
            <w:r>
              <w:rPr>
                <w:rFonts w:ascii="Arial" w:cs="Arial" w:eastAsia="Arial" w:hAnsi="Arial"/>
                <w:sz w:val="14"/>
                <w:szCs w:val="14"/>
                <w:color w:val="auto"/>
              </w:rPr>
              <w:t>Options granted in 2004 at fair value</w:t>
            </w:r>
          </w:p>
        </w:tc>
        <w:tc>
          <w:tcPr>
            <w:tcW w:w="3940" w:type="dxa"/>
            <w:vAlign w:val="bottom"/>
            <w:gridSpan w:val="3"/>
          </w:tcPr>
          <w:p>
            <w:pPr>
              <w:jc w:val="right"/>
              <w:ind w:right="20"/>
              <w:spacing w:after="0"/>
              <w:rPr>
                <w:sz w:val="20"/>
                <w:szCs w:val="20"/>
                <w:color w:val="auto"/>
              </w:rPr>
            </w:pPr>
            <w:r>
              <w:rPr>
                <w:rFonts w:ascii="Arial" w:cs="Arial" w:eastAsia="Arial" w:hAnsi="Arial"/>
                <w:sz w:val="14"/>
                <w:szCs w:val="14"/>
                <w:color w:val="auto"/>
              </w:rPr>
              <w:t>116,750</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17.83</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5.01</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5"/>
        </w:trPr>
        <w:tc>
          <w:tcPr>
            <w:tcW w:w="4020" w:type="dxa"/>
            <w:vAlign w:val="bottom"/>
          </w:tcPr>
          <w:p>
            <w:pPr>
              <w:ind w:left="360"/>
              <w:spacing w:after="0"/>
              <w:rPr>
                <w:sz w:val="20"/>
                <w:szCs w:val="20"/>
                <w:color w:val="auto"/>
              </w:rPr>
            </w:pPr>
            <w:r>
              <w:rPr>
                <w:rFonts w:ascii="Arial" w:cs="Arial" w:eastAsia="Arial" w:hAnsi="Arial"/>
                <w:sz w:val="14"/>
                <w:szCs w:val="14"/>
                <w:color w:val="auto"/>
              </w:rPr>
              <w:t>Options exercised in 2004</w:t>
            </w:r>
          </w:p>
        </w:tc>
        <w:tc>
          <w:tcPr>
            <w:tcW w:w="4260" w:type="dxa"/>
            <w:vAlign w:val="bottom"/>
            <w:gridSpan w:val="4"/>
          </w:tcPr>
          <w:p>
            <w:pPr>
              <w:jc w:val="right"/>
              <w:ind w:right="300"/>
              <w:spacing w:after="0"/>
              <w:rPr>
                <w:sz w:val="20"/>
                <w:szCs w:val="20"/>
                <w:color w:val="auto"/>
              </w:rPr>
            </w:pPr>
            <w:r>
              <w:rPr>
                <w:rFonts w:ascii="Arial" w:cs="Arial" w:eastAsia="Arial" w:hAnsi="Arial"/>
                <w:sz w:val="14"/>
                <w:szCs w:val="14"/>
                <w:color w:val="auto"/>
              </w:rPr>
              <w:t>(801,189)</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7.20</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81"/>
        </w:trPr>
        <w:tc>
          <w:tcPr>
            <w:tcW w:w="4020" w:type="dxa"/>
            <w:vAlign w:val="bottom"/>
          </w:tcPr>
          <w:p>
            <w:pPr>
              <w:ind w:left="360"/>
              <w:spacing w:after="0"/>
              <w:rPr>
                <w:sz w:val="20"/>
                <w:szCs w:val="20"/>
                <w:color w:val="auto"/>
              </w:rPr>
            </w:pPr>
            <w:r>
              <w:rPr>
                <w:rFonts w:ascii="Arial" w:cs="Arial" w:eastAsia="Arial" w:hAnsi="Arial"/>
                <w:sz w:val="14"/>
                <w:szCs w:val="14"/>
                <w:color w:val="auto"/>
              </w:rPr>
              <w:t>Options canceled in 2004</w:t>
            </w:r>
          </w:p>
        </w:tc>
        <w:tc>
          <w:tcPr>
            <w:tcW w:w="330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(81,563)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15.08</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7"/>
        </w:trPr>
        <w:tc>
          <w:tcPr>
            <w:tcW w:w="4020" w:type="dxa"/>
            <w:vAlign w:val="bottom"/>
          </w:tcPr>
          <w:p>
            <w:pPr>
              <w:spacing w:after="0"/>
              <w:rPr>
                <w:sz w:val="20"/>
                <w:szCs w:val="20"/>
                <w:color w:val="auto"/>
              </w:rPr>
            </w:pPr>
            <w:r>
              <w:rPr>
                <w:rFonts w:ascii="Arial" w:cs="Arial" w:eastAsia="Arial" w:hAnsi="Arial"/>
                <w:sz w:val="14"/>
                <w:szCs w:val="14"/>
                <w:color w:val="auto"/>
              </w:rPr>
              <w:t>Under option—December 30, 2004</w:t>
            </w:r>
          </w:p>
        </w:tc>
        <w:tc>
          <w:tcPr>
            <w:tcW w:w="3300" w:type="dxa"/>
            <w:vAlign w:val="bottom"/>
          </w:tcPr>
          <w:p>
            <w:pPr>
              <w:spacing w:after="0"/>
              <w:rPr>
                <w:sz w:val="15"/>
                <w:szCs w:val="15"/>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6"/>
              </w:rPr>
              <w:t>2,494,449</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w:t>
            </w:r>
          </w:p>
        </w:tc>
        <w:tc>
          <w:tcPr>
            <w:tcW w:w="5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291,793</w:t>
            </w:r>
          </w:p>
        </w:tc>
        <w:tc>
          <w:tcPr>
            <w:tcW w:w="20" w:type="dxa"/>
            <w:vAlign w:val="bottom"/>
          </w:tcPr>
          <w:p>
            <w:pPr>
              <w:spacing w:after="0"/>
              <w:rPr>
                <w:sz w:val="15"/>
                <w:szCs w:val="15"/>
                <w:color w:val="auto"/>
              </w:rPr>
            </w:pPr>
          </w:p>
        </w:tc>
      </w:tr>
      <w:tr>
        <w:trPr>
          <w:trHeight w:val="257"/>
        </w:trPr>
        <w:tc>
          <w:tcPr>
            <w:tcW w:w="4020" w:type="dxa"/>
            <w:vAlign w:val="bottom"/>
          </w:tcPr>
          <w:p>
            <w:pPr>
              <w:ind w:left="360"/>
              <w:spacing w:after="0"/>
              <w:rPr>
                <w:sz w:val="20"/>
                <w:szCs w:val="20"/>
                <w:color w:val="auto"/>
              </w:rPr>
            </w:pPr>
            <w:r>
              <w:rPr>
                <w:rFonts w:ascii="Arial" w:cs="Arial" w:eastAsia="Arial" w:hAnsi="Arial"/>
                <w:sz w:val="14"/>
                <w:szCs w:val="14"/>
                <w:color w:val="auto"/>
              </w:rPr>
              <w:t>Options exercised in 2005</w:t>
            </w:r>
          </w:p>
        </w:tc>
        <w:tc>
          <w:tcPr>
            <w:tcW w:w="4260" w:type="dxa"/>
            <w:vAlign w:val="bottom"/>
            <w:gridSpan w:val="4"/>
          </w:tcPr>
          <w:p>
            <w:pPr>
              <w:jc w:val="right"/>
              <w:ind w:right="300"/>
              <w:spacing w:after="0"/>
              <w:rPr>
                <w:sz w:val="20"/>
                <w:szCs w:val="20"/>
                <w:color w:val="auto"/>
              </w:rPr>
            </w:pPr>
            <w:r>
              <w:rPr>
                <w:rFonts w:ascii="Arial" w:cs="Arial" w:eastAsia="Arial" w:hAnsi="Arial"/>
                <w:sz w:val="14"/>
                <w:szCs w:val="14"/>
                <w:color w:val="auto"/>
              </w:rPr>
              <w:t>(74,888)</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9.50</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81"/>
        </w:trPr>
        <w:tc>
          <w:tcPr>
            <w:tcW w:w="4020" w:type="dxa"/>
            <w:vAlign w:val="bottom"/>
          </w:tcPr>
          <w:p>
            <w:pPr>
              <w:ind w:left="360"/>
              <w:spacing w:after="0"/>
              <w:rPr>
                <w:sz w:val="20"/>
                <w:szCs w:val="20"/>
                <w:color w:val="auto"/>
              </w:rPr>
            </w:pPr>
            <w:r>
              <w:rPr>
                <w:rFonts w:ascii="Arial" w:cs="Arial" w:eastAsia="Arial" w:hAnsi="Arial"/>
                <w:sz w:val="14"/>
                <w:szCs w:val="14"/>
                <w:color w:val="auto"/>
              </w:rPr>
              <w:t>Options canceled in 2005</w:t>
            </w:r>
          </w:p>
        </w:tc>
        <w:tc>
          <w:tcPr>
            <w:tcW w:w="330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(6,480)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16.69</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8"/>
        </w:trPr>
        <w:tc>
          <w:tcPr>
            <w:tcW w:w="4020" w:type="dxa"/>
            <w:vAlign w:val="bottom"/>
          </w:tcPr>
          <w:p>
            <w:pPr>
              <w:spacing w:after="0"/>
              <w:rPr>
                <w:sz w:val="20"/>
                <w:szCs w:val="20"/>
                <w:color w:val="auto"/>
              </w:rPr>
            </w:pPr>
            <w:r>
              <w:rPr>
                <w:rFonts w:ascii="Arial" w:cs="Arial" w:eastAsia="Arial" w:hAnsi="Arial"/>
                <w:sz w:val="14"/>
                <w:szCs w:val="14"/>
                <w:color w:val="auto"/>
              </w:rPr>
              <w:t>Under option—March 31, 2005</w:t>
            </w:r>
          </w:p>
        </w:tc>
        <w:tc>
          <w:tcPr>
            <w:tcW w:w="33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2,413,081</w:t>
            </w:r>
          </w:p>
        </w:tc>
        <w:tc>
          <w:tcPr>
            <w:tcW w:w="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9.81</w:t>
            </w:r>
          </w:p>
        </w:tc>
        <w:tc>
          <w:tcPr>
            <w:tcW w:w="5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707,549</w:t>
            </w:r>
          </w:p>
        </w:tc>
        <w:tc>
          <w:tcPr>
            <w:tcW w:w="20" w:type="dxa"/>
            <w:vAlign w:val="bottom"/>
          </w:tcPr>
          <w:p>
            <w:pPr>
              <w:spacing w:after="0"/>
              <w:rPr>
                <w:sz w:val="15"/>
                <w:szCs w:val="15"/>
                <w:color w:val="auto"/>
              </w:rPr>
            </w:pPr>
          </w:p>
        </w:tc>
      </w:tr>
      <w:tr>
        <w:trPr>
          <w:trHeight w:val="20"/>
        </w:trPr>
        <w:tc>
          <w:tcPr>
            <w:tcW w:w="4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4020" w:type="dxa"/>
            <w:vAlign w:val="bottom"/>
          </w:tcPr>
          <w:p>
            <w:pPr>
              <w:spacing w:after="0"/>
              <w:rPr>
                <w:sz w:val="24"/>
                <w:szCs w:val="24"/>
                <w:color w:val="auto"/>
              </w:rPr>
            </w:pPr>
          </w:p>
        </w:tc>
        <w:tc>
          <w:tcPr>
            <w:tcW w:w="4260" w:type="dxa"/>
            <w:vAlign w:val="bottom"/>
            <w:gridSpan w:val="4"/>
          </w:tcPr>
          <w:p>
            <w:pPr>
              <w:jc w:val="right"/>
              <w:ind w:right="2420"/>
              <w:spacing w:after="0"/>
              <w:rPr>
                <w:sz w:val="20"/>
                <w:szCs w:val="20"/>
                <w:color w:val="auto"/>
              </w:rPr>
            </w:pPr>
            <w:r>
              <w:rPr>
                <w:rFonts w:ascii="Arial" w:cs="Arial" w:eastAsia="Arial" w:hAnsi="Arial"/>
                <w:sz w:val="14"/>
                <w:szCs w:val="14"/>
                <w:color w:val="auto"/>
              </w:rPr>
              <w:t>F-38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20" w:top="399" w:right="21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information about the Plan’s stock options at March 31, 2005, including the weighted average remaining contractual life and weighted average exercise price: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Options Outstanding</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Options Exercisable</w:t>
            </w:r>
          </w:p>
        </w:tc>
        <w:tc>
          <w:tcPr>
            <w:tcW w:w="3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00"/>
        </w:trPr>
        <w:tc>
          <w:tcPr>
            <w:tcW w:w="5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gridSpan w:val="2"/>
          </w:tcPr>
          <w:p>
            <w:pPr>
              <w:jc w:val="center"/>
              <w:ind w:right="280"/>
              <w:spacing w:after="0" w:line="100" w:lineRule="exact"/>
              <w:rPr>
                <w:sz w:val="20"/>
                <w:szCs w:val="20"/>
                <w:color w:val="auto"/>
              </w:rPr>
            </w:pPr>
            <w:r>
              <w:rPr>
                <w:rFonts w:ascii="Arial" w:cs="Arial" w:eastAsia="Arial" w:hAnsi="Arial"/>
                <w:sz w:val="11"/>
                <w:szCs w:val="11"/>
                <w:b w:val="1"/>
                <w:bCs w:val="1"/>
                <w:color w:val="auto"/>
                <w:w w:val="88"/>
              </w:rPr>
              <w:t>Weighted</w:t>
            </w:r>
          </w:p>
        </w:tc>
        <w:tc>
          <w:tcPr>
            <w:tcW w:w="260" w:type="dxa"/>
            <w:vAlign w:val="bottom"/>
          </w:tcPr>
          <w:p>
            <w:pPr>
              <w:spacing w:after="0"/>
              <w:rPr>
                <w:sz w:val="8"/>
                <w:szCs w:val="8"/>
                <w:color w:val="auto"/>
              </w:rPr>
            </w:pPr>
          </w:p>
        </w:tc>
        <w:tc>
          <w:tcPr>
            <w:tcW w:w="44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88"/>
              </w:rPr>
              <w:t>Weighted</w:t>
            </w: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88"/>
              </w:rPr>
              <w:t>Weighted</w:t>
            </w:r>
          </w:p>
        </w:tc>
        <w:tc>
          <w:tcPr>
            <w:tcW w:w="20" w:type="dxa"/>
            <w:vAlign w:val="bottom"/>
          </w:tcPr>
          <w:p>
            <w:pPr>
              <w:spacing w:after="0"/>
              <w:rPr>
                <w:sz w:val="8"/>
                <w:szCs w:val="8"/>
                <w:color w:val="auto"/>
              </w:rPr>
            </w:pPr>
          </w:p>
        </w:tc>
      </w:tr>
      <w:tr>
        <w:trPr>
          <w:trHeight w:val="120"/>
        </w:trPr>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Number</w:t>
            </w:r>
          </w:p>
        </w:tc>
        <w:tc>
          <w:tcPr>
            <w:tcW w:w="540" w:type="dxa"/>
            <w:vAlign w:val="bottom"/>
          </w:tcPr>
          <w:p>
            <w:pPr>
              <w:spacing w:after="0"/>
              <w:rPr>
                <w:sz w:val="10"/>
                <w:szCs w:val="10"/>
                <w:color w:val="auto"/>
              </w:rPr>
            </w:pPr>
          </w:p>
        </w:tc>
        <w:tc>
          <w:tcPr>
            <w:tcW w:w="8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Average</w:t>
            </w:r>
          </w:p>
        </w:tc>
        <w:tc>
          <w:tcPr>
            <w:tcW w:w="260" w:type="dxa"/>
            <w:vAlign w:val="bottom"/>
          </w:tcPr>
          <w:p>
            <w:pPr>
              <w:spacing w:after="0"/>
              <w:rPr>
                <w:sz w:val="10"/>
                <w:szCs w:val="10"/>
                <w:color w:val="auto"/>
              </w:rPr>
            </w:pPr>
          </w:p>
        </w:tc>
        <w:tc>
          <w:tcPr>
            <w:tcW w:w="1020" w:type="dxa"/>
            <w:vAlign w:val="bottom"/>
            <w:gridSpan w:val="3"/>
          </w:tcPr>
          <w:p>
            <w:pPr>
              <w:jc w:val="center"/>
              <w:ind w:right="580"/>
              <w:spacing w:after="0" w:line="121" w:lineRule="exact"/>
              <w:rPr>
                <w:sz w:val="20"/>
                <w:szCs w:val="20"/>
                <w:color w:val="auto"/>
              </w:rPr>
            </w:pPr>
            <w:r>
              <w:rPr>
                <w:rFonts w:ascii="Arial" w:cs="Arial" w:eastAsia="Arial" w:hAnsi="Arial"/>
                <w:sz w:val="11"/>
                <w:szCs w:val="11"/>
                <w:b w:val="1"/>
                <w:bCs w:val="1"/>
                <w:color w:val="auto"/>
                <w:w w:val="92"/>
              </w:rPr>
              <w:t>Average</w:t>
            </w:r>
          </w:p>
        </w:tc>
        <w:tc>
          <w:tcPr>
            <w:tcW w:w="720" w:type="dxa"/>
            <w:vAlign w:val="bottom"/>
          </w:tcPr>
          <w:p>
            <w:pPr>
              <w:jc w:val="right"/>
              <w:ind w:right="97"/>
              <w:spacing w:after="0" w:line="121" w:lineRule="exact"/>
              <w:rPr>
                <w:sz w:val="20"/>
                <w:szCs w:val="20"/>
                <w:color w:val="auto"/>
              </w:rPr>
            </w:pPr>
            <w:r>
              <w:rPr>
                <w:rFonts w:ascii="Arial" w:cs="Arial" w:eastAsia="Arial" w:hAnsi="Arial"/>
                <w:sz w:val="11"/>
                <w:szCs w:val="11"/>
                <w:b w:val="1"/>
                <w:bCs w:val="1"/>
                <w:color w:val="auto"/>
              </w:rPr>
              <w:t>Number</w:t>
            </w:r>
          </w:p>
        </w:tc>
        <w:tc>
          <w:tcPr>
            <w:tcW w:w="580" w:type="dxa"/>
            <w:vAlign w:val="bottom"/>
          </w:tcPr>
          <w:p>
            <w:pPr>
              <w:spacing w:after="0"/>
              <w:rPr>
                <w:sz w:val="10"/>
                <w:szCs w:val="10"/>
                <w:color w:val="auto"/>
              </w:rPr>
            </w:pPr>
          </w:p>
        </w:tc>
        <w:tc>
          <w:tcPr>
            <w:tcW w:w="46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87"/>
              </w:rPr>
              <w:t>Average</w:t>
            </w:r>
          </w:p>
        </w:tc>
      </w:tr>
      <w:tr>
        <w:trPr>
          <w:trHeight w:val="120"/>
        </w:trPr>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Outstanding at</w:t>
            </w:r>
          </w:p>
        </w:tc>
        <w:tc>
          <w:tcPr>
            <w:tcW w:w="540" w:type="dxa"/>
            <w:vAlign w:val="bottom"/>
          </w:tcPr>
          <w:p>
            <w:pPr>
              <w:spacing w:after="0"/>
              <w:rPr>
                <w:sz w:val="10"/>
                <w:szCs w:val="10"/>
                <w:color w:val="auto"/>
              </w:rPr>
            </w:pPr>
          </w:p>
        </w:tc>
        <w:tc>
          <w:tcPr>
            <w:tcW w:w="880" w:type="dxa"/>
            <w:vAlign w:val="bottom"/>
            <w:gridSpan w:val="2"/>
          </w:tcPr>
          <w:p>
            <w:pPr>
              <w:jc w:val="right"/>
              <w:ind w:right="300"/>
              <w:spacing w:after="0" w:line="121" w:lineRule="exact"/>
              <w:rPr>
                <w:sz w:val="20"/>
                <w:szCs w:val="20"/>
                <w:color w:val="auto"/>
              </w:rPr>
            </w:pPr>
            <w:r>
              <w:rPr>
                <w:rFonts w:ascii="Arial" w:cs="Arial" w:eastAsia="Arial" w:hAnsi="Arial"/>
                <w:sz w:val="11"/>
                <w:szCs w:val="11"/>
                <w:b w:val="1"/>
                <w:bCs w:val="1"/>
                <w:color w:val="auto"/>
                <w:w w:val="91"/>
              </w:rPr>
              <w:t>Contractual</w:t>
            </w:r>
          </w:p>
        </w:tc>
        <w:tc>
          <w:tcPr>
            <w:tcW w:w="260" w:type="dxa"/>
            <w:vAlign w:val="bottom"/>
          </w:tcPr>
          <w:p>
            <w:pPr>
              <w:spacing w:after="0"/>
              <w:rPr>
                <w:sz w:val="10"/>
                <w:szCs w:val="10"/>
                <w:color w:val="auto"/>
              </w:rPr>
            </w:pPr>
          </w:p>
        </w:tc>
        <w:tc>
          <w:tcPr>
            <w:tcW w:w="1020" w:type="dxa"/>
            <w:vAlign w:val="bottom"/>
            <w:gridSpan w:val="3"/>
          </w:tcPr>
          <w:p>
            <w:pPr>
              <w:jc w:val="center"/>
              <w:ind w:right="580"/>
              <w:spacing w:after="0" w:line="121" w:lineRule="exact"/>
              <w:rPr>
                <w:sz w:val="20"/>
                <w:szCs w:val="20"/>
                <w:color w:val="auto"/>
              </w:rPr>
            </w:pPr>
            <w:r>
              <w:rPr>
                <w:rFonts w:ascii="Arial" w:cs="Arial" w:eastAsia="Arial" w:hAnsi="Arial"/>
                <w:sz w:val="11"/>
                <w:szCs w:val="11"/>
                <w:b w:val="1"/>
                <w:bCs w:val="1"/>
                <w:color w:val="auto"/>
                <w:w w:val="88"/>
              </w:rPr>
              <w:t>Exercise</w:t>
            </w:r>
          </w:p>
        </w:tc>
        <w:tc>
          <w:tcPr>
            <w:tcW w:w="720" w:type="dxa"/>
            <w:vAlign w:val="bottom"/>
          </w:tcPr>
          <w:p>
            <w:pPr>
              <w:jc w:val="right"/>
              <w:spacing w:after="0" w:line="121" w:lineRule="exact"/>
              <w:rPr>
                <w:sz w:val="20"/>
                <w:szCs w:val="20"/>
                <w:color w:val="auto"/>
              </w:rPr>
            </w:pPr>
            <w:r>
              <w:rPr>
                <w:rFonts w:ascii="Arial" w:cs="Arial" w:eastAsia="Arial" w:hAnsi="Arial"/>
                <w:sz w:val="11"/>
                <w:szCs w:val="11"/>
                <w:b w:val="1"/>
                <w:bCs w:val="1"/>
                <w:color w:val="auto"/>
                <w:w w:val="89"/>
              </w:rPr>
              <w:t>Exercisable at</w:t>
            </w:r>
          </w:p>
        </w:tc>
        <w:tc>
          <w:tcPr>
            <w:tcW w:w="580" w:type="dxa"/>
            <w:vAlign w:val="bottom"/>
          </w:tcPr>
          <w:p>
            <w:pPr>
              <w:spacing w:after="0"/>
              <w:rPr>
                <w:sz w:val="10"/>
                <w:szCs w:val="10"/>
                <w:color w:val="auto"/>
              </w:rPr>
            </w:pPr>
          </w:p>
        </w:tc>
        <w:tc>
          <w:tcPr>
            <w:tcW w:w="46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8"/>
              </w:rPr>
              <w:t>Exercise</w:t>
            </w:r>
          </w:p>
        </w:tc>
      </w:tr>
      <w:tr>
        <w:trPr>
          <w:trHeight w:val="151"/>
        </w:trPr>
        <w:tc>
          <w:tcPr>
            <w:tcW w:w="57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Range of Exercise Price</w:t>
            </w:r>
          </w:p>
        </w:tc>
        <w:tc>
          <w:tcPr>
            <w:tcW w:w="5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1"/>
              </w:rPr>
              <w:t>March 31, 2005</w:t>
            </w:r>
          </w:p>
        </w:tc>
        <w:tc>
          <w:tcPr>
            <w:tcW w:w="54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Life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89"/>
              </w:rPr>
              <w:t>Price</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w w:val="89"/>
              </w:rPr>
              <w:t>March 31, 2005</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Price</w:t>
            </w: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$2.69–$5.38</w:t>
            </w: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782,837</w:t>
            </w:r>
          </w:p>
        </w:tc>
        <w:tc>
          <w:tcPr>
            <w:tcW w:w="54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3.09</w:t>
            </w:r>
          </w:p>
        </w:tc>
        <w:tc>
          <w:tcPr>
            <w:tcW w:w="580" w:type="dxa"/>
            <w:vAlign w:val="bottom"/>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393,039</w:t>
            </w:r>
          </w:p>
        </w:tc>
        <w:tc>
          <w:tcPr>
            <w:tcW w:w="5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3.09</w:t>
            </w:r>
          </w:p>
        </w:tc>
        <w:tc>
          <w:tcPr>
            <w:tcW w:w="20" w:type="dxa"/>
            <w:vAlign w:val="bottom"/>
          </w:tcPr>
          <w:p>
            <w:pPr>
              <w:spacing w:after="0"/>
              <w:rPr>
                <w:sz w:val="12"/>
                <w:szCs w:val="12"/>
                <w:color w:val="auto"/>
              </w:rPr>
            </w:pPr>
          </w:p>
        </w:tc>
      </w:tr>
      <w:tr>
        <w:trPr>
          <w:trHeight w:val="175"/>
        </w:trPr>
        <w:tc>
          <w:tcPr>
            <w:tcW w:w="6280" w:type="dxa"/>
            <w:vAlign w:val="bottom"/>
            <w:gridSpan w:val="2"/>
          </w:tcPr>
          <w:p>
            <w:pPr>
              <w:spacing w:after="0"/>
              <w:rPr>
                <w:sz w:val="20"/>
                <w:szCs w:val="20"/>
                <w:color w:val="auto"/>
              </w:rPr>
            </w:pPr>
            <w:r>
              <w:rPr>
                <w:rFonts w:ascii="Arial" w:cs="Arial" w:eastAsia="Arial" w:hAnsi="Arial"/>
                <w:sz w:val="14"/>
                <w:szCs w:val="14"/>
                <w:color w:val="auto"/>
              </w:rPr>
              <w:t>$7.80–$11.51</w:t>
            </w:r>
          </w:p>
        </w:tc>
        <w:tc>
          <w:tcPr>
            <w:tcW w:w="740" w:type="dxa"/>
            <w:vAlign w:val="bottom"/>
          </w:tcPr>
          <w:p>
            <w:pPr>
              <w:jc w:val="right"/>
              <w:spacing w:after="0"/>
              <w:rPr>
                <w:sz w:val="20"/>
                <w:szCs w:val="20"/>
                <w:color w:val="auto"/>
              </w:rPr>
            </w:pPr>
            <w:r>
              <w:rPr>
                <w:rFonts w:ascii="Arial" w:cs="Arial" w:eastAsia="Arial" w:hAnsi="Arial"/>
                <w:sz w:val="14"/>
                <w:szCs w:val="14"/>
                <w:color w:val="auto"/>
              </w:rPr>
              <w:t>752,095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7.39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color w:val="auto"/>
                <w:w w:val="96"/>
              </w:rPr>
              <w:t>11.11</w:t>
            </w:r>
          </w:p>
        </w:tc>
        <w:tc>
          <w:tcPr>
            <w:tcW w:w="720" w:type="dxa"/>
            <w:vAlign w:val="bottom"/>
          </w:tcPr>
          <w:p>
            <w:pPr>
              <w:jc w:val="right"/>
              <w:spacing w:after="0"/>
              <w:rPr>
                <w:sz w:val="20"/>
                <w:szCs w:val="20"/>
                <w:color w:val="auto"/>
              </w:rPr>
            </w:pPr>
            <w:r>
              <w:rPr>
                <w:rFonts w:ascii="Arial" w:cs="Arial" w:eastAsia="Arial" w:hAnsi="Arial"/>
                <w:sz w:val="14"/>
                <w:szCs w:val="14"/>
                <w:color w:val="auto"/>
              </w:rPr>
              <w:t>114,856</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10.21</w:t>
            </w:r>
          </w:p>
        </w:tc>
      </w:tr>
      <w:tr>
        <w:trPr>
          <w:trHeight w:val="181"/>
        </w:trPr>
        <w:tc>
          <w:tcPr>
            <w:tcW w:w="6280" w:type="dxa"/>
            <w:vAlign w:val="bottom"/>
            <w:gridSpan w:val="2"/>
          </w:tcPr>
          <w:p>
            <w:pPr>
              <w:spacing w:after="0"/>
              <w:rPr>
                <w:sz w:val="20"/>
                <w:szCs w:val="20"/>
                <w:color w:val="auto"/>
              </w:rPr>
            </w:pPr>
            <w:r>
              <w:rPr>
                <w:rFonts w:ascii="Arial" w:cs="Arial" w:eastAsia="Arial" w:hAnsi="Arial"/>
                <w:sz w:val="14"/>
                <w:szCs w:val="14"/>
                <w:color w:val="auto"/>
              </w:rPr>
              <w:t>$12.24–$17.83</w:t>
            </w:r>
          </w:p>
        </w:tc>
        <w:tc>
          <w:tcPr>
            <w:tcW w:w="740" w:type="dxa"/>
            <w:vAlign w:val="bottom"/>
          </w:tcPr>
          <w:p>
            <w:pPr>
              <w:jc w:val="right"/>
              <w:spacing w:after="0"/>
              <w:rPr>
                <w:sz w:val="20"/>
                <w:szCs w:val="20"/>
                <w:color w:val="auto"/>
              </w:rPr>
            </w:pPr>
            <w:r>
              <w:rPr>
                <w:rFonts w:ascii="Arial" w:cs="Arial" w:eastAsia="Arial" w:hAnsi="Arial"/>
                <w:sz w:val="14"/>
                <w:szCs w:val="14"/>
                <w:color w:val="auto"/>
              </w:rPr>
              <w:t>878,149</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color w:val="auto"/>
                <w:w w:val="96"/>
              </w:rPr>
              <w:t>14.69</w:t>
            </w:r>
          </w:p>
        </w:tc>
        <w:tc>
          <w:tcPr>
            <w:tcW w:w="720" w:type="dxa"/>
            <w:vAlign w:val="bottom"/>
          </w:tcPr>
          <w:p>
            <w:pPr>
              <w:jc w:val="right"/>
              <w:spacing w:after="0"/>
              <w:rPr>
                <w:sz w:val="20"/>
                <w:szCs w:val="20"/>
                <w:color w:val="auto"/>
              </w:rPr>
            </w:pPr>
            <w:r>
              <w:rPr>
                <w:rFonts w:ascii="Arial" w:cs="Arial" w:eastAsia="Arial" w:hAnsi="Arial"/>
                <w:sz w:val="14"/>
                <w:szCs w:val="14"/>
                <w:color w:val="auto"/>
              </w:rPr>
              <w:t>199,654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14.23</w:t>
            </w:r>
          </w:p>
        </w:tc>
      </w:tr>
      <w:tr>
        <w:trPr>
          <w:trHeight w:val="20"/>
        </w:trPr>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5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2,413,081</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7.38</w:t>
            </w:r>
          </w:p>
        </w:tc>
        <w:tc>
          <w:tcPr>
            <w:tcW w:w="30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4"/>
                <w:szCs w:val="14"/>
                <w:color w:val="auto"/>
              </w:rPr>
              <w:t>9.81</w:t>
            </w:r>
          </w:p>
        </w:tc>
        <w:tc>
          <w:tcPr>
            <w:tcW w:w="720" w:type="dxa"/>
            <w:vAlign w:val="bottom"/>
          </w:tcPr>
          <w:p>
            <w:pPr>
              <w:jc w:val="right"/>
              <w:spacing w:after="0"/>
              <w:rPr>
                <w:sz w:val="20"/>
                <w:szCs w:val="20"/>
                <w:color w:val="auto"/>
              </w:rPr>
            </w:pPr>
            <w:r>
              <w:rPr>
                <w:rFonts w:ascii="Arial" w:cs="Arial" w:eastAsia="Arial" w:hAnsi="Arial"/>
                <w:sz w:val="14"/>
                <w:szCs w:val="14"/>
                <w:color w:val="auto"/>
              </w:rPr>
              <w:t>707,549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7.39</w:t>
            </w:r>
          </w:p>
        </w:tc>
      </w:tr>
      <w:tr>
        <w:trPr>
          <w:trHeight w:val="20"/>
        </w:trPr>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80" w:firstLine="458"/>
        <w:spacing w:after="0" w:line="293" w:lineRule="auto"/>
        <w:rPr>
          <w:sz w:val="20"/>
          <w:szCs w:val="20"/>
          <w:color w:val="auto"/>
        </w:rPr>
      </w:pPr>
      <w:r>
        <w:rPr>
          <w:rFonts w:ascii="Arial" w:cs="Arial" w:eastAsia="Arial" w:hAnsi="Arial"/>
          <w:sz w:val="13"/>
          <w:szCs w:val="13"/>
          <w:color w:val="auto"/>
        </w:rPr>
        <w:t>During the first quarter of fiscal 2005, Regal granted restricted stock awards to certain officers and key employees of RCM. Under the restricted stock program, common stock of Regal was granted at no cost to officers and key employees, subject to a continued employment restriction. The restriction is fulfilled upon continued employment for a specified number of years (typically four years after the award date) and as such restrictions lapse, the award immediately vests. The plan participants are entitled to cash dividends and to vote their respective shares, although the sale and transfer of such shares is prohibited during the restricted period. On February 11, 2005, 75,170 shares were granted under the restricted stock program at a share price of $19.90 per share. Unearned compensation of approximately $1.5 million (equivalent to the market value at the date of grant) will be amortized to expense over the restriction period.</w:t>
      </w:r>
    </w:p>
    <w:p>
      <w:pPr>
        <w:spacing w:after="0" w:line="93" w:lineRule="exact"/>
        <w:rPr>
          <w:sz w:val="20"/>
          <w:szCs w:val="20"/>
          <w:color w:val="auto"/>
        </w:rPr>
      </w:pPr>
    </w:p>
    <w:p>
      <w:pPr>
        <w:ind w:right="20" w:firstLine="458"/>
        <w:spacing w:after="0" w:line="284" w:lineRule="auto"/>
        <w:rPr>
          <w:sz w:val="20"/>
          <w:szCs w:val="20"/>
          <w:color w:val="auto"/>
        </w:rPr>
      </w:pPr>
      <w:r>
        <w:rPr>
          <w:rFonts w:ascii="Arial" w:cs="Arial" w:eastAsia="Arial" w:hAnsi="Arial"/>
          <w:sz w:val="13"/>
          <w:szCs w:val="13"/>
          <w:color w:val="auto"/>
        </w:rPr>
        <w:t>In connection with the formation of National CineMedia, on May 11, 2005, Regal Cinemas, Inc. (“RCI”, a wholly-owned subsidiary of Regal) adopted and approved the RCI Severance Plan for Equity Compensation (the “Severance Plan”). Participation in the Severance Plan is limited to employees of RCM, who held unvested options to purchase shares of Regal’s common stock or unvested shares of Regal’s restricted common stock pursuant to the terms of the Incentive Plan immediately prior to such employee’s termination of employment with RCM and commencement of employment with National CineMedia. Each employee’s termination of employment with RCM was effective as of the close of business on May 24, 2005, and commencement of employment with National CineMedia was effective as of the next business day on May 25, 2005. (Between April 1, 2005 and May 24, 2005, NCM was billed for the costs of these employees’ compensation and related benefits.) Under the terms of and subject to the conditions of the Severance Plan, each eligible employee who participates in the Severance Plan (a “Participant”) is, at the times set forth in the Severance Plan, entitled to a cash payment equal to (1) with respect to each unvested stock option held on May 24, 2005, the difference between the exercise price of such unvested option and $20.19 (the fair market value of a share of Regal’s common stock on May 24, 2005, as calculated pursuant to the terms of the Severance Plan) and (2) with respect to each unvested share of restricted stock, $20.19 (the fair market value of a share of Regal’s common stock on May 24, 2005, as calculated pursuant to the terms of the Severance Plan). In addition, the Severance Plan provides that each Participant who held unvested shares of restricted stock on May 24, 2005, will be entitled to receive payments in lieu of dividend distributions in an amount equal to the per share value of dividends paid on Regal’s common stock times the number of shares of such restricted stock. Each such Participant will receive these payments in lieu of dividend distributions until the date that each such Participant’s restricted stock would have vested in accordance with the Incentive Plan. Solely for purposes of the calculation of such payments with respect to restricted stock, in the event of any stock dividend, stock split or other change in the corporate structure affecting Regal’s common stock, there shall be an equitable proportionate adjustment to the number of shares of restricted stock held by each Participant immediately prior to his or her termination of employment with RCM.</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60"/>
          </w:cols>
          <w:pgMar w:left="220" w:top="399" w:right="21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Each Participant’s cash payment will vest according to the year and date on which such unvested options and restricted stock held by such Participant would have vested pursuant to the terms of the Incentive Plan and the related award agreement had employment with RCM not ceased. The Severance Plan is a change in terms of the Regal options and restricted stock, resulting in a new measurement date for these equity compensation arrangements.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NCM, the cost of the Severance Plan will be recorded as an expense over the remaining required service periods. As expenses recognized, Regal, which is funding payments under the Severance Plan, is credited with a capital contribution.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COMMITMENTS AND CONTINGENCIES</w:t>
      </w:r>
    </w:p>
    <w:p>
      <w:pPr>
        <w:spacing w:after="0" w:line="83"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 * * * *</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440"/>
          </w:cols>
          <w:pgMar w:left="220" w:top="399" w:right="23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REGISTERED INDEPENDENT PUBLIC ACCOUNTING FIRM</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National Cinema Network,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Kansas City, Missouri</w:t>
      </w:r>
    </w:p>
    <w:p>
      <w:pPr>
        <w:spacing w:after="0" w:line="139"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We have audited the accompanying balance sheet of National Cinema Network, Inc. (a wholly owned subsidiary of AMC Entertainment Inc.) as of March 31, 2005 and the related statements of operations, stockholder’s equity, and cash flows for the period December 24, 2004 through March 31, 2005 (Successor Company operations), and for the period April 2, 2004 through December 23, 2004 and the year ended April 1, 2004 (Predecessor Company operations). These financial statements are the responsibility of the Company’s management. Our responsibility is to express an opinion on these financial statements based on our audits.</w:t>
      </w:r>
    </w:p>
    <w:p>
      <w:pPr>
        <w:spacing w:after="0" w:line="106"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color w:val="auto"/>
        </w:rPr>
        <w:t>We conducted our audits in accordance with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0"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In our opinion, such financial statements present fairly, in all material respects, the financial position of National Cinema Network, Inc. as of March 31, 2005 and the results of its operations and its cash flows for the period December 24, 2004 through March 31, 2005, in conformity with accounting principles generally accepted in the United States of America. Further, in our opinion, the Predecessor Company financial statements, referred to above, present fairly, in all material respects, the results of its operations and its cash flows for the period April 2, 2004 through December 23, 2004, and the year ended April 1, 2004, in conformity with accounting principles generally accepted in the United States of America.</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20, 2006</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460"/>
          </w:cols>
          <w:pgMar w:left="220" w:top="399" w:right="21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BALANCE SHEET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80" w:type="dxa"/>
            <w:vAlign w:val="bottom"/>
          </w:tcPr>
          <w:p>
            <w:pPr>
              <w:spacing w:after="0"/>
              <w:rPr>
                <w:sz w:val="10"/>
                <w:szCs w:val="10"/>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31"/>
        </w:trPr>
        <w:tc>
          <w:tcPr>
            <w:tcW w:w="10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w w:val="97"/>
              </w:rPr>
              <w:t>2005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8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w w:val="79"/>
              </w:rPr>
              <w:t>(Successor)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Receivables—net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8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0880" w:type="dxa"/>
            <w:vAlign w:val="bottom"/>
          </w:tcPr>
          <w:p>
            <w:pPr>
              <w:spacing w:after="0"/>
              <w:rPr>
                <w:sz w:val="20"/>
                <w:szCs w:val="20"/>
                <w:color w:val="auto"/>
              </w:rPr>
            </w:pPr>
            <w:r>
              <w:rPr>
                <w:rFonts w:ascii="Arial" w:cs="Arial" w:eastAsia="Arial" w:hAnsi="Arial"/>
                <w:sz w:val="14"/>
                <w:szCs w:val="14"/>
                <w:color w:val="auto"/>
              </w:rPr>
              <w:t>PROPERTY AND EQUIPMENT, net of accumulated depreciation of $7.9</w:t>
            </w:r>
          </w:p>
        </w:tc>
        <w:tc>
          <w:tcPr>
            <w:tcW w:w="10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Intangible assets, net</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80" w:type="dxa"/>
            <w:vAlign w:val="bottom"/>
          </w:tcPr>
          <w:p>
            <w:pPr>
              <w:ind w:left="360"/>
              <w:spacing w:after="0"/>
              <w:rPr>
                <w:sz w:val="20"/>
                <w:szCs w:val="20"/>
                <w:color w:val="auto"/>
              </w:rPr>
            </w:pPr>
            <w:r>
              <w:rPr>
                <w:rFonts w:ascii="Arial" w:cs="Arial" w:eastAsia="Arial" w:hAnsi="Arial"/>
                <w:sz w:val="14"/>
                <w:szCs w:val="14"/>
                <w:color w:val="auto"/>
              </w:rPr>
              <w:t>Goodwill</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other assets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60.8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80" w:type="dxa"/>
            <w:vAlign w:val="bottom"/>
          </w:tcPr>
          <w:p>
            <w:pPr>
              <w:ind w:left="360"/>
              <w:spacing w:after="0"/>
              <w:rPr>
                <w:sz w:val="20"/>
                <w:szCs w:val="20"/>
                <w:color w:val="auto"/>
              </w:rPr>
            </w:pPr>
            <w:r>
              <w:rPr>
                <w:rFonts w:ascii="Arial" w:cs="Arial" w:eastAsia="Arial" w:hAnsi="Arial"/>
                <w:sz w:val="14"/>
                <w:szCs w:val="14"/>
                <w:color w:val="auto"/>
              </w:rPr>
              <w:t>Intercompany due to parent</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60.4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0880" w:type="dxa"/>
            <w:vAlign w:val="bottom"/>
          </w:tcPr>
          <w:p>
            <w:pPr>
              <w:ind w:left="360"/>
              <w:spacing w:after="0"/>
              <w:rPr>
                <w:sz w:val="20"/>
                <w:szCs w:val="20"/>
                <w:color w:val="auto"/>
              </w:rPr>
            </w:pPr>
            <w:r>
              <w:rPr>
                <w:rFonts w:ascii="Arial" w:cs="Arial" w:eastAsia="Arial" w:hAnsi="Arial"/>
                <w:sz w:val="14"/>
                <w:szCs w:val="14"/>
                <w:color w:val="auto"/>
              </w:rPr>
              <w:t>Long-term liabilities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other liabilities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60.7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spacing w:after="0"/>
              <w:rPr>
                <w:sz w:val="20"/>
                <w:szCs w:val="20"/>
                <w:color w:val="auto"/>
              </w:rPr>
            </w:pPr>
            <w:r>
              <w:rPr>
                <w:rFonts w:ascii="Arial" w:cs="Arial" w:eastAsia="Arial" w:hAnsi="Arial"/>
                <w:sz w:val="14"/>
                <w:szCs w:val="14"/>
                <w:color w:val="auto"/>
              </w:rPr>
              <w:t>COMMITMENTS AND CONTINGENCIES (Note 7)</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Common stock, $1 par value—authorized, issued and outstanding 1,000 shares</w:t>
            </w:r>
          </w:p>
        </w:tc>
        <w:tc>
          <w:tcPr>
            <w:tcW w:w="10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880" w:type="dxa"/>
            <w:vAlign w:val="bottom"/>
          </w:tcPr>
          <w:p>
            <w:pPr>
              <w:ind w:left="36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880" w:type="dxa"/>
            <w:vAlign w:val="bottom"/>
          </w:tcPr>
          <w:p>
            <w:pPr>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460"/>
          </w:cols>
          <w:pgMar w:left="220" w:top="399" w:right="21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OPERATIONS</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EXPENSES: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Circuit costs—Related Party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Advertising operating costs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Network costs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Selling and marketing expense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General and administrative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Office closure expense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Restructuring charge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Loss (gain) on disposition of assets</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Total</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EARNING (LOSS) BEFORE INCOME TAXES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360"/>
        <w:spacing w:after="0"/>
        <w:rPr>
          <w:sz w:val="20"/>
          <w:szCs w:val="20"/>
          <w:color w:val="auto"/>
        </w:rPr>
      </w:pPr>
      <w:r>
        <w:rPr>
          <w:rFonts w:ascii="Arial" w:cs="Arial" w:eastAsia="Arial" w:hAnsi="Arial"/>
          <w:sz w:val="12"/>
          <w:szCs w:val="12"/>
          <w:color w:val="auto"/>
        </w:rPr>
        <w:t>See accompanying notes to financial statements.</w:t>
      </w:r>
    </w:p>
    <w:p>
      <w:pPr>
        <w:spacing w:after="0" w:line="157" w:lineRule="exact"/>
        <w:rPr>
          <w:sz w:val="20"/>
          <w:szCs w:val="20"/>
          <w:color w:val="auto"/>
        </w:rPr>
      </w:pPr>
    </w:p>
    <w:p>
      <w:pPr>
        <w:jc w:val="center"/>
        <w:ind w:left="4360"/>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1"/>
                <w:szCs w:val="11"/>
                <w:b w:val="1"/>
                <w:bCs w:val="1"/>
                <w:color w:val="auto"/>
                <w:w w:val="92"/>
              </w:rPr>
              <w:t>April 2, 2004</w:t>
            </w:r>
          </w:p>
        </w:tc>
        <w:tc>
          <w:tcPr>
            <w:tcW w:w="600" w:type="dxa"/>
            <w:vAlign w:val="bottom"/>
          </w:tcPr>
          <w:p>
            <w:pPr>
              <w:spacing w:after="0"/>
              <w:rPr>
                <w:sz w:val="10"/>
                <w:szCs w:val="10"/>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9"/>
              </w:rPr>
              <w:t>December 24,</w:t>
            </w:r>
          </w:p>
        </w:tc>
      </w:tr>
      <w:tr>
        <w:trPr>
          <w:trHeight w:val="120"/>
        </w:trPr>
        <w:tc>
          <w:tcPr>
            <w:tcW w:w="100" w:type="dxa"/>
            <w:vAlign w:val="bottom"/>
          </w:tcPr>
          <w:p>
            <w:pPr>
              <w:spacing w:after="0"/>
              <w:rPr>
                <w:sz w:val="10"/>
                <w:szCs w:val="10"/>
                <w:color w:val="auto"/>
              </w:rPr>
            </w:pPr>
          </w:p>
        </w:tc>
        <w:tc>
          <w:tcPr>
            <w:tcW w:w="1180" w:type="dxa"/>
            <w:vAlign w:val="bottom"/>
            <w:gridSpan w:val="2"/>
          </w:tcPr>
          <w:p>
            <w:pPr>
              <w:jc w:val="right"/>
              <w:ind w:right="740"/>
              <w:spacing w:after="0" w:line="121" w:lineRule="exact"/>
              <w:rPr>
                <w:sz w:val="20"/>
                <w:szCs w:val="20"/>
                <w:color w:val="auto"/>
              </w:rPr>
            </w:pPr>
            <w:r>
              <w:rPr>
                <w:rFonts w:ascii="Arial" w:cs="Arial" w:eastAsia="Arial" w:hAnsi="Arial"/>
                <w:sz w:val="11"/>
                <w:szCs w:val="11"/>
                <w:b w:val="1"/>
                <w:bCs w:val="1"/>
                <w:color w:val="auto"/>
                <w:w w:val="86"/>
              </w:rPr>
              <w:t>52 weeks</w:t>
            </w:r>
          </w:p>
        </w:tc>
        <w:tc>
          <w:tcPr>
            <w:tcW w:w="100" w:type="dxa"/>
            <w:vAlign w:val="bottom"/>
          </w:tcPr>
          <w:p>
            <w:pPr>
              <w:spacing w:after="0"/>
              <w:rPr>
                <w:sz w:val="10"/>
                <w:szCs w:val="10"/>
                <w:color w:val="auto"/>
              </w:rPr>
            </w:pPr>
          </w:p>
        </w:tc>
        <w:tc>
          <w:tcPr>
            <w:tcW w:w="1300" w:type="dxa"/>
            <w:vAlign w:val="bottom"/>
            <w:tcBorders>
              <w:right w:val="single" w:sz="8" w:color="auto"/>
            </w:tcBorders>
            <w:gridSpan w:val="2"/>
          </w:tcPr>
          <w:p>
            <w:pPr>
              <w:jc w:val="center"/>
              <w:ind w:right="840"/>
              <w:spacing w:after="0" w:line="121" w:lineRule="exact"/>
              <w:rPr>
                <w:sz w:val="20"/>
                <w:szCs w:val="20"/>
                <w:color w:val="auto"/>
              </w:rPr>
            </w:pPr>
            <w:r>
              <w:rPr>
                <w:rFonts w:ascii="Arial" w:cs="Arial" w:eastAsia="Arial" w:hAnsi="Arial"/>
                <w:sz w:val="11"/>
                <w:szCs w:val="11"/>
                <w:b w:val="1"/>
                <w:bCs w:val="1"/>
                <w:color w:val="auto"/>
                <w:w w:val="91"/>
              </w:rPr>
              <w:t>through</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2"/>
              <w:spacing w:after="0" w:line="121" w:lineRule="exact"/>
              <w:rPr>
                <w:sz w:val="20"/>
                <w:szCs w:val="20"/>
                <w:color w:val="auto"/>
              </w:rPr>
            </w:pPr>
            <w:r>
              <w:rPr>
                <w:rFonts w:ascii="Arial" w:cs="Arial" w:eastAsia="Arial" w:hAnsi="Arial"/>
                <w:sz w:val="11"/>
                <w:szCs w:val="11"/>
                <w:b w:val="1"/>
                <w:bCs w:val="1"/>
                <w:color w:val="auto"/>
                <w:w w:val="81"/>
              </w:rPr>
              <w:t>2004</w:t>
            </w:r>
          </w:p>
        </w:tc>
        <w:tc>
          <w:tcPr>
            <w:tcW w:w="60" w:type="dxa"/>
            <w:vAlign w:val="bottom"/>
          </w:tcPr>
          <w:p>
            <w:pPr>
              <w:spacing w:after="0"/>
              <w:rPr>
                <w:sz w:val="10"/>
                <w:szCs w:val="10"/>
                <w:color w:val="auto"/>
              </w:rPr>
            </w:pPr>
          </w:p>
        </w:tc>
      </w:tr>
      <w:tr>
        <w:trPr>
          <w:trHeight w:val="120"/>
        </w:trPr>
        <w:tc>
          <w:tcPr>
            <w:tcW w:w="100" w:type="dxa"/>
            <w:vAlign w:val="bottom"/>
          </w:tcPr>
          <w:p>
            <w:pPr>
              <w:spacing w:after="0"/>
              <w:rPr>
                <w:sz w:val="10"/>
                <w:szCs w:val="10"/>
                <w:color w:val="auto"/>
              </w:rPr>
            </w:pPr>
          </w:p>
        </w:tc>
        <w:tc>
          <w:tcPr>
            <w:tcW w:w="1180" w:type="dxa"/>
            <w:vAlign w:val="bottom"/>
            <w:gridSpan w:val="2"/>
          </w:tcPr>
          <w:p>
            <w:pPr>
              <w:jc w:val="right"/>
              <w:ind w:right="820"/>
              <w:spacing w:after="0" w:line="121" w:lineRule="exact"/>
              <w:rPr>
                <w:sz w:val="20"/>
                <w:szCs w:val="20"/>
                <w:color w:val="auto"/>
              </w:rPr>
            </w:pPr>
            <w:r>
              <w:rPr>
                <w:rFonts w:ascii="Arial" w:cs="Arial" w:eastAsia="Arial" w:hAnsi="Arial"/>
                <w:sz w:val="11"/>
                <w:szCs w:val="11"/>
                <w:b w:val="1"/>
                <w:bCs w:val="1"/>
                <w:color w:val="auto"/>
              </w:rPr>
              <w:t>ended</w:t>
            </w:r>
          </w:p>
        </w:tc>
        <w:tc>
          <w:tcPr>
            <w:tcW w:w="1400" w:type="dxa"/>
            <w:vAlign w:val="bottom"/>
            <w:tcBorders>
              <w:right w:val="single" w:sz="8" w:color="auto"/>
            </w:tcBorders>
            <w:gridSpan w:val="3"/>
          </w:tcPr>
          <w:p>
            <w:pPr>
              <w:jc w:val="center"/>
              <w:ind w:right="760"/>
              <w:spacing w:after="0" w:line="121" w:lineRule="exact"/>
              <w:rPr>
                <w:sz w:val="20"/>
                <w:szCs w:val="20"/>
                <w:color w:val="auto"/>
              </w:rPr>
            </w:pPr>
            <w:r>
              <w:rPr>
                <w:rFonts w:ascii="Arial" w:cs="Arial" w:eastAsia="Arial" w:hAnsi="Arial"/>
                <w:sz w:val="11"/>
                <w:szCs w:val="11"/>
                <w:b w:val="1"/>
                <w:bCs w:val="1"/>
                <w:color w:val="auto"/>
                <w:w w:val="89"/>
              </w:rPr>
              <w:t>December 23,</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through</w:t>
            </w:r>
          </w:p>
        </w:tc>
      </w:tr>
      <w:tr>
        <w:trPr>
          <w:trHeight w:val="120"/>
        </w:trPr>
        <w:tc>
          <w:tcPr>
            <w:tcW w:w="12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April 1, 2004</w:t>
            </w:r>
          </w:p>
        </w:tc>
        <w:tc>
          <w:tcPr>
            <w:tcW w:w="100" w:type="dxa"/>
            <w:vAlign w:val="bottom"/>
          </w:tcPr>
          <w:p>
            <w:pPr>
              <w:spacing w:after="0"/>
              <w:rPr>
                <w:sz w:val="10"/>
                <w:szCs w:val="10"/>
                <w:color w:val="auto"/>
              </w:rPr>
            </w:pPr>
          </w:p>
        </w:tc>
        <w:tc>
          <w:tcPr>
            <w:tcW w:w="540" w:type="dxa"/>
            <w:vAlign w:val="bottom"/>
          </w:tcPr>
          <w:p>
            <w:pPr>
              <w:jc w:val="center"/>
              <w:ind w:right="11"/>
              <w:spacing w:after="0" w:line="121" w:lineRule="exact"/>
              <w:rPr>
                <w:sz w:val="20"/>
                <w:szCs w:val="20"/>
                <w:color w:val="auto"/>
              </w:rPr>
            </w:pPr>
            <w:r>
              <w:rPr>
                <w:rFonts w:ascii="Arial" w:cs="Arial" w:eastAsia="Arial" w:hAnsi="Arial"/>
                <w:sz w:val="11"/>
                <w:szCs w:val="11"/>
                <w:b w:val="1"/>
                <w:bCs w:val="1"/>
                <w:color w:val="auto"/>
                <w:w w:val="89"/>
              </w:rPr>
              <w:t>2004</w:t>
            </w:r>
          </w:p>
        </w:tc>
        <w:tc>
          <w:tcPr>
            <w:tcW w:w="76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auto"/>
                <w:w w:val="91"/>
              </w:rPr>
              <w:t>March 31, 2005</w:t>
            </w:r>
          </w:p>
        </w:tc>
      </w:tr>
      <w:tr>
        <w:trPr>
          <w:trHeight w:val="142"/>
        </w:trPr>
        <w:tc>
          <w:tcPr>
            <w:tcW w:w="640" w:type="dxa"/>
            <w:vAlign w:val="bottom"/>
            <w:gridSpan w:val="2"/>
          </w:tcPr>
          <w:p>
            <w:pPr>
              <w:spacing w:after="0"/>
              <w:rPr>
                <w:sz w:val="20"/>
                <w:szCs w:val="20"/>
                <w:color w:val="auto"/>
              </w:rPr>
            </w:pPr>
            <w:r>
              <w:rPr>
                <w:rFonts w:ascii="Arial" w:cs="Arial" w:eastAsia="Arial" w:hAnsi="Arial"/>
                <w:sz w:val="11"/>
                <w:szCs w:val="11"/>
                <w:b w:val="1"/>
                <w:bCs w:val="1"/>
                <w:color w:val="auto"/>
                <w:w w:val="84"/>
              </w:rPr>
              <w:t>(Predecessor)</w:t>
            </w:r>
          </w:p>
        </w:tc>
        <w:tc>
          <w:tcPr>
            <w:tcW w:w="640" w:type="dxa"/>
            <w:vAlign w:val="bottom"/>
          </w:tcPr>
          <w:p>
            <w:pPr>
              <w:spacing w:after="0"/>
              <w:rPr>
                <w:sz w:val="12"/>
                <w:szCs w:val="12"/>
                <w:color w:val="auto"/>
              </w:rPr>
            </w:pPr>
          </w:p>
        </w:tc>
        <w:tc>
          <w:tcPr>
            <w:tcW w:w="140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1"/>
                <w:szCs w:val="11"/>
                <w:b w:val="1"/>
                <w:bCs w:val="1"/>
                <w:color w:val="auto"/>
                <w:w w:val="84"/>
              </w:rPr>
              <w:t>(Predecessor)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2"/>
              </w:rPr>
              <w:t>(Successor)</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69.9</w:t>
            </w:r>
          </w:p>
        </w:tc>
        <w:tc>
          <w:tcPr>
            <w:tcW w:w="6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56.5</w:t>
            </w:r>
          </w:p>
        </w:tc>
        <w:tc>
          <w:tcPr>
            <w:tcW w:w="7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15.5</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91"/>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18.6</w:t>
            </w:r>
          </w:p>
        </w:tc>
        <w:tc>
          <w:tcPr>
            <w:tcW w:w="76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11.3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0.9</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98"/>
        </w:trPr>
        <w:tc>
          <w:tcPr>
            <w:tcW w:w="10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4"/>
                <w:szCs w:val="14"/>
                <w:color w:val="auto"/>
              </w:rPr>
              <w:t>(0.3)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49.2</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17.0</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394"/>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w:t>
            </w:r>
          </w:p>
        </w:tc>
        <w:tc>
          <w:tcPr>
            <w:tcW w:w="76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6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120" w:space="280"/>
            <w:col w:w="4060"/>
          </w:cols>
          <w:pgMar w:left="220" w:top="399" w:right="21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STATEMENTS OF STOCKHOLDER’S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0"/>
                <w:szCs w:val="10"/>
                <w:color w:val="auto"/>
              </w:rPr>
            </w:pPr>
          </w:p>
        </w:tc>
        <w:tc>
          <w:tcPr>
            <w:tcW w:w="114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w w:val="96"/>
              </w:rPr>
              <w:t>Common Stock</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Accumulated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86"/>
              </w:rPr>
              <w:t>Retained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040" w:type="dxa"/>
            <w:vAlign w:val="bottom"/>
          </w:tcPr>
          <w:p>
            <w:pPr>
              <w:spacing w:after="0"/>
              <w:rPr>
                <w:sz w:val="10"/>
                <w:szCs w:val="10"/>
                <w:color w:val="auto"/>
              </w:rPr>
            </w:pPr>
          </w:p>
        </w:tc>
        <w:tc>
          <w:tcPr>
            <w:tcW w:w="114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600" w:type="dxa"/>
            <w:vAlign w:val="bottom"/>
          </w:tcPr>
          <w:p>
            <w:pPr>
              <w:jc w:val="center"/>
              <w:ind w:right="90"/>
              <w:spacing w:after="0" w:line="121" w:lineRule="exact"/>
              <w:rPr>
                <w:sz w:val="20"/>
                <w:szCs w:val="20"/>
                <w:color w:val="auto"/>
              </w:rPr>
            </w:pPr>
            <w:r>
              <w:rPr>
                <w:rFonts w:ascii="Arial" w:cs="Arial" w:eastAsia="Arial" w:hAnsi="Arial"/>
                <w:sz w:val="11"/>
                <w:szCs w:val="11"/>
                <w:b w:val="1"/>
                <w:bCs w:val="1"/>
                <w:color w:val="auto"/>
                <w:w w:val="95"/>
              </w:rPr>
              <w:t>Other</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720"/>
              <w:spacing w:after="0" w:line="121" w:lineRule="exact"/>
              <w:rPr>
                <w:sz w:val="20"/>
                <w:szCs w:val="20"/>
                <w:color w:val="auto"/>
              </w:rPr>
            </w:pPr>
            <w:r>
              <w:rPr>
                <w:rFonts w:ascii="Arial" w:cs="Arial" w:eastAsia="Arial" w:hAnsi="Arial"/>
                <w:sz w:val="11"/>
                <w:szCs w:val="11"/>
                <w:b w:val="1"/>
                <w:bCs w:val="1"/>
                <w:color w:val="auto"/>
                <w:w w:val="93"/>
              </w:rPr>
              <w:t>Earnings</w:t>
            </w:r>
          </w:p>
        </w:tc>
        <w:tc>
          <w:tcPr>
            <w:tcW w:w="120" w:type="dxa"/>
            <w:vAlign w:val="bottom"/>
          </w:tcPr>
          <w:p>
            <w:pPr>
              <w:spacing w:after="0"/>
              <w:rPr>
                <w:sz w:val="10"/>
                <w:szCs w:val="10"/>
                <w:color w:val="auto"/>
              </w:rPr>
            </w:pPr>
          </w:p>
        </w:tc>
        <w:tc>
          <w:tcPr>
            <w:tcW w:w="580" w:type="dxa"/>
            <w:vAlign w:val="bottom"/>
            <w:gridSpan w:val="2"/>
          </w:tcPr>
          <w:p>
            <w:pPr>
              <w:jc w:val="right"/>
              <w:ind w:right="260"/>
              <w:spacing w:after="0" w:line="121"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0"/>
        </w:trPr>
        <w:tc>
          <w:tcPr>
            <w:tcW w:w="5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right"/>
              <w:ind w:right="700"/>
              <w:spacing w:after="0" w:line="100" w:lineRule="exact"/>
              <w:rPr>
                <w:sz w:val="20"/>
                <w:szCs w:val="20"/>
                <w:color w:val="auto"/>
              </w:rPr>
            </w:pPr>
            <w:r>
              <w:rPr>
                <w:rFonts w:ascii="Arial" w:cs="Arial" w:eastAsia="Arial" w:hAnsi="Arial"/>
                <w:sz w:val="11"/>
                <w:szCs w:val="11"/>
                <w:b w:val="1"/>
                <w:bCs w:val="1"/>
                <w:color w:val="auto"/>
                <w:w w:val="92"/>
              </w:rPr>
              <w:t>Paid-In</w:t>
            </w:r>
          </w:p>
        </w:tc>
        <w:tc>
          <w:tcPr>
            <w:tcW w:w="74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87"/>
              </w:rPr>
              <w:t>Comprehensive</w:t>
            </w:r>
          </w:p>
        </w:tc>
        <w:tc>
          <w:tcPr>
            <w:tcW w:w="580" w:type="dxa"/>
            <w:vAlign w:val="bottom"/>
          </w:tcPr>
          <w:p>
            <w:pPr>
              <w:spacing w:after="0"/>
              <w:rPr>
                <w:sz w:val="8"/>
                <w:szCs w:val="8"/>
                <w:color w:val="auto"/>
              </w:rPr>
            </w:pPr>
          </w:p>
        </w:tc>
        <w:tc>
          <w:tcPr>
            <w:tcW w:w="1280" w:type="dxa"/>
            <w:vAlign w:val="bottom"/>
            <w:gridSpan w:val="3"/>
          </w:tcPr>
          <w:p>
            <w:pPr>
              <w:spacing w:after="0" w:line="100" w:lineRule="exact"/>
              <w:rPr>
                <w:sz w:val="20"/>
                <w:szCs w:val="20"/>
                <w:color w:val="auto"/>
              </w:rPr>
            </w:pPr>
            <w:r>
              <w:rPr>
                <w:rFonts w:ascii="Arial" w:cs="Arial" w:eastAsia="Arial" w:hAnsi="Arial"/>
                <w:sz w:val="11"/>
                <w:szCs w:val="11"/>
                <w:b w:val="1"/>
                <w:bCs w:val="1"/>
                <w:color w:val="auto"/>
              </w:rPr>
              <w:t>(Accumulated</w:t>
            </w:r>
          </w:p>
        </w:tc>
        <w:tc>
          <w:tcPr>
            <w:tcW w:w="700" w:type="dxa"/>
            <w:vAlign w:val="bottom"/>
            <w:gridSpan w:val="3"/>
          </w:tcPr>
          <w:p>
            <w:pPr>
              <w:spacing w:after="0" w:line="100" w:lineRule="exact"/>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13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Predecessor From April 3, 2003 Through December 23, 2004</w:t>
            </w:r>
          </w:p>
        </w:tc>
        <w:tc>
          <w:tcPr>
            <w:tcW w:w="102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w w:val="87"/>
              </w:rPr>
              <w:t>Shares</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w w:val="86"/>
              </w:rPr>
              <w:t>Amount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w w:val="87"/>
              </w:rPr>
              <w:t>Capital</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Income (Loss)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4"/>
        </w:trPr>
        <w:tc>
          <w:tcPr>
            <w:tcW w:w="5040" w:type="dxa"/>
            <w:vAlign w:val="bottom"/>
            <w:vMerge w:val="continue"/>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4"/>
                <w:szCs w:val="14"/>
                <w:color w:val="auto"/>
              </w:rPr>
              <w:t>BALANCE—April 3, 2003</w:t>
            </w: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1"/>
        </w:trPr>
        <w:tc>
          <w:tcPr>
            <w:tcW w:w="5040" w:type="dxa"/>
            <w:vAlign w:val="bottom"/>
          </w:tcPr>
          <w:p>
            <w:pPr>
              <w:ind w:left="360"/>
              <w:spacing w:after="0"/>
              <w:rPr>
                <w:sz w:val="20"/>
                <w:szCs w:val="20"/>
                <w:color w:val="auto"/>
              </w:rPr>
            </w:pPr>
            <w:r>
              <w:rPr>
                <w:rFonts w:ascii="Arial" w:cs="Arial" w:eastAsia="Arial" w:hAnsi="Arial"/>
                <w:sz w:val="14"/>
                <w:szCs w:val="14"/>
                <w:color w:val="auto"/>
              </w:rPr>
              <w:t>Comprehensive loss—net income</w:t>
            </w: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80"/>
              <w:spacing w:after="0"/>
              <w:rPr>
                <w:sz w:val="20"/>
                <w:szCs w:val="20"/>
                <w:color w:val="auto"/>
              </w:rPr>
            </w:pPr>
            <w:r>
              <w:rPr>
                <w:rFonts w:ascii="Arial" w:cs="Arial" w:eastAsia="Arial" w:hAnsi="Arial"/>
                <w:sz w:val="14"/>
                <w:szCs w:val="14"/>
                <w:color w:val="auto"/>
                <w:w w:val="81"/>
              </w:rPr>
              <w:t>1.9</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BALANCE—April 1, 2004</w:t>
            </w: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380"/>
              <w:spacing w:after="0"/>
              <w:rPr>
                <w:sz w:val="20"/>
                <w:szCs w:val="20"/>
                <w:color w:val="auto"/>
              </w:rPr>
            </w:pPr>
            <w:r>
              <w:rPr>
                <w:rFonts w:ascii="Arial" w:cs="Arial" w:eastAsia="Arial" w:hAnsi="Arial"/>
                <w:sz w:val="14"/>
                <w:szCs w:val="14"/>
                <w:color w:val="auto"/>
                <w:w w:val="81"/>
              </w:rPr>
              <w:t>0.2</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5040" w:type="dxa"/>
            <w:vAlign w:val="bottom"/>
          </w:tcPr>
          <w:p>
            <w:pPr>
              <w:ind w:left="360"/>
              <w:spacing w:after="0"/>
              <w:rPr>
                <w:sz w:val="20"/>
                <w:szCs w:val="20"/>
                <w:color w:val="auto"/>
              </w:rPr>
            </w:pPr>
            <w:r>
              <w:rPr>
                <w:rFonts w:ascii="Arial" w:cs="Arial" w:eastAsia="Arial" w:hAnsi="Arial"/>
                <w:sz w:val="14"/>
                <w:szCs w:val="14"/>
                <w:color w:val="auto"/>
              </w:rPr>
              <w:t>Comprehensive loss—net income</w:t>
            </w: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80"/>
              <w:spacing w:after="0"/>
              <w:rPr>
                <w:sz w:val="20"/>
                <w:szCs w:val="20"/>
                <w:color w:val="auto"/>
              </w:rPr>
            </w:pPr>
            <w:r>
              <w:rPr>
                <w:rFonts w:ascii="Arial" w:cs="Arial" w:eastAsia="Arial" w:hAnsi="Arial"/>
                <w:sz w:val="14"/>
                <w:szCs w:val="14"/>
                <w:color w:val="auto"/>
                <w:w w:val="81"/>
              </w:rPr>
              <w:t>4.3</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BALANCE—Prior to merger transaction</w:t>
            </w: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380"/>
              <w:spacing w:after="0"/>
              <w:rPr>
                <w:sz w:val="20"/>
                <w:szCs w:val="20"/>
                <w:color w:val="auto"/>
              </w:rPr>
            </w:pPr>
            <w:r>
              <w:rPr>
                <w:rFonts w:ascii="Arial" w:cs="Arial" w:eastAsia="Arial" w:hAnsi="Arial"/>
                <w:sz w:val="14"/>
                <w:szCs w:val="14"/>
                <w:color w:val="auto"/>
                <w:w w:val="81"/>
              </w:rPr>
              <w:t>4.5</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1"/>
        </w:trPr>
        <w:tc>
          <w:tcPr>
            <w:tcW w:w="5040" w:type="dxa"/>
            <w:vAlign w:val="bottom"/>
          </w:tcPr>
          <w:p>
            <w:pPr>
              <w:ind w:left="360"/>
              <w:spacing w:after="0"/>
              <w:rPr>
                <w:sz w:val="20"/>
                <w:szCs w:val="20"/>
                <w:color w:val="auto"/>
              </w:rPr>
            </w:pPr>
            <w:r>
              <w:rPr>
                <w:rFonts w:ascii="Arial" w:cs="Arial" w:eastAsia="Arial" w:hAnsi="Arial"/>
                <w:sz w:val="14"/>
                <w:szCs w:val="14"/>
                <w:color w:val="auto"/>
              </w:rPr>
              <w:t>Elimination of Predecessor Company stockholder’s equity</w:t>
            </w: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w w:val="90"/>
              </w:rPr>
              <w:t>(1,000)</w:t>
            </w: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BALANCE—December 23, 2004</w:t>
            </w: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Successor From Inception on December 24, 2004 Through March 31,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ind w:left="180"/>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4"/>
                <w:szCs w:val="14"/>
                <w:color w:val="auto"/>
              </w:rPr>
              <w:t>BALANCE—December 24, 2004</w:t>
            </w:r>
          </w:p>
        </w:tc>
        <w:tc>
          <w:tcPr>
            <w:tcW w:w="102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040" w:type="dxa"/>
            <w:vAlign w:val="bottom"/>
          </w:tcPr>
          <w:p>
            <w:pPr>
              <w:ind w:left="360"/>
              <w:spacing w:after="0"/>
              <w:rPr>
                <w:sz w:val="20"/>
                <w:szCs w:val="20"/>
                <w:color w:val="auto"/>
              </w:rPr>
            </w:pPr>
            <w:r>
              <w:rPr>
                <w:rFonts w:ascii="Arial" w:cs="Arial" w:eastAsia="Arial" w:hAnsi="Arial"/>
                <w:sz w:val="14"/>
                <w:szCs w:val="14"/>
                <w:color w:val="auto"/>
              </w:rPr>
              <w:t>Comprehensive loss—net loss</w:t>
            </w:r>
          </w:p>
        </w:tc>
        <w:tc>
          <w:tcPr>
            <w:tcW w:w="102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5"/>
        </w:trPr>
        <w:tc>
          <w:tcPr>
            <w:tcW w:w="5040" w:type="dxa"/>
            <w:vAlign w:val="bottom"/>
          </w:tcPr>
          <w:p>
            <w:pPr>
              <w:ind w:left="360"/>
              <w:spacing w:after="0"/>
              <w:rPr>
                <w:sz w:val="20"/>
                <w:szCs w:val="20"/>
                <w:color w:val="auto"/>
              </w:rPr>
            </w:pPr>
            <w:r>
              <w:rPr>
                <w:rFonts w:ascii="Arial" w:cs="Arial" w:eastAsia="Arial" w:hAnsi="Arial"/>
                <w:sz w:val="14"/>
                <w:szCs w:val="14"/>
                <w:color w:val="auto"/>
              </w:rPr>
              <w:t>Capital contribution</w:t>
            </w:r>
          </w:p>
        </w:tc>
        <w:tc>
          <w:tcPr>
            <w:tcW w:w="102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40" w:type="dxa"/>
            <w:vAlign w:val="bottom"/>
          </w:tcPr>
          <w:p>
            <w:pPr>
              <w:ind w:left="700"/>
              <w:spacing w:after="0"/>
              <w:rPr>
                <w:sz w:val="20"/>
                <w:szCs w:val="20"/>
                <w:color w:val="auto"/>
              </w:rPr>
            </w:pPr>
            <w:r>
              <w:rPr>
                <w:rFonts w:ascii="Arial" w:cs="Arial" w:eastAsia="Arial" w:hAnsi="Arial"/>
                <w:sz w:val="14"/>
                <w:szCs w:val="14"/>
                <w:color w:val="auto"/>
              </w:rPr>
              <w:t>AMC Entertainment Inc.</w:t>
            </w: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BALANCE—March 31, 2005</w:t>
            </w: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40" w:type="dxa"/>
            <w:vAlign w:val="bottom"/>
            <w:vMerge w:val="continue"/>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0</w:t>
            </w:r>
          </w:p>
        </w:tc>
        <w:tc>
          <w:tcPr>
            <w:tcW w:w="6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460"/>
          </w:cols>
          <w:pgMar w:left="220" w:top="399" w:right="21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right"/>
        <w:ind w:right="43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CASH FLOWS</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360"/>
          </w:cols>
          <w:pgMar w:left="220" w:top="3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income (loss)</w:t>
      </w:r>
    </w:p>
    <w:p>
      <w:pPr>
        <w:spacing w:after="0" w:line="36" w:lineRule="exact"/>
        <w:rPr>
          <w:sz w:val="20"/>
          <w:szCs w:val="20"/>
          <w:color w:val="auto"/>
        </w:rPr>
      </w:pPr>
    </w:p>
    <w:p>
      <w:pPr>
        <w:ind w:left="540" w:right="560" w:hanging="174"/>
        <w:spacing w:after="0" w:line="264" w:lineRule="auto"/>
        <w:rPr>
          <w:sz w:val="20"/>
          <w:szCs w:val="20"/>
          <w:color w:val="auto"/>
        </w:rPr>
      </w:pPr>
      <w:r>
        <w:rPr>
          <w:rFonts w:ascii="Arial" w:cs="Arial" w:eastAsia="Arial" w:hAnsi="Arial"/>
          <w:sz w:val="14"/>
          <w:szCs w:val="14"/>
          <w:color w:val="auto"/>
        </w:rPr>
        <w:t>Adjustments to reconcile net income (loss) to net cash provided by (used in) operating activities: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Stock-based compensation</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Deferred income taxes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Loss (gain) on disposition of assets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Changes in assets and liabilities: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Receivables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assets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Accounts payable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Accrued expenses and other liabilities</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provided by (used in) operating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Capital expenditures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Proceeds from disposition of long-term assets</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provided by investing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ACTIVITIES—Increase (decrease) in Due from Parent</w:t>
      </w:r>
    </w:p>
    <w:p>
      <w:pPr>
        <w:spacing w:after="0" w:line="58" w:lineRule="exact"/>
        <w:rPr>
          <w:sz w:val="20"/>
          <w:szCs w:val="20"/>
          <w:color w:val="auto"/>
        </w:rPr>
      </w:pPr>
    </w:p>
    <w:p>
      <w:pPr>
        <w:ind w:right="2000"/>
        <w:spacing w:after="0" w:line="333" w:lineRule="auto"/>
        <w:rPr>
          <w:sz w:val="20"/>
          <w:szCs w:val="20"/>
          <w:color w:val="auto"/>
        </w:rPr>
      </w:pPr>
      <w:r>
        <w:rPr>
          <w:rFonts w:ascii="Arial" w:cs="Arial" w:eastAsia="Arial" w:hAnsi="Arial"/>
          <w:sz w:val="13"/>
          <w:szCs w:val="13"/>
          <w:color w:val="auto"/>
        </w:rPr>
        <w:t>NET INCREASE (DECREASE) IN CASH AND EQUIVALENTS CASH AND EQUIVALENTS—Beginning of year</w:t>
      </w:r>
    </w:p>
    <w:p>
      <w:pPr>
        <w:spacing w:after="0"/>
        <w:rPr>
          <w:sz w:val="20"/>
          <w:szCs w:val="20"/>
          <w:color w:val="auto"/>
        </w:rPr>
      </w:pPr>
      <w:r>
        <w:rPr>
          <w:rFonts w:ascii="Arial" w:cs="Arial" w:eastAsia="Arial" w:hAnsi="Arial"/>
          <w:sz w:val="14"/>
          <w:szCs w:val="14"/>
          <w:color w:val="auto"/>
        </w:rPr>
        <w:t>CASH AND EQUIVALENTS—End of year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SUPPLEMENTAL DISCLOSURE OF CASH FLOW INFORMATION—Cash paid for income taxes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1"/>
                <w:szCs w:val="11"/>
                <w:b w:val="1"/>
                <w:bCs w:val="1"/>
                <w:color w:val="auto"/>
                <w:w w:val="86"/>
              </w:rPr>
              <w:t>52 weeks</w:t>
            </w:r>
          </w:p>
        </w:tc>
        <w:tc>
          <w:tcPr>
            <w:tcW w:w="100" w:type="dxa"/>
            <w:vAlign w:val="bottom"/>
          </w:tcPr>
          <w:p>
            <w:pPr>
              <w:spacing w:after="0"/>
              <w:rPr>
                <w:sz w:val="10"/>
                <w:szCs w:val="10"/>
                <w:color w:val="auto"/>
              </w:rPr>
            </w:pPr>
          </w:p>
        </w:tc>
        <w:tc>
          <w:tcPr>
            <w:tcW w:w="1680" w:type="dxa"/>
            <w:vAlign w:val="bottom"/>
            <w:tcBorders>
              <w:right w:val="single" w:sz="8" w:color="auto"/>
            </w:tcBorders>
            <w:gridSpan w:val="2"/>
          </w:tcPr>
          <w:p>
            <w:pPr>
              <w:jc w:val="center"/>
              <w:ind w:right="1000"/>
              <w:spacing w:after="0"/>
              <w:rPr>
                <w:sz w:val="20"/>
                <w:szCs w:val="20"/>
                <w:color w:val="auto"/>
              </w:rPr>
            </w:pPr>
            <w:r>
              <w:rPr>
                <w:rFonts w:ascii="Arial" w:cs="Arial" w:eastAsia="Arial" w:hAnsi="Arial"/>
                <w:sz w:val="11"/>
                <w:szCs w:val="11"/>
                <w:b w:val="1"/>
                <w:bCs w:val="1"/>
                <w:color w:val="auto"/>
                <w:w w:val="92"/>
              </w:rPr>
              <w:t>April 2, 2004</w:t>
            </w:r>
          </w:p>
        </w:tc>
        <w:tc>
          <w:tcPr>
            <w:tcW w:w="7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w w:val="84"/>
              </w:rPr>
              <w:t>December 24, 2004</w:t>
            </w:r>
          </w:p>
        </w:tc>
      </w:tr>
      <w:tr>
        <w:trPr>
          <w:trHeight w:val="120"/>
        </w:trPr>
        <w:tc>
          <w:tcPr>
            <w:tcW w:w="80" w:type="dxa"/>
            <w:vAlign w:val="bottom"/>
          </w:tcPr>
          <w:p>
            <w:pPr>
              <w:spacing w:after="0"/>
              <w:rPr>
                <w:sz w:val="10"/>
                <w:szCs w:val="10"/>
                <w:color w:val="auto"/>
              </w:rPr>
            </w:pPr>
          </w:p>
        </w:tc>
        <w:tc>
          <w:tcPr>
            <w:tcW w:w="1320" w:type="dxa"/>
            <w:vAlign w:val="bottom"/>
            <w:gridSpan w:val="2"/>
          </w:tcPr>
          <w:p>
            <w:pPr>
              <w:jc w:val="right"/>
              <w:ind w:right="960"/>
              <w:spacing w:after="0" w:line="121" w:lineRule="exact"/>
              <w:rPr>
                <w:sz w:val="20"/>
                <w:szCs w:val="20"/>
                <w:color w:val="auto"/>
              </w:rPr>
            </w:pPr>
            <w:r>
              <w:rPr>
                <w:rFonts w:ascii="Arial" w:cs="Arial" w:eastAsia="Arial" w:hAnsi="Arial"/>
                <w:sz w:val="11"/>
                <w:szCs w:val="11"/>
                <w:b w:val="1"/>
                <w:bCs w:val="1"/>
                <w:color w:val="auto"/>
              </w:rPr>
              <w:t>ended</w:t>
            </w:r>
          </w:p>
        </w:tc>
        <w:tc>
          <w:tcPr>
            <w:tcW w:w="100" w:type="dxa"/>
            <w:vAlign w:val="bottom"/>
          </w:tcPr>
          <w:p>
            <w:pPr>
              <w:spacing w:after="0"/>
              <w:rPr>
                <w:sz w:val="10"/>
                <w:szCs w:val="10"/>
                <w:color w:val="auto"/>
              </w:rPr>
            </w:pPr>
          </w:p>
        </w:tc>
        <w:tc>
          <w:tcPr>
            <w:tcW w:w="1680" w:type="dxa"/>
            <w:vAlign w:val="bottom"/>
            <w:tcBorders>
              <w:right w:val="single" w:sz="8" w:color="auto"/>
            </w:tcBorders>
            <w:gridSpan w:val="2"/>
          </w:tcPr>
          <w:p>
            <w:pPr>
              <w:jc w:val="center"/>
              <w:ind w:right="980"/>
              <w:spacing w:after="0" w:line="121" w:lineRule="exact"/>
              <w:rPr>
                <w:sz w:val="20"/>
                <w:szCs w:val="20"/>
                <w:color w:val="auto"/>
              </w:rPr>
            </w:pPr>
            <w:r>
              <w:rPr>
                <w:rFonts w:ascii="Arial" w:cs="Arial" w:eastAsia="Arial" w:hAnsi="Arial"/>
                <w:sz w:val="11"/>
                <w:szCs w:val="11"/>
                <w:b w:val="1"/>
                <w:bCs w:val="1"/>
                <w:color w:val="auto"/>
                <w:w w:val="91"/>
              </w:rPr>
              <w:t>through</w:t>
            </w:r>
          </w:p>
        </w:tc>
        <w:tc>
          <w:tcPr>
            <w:tcW w:w="780" w:type="dxa"/>
            <w:vAlign w:val="bottom"/>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1"/>
              </w:rPr>
              <w:t>through</w:t>
            </w:r>
          </w:p>
        </w:tc>
      </w:tr>
      <w:tr>
        <w:trPr>
          <w:trHeight w:val="120"/>
        </w:trPr>
        <w:tc>
          <w:tcPr>
            <w:tcW w:w="14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April 1, 2004</w:t>
            </w:r>
          </w:p>
        </w:tc>
        <w:tc>
          <w:tcPr>
            <w:tcW w:w="1780" w:type="dxa"/>
            <w:vAlign w:val="bottom"/>
            <w:tcBorders>
              <w:right w:val="single" w:sz="8" w:color="auto"/>
            </w:tcBorders>
            <w:gridSpan w:val="3"/>
          </w:tcPr>
          <w:p>
            <w:pPr>
              <w:spacing w:after="0" w:line="121" w:lineRule="exact"/>
              <w:rPr>
                <w:sz w:val="20"/>
                <w:szCs w:val="20"/>
                <w:color w:val="auto"/>
              </w:rPr>
            </w:pPr>
            <w:r>
              <w:rPr>
                <w:rFonts w:ascii="Arial" w:cs="Arial" w:eastAsia="Arial" w:hAnsi="Arial"/>
                <w:sz w:val="11"/>
                <w:szCs w:val="11"/>
                <w:b w:val="1"/>
                <w:bCs w:val="1"/>
                <w:color w:val="auto"/>
              </w:rPr>
              <w:t>December 23, 2004</w:t>
            </w:r>
          </w:p>
        </w:tc>
        <w:tc>
          <w:tcPr>
            <w:tcW w:w="780" w:type="dxa"/>
            <w:vAlign w:val="bottom"/>
          </w:tcPr>
          <w:p>
            <w:pPr>
              <w:spacing w:after="0"/>
              <w:rPr>
                <w:sz w:val="10"/>
                <w:szCs w:val="10"/>
                <w:color w:val="auto"/>
              </w:rPr>
            </w:pPr>
          </w:p>
        </w:tc>
        <w:tc>
          <w:tcPr>
            <w:tcW w:w="8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1"/>
              </w:rPr>
              <w:t>March 31, 2005</w:t>
            </w:r>
          </w:p>
        </w:tc>
      </w:tr>
      <w:tr>
        <w:trPr>
          <w:trHeight w:val="131"/>
        </w:trPr>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(Predecessor)</w:t>
            </w:r>
          </w:p>
        </w:tc>
        <w:tc>
          <w:tcPr>
            <w:tcW w:w="100" w:type="dxa"/>
            <w:vAlign w:val="bottom"/>
          </w:tcPr>
          <w:p>
            <w:pPr>
              <w:spacing w:after="0"/>
              <w:rPr>
                <w:sz w:val="11"/>
                <w:szCs w:val="11"/>
                <w:color w:val="auto"/>
              </w:rPr>
            </w:pPr>
          </w:p>
        </w:tc>
        <w:tc>
          <w:tcPr>
            <w:tcW w:w="1680" w:type="dxa"/>
            <w:vAlign w:val="bottom"/>
            <w:tcBorders>
              <w:right w:val="single" w:sz="8" w:color="auto"/>
            </w:tcBorders>
            <w:gridSpan w:val="2"/>
          </w:tcPr>
          <w:p>
            <w:pPr>
              <w:jc w:val="center"/>
              <w:ind w:right="1000"/>
              <w:spacing w:after="0"/>
              <w:rPr>
                <w:sz w:val="20"/>
                <w:szCs w:val="20"/>
                <w:color w:val="auto"/>
              </w:rPr>
            </w:pPr>
            <w:r>
              <w:rPr>
                <w:rFonts w:ascii="Arial" w:cs="Arial" w:eastAsia="Arial" w:hAnsi="Arial"/>
                <w:sz w:val="11"/>
                <w:szCs w:val="11"/>
                <w:b w:val="1"/>
                <w:bCs w:val="1"/>
                <w:color w:val="auto"/>
                <w:w w:val="87"/>
              </w:rPr>
              <w:t>(Predecessor)</w:t>
            </w:r>
          </w:p>
        </w:tc>
        <w:tc>
          <w:tcPr>
            <w:tcW w:w="78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2"/>
              </w:rPr>
              <w:t>(Successor)</w:t>
            </w: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3"/>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7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4.3</w:t>
            </w:r>
          </w:p>
        </w:tc>
        <w:tc>
          <w:tcPr>
            <w:tcW w:w="780" w:type="dxa"/>
            <w:vAlign w:val="bottom"/>
          </w:tcPr>
          <w:p>
            <w:pPr>
              <w:ind w:left="720"/>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546"/>
        </w:trPr>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9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7"/>
        </w:trPr>
        <w:tc>
          <w:tcPr>
            <w:tcW w:w="80" w:type="dxa"/>
            <w:vAlign w:val="bottom"/>
          </w:tcPr>
          <w:p>
            <w:pPr>
              <w:spacing w:after="0"/>
              <w:rPr>
                <w:sz w:val="17"/>
                <w:szCs w:val="17"/>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(0.7)</w:t>
            </w:r>
          </w:p>
        </w:tc>
        <w:tc>
          <w:tcPr>
            <w:tcW w:w="7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197"/>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0.9</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r>
      <w:tr>
        <w:trPr>
          <w:trHeight w:val="197"/>
        </w:trPr>
        <w:tc>
          <w:tcPr>
            <w:tcW w:w="80" w:type="dxa"/>
            <w:vAlign w:val="bottom"/>
          </w:tcPr>
          <w:p>
            <w:pPr>
              <w:spacing w:after="0"/>
              <w:rPr>
                <w:sz w:val="17"/>
                <w:szCs w:val="17"/>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(0.3)</w:t>
            </w:r>
          </w:p>
        </w:tc>
        <w:tc>
          <w:tcPr>
            <w:tcW w:w="7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393"/>
        </w:trPr>
        <w:tc>
          <w:tcPr>
            <w:tcW w:w="80" w:type="dxa"/>
            <w:vAlign w:val="bottom"/>
          </w:tcPr>
          <w:p>
            <w:pPr>
              <w:spacing w:after="0"/>
              <w:rPr>
                <w:sz w:val="24"/>
                <w:szCs w:val="2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(11.9)</w:t>
            </w:r>
          </w:p>
        </w:tc>
        <w:tc>
          <w:tcPr>
            <w:tcW w:w="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24"/>
                <w:szCs w:val="24"/>
                <w:color w:val="auto"/>
              </w:rPr>
            </w:pPr>
          </w:p>
        </w:tc>
      </w:tr>
      <w:tr>
        <w:trPr>
          <w:trHeight w:val="197"/>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0.7</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7"/>
                <w:szCs w:val="17"/>
                <w:color w:val="auto"/>
              </w:rPr>
            </w:pPr>
          </w:p>
        </w:tc>
      </w:tr>
      <w:tr>
        <w:trPr>
          <w:trHeight w:val="197"/>
        </w:trPr>
        <w:tc>
          <w:tcPr>
            <w:tcW w:w="80" w:type="dxa"/>
            <w:vAlign w:val="bottom"/>
          </w:tcPr>
          <w:p>
            <w:pPr>
              <w:spacing w:after="0"/>
              <w:rPr>
                <w:sz w:val="17"/>
                <w:szCs w:val="17"/>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4.9</w:t>
            </w:r>
          </w:p>
        </w:tc>
        <w:tc>
          <w:tcPr>
            <w:tcW w:w="7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(2.1)</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7"/>
                <w:szCs w:val="17"/>
                <w:color w:val="auto"/>
              </w:rPr>
            </w:pPr>
          </w:p>
        </w:tc>
      </w:tr>
      <w:tr>
        <w:trPr>
          <w:trHeight w:val="590"/>
        </w:trPr>
        <w:tc>
          <w:tcPr>
            <w:tcW w:w="80" w:type="dxa"/>
            <w:vAlign w:val="bottom"/>
          </w:tcPr>
          <w:p>
            <w:pPr>
              <w:spacing w:after="0"/>
              <w:rPr>
                <w:sz w:val="24"/>
                <w:szCs w:val="2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9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8"/>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7"/>
                <w:szCs w:val="17"/>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7"/>
                <w:szCs w:val="17"/>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80" w:type="dxa"/>
            <w:vAlign w:val="bottom"/>
          </w:tcPr>
          <w:p>
            <w:pPr>
              <w:spacing w:after="0"/>
              <w:rPr>
                <w:sz w:val="17"/>
                <w:szCs w:val="17"/>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1.7</w:t>
            </w:r>
          </w:p>
        </w:tc>
        <w:tc>
          <w:tcPr>
            <w:tcW w:w="7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198"/>
        </w:trPr>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198"/>
        </w:trPr>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199"/>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spacing w:after="0"/>
              <w:rPr>
                <w:sz w:val="17"/>
                <w:szCs w:val="17"/>
                <w:color w:val="auto"/>
              </w:rPr>
            </w:pPr>
          </w:p>
        </w:tc>
        <w:tc>
          <w:tcPr>
            <w:tcW w:w="780" w:type="dxa"/>
            <w:vAlign w:val="bottom"/>
          </w:tcPr>
          <w:p>
            <w:pPr>
              <w:ind w:left="720"/>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0.2</w:t>
            </w:r>
          </w:p>
        </w:tc>
        <w:tc>
          <w:tcPr>
            <w:tcW w:w="780" w:type="dxa"/>
            <w:vAlign w:val="bottom"/>
          </w:tcPr>
          <w:p>
            <w:pPr>
              <w:ind w:left="720"/>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5"/>
                <w:szCs w:val="15"/>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20"/>
          </w:cols>
          <w:pgMar w:left="220" w:top="39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See accompanying notes to financial statements.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360"/>
          </w:cols>
          <w:pgMar w:left="220" w:top="399" w:right="319" w:bottom="1440" w:gutter="0" w:footer="0" w:header="0"/>
          <w:type w:val="continuous"/>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NOTES TO FINANCIAL STATEMENTS</w:t>
      </w:r>
    </w:p>
    <w:p>
      <w:pPr>
        <w:spacing w:after="0" w:line="24" w:lineRule="exact"/>
        <w:rPr>
          <w:sz w:val="20"/>
          <w:szCs w:val="20"/>
          <w:color w:val="auto"/>
        </w:rPr>
      </w:pPr>
    </w:p>
    <w:p>
      <w:pPr>
        <w:ind w:right="3200" w:firstLine="3217"/>
        <w:spacing w:after="0" w:line="403" w:lineRule="auto"/>
        <w:rPr>
          <w:sz w:val="20"/>
          <w:szCs w:val="20"/>
          <w:color w:val="auto"/>
        </w:rPr>
      </w:pPr>
      <w:r>
        <w:rPr>
          <w:rFonts w:ascii="Arial" w:cs="Arial" w:eastAsia="Arial" w:hAnsi="Arial"/>
          <w:sz w:val="14"/>
          <w:szCs w:val="14"/>
          <w:b w:val="1"/>
          <w:bCs w:val="1"/>
          <w:color w:val="auto"/>
        </w:rPr>
        <w:t>PERIODS ENDED MARCH 31, 2005, DECEMBER 23, 2004, AND APRIL 1, 2004 1. THE COMPANY AND BASIS OF PRESENTATION:</w:t>
      </w:r>
    </w:p>
    <w:p>
      <w:pPr>
        <w:ind w:firstLine="458"/>
        <w:spacing w:after="0" w:line="297" w:lineRule="auto"/>
        <w:rPr>
          <w:sz w:val="20"/>
          <w:szCs w:val="20"/>
          <w:color w:val="auto"/>
        </w:rPr>
      </w:pPr>
      <w:r>
        <w:rPr>
          <w:rFonts w:ascii="Arial" w:cs="Arial" w:eastAsia="Arial" w:hAnsi="Arial"/>
          <w:sz w:val="13"/>
          <w:szCs w:val="13"/>
          <w:color w:val="auto"/>
        </w:rPr>
        <w:t>National Cinema Network, Inc. (“NCN” or the “Company”), a wholly owned subsidiary of AMC Entertainment Inc. (“AMC”), is principally involved in “in-theatre advertising.” NCN provides both a slide program and a “Pre-Show Countdown” program. The slide program is comprised of “On-Screen Entertainment” (such as trivia questions and facts) and commercial advertising. This program runs before feature films. The “Pre-Show Countdown” program is on-screen advertising intended to run during the seating period immediately prior to the advertised show time. The Company also provides: in-theatre audio which is played in the theatre complex; internet advertising; and other promotional in-theatre products. Programs run in theatres throughout the United States.</w:t>
      </w:r>
    </w:p>
    <w:p>
      <w:pPr>
        <w:spacing w:after="0" w:line="91"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Effective April 1, 2005, AMC and Regal Entertainment Group (“REG”) combined their respective cinema screen advertising businesses into a new joint venture (the ”Joint Venture”) company called National CineMedia, LLC (“NCM”). The new company engages in the marketing and sale of cinema advertising and promotions products; business communications and training services; and the distribution of digital alternative content. AMC contributed fixed assets and exhibitor agreements of NCN to NCM. In consideration of the NCN contributions described above, NCM, issued a 37% interest in its Class A units to NCN. Subsequent to March 31, 2005, NCM received a $7.3 million cash contribution from Cinemark Media Inc. for an ownership interest in NCM, reducing NCN’s ownership interest in the Joint Venture to 29%.</w:t>
      </w:r>
    </w:p>
    <w:p>
      <w:pPr>
        <w:spacing w:after="0" w:line="110"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The financial statements include the accounts of the NCN business contributed to NCM, and exclude the accounts of its subsidiary, National Cinema Network of Canada, Inc., and other minor business activities not contributed to NCM.</w:t>
      </w:r>
    </w:p>
    <w:p>
      <w:pPr>
        <w:spacing w:after="0" w:line="93"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 xml:space="preserve">AMC completed a merger on December 23, 2004, in which Marquee Holdings Inc. (“Holdings”) acquired AMC (the “Predecessor”). Upon the consummation of the merger between Marquee and AMC on December 23, 2004, Marquee merged with and into AMC, with AMC as the surviving reporting entity (the ”Successor”). The merger was treated as a purchase with Marquee being the “accounting acquirer” in accordance with Statement of Financial Accounting Standards No. 141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a result, the Successor applied the purchase method of accounting to the separable assets, including goodwill, and liabilities of the accounting acquiree, AMC and its subsidiaries, including NCN, as of December 23, 2004. The financial statements presented herein reflect the Successor’s application of purchase accounting for the period from December 24, 2004 through March 31, 2005.</w:t>
      </w:r>
    </w:p>
    <w:p>
      <w:pPr>
        <w:spacing w:after="0" w:line="93"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b w:val="1"/>
          <w:bCs w:val="1"/>
          <w:i w:val="1"/>
          <w:iCs w:val="1"/>
          <w:color w:val="auto"/>
        </w:rPr>
        <w:t>Fiscal Year</w:t>
      </w:r>
      <w:r>
        <w:rPr>
          <w:rFonts w:ascii="Arial" w:cs="Arial" w:eastAsia="Arial" w:hAnsi="Arial"/>
          <w:sz w:val="14"/>
          <w:szCs w:val="14"/>
          <w:color w:val="auto"/>
        </w:rPr>
        <w:t>—The Company has a 52/53 week fiscal year ending on the Thursday closest to the last day of March. Both the 2005 and 2004 fiscal years reflect a 52 week period, with fiscal 2005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being separated into NCN as subsidiary of Successor for the 14 weeks from December 24, 2004 through March 31, 2005, and NCN as subsidiary of Predecessor for the 38 weeks from April 2, 2004 through December 23, 2004.</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83" w:lineRule="exact"/>
        <w:rPr>
          <w:sz w:val="20"/>
          <w:szCs w:val="20"/>
          <w:color w:val="auto"/>
        </w:rPr>
      </w:pPr>
    </w:p>
    <w:p>
      <w:pPr>
        <w:ind w:right="20" w:firstLine="458"/>
        <w:spacing w:after="0" w:line="330" w:lineRule="auto"/>
        <w:rPr>
          <w:sz w:val="20"/>
          <w:szCs w:val="20"/>
          <w:color w:val="auto"/>
        </w:rPr>
      </w:pPr>
      <w:r>
        <w:rPr>
          <w:rFonts w:ascii="Arial" w:cs="Arial" w:eastAsia="Arial" w:hAnsi="Arial"/>
          <w:sz w:val="13"/>
          <w:szCs w:val="13"/>
          <w:b w:val="1"/>
          <w:bCs w:val="1"/>
          <w:i w:val="1"/>
          <w:iCs w:val="1"/>
          <w:color w:val="auto"/>
        </w:rPr>
        <w:t>Receivables—</w:t>
      </w:r>
      <w:r>
        <w:rPr>
          <w:rFonts w:ascii="Arial" w:cs="Arial" w:eastAsia="Arial" w:hAnsi="Arial"/>
          <w:sz w:val="13"/>
          <w:szCs w:val="13"/>
          <w:color w:val="auto"/>
        </w:rPr>
        <w:t>Bad debts are provided for using the allowance for doubtful accounts method based on historical experience and management’s evaluation of outstanding receivables at the end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Trade accounts receivable are uncollateralized and represent a large number of geographically dispersed debtors, none of which are individually material.</w:t>
      </w:r>
    </w:p>
    <w:p>
      <w:pPr>
        <w:spacing w:after="0" w:line="70"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b w:val="1"/>
          <w:bCs w:val="1"/>
          <w:i w:val="1"/>
          <w:iCs w:val="1"/>
          <w:color w:val="auto"/>
        </w:rPr>
        <w:t>Property and Equipment—</w:t>
      </w:r>
      <w:r>
        <w:rPr>
          <w:rFonts w:ascii="Arial" w:cs="Arial" w:eastAsia="Arial" w:hAnsi="Arial"/>
          <w:sz w:val="14"/>
          <w:szCs w:val="14"/>
          <w:color w:val="auto"/>
        </w:rPr>
        <w:t>Property and equipment is stated at cost. Major renewals and improvements are capitalized, while replacements, maintenance, and repairs that do not improve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extend the lives of the respective assets are expensed currently. In general, the equipment associated with the digital network that is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440"/>
          </w:cols>
          <w:pgMar w:left="220" w:top="399" w:right="23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PERIODS ENDED MARCH 31, 2005, DECEMBER 23, 2004, AND APRIL 1, 2004</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located within the theatre is owned by the theatres, while equipment outside the theatre is owned by the Company. The Company records depreciation and amortization using the straight-line method.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The estimated useful lives are generally three to ten years.</w:t>
      </w:r>
    </w:p>
    <w:p>
      <w:pPr>
        <w:spacing w:after="0" w:line="139"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b w:val="1"/>
          <w:bCs w:val="1"/>
          <w:i w:val="1"/>
          <w:iCs w:val="1"/>
          <w:color w:val="auto"/>
        </w:rPr>
        <w:t>Revenue Recognition and Circuit Agreements</w:t>
      </w:r>
      <w:r>
        <w:rPr>
          <w:rFonts w:ascii="Arial" w:cs="Arial" w:eastAsia="Arial" w:hAnsi="Arial"/>
          <w:sz w:val="12"/>
          <w:szCs w:val="12"/>
          <w:color w:val="auto"/>
        </w:rPr>
        <w:t>—The Company recognizes revenue related to on-screen advertising over the period the related advertising is delivered on-screen or in-theatre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pursuant to the specific terms of its agreements with advertisers. NCN operates its advertising program through agreements with AMC and with other theatre circuits. These circuit agreements stipulate the amount of circuit payments a theatre will receive for running on-screen slides, on-film programs and other related in-theatre products and services. The Company’s circuit agreements have terms of 1 to 5 years, with an annual cancellation provision included in select agreements. Certain circuits have agreements requiring an annual minimum exhibitor share payment. The Company recognizes the minimum exhibitor share payments as an expense on a straight-line basis over the terms of the agreements and any excess minimum exhibitor share payments are recognized when earned.</w:t>
      </w:r>
    </w:p>
    <w:p>
      <w:pPr>
        <w:spacing w:after="0" w:line="80" w:lineRule="exact"/>
        <w:rPr>
          <w:sz w:val="20"/>
          <w:szCs w:val="20"/>
          <w:color w:val="auto"/>
        </w:rPr>
      </w:pPr>
    </w:p>
    <w:p>
      <w:pPr>
        <w:jc w:val="both"/>
        <w:ind w:right="120" w:firstLine="458"/>
        <w:spacing w:after="0" w:line="270" w:lineRule="auto"/>
        <w:rPr>
          <w:sz w:val="20"/>
          <w:szCs w:val="20"/>
          <w:color w:val="auto"/>
        </w:rPr>
      </w:pPr>
      <w:r>
        <w:rPr>
          <w:rFonts w:ascii="Arial" w:cs="Arial" w:eastAsia="Arial" w:hAnsi="Arial"/>
          <w:sz w:val="14"/>
          <w:szCs w:val="14"/>
          <w:b w:val="1"/>
          <w:bCs w:val="1"/>
          <w:i w:val="1"/>
          <w:iCs w:val="1"/>
          <w:color w:val="auto"/>
        </w:rPr>
        <w:t>Office Closure Expense and Restructuring Charges</w:t>
      </w:r>
      <w:r>
        <w:rPr>
          <w:rFonts w:ascii="Arial" w:cs="Arial" w:eastAsia="Arial" w:hAnsi="Arial"/>
          <w:sz w:val="14"/>
          <w:szCs w:val="14"/>
          <w:color w:val="auto"/>
        </w:rPr>
        <w:t>—Office closure expense is primarily related to payments made or expected to be made to landlords to terminate a lease for office space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has been vacated. Offices are closed due to initiatives to reduce overhead costs by integrating the Company’s administrative functions into AMC’s home office location. Office closure expense is recognized at the time the office is vacated. Expected payments to landlords are accrued in full based on actual lease terms at discounted contractual amounts. Accretion expense for exit activities are included as a component of the office closure expense.</w:t>
      </w:r>
    </w:p>
    <w:p>
      <w:pPr>
        <w:spacing w:after="0" w:line="106" w:lineRule="exact"/>
        <w:rPr>
          <w:sz w:val="20"/>
          <w:szCs w:val="20"/>
          <w:color w:val="auto"/>
        </w:rPr>
      </w:pPr>
    </w:p>
    <w:p>
      <w:pPr>
        <w:ind w:right="100" w:firstLine="458"/>
        <w:spacing w:after="0" w:line="305" w:lineRule="auto"/>
        <w:rPr>
          <w:sz w:val="20"/>
          <w:szCs w:val="20"/>
          <w:color w:val="auto"/>
        </w:rPr>
      </w:pPr>
      <w:r>
        <w:rPr>
          <w:rFonts w:ascii="Arial" w:cs="Arial" w:eastAsia="Arial" w:hAnsi="Arial"/>
          <w:sz w:val="13"/>
          <w:szCs w:val="13"/>
          <w:color w:val="auto"/>
        </w:rPr>
        <w:t>The Company recognizes restructuring charges based on the nature of the costs incurred. Costs resulting from one-time termination benefits where employees are not required to render future services are recognized as a liability when management commits to a plan of termination which identifies the number of employees to be terminated, their job classifications, locations, expected termination dates, date when the plan is to be communicated to the employees, and establishes the detailed terms of the benefits to be received by employees.</w:t>
      </w:r>
    </w:p>
    <w:p>
      <w:pPr>
        <w:spacing w:after="0" w:line="86"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If employees are required to render service until they are terminated in order to receive the termination benefits, the benefits are measured at the fair value of the costs and related liabilities at the communication date and are recognized ratably over the future service period from the communication date.</w:t>
      </w:r>
    </w:p>
    <w:p>
      <w:pPr>
        <w:spacing w:after="0" w:line="93"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In March 2005, the Company recorded $0.8 million as a restructuring charge related to one-time termination benefits in connection with the announcement of the Joint Venture. During the period ended April 1, 2004, the Company recorded restructuring charges of $1.0 million primarily related to one-time termination benefits in connection with an initiative to reduce overhead costs by integrating the Company’s administrative functions into AMC’s home office location.</w:t>
      </w:r>
    </w:p>
    <w:p>
      <w:pPr>
        <w:spacing w:after="0" w:line="102"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—The Company joins with AMC in filing a consolidated U.S. Corporation Income Tax return and, in certain states, consolidated state income tax returns. With respect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consolidated federal and state income tax returns, the Company accrues income taxes to AMC as if the Company filed separate federal and state income tax returns. Accordingly, the Company’s provision for income taxes is computed as if it filed separate income tax returns. Income taxes are calculated in accordance with Statement of Financial Accounting Standards No. 109 (“SFAS 109”),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The statement requires that deferred income taxes reflect the impact of temporary differences between the amount of assets and liabilities for financial reporting purposes</w:t>
      </w:r>
      <w:r>
        <w:rPr>
          <w:rFonts w:ascii="Arial" w:cs="Arial" w:eastAsia="Arial" w:hAnsi="Arial"/>
          <w:sz w:val="14"/>
          <w:szCs w:val="14"/>
          <w:i w:val="1"/>
          <w:iCs w:val="1"/>
          <w:color w:val="auto"/>
        </w:rPr>
        <w:t xml:space="preserve"> </w:t>
      </w:r>
      <w:r>
        <w:rPr>
          <w:rFonts w:ascii="Arial" w:cs="Arial" w:eastAsia="Arial" w:hAnsi="Arial"/>
          <w:sz w:val="14"/>
          <w:szCs w:val="14"/>
          <w:color w:val="auto"/>
        </w:rPr>
        <w:t>and such amounts as measured by tax laws and regulations.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ectPr>
          <w:pgSz w:w="11900" w:h="16838" w:orient="portrait"/>
          <w:cols w:equalWidth="0" w:num="1">
            <w:col w:w="11400"/>
          </w:cols>
          <w:pgMar w:left="220" w:top="399" w:right="27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ind w:right="3220" w:firstLine="3213"/>
        <w:spacing w:after="0" w:line="394" w:lineRule="auto"/>
        <w:rPr>
          <w:sz w:val="20"/>
          <w:szCs w:val="20"/>
          <w:color w:val="auto"/>
        </w:rPr>
      </w:pPr>
      <w:r>
        <w:rPr>
          <w:rFonts w:ascii="Arial" w:cs="Arial" w:eastAsia="Arial" w:hAnsi="Arial"/>
          <w:sz w:val="14"/>
          <w:szCs w:val="14"/>
          <w:b w:val="1"/>
          <w:bCs w:val="1"/>
          <w:color w:val="auto"/>
        </w:rPr>
        <w:t xml:space="preserve">PERIODS ENDED MARCH 31, 2005, DECEMBER 23, 2004, AND APRIL 1, 2004 </w:t>
      </w:r>
      <w:r>
        <w:rPr>
          <w:rFonts w:ascii="Arial" w:cs="Arial" w:eastAsia="Arial" w:hAnsi="Arial"/>
          <w:sz w:val="14"/>
          <w:szCs w:val="14"/>
          <w:b w:val="1"/>
          <w:bCs w:val="1"/>
          <w:i w:val="1"/>
          <w:iCs w:val="1"/>
          <w:color w:val="auto"/>
        </w:rPr>
        <w:t>Long-Lived Assets, Including Goodwill and Other Acquired Intangible Assets</w:t>
      </w:r>
    </w:p>
    <w:p>
      <w:pPr>
        <w:spacing w:after="0" w:line="1"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The Company evaluates the carrying value of long-lived assets, excluding goodwill, at least annually for impairment or when events and circumstances indicate the carrying amount of an asset may not be recoverable. For the year ended March 31, 2005, no such events or circumstances were identified. The carrying value of a long-lived asset is considered impaired when the anticipated undiscounted cash flows from such asset (or asset group) are separately identifiable and less than the asset’s (or asset group’s) carrying value. In that event, a loss is recognized to the extent that the carrying value exceeds the fair value of the long-lived asset. Fair value is determined primarily using the anticipated cash flows discounted at a rate commensurate with the risk involved. For the year ended March 31, 2005, the Company made no material adjustments to its long-lived assets.</w:t>
      </w:r>
    </w:p>
    <w:p>
      <w:pPr>
        <w:spacing w:after="0" w:line="110"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Goodwill and other indefinite lived intangible assets are not subject to amortization, but are subject to an impairment test at least annually or more frequently if events or circumstances indicate that impairment might exist. The Company has not yet finalized its allocation of the purchase price in the merger with Holdings, and accordingly has not yet been required to complete an annual impairment analysis of its goodwill. SFAS No. 142, “Goodwill and Other Intangible Assets”, also requires that intangible assets with definite lives be amortized over their estimated useful lives and reviewed for impairment in accordance with SFAS No. 144, “Accounting for the Impairment of Long-Lived Assets to Be Disposed Of.” The Company is currently amortizing its acquired intangible assets with finite lives over periods ranging from one to five years.</w:t>
      </w:r>
    </w:p>
    <w:p>
      <w:pPr>
        <w:spacing w:after="0" w:line="110" w:lineRule="exact"/>
        <w:rPr>
          <w:sz w:val="20"/>
          <w:szCs w:val="20"/>
          <w:color w:val="auto"/>
        </w:rPr>
      </w:pPr>
    </w:p>
    <w:p>
      <w:pPr>
        <w:ind w:right="60" w:firstLine="458"/>
        <w:spacing w:after="0" w:line="293" w:lineRule="auto"/>
        <w:rPr>
          <w:sz w:val="20"/>
          <w:szCs w:val="20"/>
          <w:color w:val="auto"/>
        </w:rPr>
      </w:pPr>
      <w:r>
        <w:rPr>
          <w:rFonts w:ascii="Arial" w:cs="Arial" w:eastAsia="Arial" w:hAnsi="Arial"/>
          <w:sz w:val="13"/>
          <w:szCs w:val="13"/>
          <w:b w:val="1"/>
          <w:bCs w:val="1"/>
          <w:i w:val="1"/>
          <w:iCs w:val="1"/>
          <w:color w:val="auto"/>
        </w:rPr>
        <w:t>Stock-based Compensation</w:t>
      </w:r>
      <w:r>
        <w:rPr>
          <w:rFonts w:ascii="Arial" w:cs="Arial" w:eastAsia="Arial" w:hAnsi="Arial"/>
          <w:sz w:val="13"/>
          <w:szCs w:val="13"/>
          <w:color w:val="auto"/>
        </w:rPr>
        <w:t>—The Company accounts for the stock options, restricted stock awards and deferred stock units under plans that AMC sponsors following the recognition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measurement provisions of APB Opinion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xml:space="preserve"> (“APB No. 25”) and related interpretations. Stock-based employee compensation expense related to restricted stock awards and deferred stock units of $0.4 million was reflected in net income for fiscal 2004. There was no stock-based employee compensation expense related to restricted stock awards and deferred stock units for either period of fiscal 2005. No stock-based employee compensation expense for stock options was reflected in net income for fiscal 2005 and 2004, as all stock options granted under those plans had an exercise price equal to the fair market value of the underlying common stock on the date of grant.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illustrates the effect on net income as if the fair value method had been applied to all stock awards and outstanding and unvested options in 2004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April 2, 2004</w:t>
            </w:r>
          </w:p>
        </w:tc>
        <w:tc>
          <w:tcPr>
            <w:tcW w:w="8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9"/>
              </w:rPr>
              <w:t>December 24,</w:t>
            </w:r>
          </w:p>
        </w:tc>
        <w:tc>
          <w:tcPr>
            <w:tcW w:w="0" w:type="dxa"/>
            <w:vAlign w:val="bottom"/>
          </w:tcPr>
          <w:p>
            <w:pPr>
              <w:spacing w:after="0"/>
              <w:rPr>
                <w:sz w:val="1"/>
                <w:szCs w:val="1"/>
                <w:color w:val="auto"/>
              </w:rPr>
            </w:pPr>
          </w:p>
        </w:tc>
      </w:tr>
      <w:tr>
        <w:trPr>
          <w:trHeight w:val="120"/>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500"/>
              <w:spacing w:after="0" w:line="121" w:lineRule="exact"/>
              <w:rPr>
                <w:sz w:val="20"/>
                <w:szCs w:val="20"/>
                <w:color w:val="auto"/>
              </w:rPr>
            </w:pPr>
            <w:r>
              <w:rPr>
                <w:rFonts w:ascii="Arial" w:cs="Arial" w:eastAsia="Arial" w:hAnsi="Arial"/>
                <w:sz w:val="11"/>
                <w:szCs w:val="11"/>
                <w:b w:val="1"/>
                <w:bCs w:val="1"/>
                <w:color w:val="auto"/>
                <w:w w:val="86"/>
              </w:rPr>
              <w:t>52 weeks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91"/>
              </w:rPr>
              <w:t>through</w:t>
            </w:r>
          </w:p>
        </w:tc>
        <w:tc>
          <w:tcPr>
            <w:tcW w:w="8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6"/>
              <w:spacing w:after="0" w:line="121" w:lineRule="exact"/>
              <w:rPr>
                <w:sz w:val="20"/>
                <w:szCs w:val="20"/>
                <w:color w:val="auto"/>
              </w:rPr>
            </w:pPr>
            <w:r>
              <w:rPr>
                <w:rFonts w:ascii="Arial" w:cs="Arial" w:eastAsia="Arial" w:hAnsi="Arial"/>
                <w:sz w:val="11"/>
                <w:szCs w:val="11"/>
                <w:b w:val="1"/>
                <w:bCs w:val="1"/>
                <w:color w:val="auto"/>
                <w:w w:val="81"/>
              </w:rPr>
              <w:t>2004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580"/>
              <w:spacing w:after="0" w:line="121" w:lineRule="exact"/>
              <w:rPr>
                <w:sz w:val="20"/>
                <w:szCs w:val="20"/>
                <w:color w:val="auto"/>
              </w:rPr>
            </w:pPr>
            <w:r>
              <w:rPr>
                <w:rFonts w:ascii="Arial" w:cs="Arial" w:eastAsia="Arial" w:hAnsi="Arial"/>
                <w:sz w:val="11"/>
                <w:szCs w:val="11"/>
                <w:b w:val="1"/>
                <w:bCs w:val="1"/>
                <w:color w:val="auto"/>
              </w:rPr>
              <w:t>ended</w:t>
            </w:r>
          </w:p>
        </w:tc>
        <w:tc>
          <w:tcPr>
            <w:tcW w:w="340" w:type="dxa"/>
            <w:vAlign w:val="bottom"/>
          </w:tcPr>
          <w:p>
            <w:pPr>
              <w:spacing w:after="0"/>
              <w:rPr>
                <w:sz w:val="10"/>
                <w:szCs w:val="10"/>
                <w:color w:val="auto"/>
              </w:rPr>
            </w:pPr>
          </w:p>
        </w:tc>
        <w:tc>
          <w:tcPr>
            <w:tcW w:w="64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December 23,</w:t>
            </w:r>
          </w:p>
        </w:tc>
        <w:tc>
          <w:tcPr>
            <w:tcW w:w="8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through</w:t>
            </w:r>
          </w:p>
        </w:tc>
        <w:tc>
          <w:tcPr>
            <w:tcW w:w="0" w:type="dxa"/>
            <w:vAlign w:val="bottom"/>
          </w:tcPr>
          <w:p>
            <w:pPr>
              <w:spacing w:after="0"/>
              <w:rPr>
                <w:sz w:val="1"/>
                <w:szCs w:val="1"/>
                <w:color w:val="auto"/>
              </w:rPr>
            </w:pPr>
          </w:p>
        </w:tc>
      </w:tr>
      <w:tr>
        <w:trPr>
          <w:trHeight w:val="120"/>
        </w:trPr>
        <w:tc>
          <w:tcPr>
            <w:tcW w:w="7180" w:type="dxa"/>
            <w:vAlign w:val="bottom"/>
          </w:tcPr>
          <w:p>
            <w:pPr>
              <w:spacing w:after="0"/>
              <w:rPr>
                <w:sz w:val="10"/>
                <w:szCs w:val="10"/>
                <w:color w:val="auto"/>
              </w:rPr>
            </w:pPr>
          </w:p>
        </w:tc>
        <w:tc>
          <w:tcPr>
            <w:tcW w:w="10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April 1, 2004</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89"/>
              </w:rPr>
              <w:t>2004</w:t>
            </w:r>
          </w:p>
        </w:tc>
        <w:tc>
          <w:tcPr>
            <w:tcW w:w="8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auto"/>
                <w:w w:val="91"/>
              </w:rPr>
              <w:t>March 31, 2005</w:t>
            </w: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(Predecessor)</w:t>
            </w:r>
          </w:p>
        </w:tc>
        <w:tc>
          <w:tcPr>
            <w:tcW w:w="3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4"/>
              </w:rPr>
              <w:t>(Predecessor)</w:t>
            </w:r>
          </w:p>
        </w:tc>
        <w:tc>
          <w:tcPr>
            <w:tcW w:w="8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2"/>
              </w:rPr>
              <w:t>(Successor)</w:t>
            </w:r>
          </w:p>
        </w:tc>
        <w:tc>
          <w:tcPr>
            <w:tcW w:w="0" w:type="dxa"/>
            <w:vAlign w:val="bottom"/>
          </w:tcPr>
          <w:p>
            <w:pPr>
              <w:spacing w:after="0"/>
              <w:rPr>
                <w:sz w:val="1"/>
                <w:szCs w:val="1"/>
                <w:color w:val="auto"/>
              </w:rPr>
            </w:pPr>
          </w:p>
        </w:tc>
      </w:tr>
      <w:tr>
        <w:trPr>
          <w:trHeight w:val="164"/>
        </w:trPr>
        <w:tc>
          <w:tcPr>
            <w:tcW w:w="71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36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800" w:type="dxa"/>
            <w:vAlign w:val="bottom"/>
            <w:tcBorders>
              <w:right w:val="single" w:sz="8" w:color="auto"/>
            </w:tcBorders>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w w:val="90"/>
              </w:rPr>
              <w:t>(0.9)</w:t>
            </w:r>
          </w:p>
        </w:tc>
        <w:tc>
          <w:tcPr>
            <w:tcW w:w="0" w:type="dxa"/>
            <w:vAlign w:val="bottom"/>
          </w:tcPr>
          <w:p>
            <w:pPr>
              <w:spacing w:after="0"/>
              <w:rPr>
                <w:sz w:val="1"/>
                <w:szCs w:val="1"/>
                <w:color w:val="auto"/>
              </w:rPr>
            </w:pPr>
          </w:p>
        </w:tc>
      </w:tr>
      <w:tr>
        <w:trPr>
          <w:trHeight w:val="197"/>
        </w:trPr>
        <w:tc>
          <w:tcPr>
            <w:tcW w:w="7180" w:type="dxa"/>
            <w:vAlign w:val="bottom"/>
          </w:tcPr>
          <w:p>
            <w:pPr>
              <w:ind w:left="360"/>
              <w:spacing w:after="0"/>
              <w:rPr>
                <w:sz w:val="20"/>
                <w:szCs w:val="20"/>
                <w:color w:val="auto"/>
              </w:rPr>
            </w:pPr>
            <w:r>
              <w:rPr>
                <w:rFonts w:ascii="Arial" w:cs="Arial" w:eastAsia="Arial" w:hAnsi="Arial"/>
                <w:sz w:val="14"/>
                <w:szCs w:val="14"/>
                <w:color w:val="auto"/>
              </w:rPr>
              <w:t>Add stock based compensation expense included in reported net income—net of related tax effects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180" w:type="dxa"/>
            <w:vAlign w:val="bottom"/>
          </w:tcPr>
          <w:p>
            <w:pPr>
              <w:ind w:left="360"/>
              <w:spacing w:after="0"/>
              <w:rPr>
                <w:sz w:val="20"/>
                <w:szCs w:val="20"/>
                <w:color w:val="auto"/>
              </w:rPr>
            </w:pPr>
            <w:r>
              <w:rPr>
                <w:rFonts w:ascii="Arial" w:cs="Arial" w:eastAsia="Arial" w:hAnsi="Arial"/>
                <w:sz w:val="14"/>
                <w:szCs w:val="14"/>
                <w:color w:val="auto"/>
              </w:rPr>
              <w:t>Deduct total stock-based compensation expense determined under fair value method for all awards</w:t>
            </w: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(0.2)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4"/>
                <w:szCs w:val="14"/>
                <w:color w:val="auto"/>
              </w:rPr>
              <w:t>Pro forma</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180" w:type="dxa"/>
            <w:vAlign w:val="bottom"/>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800" w:type="dxa"/>
            <w:vAlign w:val="bottom"/>
            <w:tcBorders>
              <w:right w:val="single" w:sz="8" w:color="auto"/>
            </w:tcBorders>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w w:val="90"/>
              </w:rPr>
              <w:t>(0.9)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—The Company joins with AMC in filing a consolidated U.S. Corporation Income Tax return and, in certain states, consolidated state income tax returns. With respect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consolidated federal and state income tax returns, the Company accrues income taxes to AMC as if the Company filed separate federal 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ectPr>
          <w:pgSz w:w="11900" w:h="16838" w:orient="portrait"/>
          <w:cols w:equalWidth="0" w:num="1">
            <w:col w:w="11460"/>
          </w:cols>
          <w:pgMar w:left="220" w:top="399" w:right="21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MARCH 31, 2005, DECEMBER 23, 2004, AND APRIL 1, 2004</w:t>
      </w:r>
    </w:p>
    <w:p>
      <w:pPr>
        <w:spacing w:after="0" w:line="128" w:lineRule="exact"/>
        <w:rPr>
          <w:sz w:val="20"/>
          <w:szCs w:val="20"/>
          <w:color w:val="auto"/>
        </w:rPr>
      </w:pPr>
    </w:p>
    <w:p>
      <w:pPr>
        <w:ind w:right="500"/>
        <w:spacing w:after="0" w:line="289" w:lineRule="auto"/>
        <w:rPr>
          <w:sz w:val="20"/>
          <w:szCs w:val="20"/>
          <w:color w:val="auto"/>
        </w:rPr>
      </w:pPr>
      <w:r>
        <w:rPr>
          <w:rFonts w:ascii="Arial" w:cs="Arial" w:eastAsia="Arial" w:hAnsi="Arial"/>
          <w:sz w:val="14"/>
          <w:szCs w:val="14"/>
          <w:color w:val="auto"/>
        </w:rPr>
        <w:t>state income tax returns. Deferred income taxes are provided to reflect the impact of temporary differences between the amount of assets and liabilities for financial reporting purposes and such amounts as measured by tax laws and regulations.</w:t>
      </w:r>
    </w:p>
    <w:p>
      <w:pPr>
        <w:spacing w:after="0" w:line="93"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b w:val="1"/>
          <w:bCs w:val="1"/>
          <w:i w:val="1"/>
          <w:iCs w:val="1"/>
          <w:color w:val="auto"/>
        </w:rPr>
        <w:t>Capitalization of Internal Software Costs</w:t>
      </w:r>
      <w:r>
        <w:rPr>
          <w:rFonts w:ascii="Arial" w:cs="Arial" w:eastAsia="Arial" w:hAnsi="Arial"/>
          <w:sz w:val="14"/>
          <w:szCs w:val="14"/>
          <w:color w:val="auto"/>
        </w:rPr>
        <w:t>—In accordance with Statement of Position 98-1,</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Accounting for the Costs of Computer Software Developed or Obtained for Internal Use</w:t>
      </w:r>
      <w:r>
        <w:rPr>
          <w:rFonts w:ascii="Arial" w:cs="Arial" w:eastAsia="Arial" w:hAnsi="Arial"/>
          <w:sz w:val="14"/>
          <w:szCs w:val="14"/>
          <w:color w:val="auto"/>
        </w:rPr>
        <w: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capitalizes internally developed software costs. The costs are amortized on a straight-line basis over two years. Amortization for internal software costs was $-, $0.1 million and $0.6 million for the Successor period ended March 31, 2005, and the Predecessor periods ended December 23, 2004, and April 1, 2004, respectively.</w:t>
      </w:r>
    </w:p>
    <w:p>
      <w:pPr>
        <w:spacing w:after="0" w:line="102" w:lineRule="exact"/>
        <w:rPr>
          <w:sz w:val="20"/>
          <w:szCs w:val="20"/>
          <w:color w:val="auto"/>
        </w:rPr>
      </w:pPr>
    </w:p>
    <w:p>
      <w:pPr>
        <w:ind w:firstLine="458"/>
        <w:spacing w:after="0" w:line="330" w:lineRule="auto"/>
        <w:rPr>
          <w:sz w:val="20"/>
          <w:szCs w:val="20"/>
          <w:color w:val="auto"/>
        </w:rPr>
      </w:pPr>
      <w:r>
        <w:rPr>
          <w:rFonts w:ascii="Arial" w:cs="Arial" w:eastAsia="Arial" w:hAnsi="Arial"/>
          <w:sz w:val="13"/>
          <w:szCs w:val="13"/>
          <w:b w:val="1"/>
          <w:bCs w:val="1"/>
          <w:i w:val="1"/>
          <w:iCs w:val="1"/>
          <w:color w:val="auto"/>
        </w:rPr>
        <w:t>Advertising</w:t>
      </w:r>
      <w:r>
        <w:rPr>
          <w:rFonts w:ascii="Arial" w:cs="Arial" w:eastAsia="Arial" w:hAnsi="Arial"/>
          <w:sz w:val="13"/>
          <w:szCs w:val="13"/>
          <w:color w:val="auto"/>
        </w:rPr>
        <w:t>—The Company expenses advertising costs as incurred. Advertising expense was $0.2 million, $0.5 million and $1.1 million for the Successor period ended March 31, 2005, and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Predecessor periods ended December 23, 2004, and April 1, 2004, respectively, which is included in selling and marketing and in general and administrative expenses.</w:t>
      </w:r>
    </w:p>
    <w:p>
      <w:pPr>
        <w:spacing w:after="0" w:line="70"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b w:val="1"/>
          <w:bCs w:val="1"/>
          <w:i w:val="1"/>
          <w:iCs w:val="1"/>
          <w:color w:val="auto"/>
        </w:rPr>
        <w:t>Use of Estimates</w:t>
      </w:r>
      <w:r>
        <w:rPr>
          <w:rFonts w:ascii="Arial" w:cs="Arial" w:eastAsia="Arial" w:hAnsi="Arial"/>
          <w:sz w:val="14"/>
          <w:szCs w:val="14"/>
          <w:color w:val="auto"/>
        </w:rPr>
        <w:t>—The preparation of financial statements in conformity with generally accepted accounting principles requires management to make estimates and assumptions that affect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used in the financial statements include estimates related to allowance for doubtful accounts, deferred revenue, income taxes and the valuation of long-lived assets including goodwill.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RECEIVABLES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Receivables consisted of the following at March 31, 2005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gridSpan w:val="3"/>
          </w:tcPr>
          <w:p>
            <w:pPr>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w w:val="97"/>
              </w:rPr>
              <w:t>2005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Trade accounts</w:t>
            </w:r>
          </w:p>
        </w:tc>
        <w:tc>
          <w:tcPr>
            <w:tcW w:w="3580" w:type="dxa"/>
            <w:vAlign w:val="bottom"/>
            <w:gridSpan w:val="2"/>
            <w:shd w:val="clear" w:color="auto" w:fill="CCEEFF"/>
          </w:tcPr>
          <w:p>
            <w:pPr>
              <w:ind w:left="348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Less allowance for doubtful accounts</w:t>
            </w: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INTANGIBLE ASSETS AND GOODWILL</w:t>
      </w:r>
    </w:p>
    <w:p>
      <w:pPr>
        <w:spacing w:after="0" w:line="83"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The Company is currently amortizing its acquired intangible assets with finite lives over periods ranging from one to five years. The following table summarizes the components of gross and net intangible asset balances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86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1"/>
                <w:szCs w:val="11"/>
                <w:b w:val="1"/>
                <w:bCs w:val="1"/>
                <w:color w:val="auto"/>
              </w:rPr>
              <w:t>March 31, 2005</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8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tcPr>
          <w:p>
            <w:pPr>
              <w:jc w:val="right"/>
              <w:ind w:right="420"/>
              <w:spacing w:after="0" w:line="100" w:lineRule="exact"/>
              <w:rPr>
                <w:sz w:val="20"/>
                <w:szCs w:val="20"/>
                <w:color w:val="auto"/>
              </w:rPr>
            </w:pPr>
            <w:r>
              <w:rPr>
                <w:rFonts w:ascii="Arial" w:cs="Arial" w:eastAsia="Arial" w:hAnsi="Arial"/>
                <w:sz w:val="11"/>
                <w:szCs w:val="11"/>
                <w:b w:val="1"/>
                <w:bCs w:val="1"/>
                <w:color w:val="auto"/>
                <w:w w:val="81"/>
              </w:rPr>
              <w:t>Gross</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ind w:right="72"/>
              <w:spacing w:after="0" w:line="100" w:lineRule="exact"/>
              <w:rPr>
                <w:sz w:val="20"/>
                <w:szCs w:val="20"/>
                <w:color w:val="auto"/>
              </w:rPr>
            </w:pPr>
            <w:r>
              <w:rPr>
                <w:rFonts w:ascii="Arial" w:cs="Arial" w:eastAsia="Arial" w:hAnsi="Arial"/>
                <w:sz w:val="11"/>
                <w:szCs w:val="11"/>
                <w:b w:val="1"/>
                <w:bCs w:val="1"/>
                <w:color w:val="auto"/>
                <w:w w:val="90"/>
              </w:rPr>
              <w:t>Net</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6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78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Carrying</w:t>
            </w:r>
          </w:p>
        </w:tc>
        <w:tc>
          <w:tcPr>
            <w:tcW w:w="340" w:type="dxa"/>
            <w:vAlign w:val="bottom"/>
          </w:tcPr>
          <w:p>
            <w:pPr>
              <w:spacing w:after="0"/>
              <w:rPr>
                <w:sz w:val="10"/>
                <w:szCs w:val="10"/>
                <w:color w:val="auto"/>
              </w:rPr>
            </w:pPr>
          </w:p>
        </w:tc>
        <w:tc>
          <w:tcPr>
            <w:tcW w:w="13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Accumulated</w:t>
            </w:r>
          </w:p>
        </w:tc>
        <w:tc>
          <w:tcPr>
            <w:tcW w:w="5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Carrying</w:t>
            </w:r>
          </w:p>
        </w:tc>
        <w:tc>
          <w:tcPr>
            <w:tcW w:w="0" w:type="dxa"/>
            <w:vAlign w:val="bottom"/>
          </w:tcPr>
          <w:p>
            <w:pPr>
              <w:spacing w:after="0"/>
              <w:rPr>
                <w:sz w:val="1"/>
                <w:szCs w:val="1"/>
                <w:color w:val="auto"/>
              </w:rPr>
            </w:pPr>
          </w:p>
        </w:tc>
      </w:tr>
      <w:tr>
        <w:trPr>
          <w:trHeight w:val="131"/>
        </w:trPr>
        <w:tc>
          <w:tcPr>
            <w:tcW w:w="3860" w:type="dxa"/>
            <w:vAlign w:val="bottom"/>
            <w:vMerge w:val="restart"/>
          </w:tcPr>
          <w:p>
            <w:pPr>
              <w:spacing w:after="0"/>
              <w:rPr>
                <w:sz w:val="20"/>
                <w:szCs w:val="20"/>
                <w:color w:val="auto"/>
              </w:rPr>
            </w:pPr>
            <w:r>
              <w:rPr>
                <w:rFonts w:ascii="Arial" w:cs="Arial" w:eastAsia="Arial" w:hAnsi="Arial"/>
                <w:sz w:val="14"/>
                <w:szCs w:val="14"/>
                <w:color w:val="auto"/>
              </w:rPr>
              <w:t>Advertising relationships</w:t>
            </w:r>
          </w:p>
        </w:tc>
        <w:tc>
          <w:tcPr>
            <w:tcW w:w="4660" w:type="dxa"/>
            <w:vAlign w:val="bottom"/>
          </w:tcPr>
          <w:p>
            <w:pPr>
              <w:spacing w:after="0"/>
              <w:rPr>
                <w:sz w:val="11"/>
                <w:szCs w:val="1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34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9"/>
              </w:rPr>
              <w:t>Amortization</w:t>
            </w:r>
          </w:p>
        </w:tc>
        <w:tc>
          <w:tcPr>
            <w:tcW w:w="680" w:type="dxa"/>
            <w:vAlign w:val="bottom"/>
          </w:tcPr>
          <w:p>
            <w:pPr>
              <w:spacing w:after="0"/>
              <w:rPr>
                <w:sz w:val="11"/>
                <w:szCs w:val="11"/>
                <w:color w:val="auto"/>
              </w:rPr>
            </w:pP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1"/>
              </w:rPr>
              <w:t>Amount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860" w:type="dxa"/>
            <w:vAlign w:val="bottom"/>
            <w:vMerge w:val="continue"/>
          </w:tcPr>
          <w:p>
            <w:pPr>
              <w:spacing w:after="0"/>
              <w:rPr>
                <w:sz w:val="13"/>
                <w:szCs w:val="13"/>
                <w:color w:val="auto"/>
              </w:rPr>
            </w:pPr>
          </w:p>
        </w:tc>
        <w:tc>
          <w:tcPr>
            <w:tcW w:w="4660" w:type="dxa"/>
            <w:vAlign w:val="bottom"/>
          </w:tcPr>
          <w:p>
            <w:pPr>
              <w:spacing w:after="0"/>
              <w:rPr>
                <w:sz w:val="13"/>
                <w:szCs w:val="13"/>
                <w:color w:val="auto"/>
              </w:rPr>
            </w:pP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(0.6)</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Advertising backlog</w:t>
            </w: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Circuit share agreements</w:t>
            </w: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1"/>
        </w:trPr>
        <w:tc>
          <w:tcPr>
            <w:tcW w:w="3860" w:type="dxa"/>
            <w:vAlign w:val="bottom"/>
          </w:tcPr>
          <w:p>
            <w:pPr>
              <w:spacing w:after="0"/>
              <w:rPr>
                <w:sz w:val="20"/>
                <w:szCs w:val="20"/>
                <w:color w:val="auto"/>
              </w:rPr>
            </w:pPr>
            <w:r>
              <w:rPr>
                <w:rFonts w:ascii="Arial" w:cs="Arial" w:eastAsia="Arial" w:hAnsi="Arial"/>
                <w:sz w:val="14"/>
                <w:szCs w:val="14"/>
                <w:color w:val="auto"/>
              </w:rPr>
              <w:t>Unfavorable circuit share agreements</w:t>
            </w: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0.6</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46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60" w:type="dxa"/>
            <w:vAlign w:val="bottom"/>
          </w:tcPr>
          <w:p>
            <w:pPr>
              <w:spacing w:after="0"/>
              <w:rPr>
                <w:sz w:val="24"/>
                <w:szCs w:val="24"/>
                <w:color w:val="auto"/>
              </w:rPr>
            </w:pPr>
          </w:p>
        </w:tc>
        <w:tc>
          <w:tcPr>
            <w:tcW w:w="4740" w:type="dxa"/>
            <w:vAlign w:val="bottom"/>
            <w:gridSpan w:val="2"/>
          </w:tcPr>
          <w:p>
            <w:pPr>
              <w:ind w:left="1740"/>
              <w:spacing w:after="0"/>
              <w:rPr>
                <w:sz w:val="20"/>
                <w:szCs w:val="20"/>
                <w:color w:val="auto"/>
              </w:rPr>
            </w:pPr>
            <w:r>
              <w:rPr>
                <w:rFonts w:ascii="Arial" w:cs="Arial" w:eastAsia="Arial" w:hAnsi="Arial"/>
                <w:sz w:val="14"/>
                <w:szCs w:val="14"/>
                <w:color w:val="auto"/>
              </w:rPr>
              <w:t>F-49</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8340" w:type="dxa"/>
            <w:vAlign w:val="bottom"/>
          </w:tcPr>
          <w:p>
            <w:pPr>
              <w:jc w:val="center"/>
              <w:ind w:left="1209"/>
              <w:spacing w:after="0"/>
              <w:rPr>
                <w:sz w:val="20"/>
                <w:szCs w:val="20"/>
                <w:color w:val="auto"/>
              </w:rPr>
            </w:pPr>
            <w:r>
              <w:rPr>
                <w:rFonts w:ascii="Arial" w:cs="Arial" w:eastAsia="Arial" w:hAnsi="Arial"/>
                <w:sz w:val="14"/>
                <w:szCs w:val="14"/>
                <w:b w:val="1"/>
                <w:bCs w:val="1"/>
                <w:color w:val="auto"/>
              </w:rPr>
              <w:t>NATIONAL CINEMA NETWORK, INC.</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8340" w:type="dxa"/>
            <w:vAlign w:val="bottom"/>
          </w:tcPr>
          <w:p>
            <w:pPr>
              <w:jc w:val="center"/>
              <w:ind w:left="1209"/>
              <w:spacing w:after="0"/>
              <w:rPr>
                <w:sz w:val="20"/>
                <w:szCs w:val="20"/>
                <w:color w:val="auto"/>
              </w:rPr>
            </w:pPr>
            <w:r>
              <w:rPr>
                <w:rFonts w:ascii="Arial" w:cs="Arial" w:eastAsia="Arial" w:hAnsi="Arial"/>
                <w:sz w:val="14"/>
                <w:szCs w:val="14"/>
                <w:b w:val="1"/>
                <w:bCs w:val="1"/>
                <w:color w:val="auto"/>
                <w:w w:val="99"/>
              </w:rPr>
              <w:t>NOTES TO FINANCIAL STATEMENTS—(Continued)</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8340" w:type="dxa"/>
            <w:vAlign w:val="bottom"/>
          </w:tcPr>
          <w:p>
            <w:pPr>
              <w:jc w:val="center"/>
              <w:ind w:left="1209"/>
              <w:spacing w:after="0"/>
              <w:rPr>
                <w:sz w:val="20"/>
                <w:szCs w:val="20"/>
                <w:color w:val="auto"/>
              </w:rPr>
            </w:pPr>
            <w:r>
              <w:rPr>
                <w:rFonts w:ascii="Arial" w:cs="Arial" w:eastAsia="Arial" w:hAnsi="Arial"/>
                <w:sz w:val="14"/>
                <w:szCs w:val="14"/>
                <w:b w:val="1"/>
                <w:bCs w:val="1"/>
                <w:color w:val="auto"/>
                <w:w w:val="98"/>
              </w:rPr>
              <w:t>PERIODS ENDED MARCH 31, 2005, DECEMBER 23, 2004, AND APRIL 1, 2004</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8800" w:type="dxa"/>
            <w:vAlign w:val="bottom"/>
            <w:gridSpan w:val="2"/>
          </w:tcPr>
          <w:p>
            <w:pPr>
              <w:spacing w:after="0"/>
              <w:rPr>
                <w:sz w:val="20"/>
                <w:szCs w:val="20"/>
                <w:color w:val="auto"/>
              </w:rPr>
            </w:pPr>
            <w:r>
              <w:rPr>
                <w:rFonts w:ascii="Arial" w:cs="Arial" w:eastAsia="Arial" w:hAnsi="Arial"/>
                <w:sz w:val="14"/>
                <w:szCs w:val="14"/>
                <w:color w:val="auto"/>
              </w:rPr>
              <w:t>Expected annual amortization expense related to acquired intangible assets is as follows (in millions):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60" w:type="dxa"/>
            <w:vAlign w:val="bottom"/>
            <w:vMerge w:val="restart"/>
          </w:tcPr>
          <w:p>
            <w:pPr>
              <w:spacing w:after="0"/>
              <w:rPr>
                <w:sz w:val="14"/>
                <w:szCs w:val="14"/>
                <w:color w:val="auto"/>
              </w:rPr>
            </w:pPr>
          </w:p>
        </w:tc>
        <w:tc>
          <w:tcPr>
            <w:tcW w:w="8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 w:type="dxa"/>
            <w:vAlign w:val="bottom"/>
            <w:vMerge w:val="continue"/>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4"/>
                <w:szCs w:val="14"/>
                <w:color w:val="auto"/>
              </w:rPr>
              <w:t>For fiscal years:</w:t>
            </w: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tcPr>
          <w:p>
            <w:pPr>
              <w:spacing w:after="0"/>
              <w:rPr>
                <w:sz w:val="20"/>
                <w:szCs w:val="20"/>
                <w:color w:val="auto"/>
              </w:rPr>
            </w:pPr>
            <w:r>
              <w:rPr>
                <w:rFonts w:ascii="Arial" w:cs="Arial" w:eastAsia="Arial" w:hAnsi="Arial"/>
                <w:sz w:val="14"/>
                <w:szCs w:val="14"/>
                <w:color w:val="auto"/>
              </w:rPr>
              <w:t>2006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tcPr>
          <w:p>
            <w:pPr>
              <w:spacing w:after="0"/>
              <w:rPr>
                <w:sz w:val="20"/>
                <w:szCs w:val="20"/>
                <w:color w:val="auto"/>
              </w:rPr>
            </w:pPr>
            <w:r>
              <w:rPr>
                <w:rFonts w:ascii="Arial" w:cs="Arial" w:eastAsia="Arial" w:hAnsi="Arial"/>
                <w:sz w:val="14"/>
                <w:szCs w:val="14"/>
                <w:color w:val="auto"/>
              </w:rPr>
              <w:t>2008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4"/>
                <w:szCs w:val="14"/>
                <w:color w:val="auto"/>
              </w:rPr>
              <w:t>2009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8340" w:type="dxa"/>
            <w:vAlign w:val="bottom"/>
          </w:tcPr>
          <w:p>
            <w:pPr>
              <w:spacing w:after="0"/>
              <w:rPr>
                <w:sz w:val="20"/>
                <w:szCs w:val="20"/>
                <w:color w:val="auto"/>
              </w:rPr>
            </w:pPr>
            <w:r>
              <w:rPr>
                <w:rFonts w:ascii="Arial" w:cs="Arial" w:eastAsia="Arial" w:hAnsi="Arial"/>
                <w:sz w:val="14"/>
                <w:szCs w:val="14"/>
                <w:color w:val="auto"/>
              </w:rPr>
              <w:t>2010 and thereafter</w:t>
            </w:r>
          </w:p>
        </w:tc>
        <w:tc>
          <w:tcPr>
            <w:tcW w:w="10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4"/>
                <w:szCs w:val="14"/>
                <w:color w:val="auto"/>
              </w:rPr>
              <w:t>Total expected amortization expense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Amortization expense related to acquired intangible assets was $0.5 million for the period from December 24, 2004 (acquisition date) to March 31, 2005.</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the goodwill activity for the year ended March 31, 2005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100" w:type="dxa"/>
            <w:vAlign w:val="bottom"/>
            <w:vMerge w:val="restart"/>
          </w:tcPr>
          <w:p>
            <w:pPr>
              <w:spacing w:after="0"/>
              <w:rPr>
                <w:sz w:val="20"/>
                <w:szCs w:val="20"/>
                <w:color w:val="auto"/>
              </w:rPr>
            </w:pPr>
            <w:r>
              <w:rPr>
                <w:rFonts w:ascii="Arial" w:cs="Arial" w:eastAsia="Arial" w:hAnsi="Arial"/>
                <w:sz w:val="14"/>
                <w:szCs w:val="14"/>
                <w:color w:val="auto"/>
              </w:rPr>
              <w:t>Balance as of April 2, 2004</w:t>
            </w:r>
          </w:p>
        </w:tc>
        <w:tc>
          <w:tcPr>
            <w:tcW w:w="38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8"/>
        </w:trPr>
        <w:tc>
          <w:tcPr>
            <w:tcW w:w="11100" w:type="dxa"/>
            <w:vAlign w:val="bottom"/>
            <w:vMerge w:val="continue"/>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100" w:type="dxa"/>
            <w:vAlign w:val="bottom"/>
          </w:tcPr>
          <w:p>
            <w:pPr>
              <w:ind w:left="360"/>
              <w:spacing w:after="0"/>
              <w:rPr>
                <w:sz w:val="20"/>
                <w:szCs w:val="20"/>
                <w:color w:val="auto"/>
              </w:rPr>
            </w:pPr>
            <w:r>
              <w:rPr>
                <w:rFonts w:ascii="Arial" w:cs="Arial" w:eastAsia="Arial" w:hAnsi="Arial"/>
                <w:sz w:val="14"/>
                <w:szCs w:val="14"/>
                <w:color w:val="auto"/>
              </w:rPr>
              <w:t>Goodwill</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87"/>
              </w:rPr>
              <w:t>30.0</w:t>
            </w:r>
          </w:p>
        </w:tc>
        <w:tc>
          <w:tcPr>
            <w:tcW w:w="0" w:type="dxa"/>
            <w:vAlign w:val="bottom"/>
          </w:tcPr>
          <w:p>
            <w:pPr>
              <w:spacing w:after="0"/>
              <w:rPr>
                <w:sz w:val="1"/>
                <w:szCs w:val="1"/>
                <w:color w:val="auto"/>
              </w:rPr>
            </w:pPr>
          </w:p>
        </w:tc>
      </w:tr>
      <w:tr>
        <w:trPr>
          <w:trHeight w:val="178"/>
        </w:trPr>
        <w:tc>
          <w:tcPr>
            <w:tcW w:w="11100" w:type="dxa"/>
            <w:vAlign w:val="bottom"/>
          </w:tcPr>
          <w:p>
            <w:pPr>
              <w:spacing w:after="0"/>
              <w:rPr>
                <w:sz w:val="20"/>
                <w:szCs w:val="20"/>
                <w:color w:val="auto"/>
              </w:rPr>
            </w:pPr>
            <w:r>
              <w:rPr>
                <w:rFonts w:ascii="Arial" w:cs="Arial" w:eastAsia="Arial" w:hAnsi="Arial"/>
                <w:sz w:val="14"/>
                <w:szCs w:val="14"/>
                <w:color w:val="auto"/>
              </w:rPr>
              <w:t>Balance as of March 31, 2005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87"/>
              </w:rPr>
              <w:t>30.0</w:t>
            </w:r>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were no impairments of goodwill recognized for the year ended March 31, 2005.</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RELATED PARTY TRANSACTIONS:</w:t>
      </w:r>
    </w:p>
    <w:p>
      <w:pPr>
        <w:spacing w:after="0" w:line="8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The Company’s revenue is generated from approximately 5,000 theatre screens of which 63% are AMC screens. The total amount of slide and digital revenue earned from AMC screens for the Successor period ended March 31, 2005, was $5.2 million or 34% of the Company’s revenue. The total amount of Pre-Show revenue earned from AMC screens during the Successor period was $4.9 million or 32% of the Company’s revenue. The total amount of other in-theatre revenue earned from AMC screens for the Successor period was $2.3 million or 15% of the Company’s revenue. The AMC portion of circuit costs incurred by the Company for the Successor period was $5.5 million.</w:t>
      </w:r>
    </w:p>
    <w:p>
      <w:pPr>
        <w:spacing w:after="0" w:line="106" w:lineRule="exact"/>
        <w:rPr>
          <w:sz w:val="20"/>
          <w:szCs w:val="20"/>
          <w:color w:val="auto"/>
        </w:rPr>
      </w:pPr>
    </w:p>
    <w:p>
      <w:pPr>
        <w:jc w:val="both"/>
        <w:ind w:right="240" w:firstLine="458"/>
        <w:spacing w:after="0" w:line="305" w:lineRule="auto"/>
        <w:rPr>
          <w:sz w:val="20"/>
          <w:szCs w:val="20"/>
          <w:color w:val="auto"/>
        </w:rPr>
      </w:pPr>
      <w:r>
        <w:rPr>
          <w:rFonts w:ascii="Arial" w:cs="Arial" w:eastAsia="Arial" w:hAnsi="Arial"/>
          <w:sz w:val="13"/>
          <w:szCs w:val="13"/>
          <w:color w:val="auto"/>
        </w:rPr>
        <w:t>The total amount of slide and digital revenue earned from AMC screens during the Predecessor period ended December 23, 2004, was $16.4 million or 29% of the Company’s revenue. The total amount of Pre-Show revenue earned from AMC screens during the period was $20.4 million or 36% of the Company’s revenue. The total amount of other in-theatre revenue earned from AMC screens for the period was $4.8 million or 9% of the Company’s revenue. The AMC portion of circuit costs for the period was $18.6 million.</w:t>
      </w:r>
    </w:p>
    <w:p>
      <w:pPr>
        <w:spacing w:after="0" w:line="86"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For the Predecessor period ended April 1, 2004, the total amount of slide and digital revenue earned from AMC screens was $18.0 million, or 26% of the Company’s total revenue. The total amount of Pre-Show revenue earned from AMC screens in 2004 was $21.1 million or 30% of the Company’s revenue. The total amount of other in-theatre revenue earned from AMC screens for 2004 was $5.8 million or 8% of the Company’s revenue. The AMC portion of circuit costs for 2004 was $18.7 million.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ectPr>
          <w:pgSz w:w="11900" w:h="16838" w:orient="portrait"/>
          <w:cols w:equalWidth="0" w:num="1">
            <w:col w:w="11460"/>
          </w:cols>
          <w:pgMar w:left="220" w:top="399" w:right="21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MARCH 31, 2005, DECEMBER 23, 2004, AND APRIL 1, 2004</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Income taxes reflected in the Statement of Operations 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86"/>
              </w:rPr>
              <w:t>52 weeks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1"/>
                <w:szCs w:val="11"/>
                <w:b w:val="1"/>
                <w:bCs w:val="1"/>
                <w:color w:val="auto"/>
                <w:w w:val="92"/>
              </w:rPr>
              <w:t>April 2, 2004</w:t>
            </w:r>
          </w:p>
        </w:tc>
        <w:tc>
          <w:tcPr>
            <w:tcW w:w="740" w:type="dxa"/>
            <w:vAlign w:val="bottom"/>
          </w:tcPr>
          <w:p>
            <w:pPr>
              <w:spacing w:after="0"/>
              <w:rPr>
                <w:sz w:val="10"/>
                <w:szCs w:val="10"/>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8"/>
              </w:rPr>
              <w:t>December 24, 2004</w:t>
            </w:r>
          </w:p>
        </w:tc>
        <w:tc>
          <w:tcPr>
            <w:tcW w:w="0" w:type="dxa"/>
            <w:vAlign w:val="bottom"/>
          </w:tcPr>
          <w:p>
            <w:pPr>
              <w:spacing w:after="0"/>
              <w:rPr>
                <w:sz w:val="1"/>
                <w:szCs w:val="1"/>
                <w:color w:val="auto"/>
              </w:rPr>
            </w:pPr>
          </w:p>
        </w:tc>
      </w:tr>
      <w:tr>
        <w:trPr>
          <w:trHeight w:val="120"/>
        </w:trPr>
        <w:tc>
          <w:tcPr>
            <w:tcW w:w="6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580"/>
              <w:spacing w:after="0" w:line="121" w:lineRule="exact"/>
              <w:rPr>
                <w:sz w:val="20"/>
                <w:szCs w:val="20"/>
                <w:color w:val="auto"/>
              </w:rPr>
            </w:pPr>
            <w:r>
              <w:rPr>
                <w:rFonts w:ascii="Arial" w:cs="Arial" w:eastAsia="Arial" w:hAnsi="Arial"/>
                <w:sz w:val="11"/>
                <w:szCs w:val="11"/>
                <w:b w:val="1"/>
                <w:bCs w:val="1"/>
                <w:color w:val="auto"/>
              </w:rPr>
              <w:t>ended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Borders>
              <w:right w:val="single" w:sz="8" w:color="auto"/>
            </w:tcBorders>
            <w:gridSpan w:val="2"/>
          </w:tcPr>
          <w:p>
            <w:pPr>
              <w:jc w:val="center"/>
              <w:ind w:right="980"/>
              <w:spacing w:after="0" w:line="121" w:lineRule="exact"/>
              <w:rPr>
                <w:sz w:val="20"/>
                <w:szCs w:val="20"/>
                <w:color w:val="auto"/>
              </w:rPr>
            </w:pPr>
            <w:r>
              <w:rPr>
                <w:rFonts w:ascii="Arial" w:cs="Arial" w:eastAsia="Arial" w:hAnsi="Arial"/>
                <w:sz w:val="11"/>
                <w:szCs w:val="11"/>
                <w:b w:val="1"/>
                <w:bCs w:val="1"/>
                <w:color w:val="auto"/>
                <w:w w:val="86"/>
              </w:rPr>
              <w:t>through</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1"/>
              </w:rPr>
              <w:t>through</w:t>
            </w:r>
          </w:p>
        </w:tc>
        <w:tc>
          <w:tcPr>
            <w:tcW w:w="0" w:type="dxa"/>
            <w:vAlign w:val="bottom"/>
          </w:tcPr>
          <w:p>
            <w:pPr>
              <w:spacing w:after="0"/>
              <w:rPr>
                <w:sz w:val="1"/>
                <w:szCs w:val="1"/>
                <w:color w:val="auto"/>
              </w:rPr>
            </w:pPr>
          </w:p>
        </w:tc>
      </w:tr>
      <w:tr>
        <w:trPr>
          <w:trHeight w:val="120"/>
        </w:trPr>
        <w:tc>
          <w:tcPr>
            <w:tcW w:w="6600" w:type="dxa"/>
            <w:vAlign w:val="bottom"/>
          </w:tcPr>
          <w:p>
            <w:pPr>
              <w:spacing w:after="0"/>
              <w:rPr>
                <w:sz w:val="10"/>
                <w:szCs w:val="10"/>
                <w:color w:val="auto"/>
              </w:rPr>
            </w:pPr>
          </w:p>
        </w:tc>
        <w:tc>
          <w:tcPr>
            <w:tcW w:w="10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April 1, 2004</w:t>
            </w:r>
          </w:p>
        </w:tc>
        <w:tc>
          <w:tcPr>
            <w:tcW w:w="380" w:type="dxa"/>
            <w:vAlign w:val="bottom"/>
          </w:tcPr>
          <w:p>
            <w:pPr>
              <w:spacing w:after="0"/>
              <w:rPr>
                <w:sz w:val="10"/>
                <w:szCs w:val="10"/>
                <w:color w:val="auto"/>
              </w:rPr>
            </w:pPr>
          </w:p>
        </w:tc>
        <w:tc>
          <w:tcPr>
            <w:tcW w:w="1760" w:type="dxa"/>
            <w:vAlign w:val="bottom"/>
            <w:tcBorders>
              <w:right w:val="single" w:sz="8" w:color="auto"/>
            </w:tcBorders>
            <w:gridSpan w:val="3"/>
          </w:tcPr>
          <w:p>
            <w:pPr>
              <w:jc w:val="center"/>
              <w:ind w:right="880"/>
              <w:spacing w:after="0" w:line="121" w:lineRule="exact"/>
              <w:rPr>
                <w:sz w:val="20"/>
                <w:szCs w:val="20"/>
                <w:color w:val="auto"/>
              </w:rPr>
            </w:pPr>
            <w:r>
              <w:rPr>
                <w:rFonts w:ascii="Arial" w:cs="Arial" w:eastAsia="Arial" w:hAnsi="Arial"/>
                <w:sz w:val="11"/>
                <w:szCs w:val="11"/>
                <w:b w:val="1"/>
                <w:bCs w:val="1"/>
                <w:color w:val="auto"/>
                <w:w w:val="88"/>
              </w:rPr>
              <w:t>December 23, 2004</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1"/>
              </w:rPr>
              <w:t>March 31, 2005</w:t>
            </w:r>
          </w:p>
        </w:tc>
        <w:tc>
          <w:tcPr>
            <w:tcW w:w="0" w:type="dxa"/>
            <w:vAlign w:val="bottom"/>
          </w:tcPr>
          <w:p>
            <w:pPr>
              <w:spacing w:after="0"/>
              <w:rPr>
                <w:sz w:val="1"/>
                <w:szCs w:val="1"/>
                <w:color w:val="auto"/>
              </w:rPr>
            </w:pPr>
          </w:p>
        </w:tc>
      </w:tr>
      <w:tr>
        <w:trPr>
          <w:trHeight w:val="142"/>
        </w:trPr>
        <w:tc>
          <w:tcPr>
            <w:tcW w:w="6600" w:type="dxa"/>
            <w:vAlign w:val="bottom"/>
            <w:vMerge w:val="restart"/>
          </w:tcPr>
          <w:p>
            <w:pPr>
              <w:spacing w:after="0"/>
              <w:rPr>
                <w:sz w:val="20"/>
                <w:szCs w:val="20"/>
                <w:color w:val="auto"/>
              </w:rPr>
            </w:pPr>
            <w:r>
              <w:rPr>
                <w:rFonts w:ascii="Arial" w:cs="Arial" w:eastAsia="Arial" w:hAnsi="Arial"/>
                <w:sz w:val="14"/>
                <w:szCs w:val="14"/>
                <w:color w:val="auto"/>
              </w:rPr>
              <w:t>Current:</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(Predecessor)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1"/>
                <w:szCs w:val="11"/>
                <w:b w:val="1"/>
                <w:bCs w:val="1"/>
                <w:color w:val="auto"/>
                <w:w w:val="87"/>
              </w:rPr>
              <w:t>(Predecessor)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2"/>
              </w:rPr>
              <w:t>(Successor)</w:t>
            </w:r>
          </w:p>
        </w:tc>
        <w:tc>
          <w:tcPr>
            <w:tcW w:w="0" w:type="dxa"/>
            <w:vAlign w:val="bottom"/>
          </w:tcPr>
          <w:p>
            <w:pPr>
              <w:spacing w:after="0"/>
              <w:rPr>
                <w:sz w:val="1"/>
                <w:szCs w:val="1"/>
                <w:color w:val="auto"/>
              </w:rPr>
            </w:pPr>
          </w:p>
        </w:tc>
      </w:tr>
      <w:tr>
        <w:trPr>
          <w:trHeight w:val="164"/>
        </w:trPr>
        <w:tc>
          <w:tcPr>
            <w:tcW w:w="660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4"/>
                <w:szCs w:val="14"/>
                <w:color w:val="auto"/>
              </w:rPr>
              <w:t>Federal</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88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(0.2)</w:t>
            </w:r>
          </w:p>
        </w:tc>
        <w:tc>
          <w:tcPr>
            <w:tcW w:w="0" w:type="dxa"/>
            <w:vAlign w:val="bottom"/>
          </w:tcPr>
          <w:p>
            <w:pPr>
              <w:spacing w:after="0"/>
              <w:rPr>
                <w:sz w:val="1"/>
                <w:szCs w:val="1"/>
                <w:color w:val="auto"/>
              </w:rPr>
            </w:pPr>
          </w:p>
        </w:tc>
      </w:tr>
      <w:tr>
        <w:trPr>
          <w:trHeight w:val="202"/>
        </w:trPr>
        <w:tc>
          <w:tcPr>
            <w:tcW w:w="6600" w:type="dxa"/>
            <w:vAlign w:val="bottom"/>
          </w:tcPr>
          <w:p>
            <w:pPr>
              <w:ind w:left="360"/>
              <w:spacing w:after="0"/>
              <w:rPr>
                <w:sz w:val="20"/>
                <w:szCs w:val="20"/>
                <w:color w:val="auto"/>
              </w:rPr>
            </w:pPr>
            <w:r>
              <w:rPr>
                <w:rFonts w:ascii="Arial" w:cs="Arial" w:eastAsia="Arial" w:hAnsi="Arial"/>
                <w:sz w:val="14"/>
                <w:szCs w:val="14"/>
                <w:color w:val="auto"/>
              </w:rPr>
              <w:t>State</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8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(0.1)</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700"/>
              <w:spacing w:after="0"/>
              <w:rPr>
                <w:sz w:val="20"/>
                <w:szCs w:val="20"/>
                <w:color w:val="auto"/>
              </w:rPr>
            </w:pPr>
            <w:r>
              <w:rPr>
                <w:rFonts w:ascii="Arial" w:cs="Arial" w:eastAsia="Arial" w:hAnsi="Arial"/>
                <w:sz w:val="14"/>
                <w:szCs w:val="14"/>
                <w:color w:val="auto"/>
              </w:rPr>
              <w:t>Total current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c>
          <w:tcPr>
            <w:tcW w:w="8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(0.3)</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20"/>
                <w:szCs w:val="20"/>
                <w:color w:val="auto"/>
              </w:rPr>
            </w:pPr>
            <w:r>
              <w:rPr>
                <w:rFonts w:ascii="Arial" w:cs="Arial" w:eastAsia="Arial" w:hAnsi="Arial"/>
                <w:sz w:val="14"/>
                <w:szCs w:val="14"/>
                <w:color w:val="auto"/>
              </w:rPr>
              <w:t>Deferred:</w:t>
            </w: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4"/>
                <w:szCs w:val="14"/>
                <w:color w:val="auto"/>
              </w:rPr>
              <w:t>Federal</w:t>
            </w: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(0.6)</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(0.3)</w:t>
            </w:r>
          </w:p>
        </w:tc>
        <w:tc>
          <w:tcPr>
            <w:tcW w:w="0" w:type="dxa"/>
            <w:vAlign w:val="bottom"/>
          </w:tcPr>
          <w:p>
            <w:pPr>
              <w:spacing w:after="0"/>
              <w:rPr>
                <w:sz w:val="1"/>
                <w:szCs w:val="1"/>
                <w:color w:val="auto"/>
              </w:rPr>
            </w:pPr>
          </w:p>
        </w:tc>
      </w:tr>
      <w:tr>
        <w:trPr>
          <w:trHeight w:val="202"/>
        </w:trPr>
        <w:tc>
          <w:tcPr>
            <w:tcW w:w="6600" w:type="dxa"/>
            <w:vAlign w:val="bottom"/>
          </w:tcPr>
          <w:p>
            <w:pPr>
              <w:ind w:left="360"/>
              <w:spacing w:after="0"/>
              <w:rPr>
                <w:sz w:val="20"/>
                <w:szCs w:val="20"/>
                <w:color w:val="auto"/>
              </w:rPr>
            </w:pPr>
            <w:r>
              <w:rPr>
                <w:rFonts w:ascii="Arial" w:cs="Arial" w:eastAsia="Arial" w:hAnsi="Arial"/>
                <w:sz w:val="14"/>
                <w:szCs w:val="14"/>
                <w:color w:val="auto"/>
              </w:rPr>
              <w:t>State</w:t>
            </w:r>
          </w:p>
        </w:tc>
        <w:tc>
          <w:tcPr>
            <w:tcW w:w="8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(0.1)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(0.1)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700"/>
              <w:spacing w:after="0"/>
              <w:rPr>
                <w:sz w:val="20"/>
                <w:szCs w:val="20"/>
                <w:color w:val="auto"/>
              </w:rPr>
            </w:pPr>
            <w:r>
              <w:rPr>
                <w:rFonts w:ascii="Arial" w:cs="Arial" w:eastAsia="Arial" w:hAnsi="Arial"/>
                <w:sz w:val="14"/>
                <w:szCs w:val="14"/>
                <w:color w:val="auto"/>
              </w:rPr>
              <w:t>Total deferred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(0.9)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(0.7)</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4"/>
                <w:szCs w:val="14"/>
                <w:color w:val="auto"/>
              </w:rPr>
              <w:t>Total expense (benefit)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4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8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difference between the effective rate and the U.S. federal income tax statutory rate of 35% is accounted for as follows (in millions):</w:t>
      </w:r>
    </w:p>
    <w:p>
      <w:pPr>
        <w:sectPr>
          <w:pgSz w:w="11900" w:h="16838" w:orient="portrait"/>
          <w:cols w:equalWidth="0" w:num="1">
            <w:col w:w="11460"/>
          </w:cols>
          <w:pgMar w:left="220" w:top="39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Tax on earnings (loss) before (benefit) provision for income tax at statutory rates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Add (subtract) tax effect of:</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State income taxes—net of federal tax benefit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Income tax (benefit) provision</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COMMITMENTS: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540" w:type="dxa"/>
            <w:vAlign w:val="bottom"/>
          </w:tcPr>
          <w:p>
            <w:pPr>
              <w:jc w:val="right"/>
              <w:ind w:right="36"/>
              <w:spacing w:after="0"/>
              <w:rPr>
                <w:sz w:val="20"/>
                <w:szCs w:val="20"/>
                <w:color w:val="auto"/>
              </w:rPr>
            </w:pPr>
            <w:r>
              <w:rPr>
                <w:rFonts w:ascii="Arial" w:cs="Arial" w:eastAsia="Arial" w:hAnsi="Arial"/>
                <w:sz w:val="11"/>
                <w:szCs w:val="11"/>
                <w:b w:val="1"/>
                <w:bCs w:val="1"/>
                <w:color w:val="auto"/>
                <w:w w:val="86"/>
              </w:rPr>
              <w:t>52 weeks</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1"/>
                <w:szCs w:val="11"/>
                <w:b w:val="1"/>
                <w:bCs w:val="1"/>
                <w:color w:val="auto"/>
                <w:w w:val="92"/>
              </w:rPr>
              <w:t>April 2, 2004</w:t>
            </w:r>
          </w:p>
        </w:tc>
        <w:tc>
          <w:tcPr>
            <w:tcW w:w="740" w:type="dxa"/>
            <w:vAlign w:val="bottom"/>
          </w:tcPr>
          <w:p>
            <w:pPr>
              <w:spacing w:after="0"/>
              <w:rPr>
                <w:sz w:val="10"/>
                <w:szCs w:val="10"/>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8"/>
              </w:rPr>
              <w:t>December 24, 2004</w:t>
            </w:r>
          </w:p>
        </w:tc>
      </w:tr>
      <w:tr>
        <w:trPr>
          <w:trHeight w:val="120"/>
        </w:trPr>
        <w:tc>
          <w:tcPr>
            <w:tcW w:w="80" w:type="dxa"/>
            <w:vAlign w:val="bottom"/>
          </w:tcPr>
          <w:p>
            <w:pPr>
              <w:spacing w:after="0"/>
              <w:rPr>
                <w:sz w:val="10"/>
                <w:szCs w:val="10"/>
                <w:color w:val="auto"/>
              </w:rPr>
            </w:pPr>
          </w:p>
        </w:tc>
        <w:tc>
          <w:tcPr>
            <w:tcW w:w="540" w:type="dxa"/>
            <w:vAlign w:val="bottom"/>
          </w:tcPr>
          <w:p>
            <w:pPr>
              <w:jc w:val="right"/>
              <w:ind w:right="116"/>
              <w:spacing w:after="0" w:line="121" w:lineRule="exact"/>
              <w:rPr>
                <w:sz w:val="20"/>
                <w:szCs w:val="20"/>
                <w:color w:val="auto"/>
              </w:rPr>
            </w:pPr>
            <w:r>
              <w:rPr>
                <w:rFonts w:ascii="Arial" w:cs="Arial" w:eastAsia="Arial" w:hAnsi="Arial"/>
                <w:sz w:val="11"/>
                <w:szCs w:val="11"/>
                <w:b w:val="1"/>
                <w:bCs w:val="1"/>
                <w:color w:val="auto"/>
              </w:rPr>
              <w:t>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Borders>
              <w:right w:val="single" w:sz="8" w:color="auto"/>
            </w:tcBorders>
            <w:gridSpan w:val="2"/>
          </w:tcPr>
          <w:p>
            <w:pPr>
              <w:jc w:val="center"/>
              <w:ind w:right="960"/>
              <w:spacing w:after="0" w:line="121" w:lineRule="exact"/>
              <w:rPr>
                <w:sz w:val="20"/>
                <w:szCs w:val="20"/>
                <w:color w:val="auto"/>
              </w:rPr>
            </w:pPr>
            <w:r>
              <w:rPr>
                <w:rFonts w:ascii="Arial" w:cs="Arial" w:eastAsia="Arial" w:hAnsi="Arial"/>
                <w:sz w:val="11"/>
                <w:szCs w:val="11"/>
                <w:b w:val="1"/>
                <w:bCs w:val="1"/>
                <w:color w:val="auto"/>
                <w:w w:val="86"/>
              </w:rPr>
              <w:t>through</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1"/>
              </w:rPr>
              <w:t>through</w:t>
            </w:r>
          </w:p>
        </w:tc>
      </w:tr>
      <w:tr>
        <w:trPr>
          <w:trHeight w:val="120"/>
        </w:trPr>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2"/>
              </w:rPr>
              <w:t>April 1, 2004</w:t>
            </w:r>
          </w:p>
        </w:tc>
        <w:tc>
          <w:tcPr>
            <w:tcW w:w="760" w:type="dxa"/>
            <w:vAlign w:val="bottom"/>
          </w:tcPr>
          <w:p>
            <w:pPr>
              <w:spacing w:after="0"/>
              <w:rPr>
                <w:sz w:val="10"/>
                <w:szCs w:val="10"/>
                <w:color w:val="auto"/>
              </w:rPr>
            </w:pPr>
          </w:p>
        </w:tc>
        <w:tc>
          <w:tcPr>
            <w:tcW w:w="1740" w:type="dxa"/>
            <w:vAlign w:val="bottom"/>
            <w:tcBorders>
              <w:right w:val="single" w:sz="8" w:color="auto"/>
            </w:tcBorders>
            <w:gridSpan w:val="3"/>
          </w:tcPr>
          <w:p>
            <w:pPr>
              <w:jc w:val="right"/>
              <w:ind w:right="860"/>
              <w:spacing w:after="0" w:line="121" w:lineRule="exact"/>
              <w:rPr>
                <w:sz w:val="20"/>
                <w:szCs w:val="20"/>
                <w:color w:val="auto"/>
              </w:rPr>
            </w:pPr>
            <w:r>
              <w:rPr>
                <w:rFonts w:ascii="Arial" w:cs="Arial" w:eastAsia="Arial" w:hAnsi="Arial"/>
                <w:sz w:val="11"/>
                <w:szCs w:val="11"/>
                <w:b w:val="1"/>
                <w:bCs w:val="1"/>
                <w:color w:val="auto"/>
                <w:w w:val="86"/>
              </w:rPr>
              <w:t>December 23, 2004</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1"/>
              </w:rPr>
              <w:t>March 31, 2005</w:t>
            </w:r>
          </w:p>
        </w:tc>
      </w:tr>
      <w:tr>
        <w:trPr>
          <w:trHeight w:val="142"/>
        </w:trPr>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1"/>
              </w:rPr>
              <w:t>(Predecessor)</w:t>
            </w: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7"/>
              </w:rPr>
              <w:t>(Predecessor)</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2"/>
              </w:rPr>
              <w:t>(Successor)</w:t>
            </w:r>
          </w:p>
        </w:tc>
        <w:tc>
          <w:tcPr>
            <w:tcW w:w="60" w:type="dxa"/>
            <w:vAlign w:val="bottom"/>
          </w:tcPr>
          <w:p>
            <w:pPr>
              <w:spacing w:after="0"/>
              <w:rPr>
                <w:sz w:val="12"/>
                <w:szCs w:val="12"/>
                <w:color w:val="auto"/>
              </w:rPr>
            </w:pPr>
          </w:p>
        </w:tc>
      </w:tr>
      <w:tr>
        <w:trPr>
          <w:trHeight w:val="186"/>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4"/>
                <w:szCs w:val="14"/>
                <w:color w:val="auto"/>
              </w:rPr>
              <w:t>2.6</w:t>
            </w:r>
          </w:p>
        </w:tc>
        <w:tc>
          <w:tcPr>
            <w:tcW w:w="7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(0.5)</w:t>
            </w:r>
          </w:p>
        </w:tc>
      </w:tr>
      <w:tr>
        <w:trPr>
          <w:trHeight w:val="394"/>
        </w:trPr>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4"/>
                <w:szCs w:val="14"/>
                <w:color w:val="auto"/>
              </w:rPr>
              <w:t>0.4</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w:t>
            </w:r>
          </w:p>
        </w:tc>
        <w:tc>
          <w:tcPr>
            <w:tcW w:w="7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4"/>
                <w:szCs w:val="14"/>
                <w:color w:val="auto"/>
              </w:rPr>
              <w:t>3.0</w:t>
            </w:r>
          </w:p>
        </w:tc>
        <w:tc>
          <w:tcPr>
            <w:tcW w:w="7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29" w:lineRule="exact"/>
        <w:rPr>
          <w:sz w:val="20"/>
          <w:szCs w:val="20"/>
          <w:color w:val="auto"/>
        </w:rPr>
      </w:pPr>
    </w:p>
    <w:p>
      <w:pPr>
        <w:sectPr>
          <w:pgSz w:w="11900" w:h="16838" w:orient="portrait"/>
          <w:cols w:equalWidth="0" w:num="2">
            <w:col w:w="5940" w:space="720"/>
            <w:col w:w="4800"/>
          </w:cols>
          <w:pgMar w:left="220" w:top="399" w:right="219" w:bottom="1440" w:gutter="0" w:footer="0" w:header="0"/>
          <w:type w:val="continuous"/>
        </w:sectPr>
      </w:pPr>
    </w:p>
    <w:p>
      <w:pPr>
        <w:ind w:right="60" w:firstLine="458"/>
        <w:spacing w:after="0" w:line="270" w:lineRule="auto"/>
        <w:rPr>
          <w:sz w:val="20"/>
          <w:szCs w:val="20"/>
          <w:color w:val="auto"/>
        </w:rPr>
      </w:pPr>
      <w:r>
        <w:rPr>
          <w:rFonts w:ascii="Arial" w:cs="Arial" w:eastAsia="Arial" w:hAnsi="Arial"/>
          <w:sz w:val="14"/>
          <w:szCs w:val="14"/>
          <w:color w:val="auto"/>
        </w:rPr>
        <w:t>The majority of the Company’s sales and administrative operations were conducted in premises occupied under lease agreements with base terms ranging generally from one to four years, with certain leases containing options to extend the leases for an additional one to three years. The leases provide for fixed rentals. The Company also leases certain equipment under leases expiring at various dates. The majority of the leases provide that the Company will pay all, or substantially all, the taxes, maintenance, insurance, and certain other operating expenses. None of the Company’s operating leases were assumed by NCM and remained the obligations of AMC after March 31, 2005.</w:t>
      </w:r>
    </w:p>
    <w:p>
      <w:pPr>
        <w:spacing w:after="0" w:line="106" w:lineRule="exact"/>
        <w:rPr>
          <w:sz w:val="20"/>
          <w:szCs w:val="20"/>
          <w:color w:val="auto"/>
        </w:rPr>
      </w:pPr>
    </w:p>
    <w:p>
      <w:pPr>
        <w:jc w:val="center"/>
        <w:ind w:left="580" w:right="100"/>
        <w:spacing w:after="0" w:line="469" w:lineRule="auto"/>
        <w:rPr>
          <w:sz w:val="20"/>
          <w:szCs w:val="20"/>
          <w:color w:val="auto"/>
        </w:rPr>
      </w:pPr>
      <w:r>
        <w:rPr>
          <w:rFonts w:ascii="Arial" w:cs="Arial" w:eastAsia="Arial" w:hAnsi="Arial"/>
          <w:sz w:val="14"/>
          <w:szCs w:val="14"/>
          <w:color w:val="auto"/>
        </w:rPr>
        <w:t>Rent expense totaled $-, $0.6 million and $1.0 million for the Successor period ended March 31, 2005, and the Predecessor periods ended December 23, 2004, and April 1, 2004, respectively. F-51</w:t>
      </w:r>
    </w:p>
    <w:p>
      <w:pPr>
        <w:sectPr>
          <w:pgSz w:w="11900" w:h="16838" w:orient="portrait"/>
          <w:cols w:equalWidth="0" w:num="1">
            <w:col w:w="11460"/>
          </w:cols>
          <w:pgMar w:left="220" w:top="399" w:right="219" w:bottom="1440" w:gutter="0" w:footer="0" w:header="0"/>
          <w:type w:val="continuous"/>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PERIODS ENDED MARCH 31, 2005, DECEMBER 23, 2004, AND APRIL 1, 2004</w:t>
      </w:r>
    </w:p>
    <w:p>
      <w:pPr>
        <w:spacing w:after="0" w:line="128"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b w:val="1"/>
          <w:bCs w:val="1"/>
          <w:i w:val="1"/>
          <w:iCs w:val="1"/>
          <w:color w:val="auto"/>
        </w:rPr>
        <w:t>Employee Benefit Plans</w:t>
      </w:r>
      <w:r>
        <w:rPr>
          <w:rFonts w:ascii="Arial" w:cs="Arial" w:eastAsia="Arial" w:hAnsi="Arial"/>
          <w:sz w:val="14"/>
          <w:szCs w:val="14"/>
          <w:color w:val="auto"/>
        </w:rPr>
        <w:t>—Employees of NCN are included in the benefit plans offered to AMC employees. All of the obligations related to NCN employees remained with AMC subsequent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formation of NCM. Descriptions of these plans are as follows:</w:t>
      </w:r>
    </w:p>
    <w:p>
      <w:pPr>
        <w:spacing w:after="0" w:line="28"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i w:val="1"/>
          <w:iCs w:val="1"/>
          <w:color w:val="auto"/>
        </w:rPr>
        <w:t>Defined Benefit Plan</w:t>
      </w:r>
      <w:r>
        <w:rPr>
          <w:rFonts w:ascii="Arial" w:cs="Arial" w:eastAsia="Arial" w:hAnsi="Arial"/>
          <w:sz w:val="14"/>
          <w:szCs w:val="14"/>
          <w:color w:val="auto"/>
        </w:rPr>
        <w:t>—AMC sponsors a noncontributory defined benefit pension plan covering, after a minimum of one year of employment, all employees age 21 or older, who have</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completed 1,000 hours of service in their first twelve months of employment or in a calendar year and who are not covered by a collective bargaining agreement. Expenses of the defined benefit pension plan allocated to NCN from AMC totaled $0.1 million, $0.2 million, and $0.2 million during the Successor period ended March 31, 2005, and Predecessor periods ended December 23, 2004, and April 1, 2004, respectively.</w:t>
      </w:r>
    </w:p>
    <w:p>
      <w:pPr>
        <w:spacing w:after="0" w:line="106" w:lineRule="exact"/>
        <w:rPr>
          <w:sz w:val="20"/>
          <w:szCs w:val="20"/>
          <w:color w:val="auto"/>
        </w:rPr>
      </w:pPr>
    </w:p>
    <w:p>
      <w:pPr>
        <w:ind w:right="220" w:firstLine="458"/>
        <w:spacing w:after="0" w:line="270" w:lineRule="auto"/>
        <w:rPr>
          <w:sz w:val="20"/>
          <w:szCs w:val="20"/>
          <w:color w:val="auto"/>
        </w:rPr>
      </w:pPr>
      <w:r>
        <w:rPr>
          <w:rFonts w:ascii="Arial" w:cs="Arial" w:eastAsia="Arial" w:hAnsi="Arial"/>
          <w:sz w:val="14"/>
          <w:szCs w:val="14"/>
          <w:i w:val="1"/>
          <w:iCs w:val="1"/>
          <w:color w:val="auto"/>
        </w:rPr>
        <w:t>401(k) Plan</w:t>
      </w:r>
      <w:r>
        <w:rPr>
          <w:rFonts w:ascii="Arial" w:cs="Arial" w:eastAsia="Arial" w:hAnsi="Arial"/>
          <w:sz w:val="14"/>
          <w:szCs w:val="14"/>
          <w:color w:val="auto"/>
        </w:rPr>
        <w:t>—AMC sponsors a voluntary 401(k) savings plan covering eligible employees after one year of service and age 21. The Company matches 100% of each eligible 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elective contributions up to 3% of the employee’s compensation and 50% of each eligible employee’s elective contributions on the next 2% of the employees pay. The Company’s expense under the 401(k) savings plan was $0.1 million, $0.2 million, and $0.3 million for the Successor period ended March 31, 2005, and the Predecessor periods ended December 23, 2004, and April 1, 2004, respectively.</w:t>
      </w:r>
    </w:p>
    <w:p>
      <w:pPr>
        <w:spacing w:after="0" w:line="106"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i w:val="1"/>
          <w:iCs w:val="1"/>
          <w:color w:val="auto"/>
        </w:rPr>
        <w:t>Other Retirement Benefits</w:t>
      </w:r>
      <w:r>
        <w:rPr>
          <w:rFonts w:ascii="Arial" w:cs="Arial" w:eastAsia="Arial" w:hAnsi="Arial"/>
          <w:sz w:val="14"/>
          <w:szCs w:val="14"/>
          <w:color w:val="auto"/>
        </w:rPr>
        <w:t>—AMC currently offers eligible retirees the opportunity to participate in a health plan (medical and dental) and a life insurance plan. Substantially all employees may</w:t>
      </w:r>
      <w:r>
        <w:rPr>
          <w:rFonts w:ascii="Arial" w:cs="Arial" w:eastAsia="Arial" w:hAnsi="Arial"/>
          <w:sz w:val="14"/>
          <w:szCs w:val="14"/>
          <w:i w:val="1"/>
          <w:iCs w:val="1"/>
          <w:color w:val="auto"/>
        </w:rPr>
        <w:t xml:space="preserve"> </w:t>
      </w:r>
      <w:r>
        <w:rPr>
          <w:rFonts w:ascii="Arial" w:cs="Arial" w:eastAsia="Arial" w:hAnsi="Arial"/>
          <w:sz w:val="14"/>
          <w:szCs w:val="14"/>
          <w:color w:val="auto"/>
        </w:rPr>
        <w:t>become eligible for these benefits provided that the employee must be at least 55 years of age and have 15 years of credited service at retirement. The health plan is contributory, with retiree contributions adjusted annually; the life insurance plan is noncontributory.</w:t>
      </w:r>
    </w:p>
    <w:p>
      <w:pPr>
        <w:spacing w:after="0" w:line="102"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i w:val="1"/>
          <w:iCs w:val="1"/>
          <w:color w:val="auto"/>
        </w:rPr>
        <w:t>Commitments</w:t>
      </w:r>
      <w:r>
        <w:rPr>
          <w:rFonts w:ascii="Arial" w:cs="Arial" w:eastAsia="Arial" w:hAnsi="Arial"/>
          <w:sz w:val="14"/>
          <w:szCs w:val="14"/>
          <w:color w:val="auto"/>
        </w:rPr>
        <w:t>—The Company operates its advertising program through agreements with theatre circuits. These exhibitor agreements stipulate the amount of exhibitor payments a theatre will</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for running on-screen slides, on-film programs and other related in-theatre products and services. An exhibitor agreement generally has a term of two to five years, with an annual cancellation provision included in select agreements. Certain circuits have agreements requiring an annual minimum exhibitor share payment. The Company’s total exhibitor share commitment as of the Successor period ended March 31, 2005, totals $3.0 million. As a result of the Joint Venture, NCN’s exhibitor share commitment is expected to be paid by March 2007. In certain circuit agreements, the Company has the right to subcontract theatres to other in-theatre advertising affiliates. Exhibitor share payments due to the exhibitor from subcontracted affiliate sales shall be credited against the annual minimum exhibit share payment in selected agreements.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 * * * *</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F-52</w:t>
      </w:r>
    </w:p>
    <w:p>
      <w:pPr>
        <w:sectPr>
          <w:pgSz w:w="11900" w:h="16838" w:orient="portrait"/>
          <w:cols w:equalWidth="0" w:num="1">
            <w:col w:w="11440"/>
          </w:cols>
          <w:pgMar w:left="220" w:top="399" w:right="239" w:bottom="1440" w:gutter="0" w:footer="0" w:header="0"/>
        </w:sectPr>
      </w:pPr>
    </w:p>
    <w:bookmarkStart w:id="227" w:name="page228"/>
    <w:bookmarkEnd w:id="2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323455" cy="56629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23455" cy="5662930"/>
                    </a:xfrm>
                    <a:prstGeom prst="rect">
                      <a:avLst/>
                    </a:prstGeom>
                    <a:noFill/>
                  </pic:spPr>
                </pic:pic>
              </a:graphicData>
            </a:graphic>
          </wp:anchor>
        </w:drawing>
      </w:r>
    </w:p>
    <w:p>
      <w:pPr>
        <w:sectPr>
          <w:pgSz w:w="11900" w:h="16838" w:orient="portrait"/>
          <w:cols w:equalWidth="0" w:num="1">
            <w:col w:w="10239"/>
          </w:cols>
          <w:pgMar w:left="220" w:top="399" w:right="1440" w:bottom="1440" w:gutter="0" w:footer="0" w:header="0"/>
        </w:sectPr>
      </w:pPr>
    </w:p>
    <w:bookmarkStart w:id="228" w:name="page229"/>
    <w:bookmarkEnd w:id="22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78370" cy="266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ectPr>
          <w:pgSz w:w="11900" w:h="16838" w:orient="portrait"/>
          <w:cols w:equalWidth="0" w:num="1">
            <w:col w:w="11460"/>
          </w:cols>
          <w:pgMar w:left="220" w:top="39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38,000,000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668655</wp:posOffset>
            </wp:positionV>
            <wp:extent cx="1818005" cy="5759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18005" cy="57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349250</wp:posOffset>
            </wp:positionV>
            <wp:extent cx="111061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PROSPECTUS</w:t>
      </w:r>
    </w:p>
    <w:p>
      <w:pPr>
        <w:spacing w:after="0" w:line="69"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358775</wp:posOffset>
            </wp:positionV>
            <wp:extent cx="111061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800" w:val="left"/>
          <w:tab w:leader="none" w:pos="5060" w:val="left"/>
          <w:tab w:leader="none" w:pos="8600" w:val="left"/>
        </w:tabs>
        <w:rPr>
          <w:sz w:val="20"/>
          <w:szCs w:val="20"/>
          <w:color w:val="auto"/>
        </w:rPr>
      </w:pPr>
      <w:r>
        <w:rPr>
          <w:rFonts w:ascii="Arial" w:cs="Arial" w:eastAsia="Arial" w:hAnsi="Arial"/>
          <w:sz w:val="26"/>
          <w:szCs w:val="26"/>
          <w:b w:val="1"/>
          <w:bCs w:val="1"/>
          <w:color w:val="auto"/>
        </w:rPr>
        <w:t>Credit Suisse</w:t>
      </w:r>
      <w:r>
        <w:rPr>
          <w:sz w:val="20"/>
          <w:szCs w:val="20"/>
          <w:color w:val="auto"/>
        </w:rPr>
        <w:tab/>
      </w:r>
      <w:r>
        <w:rPr>
          <w:rFonts w:ascii="Arial" w:cs="Arial" w:eastAsia="Arial" w:hAnsi="Arial"/>
          <w:sz w:val="26"/>
          <w:szCs w:val="26"/>
          <w:b w:val="1"/>
          <w:bCs w:val="1"/>
          <w:color w:val="auto"/>
        </w:rPr>
        <w:t>JPMorgan</w:t>
      </w:r>
      <w:r>
        <w:rPr>
          <w:sz w:val="20"/>
          <w:szCs w:val="20"/>
          <w:color w:val="auto"/>
        </w:rPr>
        <w:tab/>
      </w:r>
      <w:r>
        <w:rPr>
          <w:rFonts w:ascii="Arial" w:cs="Arial" w:eastAsia="Arial" w:hAnsi="Arial"/>
          <w:sz w:val="26"/>
          <w:szCs w:val="26"/>
          <w:b w:val="1"/>
          <w:bCs w:val="1"/>
          <w:color w:val="auto"/>
        </w:rPr>
        <w:t>Lehman Brothers</w:t>
      </w:r>
      <w:r>
        <w:rPr>
          <w:sz w:val="20"/>
          <w:szCs w:val="20"/>
          <w:color w:val="auto"/>
        </w:rPr>
        <w:tab/>
      </w:r>
      <w:r>
        <w:rPr>
          <w:rFonts w:ascii="Arial" w:cs="Arial" w:eastAsia="Arial" w:hAnsi="Arial"/>
          <w:sz w:val="26"/>
          <w:szCs w:val="26"/>
          <w:b w:val="1"/>
          <w:bCs w:val="1"/>
          <w:color w:val="auto"/>
        </w:rPr>
        <w:t>Morgan Stanley</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AGM Securities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Allen &amp; Company LLC</w:t>
      </w:r>
    </w:p>
    <w:p>
      <w:pPr>
        <w:spacing w:after="0" w:line="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Banc of America Securities LLC</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Bear, Stearns &amp; Co. Inc.</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Citigroup</w:t>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Deutsche Bank Securities</w:t>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Goldman, Sachs &amp; Co.</w:t>
      </w:r>
    </w:p>
    <w:p>
      <w:pPr>
        <w:spacing w:after="0" w:line="3"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Merrill Lynch &amp; Co.</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UBS Investment Bank</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4"/>
          <w:szCs w:val="14"/>
          <w:b w:val="1"/>
          <w:bCs w:val="1"/>
          <w:color w:val="auto"/>
        </w:rPr>
        <w:t>*Until</w:t>
      </w:r>
      <w:r>
        <w:rPr>
          <w:sz w:val="20"/>
          <w:szCs w:val="20"/>
          <w:color w:val="auto"/>
        </w:rPr>
        <w:tab/>
      </w:r>
      <w:r>
        <w:rPr>
          <w:rFonts w:ascii="Arial" w:cs="Arial" w:eastAsia="Arial" w:hAnsi="Arial"/>
          <w:sz w:val="14"/>
          <w:szCs w:val="14"/>
          <w:b w:val="1"/>
          <w:bCs w:val="1"/>
          <w:color w:val="auto"/>
        </w:rPr>
        <w:t>, 2007, all dealers that effect transactions in these securities, whether or not participating in this offering, may be required to deliver a prospectus.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628650</wp:posOffset>
            </wp:positionV>
            <wp:extent cx="7278370" cy="266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ectPr>
          <w:pgSz w:w="11900" w:h="16838" w:orient="portrait"/>
          <w:cols w:equalWidth="0" w:num="1">
            <w:col w:w="11460"/>
          </w:cols>
          <w:pgMar w:left="220" w:top="399" w:right="219" w:bottom="1440" w:gutter="0" w:footer="0" w:header="0"/>
          <w:type w:val="continuous"/>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83"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color w:val="auto"/>
        </w:rPr>
        <w:t>The following table sets forth the expenses expected to be incurred in connection with the issuance and distribution of common stock registered hereby, all of which expenses, except for the Securities and Exchange Commission registration fee, are estimated.</w:t>
      </w:r>
    </w:p>
    <w:p>
      <w:pPr>
        <w:sectPr>
          <w:pgSz w:w="11900" w:h="16838" w:orient="portrait"/>
          <w:cols w:equalWidth="0" w:num="1">
            <w:col w:w="11460"/>
          </w:cols>
          <w:pgMar w:left="220" w:top="399" w:right="21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registration fee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Nasdaq Global Select Market listing fee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National Association of Securities Dealers, Inc. filing fee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Printing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Legal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Accounting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Blue Sky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Transfer agent and registrar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Miscellaneous expenses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528" w:hanging="528"/>
        <w:spacing w:after="0"/>
        <w:tabs>
          <w:tab w:leader="none" w:pos="528" w:val="left"/>
        </w:tabs>
        <w:numPr>
          <w:ilvl w:val="0"/>
          <w:numId w:val="114"/>
        </w:numPr>
        <w:rPr>
          <w:rFonts w:ascii="Arial" w:cs="Arial" w:eastAsia="Arial" w:hAnsi="Arial"/>
          <w:sz w:val="13"/>
          <w:szCs w:val="13"/>
          <w:color w:val="auto"/>
        </w:rPr>
      </w:pPr>
      <w:r>
        <w:rPr>
          <w:rFonts w:ascii="Arial" w:cs="Arial" w:eastAsia="Arial" w:hAnsi="Arial"/>
          <w:sz w:val="13"/>
          <w:szCs w:val="13"/>
          <w:color w:val="auto"/>
        </w:rPr>
        <w:t>93,518</w:t>
      </w:r>
    </w:p>
    <w:p>
      <w:pPr>
        <w:spacing w:after="0" w:line="31" w:lineRule="exact"/>
        <w:rPr>
          <w:rFonts w:ascii="Arial" w:cs="Arial" w:eastAsia="Arial" w:hAnsi="Arial"/>
          <w:sz w:val="13"/>
          <w:szCs w:val="13"/>
          <w:color w:val="auto"/>
        </w:rPr>
      </w:pPr>
    </w:p>
    <w:p>
      <w:pPr>
        <w:ind w:left="468"/>
        <w:spacing w:after="0"/>
        <w:rPr>
          <w:rFonts w:ascii="Arial" w:cs="Arial" w:eastAsia="Arial" w:hAnsi="Arial"/>
          <w:sz w:val="13"/>
          <w:szCs w:val="13"/>
          <w:color w:val="auto"/>
        </w:rPr>
      </w:pPr>
      <w:r>
        <w:rPr>
          <w:rFonts w:ascii="Arial" w:cs="Arial" w:eastAsia="Arial" w:hAnsi="Arial"/>
          <w:sz w:val="12"/>
          <w:szCs w:val="12"/>
          <w:color w:val="auto"/>
        </w:rPr>
        <w:t>130,000</w:t>
      </w:r>
    </w:p>
    <w:p>
      <w:pPr>
        <w:spacing w:after="0" w:line="36" w:lineRule="exact"/>
        <w:rPr>
          <w:rFonts w:ascii="Arial" w:cs="Arial" w:eastAsia="Arial" w:hAnsi="Arial"/>
          <w:sz w:val="13"/>
          <w:szCs w:val="13"/>
          <w:color w:val="auto"/>
        </w:rPr>
      </w:pPr>
    </w:p>
    <w:p>
      <w:pPr>
        <w:ind w:left="528"/>
        <w:spacing w:after="0"/>
        <w:rPr>
          <w:rFonts w:ascii="Arial" w:cs="Arial" w:eastAsia="Arial" w:hAnsi="Arial"/>
          <w:sz w:val="13"/>
          <w:szCs w:val="13"/>
          <w:color w:val="auto"/>
        </w:rPr>
      </w:pPr>
      <w:r>
        <w:rPr>
          <w:rFonts w:ascii="Arial" w:cs="Arial" w:eastAsia="Arial" w:hAnsi="Arial"/>
          <w:sz w:val="13"/>
          <w:szCs w:val="13"/>
          <w:color w:val="auto"/>
        </w:rPr>
        <w:t>75,500</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1,000,000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2,500,000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390,982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58991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9915" cy="6985"/>
                    </a:xfrm>
                    <a:prstGeom prst="rect">
                      <a:avLst/>
                    </a:prstGeom>
                    <a:noFill/>
                  </pic:spPr>
                </pic:pic>
              </a:graphicData>
            </a:graphic>
          </wp:anchor>
        </w:drawing>
      </w:r>
    </w:p>
    <w:p>
      <w:pPr>
        <w:spacing w:after="0" w:line="10" w:lineRule="exact"/>
        <w:rPr>
          <w:sz w:val="20"/>
          <w:szCs w:val="20"/>
          <w:color w:val="auto"/>
        </w:rPr>
      </w:pPr>
    </w:p>
    <w:p>
      <w:pPr>
        <w:ind w:left="368" w:hanging="368"/>
        <w:spacing w:after="0"/>
        <w:tabs>
          <w:tab w:leader="none" w:pos="368" w:val="left"/>
        </w:tabs>
        <w:numPr>
          <w:ilvl w:val="0"/>
          <w:numId w:val="115"/>
        </w:numPr>
        <w:rPr>
          <w:rFonts w:ascii="Arial" w:cs="Arial" w:eastAsia="Arial" w:hAnsi="Arial"/>
          <w:sz w:val="12"/>
          <w:szCs w:val="12"/>
          <w:color w:val="auto"/>
        </w:rPr>
      </w:pPr>
      <w:r>
        <w:rPr>
          <w:rFonts w:ascii="Arial" w:cs="Arial" w:eastAsia="Arial" w:hAnsi="Arial"/>
          <w:sz w:val="12"/>
          <w:szCs w:val="12"/>
          <w:color w:val="auto"/>
        </w:rPr>
        <w:t>5,500,000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58991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99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58991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9915" cy="6985"/>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9812" w:space="720"/>
            <w:col w:w="928"/>
          </w:cols>
          <w:pgMar w:left="220" w:top="399" w:right="219" w:bottom="1440" w:gutter="0" w:footer="0" w:header="0"/>
          <w:type w:val="continuous"/>
        </w:sectPr>
      </w:pPr>
    </w:p>
    <w:p>
      <w:pPr>
        <w:ind w:right="20" w:firstLine="458"/>
        <w:spacing w:after="0" w:line="270" w:lineRule="auto"/>
        <w:rPr>
          <w:sz w:val="20"/>
          <w:szCs w:val="20"/>
          <w:color w:val="auto"/>
        </w:rPr>
      </w:pPr>
      <w:r>
        <w:rPr>
          <w:rFonts w:ascii="Arial" w:cs="Arial" w:eastAsia="Arial" w:hAnsi="Arial"/>
          <w:sz w:val="14"/>
          <w:szCs w:val="14"/>
          <w:color w:val="auto"/>
        </w:rPr>
        <w:t>Section 102 of the Delaware General Corporation Law (the “DGCL”) grants us the power to limit the personal liability of our directors or our stockholders for monetary damages for breach of a fiduciary duty. Article Sixth of our Amended and Restated Certificate of Incorporation eliminates the personal liability of directors for monetary damages for actions taken as a director, except for liability for breach of duty of loyalty; for acts or omissions not in good faith or involving intentional misconduct or knowing violation of law; under Section 174 of the Delaware General Corporation Law (unlawful dividends); or for transactions from which the director derived improper personal benefit.</w:t>
      </w:r>
    </w:p>
    <w:p>
      <w:pPr>
        <w:spacing w:after="0" w:line="106"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Under Section 145 of the DGCL, a corporation has the power to indemnify directors and officers under certain prescribed circumstances against certain costs and expenses, actually and reasonably incurred in connection with any action, suit or proceeding, whether civil, criminal, administrative or investigative, to which any of them is a party by reason of his being a director or officer of the corporation if it is determined that he acted in accordance with the applicable standard of conduct set forth in such statutory provision. Article VI of our Amended and Restated Bylaws requires us to indemnify any current or former directors or officers to the fullest extent permitted by the DGCL, and to pay expenses incurred in defending any such proceeding in advance of its final disposition upon delivery to us of an undertaking, by or on behalf of an indemnified person, to repay all amounts so advanced if it should be determined ultimately that such person is not entitled to be indemnified under this section or otherwise. Article VI also permits us to indemnify any current or former employees or agents to the fullest extent permitted by the DGCL, and to pay expenses incurred in defending any such proceeding in advance of its final disposition upon such terms and conditions, if any, as we deem appropriate.</w:t>
      </w:r>
    </w:p>
    <w:p>
      <w:pPr>
        <w:spacing w:after="0" w:line="95"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Section 145 of the DGCL authorizes a corporation to purchase and maintain insurance on behalf of any person who is or was a director, officer, employee or agent of the corporation against any liability asserted against and incurred by such person in any such capacity, or arising out of such person’s status as such. As permitted by Section 145 and Section 6.08 of our Amended and Restated Bylaws, we carry insurance policies insuring its directors and officers against certain liabilities that they may incur in their capacity as directors and officers.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460"/>
          </w:cols>
          <w:pgMar w:left="220" w:top="399" w:right="219" w:bottom="1440" w:gutter="0" w:footer="0" w:header="0"/>
          <w:type w:val="continuous"/>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color w:val="auto"/>
        </w:rPr>
        <w:t>We intend to enter into separate indemnification agreements with each of our directors and officers, which may be broader than the specific indemnification provisions contained in the Delaware General Corporation Law. These indemnification agreements may require us, among other things, to indemnify our directors and officers against liabilities that may arise by reason of their status or service as directors or officers, other than liabilities arising from willful misconduct. These indemnification agreements may also require us to advance any expenses incurred by the directors or officers as a result of any proceeding against them as to which they could be indemnified and to obtain directors’ and officers’ insurance, if available on reasonable terms.</w:t>
      </w:r>
    </w:p>
    <w:p>
      <w:pPr>
        <w:spacing w:after="0" w:line="91"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We expect that the Underwriting Agreement will obligate the underwriters, under certain circumstances, to indemnify our directors and officers for certain liabilities, including liabilities arising under the Securities Act.</w:t>
      </w:r>
    </w:p>
    <w:p>
      <w:pPr>
        <w:spacing w:after="0" w:line="9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The indemnification rights set forth above shall not be exclusive of any other right which an indemnified person may have or hereafter acquire under any statute, provision of our Amended and Restated Certificate of Incorporation or Amended and Restated Bylaws, agreement, vote of stockholders or disinterested directors or otherwise.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Since October 5, 2006, the date of our formation, we have not sold securities without registration under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Exhibits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exhibits are filed with this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560" w:type="dxa"/>
            <w:vAlign w:val="bottom"/>
          </w:tcPr>
          <w:p>
            <w:pPr>
              <w:spacing w:after="0"/>
              <w:rPr>
                <w:sz w:val="10"/>
                <w:szCs w:val="10"/>
                <w:color w:val="auto"/>
              </w:rPr>
            </w:pPr>
          </w:p>
        </w:tc>
        <w:tc>
          <w:tcPr>
            <w:tcW w:w="10540" w:type="dxa"/>
            <w:vAlign w:val="bottom"/>
            <w:vMerge w:val="restart"/>
          </w:tcPr>
          <w:p>
            <w:pPr>
              <w:ind w:left="500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1"/>
        </w:trPr>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560" w:type="dxa"/>
            <w:vAlign w:val="bottom"/>
          </w:tcPr>
          <w:p>
            <w:pPr>
              <w:spacing w:after="0"/>
              <w:rPr>
                <w:sz w:val="11"/>
                <w:szCs w:val="11"/>
                <w:color w:val="auto"/>
              </w:rPr>
            </w:pPr>
          </w:p>
        </w:tc>
        <w:tc>
          <w:tcPr>
            <w:tcW w:w="10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6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560" w:type="dxa"/>
            <w:vAlign w:val="bottom"/>
          </w:tcPr>
          <w:p>
            <w:pPr>
              <w:spacing w:after="0"/>
              <w:rPr>
                <w:sz w:val="14"/>
                <w:szCs w:val="14"/>
                <w:color w:val="auto"/>
              </w:rPr>
            </w:pPr>
          </w:p>
        </w:tc>
        <w:tc>
          <w:tcPr>
            <w:tcW w:w="10540" w:type="dxa"/>
            <w:vAlign w:val="bottom"/>
          </w:tcPr>
          <w:p>
            <w:pPr>
              <w:spacing w:after="0"/>
              <w:rPr>
                <w:sz w:val="20"/>
                <w:szCs w:val="20"/>
                <w:color w:val="auto"/>
              </w:rPr>
            </w:pPr>
            <w:r>
              <w:rPr>
                <w:rFonts w:ascii="Arial" w:cs="Arial" w:eastAsia="Arial" w:hAnsi="Arial"/>
                <w:sz w:val="14"/>
                <w:szCs w:val="14"/>
                <w:color w:val="auto"/>
              </w:rPr>
              <w:t>Form of Underwriting Agreement.*</w:t>
            </w:r>
          </w:p>
        </w:tc>
        <w:tc>
          <w:tcPr>
            <w:tcW w:w="0" w:type="dxa"/>
            <w:vAlign w:val="bottom"/>
          </w:tcPr>
          <w:p>
            <w:pPr>
              <w:spacing w:after="0"/>
              <w:rPr>
                <w:sz w:val="1"/>
                <w:szCs w:val="1"/>
                <w:color w:val="auto"/>
              </w:rPr>
            </w:pPr>
          </w:p>
        </w:tc>
      </w:tr>
      <w:tr>
        <w:trPr>
          <w:trHeight w:val="222"/>
        </w:trPr>
        <w:tc>
          <w:tcPr>
            <w:tcW w:w="3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Certificate of Incorporation of NCM Inc.***</w:t>
            </w:r>
          </w:p>
        </w:tc>
        <w:tc>
          <w:tcPr>
            <w:tcW w:w="0" w:type="dxa"/>
            <w:vAlign w:val="bottom"/>
          </w:tcPr>
          <w:p>
            <w:pPr>
              <w:spacing w:after="0"/>
              <w:rPr>
                <w:sz w:val="1"/>
                <w:szCs w:val="1"/>
                <w:color w:val="auto"/>
              </w:rPr>
            </w:pPr>
          </w:p>
        </w:tc>
      </w:tr>
      <w:tr>
        <w:trPr>
          <w:trHeight w:val="230"/>
        </w:trPr>
        <w:tc>
          <w:tcPr>
            <w:tcW w:w="3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w w:val="97"/>
              </w:rPr>
              <w:t>Form of Amended and Restated Certificate of Incorporation of NCM Inc. to be effective upon the closing of the offering being made pursuant to this Registration Statement.***</w:t>
            </w:r>
          </w:p>
        </w:tc>
        <w:tc>
          <w:tcPr>
            <w:tcW w:w="0" w:type="dxa"/>
            <w:vAlign w:val="bottom"/>
          </w:tcPr>
          <w:p>
            <w:pPr>
              <w:spacing w:after="0"/>
              <w:rPr>
                <w:sz w:val="1"/>
                <w:szCs w:val="1"/>
                <w:color w:val="auto"/>
              </w:rPr>
            </w:pPr>
          </w:p>
        </w:tc>
      </w:tr>
      <w:tr>
        <w:trPr>
          <w:trHeight w:val="229"/>
        </w:trPr>
        <w:tc>
          <w:tcPr>
            <w:tcW w:w="3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Bylaws of NCM Inc.***</w:t>
            </w:r>
          </w:p>
        </w:tc>
        <w:tc>
          <w:tcPr>
            <w:tcW w:w="0" w:type="dxa"/>
            <w:vAlign w:val="bottom"/>
          </w:tcPr>
          <w:p>
            <w:pPr>
              <w:spacing w:after="0"/>
              <w:rPr>
                <w:sz w:val="1"/>
                <w:szCs w:val="1"/>
                <w:color w:val="auto"/>
              </w:rPr>
            </w:pPr>
          </w:p>
        </w:tc>
      </w:tr>
      <w:tr>
        <w:trPr>
          <w:trHeight w:val="230"/>
        </w:trPr>
        <w:tc>
          <w:tcPr>
            <w:tcW w:w="36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Form of Amended and Restated Bylaws of NCM Inc. to be effective upon the closing of the offering being made pursuant to this Registration Statement.***</w:t>
            </w:r>
          </w:p>
        </w:tc>
        <w:tc>
          <w:tcPr>
            <w:tcW w:w="0" w:type="dxa"/>
            <w:vAlign w:val="bottom"/>
          </w:tcPr>
          <w:p>
            <w:pPr>
              <w:spacing w:after="0"/>
              <w:rPr>
                <w:sz w:val="1"/>
                <w:szCs w:val="1"/>
                <w:color w:val="auto"/>
              </w:rPr>
            </w:pPr>
          </w:p>
        </w:tc>
      </w:tr>
      <w:tr>
        <w:trPr>
          <w:trHeight w:val="229"/>
        </w:trPr>
        <w:tc>
          <w:tcPr>
            <w:tcW w:w="36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Certificate of Formation of NCM LLC.***</w:t>
            </w:r>
          </w:p>
        </w:tc>
        <w:tc>
          <w:tcPr>
            <w:tcW w:w="0" w:type="dxa"/>
            <w:vAlign w:val="bottom"/>
          </w:tcPr>
          <w:p>
            <w:pPr>
              <w:spacing w:after="0"/>
              <w:rPr>
                <w:sz w:val="1"/>
                <w:szCs w:val="1"/>
                <w:color w:val="auto"/>
              </w:rPr>
            </w:pPr>
          </w:p>
        </w:tc>
      </w:tr>
      <w:tr>
        <w:trPr>
          <w:trHeight w:val="224"/>
        </w:trPr>
        <w:tc>
          <w:tcPr>
            <w:tcW w:w="36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w w:val="97"/>
              </w:rPr>
              <w:t>Form of Third Amended and Restated Limited Liability Company Operating Agreement of NCM LLC to be effective upon the closing of the offering being made pursuant to this</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540" w:type="dxa"/>
            <w:vAlign w:val="bottom"/>
          </w:tcPr>
          <w:p>
            <w:pPr>
              <w:ind w:left="180"/>
              <w:spacing w:after="0"/>
              <w:rPr>
                <w:sz w:val="20"/>
                <w:szCs w:val="20"/>
                <w:color w:val="auto"/>
              </w:rPr>
            </w:pPr>
            <w:r>
              <w:rPr>
                <w:rFonts w:ascii="Arial" w:cs="Arial" w:eastAsia="Arial" w:hAnsi="Arial"/>
                <w:sz w:val="14"/>
                <w:szCs w:val="14"/>
                <w:color w:val="auto"/>
              </w:rPr>
              <w:t>registration statement.***</w:t>
            </w:r>
          </w:p>
        </w:tc>
        <w:tc>
          <w:tcPr>
            <w:tcW w:w="0" w:type="dxa"/>
            <w:vAlign w:val="bottom"/>
          </w:tcPr>
          <w:p>
            <w:pPr>
              <w:spacing w:after="0"/>
              <w:rPr>
                <w:sz w:val="1"/>
                <w:szCs w:val="1"/>
                <w:color w:val="auto"/>
              </w:rPr>
            </w:pPr>
          </w:p>
        </w:tc>
      </w:tr>
      <w:tr>
        <w:trPr>
          <w:trHeight w:val="230"/>
        </w:trPr>
        <w:tc>
          <w:tcPr>
            <w:tcW w:w="3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Specimen Common Stock Certificate of NCM Inc.**</w:t>
            </w:r>
          </w:p>
        </w:tc>
        <w:tc>
          <w:tcPr>
            <w:tcW w:w="0" w:type="dxa"/>
            <w:vAlign w:val="bottom"/>
          </w:tcPr>
          <w:p>
            <w:pPr>
              <w:spacing w:after="0"/>
              <w:rPr>
                <w:sz w:val="1"/>
                <w:szCs w:val="1"/>
                <w:color w:val="auto"/>
              </w:rPr>
            </w:pPr>
          </w:p>
        </w:tc>
      </w:tr>
      <w:tr>
        <w:trPr>
          <w:trHeight w:val="230"/>
        </w:trPr>
        <w:tc>
          <w:tcPr>
            <w:tcW w:w="36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Opinion of Holme Roberts &amp; Owen LLP.**</w:t>
            </w:r>
          </w:p>
        </w:tc>
        <w:tc>
          <w:tcPr>
            <w:tcW w:w="0" w:type="dxa"/>
            <w:vAlign w:val="bottom"/>
          </w:tcPr>
          <w:p>
            <w:pPr>
              <w:spacing w:after="0"/>
              <w:rPr>
                <w:sz w:val="1"/>
                <w:szCs w:val="1"/>
                <w:color w:val="auto"/>
              </w:rPr>
            </w:pPr>
          </w:p>
        </w:tc>
      </w:tr>
      <w:tr>
        <w:trPr>
          <w:trHeight w:val="295"/>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4"/>
                <w:szCs w:val="14"/>
                <w:color w:val="auto"/>
              </w:rPr>
              <w:t>II-2</w:t>
            </w: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4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5840" w:type="dxa"/>
            <w:vAlign w:val="bottom"/>
            <w:vMerge w:val="restart"/>
          </w:tcPr>
          <w:p>
            <w:pPr>
              <w:jc w:val="right"/>
              <w:ind w:right="4937"/>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44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5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10.1</w:t>
            </w:r>
          </w:p>
        </w:tc>
        <w:tc>
          <w:tcPr>
            <w:tcW w:w="44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Form of Senior Secured Credit Facility.**</w:t>
            </w: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0" w:type="dxa"/>
            <w:vAlign w:val="bottom"/>
            <w:gridSpan w:val="2"/>
          </w:tcPr>
          <w:p>
            <w:pPr>
              <w:spacing w:after="0"/>
              <w:rPr>
                <w:sz w:val="20"/>
                <w:szCs w:val="20"/>
                <w:color w:val="auto"/>
              </w:rPr>
            </w:pPr>
            <w:r>
              <w:rPr>
                <w:rFonts w:ascii="Arial" w:cs="Arial" w:eastAsia="Arial" w:hAnsi="Arial"/>
                <w:sz w:val="14"/>
                <w:szCs w:val="14"/>
                <w:color w:val="auto"/>
              </w:rPr>
              <w:t>10.2</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Common Unit Subscription Agreement between NCM Inc. and NCM LLC.***</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10.3</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Tax Receivable Agreement between NCM Inc. and the Founding Members.*</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10.4</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Registration Rights Agreement between NCM Inc. and the Founding Members.***</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10.5</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Director Designation Agreement between NCM Inc. and the Founding Members.***</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10.6</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w w:val="94"/>
              </w:rPr>
              <w:t>Form of Management Services Agreement between NCM Inc. and NCM LLC.***</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10.7</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Digital Cinema Services Agreement between NCM LLC and</w:t>
            </w:r>
          </w:p>
        </w:tc>
        <w:tc>
          <w:tcPr>
            <w:tcW w:w="5840" w:type="dxa"/>
            <w:vAlign w:val="bottom"/>
          </w:tcPr>
          <w:p>
            <w:pPr>
              <w:jc w:val="right"/>
              <w:ind w:right="557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10.8</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Exhibitor Services Agreement between NCM LLC and Founding Members.***(Portions omitted pursuant to request for confidential treatment)</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10.9</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Second Amended and Restated Software License Agreement.**</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10.10</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Amended and Restated Loews Screen Integration Agreement.**</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10.11</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Common Unit Adjustment Agreement between NCM LLC and the Founding Members.***(Portions omitted pursuant to request for confidential treatment)</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10.12</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NCM Inc. 2007 Equity Incentive Plan.+**</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10.13</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Option Substitution Agreement.+**</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10.14</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Restricted Stock Substitution Agreement+**</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10.15</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Employment Agreement by and among NCM Inc., NCM LLC and Kurt C. Hall.+**</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10.16</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Employment Agreement by and among NCM Inc., NCM LLC and Clifford E. Marks.+**</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10.17</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Employment Agreement by and among NCM Inc., NCM LLC and Gary W. Ferrera.+**</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10.18</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Employment Agreement by and among NCM Inc., NCM LLC and Thomas C. Galley.+**</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10.19</w:t>
            </w:r>
          </w:p>
        </w:tc>
        <w:tc>
          <w:tcPr>
            <w:tcW w:w="10980" w:type="dxa"/>
            <w:vAlign w:val="bottom"/>
            <w:gridSpan w:val="3"/>
          </w:tcPr>
          <w:p>
            <w:pPr>
              <w:ind w:left="440"/>
              <w:spacing w:after="0"/>
              <w:rPr>
                <w:sz w:val="20"/>
                <w:szCs w:val="20"/>
                <w:color w:val="auto"/>
              </w:rPr>
            </w:pPr>
            <w:r>
              <w:rPr>
                <w:rFonts w:ascii="Arial" w:cs="Arial" w:eastAsia="Arial" w:hAnsi="Arial"/>
                <w:sz w:val="14"/>
                <w:szCs w:val="14"/>
                <w:color w:val="auto"/>
              </w:rPr>
              <w:t>Form of Employment Agreement by and among NCM Inc., NCM LLC and Ralph E. Hardy.+**</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10.20</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Indemnification Agreement.+**</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10.21</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Unit Purchase Agreement.**</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10.22</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Form of ESA Payment Letter.**</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21.1</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List of Subsidiaries.*</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23.1</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Deloitte &amp; Touche LLP.*</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23.2</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Holme Roberts &amp; Owen LLP (included in Exhibit 5.1).**</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23.3</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Lawrence A. Goodman to be named as a director nominee.*</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23.4</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David R. Haas to be named as a director nominee.*</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23.5</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James R. Holland, Jr. to be named as a director nominee.*</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23.6</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Stephen L. Lanning to be named as a director nominee.*</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23.7</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Edward H. Meyer to be named as a director nominee.*</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23.8</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Scott N. Schneider to be named as a director nominee.*</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24.1</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Power of attorney.***</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99.1</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King, Brown &amp; Partners, Inc.*</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99.2</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OTX Screening.*</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99.3</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RH Bruskin Marketing, Inc.*</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99.4</w:t>
            </w:r>
          </w:p>
        </w:tc>
        <w:tc>
          <w:tcPr>
            <w:tcW w:w="5140" w:type="dxa"/>
            <w:vAlign w:val="bottom"/>
            <w:gridSpan w:val="2"/>
          </w:tcPr>
          <w:p>
            <w:pPr>
              <w:ind w:left="440"/>
              <w:spacing w:after="0"/>
              <w:rPr>
                <w:sz w:val="20"/>
                <w:szCs w:val="20"/>
                <w:color w:val="auto"/>
              </w:rPr>
            </w:pPr>
            <w:r>
              <w:rPr>
                <w:rFonts w:ascii="Arial" w:cs="Arial" w:eastAsia="Arial" w:hAnsi="Arial"/>
                <w:sz w:val="14"/>
                <w:szCs w:val="14"/>
                <w:color w:val="auto"/>
              </w:rPr>
              <w:t>Consent of Roper Public Affairs and Media.*</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560" w:hanging="285"/>
        <w:spacing w:after="0"/>
        <w:tabs>
          <w:tab w:leader="none" w:pos="5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p>
    <w:p>
      <w:pPr>
        <w:ind w:left="560" w:hanging="356"/>
        <w:spacing w:after="0"/>
        <w:tabs>
          <w:tab w:leader="none" w:pos="5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3" w:lineRule="exact"/>
        <w:rPr>
          <w:rFonts w:ascii="Arial" w:cs="Arial" w:eastAsia="Arial" w:hAnsi="Arial"/>
          <w:sz w:val="14"/>
          <w:szCs w:val="14"/>
          <w:color w:val="auto"/>
        </w:rPr>
      </w:pPr>
    </w:p>
    <w:p>
      <w:pPr>
        <w:ind w:left="560" w:hanging="427"/>
        <w:spacing w:after="0"/>
        <w:tabs>
          <w:tab w:leader="none" w:pos="5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4" w:lineRule="exact"/>
        <w:rPr>
          <w:sz w:val="20"/>
          <w:szCs w:val="20"/>
          <w:color w:val="auto"/>
        </w:rPr>
      </w:pPr>
    </w:p>
    <w:p>
      <w:pPr>
        <w:ind w:left="560" w:hanging="294"/>
        <w:spacing w:after="0"/>
        <w:tabs>
          <w:tab w:leader="none" w:pos="5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Management contract.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1460"/>
          </w:cols>
          <w:pgMar w:left="220" w:top="399" w:right="21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Financial Statement Schedules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See the Index to Financial Statements included on page F-1 for a list of the financial statements included in this registration statement.</w:t>
      </w:r>
    </w:p>
    <w:p>
      <w:pPr>
        <w:spacing w:after="0" w:line="145" w:lineRule="exact"/>
        <w:rPr>
          <w:sz w:val="20"/>
          <w:szCs w:val="20"/>
          <w:color w:val="auto"/>
        </w:rPr>
      </w:pPr>
    </w:p>
    <w:p>
      <w:pPr>
        <w:ind w:right="540" w:firstLine="458"/>
        <w:spacing w:after="0" w:line="289" w:lineRule="auto"/>
        <w:rPr>
          <w:sz w:val="20"/>
          <w:szCs w:val="20"/>
          <w:color w:val="auto"/>
        </w:rPr>
      </w:pPr>
      <w:r>
        <w:rPr>
          <w:rFonts w:ascii="Arial" w:cs="Arial" w:eastAsia="Arial" w:hAnsi="Arial"/>
          <w:sz w:val="14"/>
          <w:szCs w:val="14"/>
          <w:color w:val="auto"/>
        </w:rPr>
        <w:t>All schedules not identified above have been omitted because they are not required, are not applicable or the information is included in the selected consolidated financial data or notes contained in this registration statement.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83" w:lineRule="exact"/>
        <w:rPr>
          <w:sz w:val="20"/>
          <w:szCs w:val="20"/>
          <w:color w:val="auto"/>
        </w:rPr>
      </w:pPr>
    </w:p>
    <w:p>
      <w:pPr>
        <w:ind w:firstLine="465"/>
        <w:spacing w:after="0" w:line="266" w:lineRule="auto"/>
        <w:tabs>
          <w:tab w:leader="none" w:pos="65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9" w:lineRule="exact"/>
        <w:rPr>
          <w:rFonts w:ascii="Arial" w:cs="Arial" w:eastAsia="Arial" w:hAnsi="Arial"/>
          <w:sz w:val="14"/>
          <w:szCs w:val="14"/>
          <w:color w:val="auto"/>
        </w:rPr>
      </w:pPr>
    </w:p>
    <w:p>
      <w:pPr>
        <w:ind w:left="660" w:hanging="195"/>
        <w:spacing w:after="0"/>
        <w:tabs>
          <w:tab w:leader="none" w:pos="6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undersigned registrant hereby undertakes that:</w:t>
      </w:r>
    </w:p>
    <w:p>
      <w:pPr>
        <w:spacing w:after="0" w:line="79" w:lineRule="exact"/>
        <w:rPr>
          <w:rFonts w:ascii="Arial" w:cs="Arial" w:eastAsia="Arial" w:hAnsi="Arial"/>
          <w:sz w:val="14"/>
          <w:szCs w:val="14"/>
          <w:color w:val="auto"/>
        </w:rPr>
      </w:pPr>
    </w:p>
    <w:p>
      <w:pPr>
        <w:ind w:left="460" w:right="220" w:firstLine="445"/>
        <w:spacing w:after="0" w:line="275" w:lineRule="auto"/>
        <w:tabs>
          <w:tab w:leader="none" w:pos="1101" w:val="left"/>
        </w:tabs>
        <w:numPr>
          <w:ilvl w:val="1"/>
          <w:numId w:val="120"/>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36" w:lineRule="exact"/>
        <w:rPr>
          <w:rFonts w:ascii="Arial" w:cs="Arial" w:eastAsia="Arial" w:hAnsi="Arial"/>
          <w:sz w:val="14"/>
          <w:szCs w:val="14"/>
          <w:color w:val="auto"/>
        </w:rPr>
      </w:pPr>
    </w:p>
    <w:p>
      <w:pPr>
        <w:ind w:left="460" w:right="300" w:firstLine="445"/>
        <w:spacing w:after="0" w:line="289" w:lineRule="auto"/>
        <w:tabs>
          <w:tab w:leader="none" w:pos="1101" w:val="left"/>
        </w:tabs>
        <w:numPr>
          <w:ilvl w:val="1"/>
          <w:numId w:val="120"/>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4"/>
          <w:szCs w:val="14"/>
          <w:color w:val="auto"/>
        </w:rPr>
      </w:pPr>
    </w:p>
    <w:p>
      <w:pPr>
        <w:ind w:right="160" w:firstLine="465"/>
        <w:spacing w:after="0" w:line="289" w:lineRule="auto"/>
        <w:tabs>
          <w:tab w:leader="none" w:pos="65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420"/>
          </w:cols>
          <w:pgMar w:left="220" w:top="399" w:right="25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49"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Pursuant to the requirements of the Securities Act of 1933, the registrant has duly caused this registration statement to be signed on its behalf by the undersigned, thereunto duly authorized, in the City of Centennial, County of Arapahoe, State of Colorado, on January 11, 2007.</w:t>
      </w:r>
    </w:p>
    <w:p>
      <w:pPr>
        <w:spacing w:after="0" w:line="126"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National CineMedia, Inc.</w:t>
      </w:r>
    </w:p>
    <w:p>
      <w:pPr>
        <w:spacing w:after="0" w:line="189" w:lineRule="exact"/>
        <w:rPr>
          <w:sz w:val="20"/>
          <w:szCs w:val="20"/>
          <w:color w:val="auto"/>
        </w:rPr>
      </w:pPr>
    </w:p>
    <w:p>
      <w:pPr>
        <w:ind w:left="6880"/>
        <w:spacing w:after="0"/>
        <w:tabs>
          <w:tab w:leader="none" w:pos="93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13335</wp:posOffset>
            </wp:positionV>
            <wp:extent cx="267144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12" w:lineRule="exact"/>
        <w:rPr>
          <w:sz w:val="20"/>
          <w:szCs w:val="20"/>
          <w:color w:val="auto"/>
        </w:rPr>
      </w:pPr>
    </w:p>
    <w:p>
      <w:pPr>
        <w:jc w:val="center"/>
        <w:ind w:left="7260"/>
        <w:spacing w:after="0"/>
        <w:rPr>
          <w:sz w:val="20"/>
          <w:szCs w:val="20"/>
          <w:color w:val="auto"/>
        </w:rPr>
      </w:pPr>
      <w:r>
        <w:rPr>
          <w:rFonts w:ascii="Arial" w:cs="Arial" w:eastAsia="Arial" w:hAnsi="Arial"/>
          <w:sz w:val="11"/>
          <w:szCs w:val="11"/>
          <w:b w:val="1"/>
          <w:bCs w:val="1"/>
          <w:color w:val="auto"/>
        </w:rPr>
        <w:t>Kurt C. Hall</w:t>
      </w:r>
    </w:p>
    <w:p>
      <w:pPr>
        <w:spacing w:after="0" w:line="6" w:lineRule="exact"/>
        <w:rPr>
          <w:sz w:val="20"/>
          <w:szCs w:val="20"/>
          <w:color w:val="auto"/>
        </w:rPr>
      </w:pPr>
    </w:p>
    <w:p>
      <w:pPr>
        <w:jc w:val="center"/>
        <w:ind w:left="7260"/>
        <w:spacing w:after="0"/>
        <w:rPr>
          <w:sz w:val="20"/>
          <w:szCs w:val="20"/>
          <w:color w:val="auto"/>
        </w:rPr>
      </w:pPr>
      <w:r>
        <w:rPr>
          <w:rFonts w:ascii="Arial" w:cs="Arial" w:eastAsia="Arial" w:hAnsi="Arial"/>
          <w:sz w:val="11"/>
          <w:szCs w:val="11"/>
          <w:b w:val="1"/>
          <w:bCs w:val="1"/>
          <w:color w:val="auto"/>
        </w:rPr>
        <w:t>President, Chief Executive Officer and Chairman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below by the following persons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2"/>
          </w:tcPr>
          <w:p>
            <w:pPr>
              <w:jc w:val="center"/>
              <w:ind w:right="1740"/>
              <w:spacing w:after="0"/>
              <w:rPr>
                <w:sz w:val="20"/>
                <w:szCs w:val="20"/>
                <w:color w:val="auto"/>
              </w:rPr>
            </w:pPr>
            <w:r>
              <w:rPr>
                <w:rFonts w:ascii="Arial" w:cs="Arial" w:eastAsia="Arial" w:hAnsi="Arial"/>
                <w:sz w:val="11"/>
                <w:szCs w:val="11"/>
                <w:b w:val="1"/>
                <w:bCs w:val="1"/>
                <w:color w:val="auto"/>
                <w:w w:val="90"/>
              </w:rPr>
              <w:t>Signature</w:t>
            </w:r>
          </w:p>
        </w:tc>
        <w:tc>
          <w:tcPr>
            <w:tcW w:w="440" w:type="dxa"/>
            <w:vAlign w:val="bottom"/>
          </w:tcPr>
          <w:p>
            <w:pPr>
              <w:spacing w:after="0"/>
              <w:rPr>
                <w:sz w:val="11"/>
                <w:szCs w:val="11"/>
                <w:color w:val="auto"/>
              </w:rPr>
            </w:pPr>
          </w:p>
        </w:tc>
        <w:tc>
          <w:tcPr>
            <w:tcW w:w="4120" w:type="dxa"/>
            <w:vAlign w:val="bottom"/>
          </w:tcPr>
          <w:p>
            <w:pPr>
              <w:ind w:left="1960"/>
              <w:spacing w:after="0"/>
              <w:rPr>
                <w:sz w:val="20"/>
                <w:szCs w:val="20"/>
                <w:color w:val="auto"/>
              </w:rPr>
            </w:pPr>
            <w:r>
              <w:rPr>
                <w:rFonts w:ascii="Arial" w:cs="Arial" w:eastAsia="Arial" w:hAnsi="Arial"/>
                <w:sz w:val="11"/>
                <w:szCs w:val="11"/>
                <w:b w:val="1"/>
                <w:bCs w:val="1"/>
                <w:color w:val="auto"/>
              </w:rPr>
              <w:t>Title</w:t>
            </w:r>
          </w:p>
        </w:tc>
        <w:tc>
          <w:tcPr>
            <w:tcW w:w="460" w:type="dxa"/>
            <w:vAlign w:val="bottom"/>
          </w:tcPr>
          <w:p>
            <w:pPr>
              <w:spacing w:after="0"/>
              <w:rPr>
                <w:sz w:val="11"/>
                <w:szCs w:val="1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r>
      <w:tr>
        <w:trPr>
          <w:trHeight w:val="352"/>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5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President, Chief Executive Officer and Chairman</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11, 2007</w:t>
            </w:r>
          </w:p>
        </w:tc>
      </w:tr>
      <w:tr>
        <w:trPr>
          <w:trHeight w:val="151"/>
        </w:trPr>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960" w:type="dxa"/>
            <w:vAlign w:val="bottom"/>
            <w:gridSpan w:val="2"/>
          </w:tcPr>
          <w:p>
            <w:pPr>
              <w:jc w:val="center"/>
              <w:ind w:right="1740"/>
              <w:spacing w:after="0"/>
              <w:rPr>
                <w:sz w:val="20"/>
                <w:szCs w:val="20"/>
                <w:color w:val="auto"/>
              </w:rPr>
            </w:pPr>
            <w:r>
              <w:rPr>
                <w:rFonts w:ascii="Arial" w:cs="Arial" w:eastAsia="Arial" w:hAnsi="Arial"/>
                <w:sz w:val="11"/>
                <w:szCs w:val="11"/>
                <w:b w:val="1"/>
                <w:bCs w:val="1"/>
                <w:color w:val="auto"/>
                <w:w w:val="96"/>
              </w:rPr>
              <w:t>Kurt C. Hall</w:t>
            </w:r>
          </w:p>
        </w:tc>
        <w:tc>
          <w:tcPr>
            <w:tcW w:w="4560" w:type="dxa"/>
            <w:vAlign w:val="bottom"/>
            <w:gridSpan w:val="2"/>
          </w:tcPr>
          <w:p>
            <w:pPr>
              <w:ind w:left="440"/>
              <w:spacing w:after="0" w:line="151" w:lineRule="exact"/>
              <w:rPr>
                <w:sz w:val="20"/>
                <w:szCs w:val="20"/>
                <w:color w:val="auto"/>
              </w:rPr>
            </w:pPr>
            <w:r>
              <w:rPr>
                <w:rFonts w:ascii="Arial" w:cs="Arial" w:eastAsia="Arial" w:hAnsi="Arial"/>
                <w:sz w:val="14"/>
                <w:szCs w:val="14"/>
                <w:i w:val="1"/>
                <w:iCs w:val="1"/>
                <w:color w:val="auto"/>
              </w:rPr>
              <w:t>(Principal Executive Officer)</w:t>
            </w:r>
          </w:p>
        </w:tc>
        <w:tc>
          <w:tcPr>
            <w:tcW w:w="4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64"/>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2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ARY</w:t>
            </w:r>
            <w:r>
              <w:rPr>
                <w:rFonts w:ascii="Arial" w:cs="Arial" w:eastAsia="Arial" w:hAnsi="Arial"/>
                <w:sz w:val="14"/>
                <w:szCs w:val="14"/>
                <w:color w:val="auto"/>
              </w:rPr>
              <w:t xml:space="preserve"> W. F</w:t>
            </w:r>
            <w:r>
              <w:rPr>
                <w:rFonts w:ascii="Arial" w:cs="Arial" w:eastAsia="Arial" w:hAnsi="Arial"/>
                <w:sz w:val="11"/>
                <w:szCs w:val="11"/>
                <w:color w:val="auto"/>
              </w:rPr>
              <w:t>ERRERA</w:t>
            </w: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Chief Financial Officer</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11, 2007</w:t>
            </w:r>
          </w:p>
        </w:tc>
      </w:tr>
      <w:tr>
        <w:trPr>
          <w:trHeight w:val="151"/>
        </w:trPr>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960" w:type="dxa"/>
            <w:vAlign w:val="bottom"/>
            <w:gridSpan w:val="2"/>
          </w:tcPr>
          <w:p>
            <w:pPr>
              <w:jc w:val="center"/>
              <w:ind w:right="1740"/>
              <w:spacing w:after="0"/>
              <w:rPr>
                <w:sz w:val="20"/>
                <w:szCs w:val="20"/>
                <w:color w:val="auto"/>
              </w:rPr>
            </w:pPr>
            <w:r>
              <w:rPr>
                <w:rFonts w:ascii="Arial" w:cs="Arial" w:eastAsia="Arial" w:hAnsi="Arial"/>
                <w:sz w:val="11"/>
                <w:szCs w:val="11"/>
                <w:b w:val="1"/>
                <w:bCs w:val="1"/>
                <w:color w:val="auto"/>
                <w:w w:val="94"/>
              </w:rPr>
              <w:t>Gary W. Ferrera</w:t>
            </w:r>
          </w:p>
        </w:tc>
        <w:tc>
          <w:tcPr>
            <w:tcW w:w="4560" w:type="dxa"/>
            <w:vAlign w:val="bottom"/>
            <w:gridSpan w:val="2"/>
          </w:tcPr>
          <w:p>
            <w:pPr>
              <w:ind w:left="440"/>
              <w:spacing w:after="0" w:line="151" w:lineRule="exact"/>
              <w:rPr>
                <w:sz w:val="20"/>
                <w:szCs w:val="20"/>
                <w:color w:val="auto"/>
              </w:rPr>
            </w:pPr>
            <w:r>
              <w:rPr>
                <w:rFonts w:ascii="Arial" w:cs="Arial" w:eastAsia="Arial" w:hAnsi="Arial"/>
                <w:sz w:val="14"/>
                <w:szCs w:val="14"/>
                <w:i w:val="1"/>
                <w:iCs w:val="1"/>
                <w:color w:val="auto"/>
              </w:rPr>
              <w:t>(Principal Financial and Accounting Officer)</w:t>
            </w:r>
          </w:p>
        </w:tc>
        <w:tc>
          <w:tcPr>
            <w:tcW w:w="4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67"/>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5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Director</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11, 2007</w:t>
            </w:r>
          </w:p>
        </w:tc>
      </w:tr>
      <w:tr>
        <w:trPr>
          <w:trHeight w:val="139"/>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60" w:type="dxa"/>
            <w:vAlign w:val="bottom"/>
            <w:gridSpan w:val="2"/>
          </w:tcPr>
          <w:p>
            <w:pPr>
              <w:jc w:val="center"/>
              <w:ind w:right="1720"/>
              <w:spacing w:after="0"/>
              <w:rPr>
                <w:sz w:val="20"/>
                <w:szCs w:val="20"/>
                <w:color w:val="auto"/>
              </w:rPr>
            </w:pPr>
            <w:r>
              <w:rPr>
                <w:rFonts w:ascii="Arial" w:cs="Arial" w:eastAsia="Arial" w:hAnsi="Arial"/>
                <w:sz w:val="11"/>
                <w:szCs w:val="11"/>
                <w:b w:val="1"/>
                <w:bCs w:val="1"/>
                <w:color w:val="auto"/>
                <w:w w:val="91"/>
              </w:rPr>
              <w:t>Peter C. Brown</w:t>
            </w:r>
          </w:p>
        </w:tc>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4"/>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5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Director</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11, 2007</w:t>
            </w:r>
          </w:p>
        </w:tc>
      </w:tr>
      <w:tr>
        <w:trPr>
          <w:trHeight w:val="139"/>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60" w:type="dxa"/>
            <w:vAlign w:val="bottom"/>
            <w:gridSpan w:val="2"/>
          </w:tcPr>
          <w:p>
            <w:pPr>
              <w:jc w:val="center"/>
              <w:ind w:right="1740"/>
              <w:spacing w:after="0"/>
              <w:rPr>
                <w:sz w:val="20"/>
                <w:szCs w:val="20"/>
                <w:color w:val="auto"/>
              </w:rPr>
            </w:pPr>
            <w:r>
              <w:rPr>
                <w:rFonts w:ascii="Arial" w:cs="Arial" w:eastAsia="Arial" w:hAnsi="Arial"/>
                <w:sz w:val="11"/>
                <w:szCs w:val="11"/>
                <w:b w:val="1"/>
                <w:bCs w:val="1"/>
                <w:color w:val="auto"/>
                <w:w w:val="92"/>
              </w:rPr>
              <w:t>Michael L. Campbell</w:t>
            </w:r>
          </w:p>
        </w:tc>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4"/>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5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Director</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11, 2007</w:t>
            </w:r>
          </w:p>
        </w:tc>
      </w:tr>
      <w:tr>
        <w:trPr>
          <w:trHeight w:val="139"/>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60" w:type="dxa"/>
            <w:vAlign w:val="bottom"/>
            <w:gridSpan w:val="2"/>
          </w:tcPr>
          <w:p>
            <w:pPr>
              <w:jc w:val="center"/>
              <w:ind w:right="1720"/>
              <w:spacing w:after="0"/>
              <w:rPr>
                <w:sz w:val="20"/>
                <w:szCs w:val="20"/>
                <w:color w:val="auto"/>
              </w:rPr>
            </w:pPr>
            <w:r>
              <w:rPr>
                <w:rFonts w:ascii="Arial" w:cs="Arial" w:eastAsia="Arial" w:hAnsi="Arial"/>
                <w:sz w:val="11"/>
                <w:szCs w:val="11"/>
                <w:b w:val="1"/>
                <w:bCs w:val="1"/>
                <w:color w:val="auto"/>
                <w:w w:val="92"/>
              </w:rPr>
              <w:t>Lee Roy Mitchell</w:t>
            </w:r>
          </w:p>
        </w:tc>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96"/>
        </w:trPr>
        <w:tc>
          <w:tcPr>
            <w:tcW w:w="2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80"/>
              <w:spacing w:after="0"/>
              <w:rPr>
                <w:sz w:val="20"/>
                <w:szCs w:val="20"/>
                <w:color w:val="auto"/>
              </w:rPr>
            </w:pPr>
            <w:r>
              <w:rPr>
                <w:rFonts w:ascii="Arial" w:cs="Arial" w:eastAsia="Arial" w:hAnsi="Arial"/>
                <w:sz w:val="14"/>
                <w:szCs w:val="14"/>
                <w:color w:val="auto"/>
              </w:rPr>
              <w:t>By:</w:t>
            </w:r>
          </w:p>
        </w:tc>
        <w:tc>
          <w:tcPr>
            <w:tcW w:w="2960" w:type="dxa"/>
            <w:vAlign w:val="bottom"/>
            <w:gridSpan w:val="2"/>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G</w:t>
            </w:r>
            <w:r>
              <w:rPr>
                <w:rFonts w:ascii="Arial" w:cs="Arial" w:eastAsia="Arial" w:hAnsi="Arial"/>
                <w:sz w:val="11"/>
                <w:szCs w:val="11"/>
                <w:color w:val="auto"/>
              </w:rPr>
              <w:t>ARY</w:t>
            </w:r>
            <w:r>
              <w:rPr>
                <w:rFonts w:ascii="Arial" w:cs="Arial" w:eastAsia="Arial" w:hAnsi="Arial"/>
                <w:sz w:val="14"/>
                <w:szCs w:val="14"/>
                <w:color w:val="auto"/>
              </w:rPr>
              <w:t xml:space="preserve"> W. F</w:t>
            </w:r>
            <w:r>
              <w:rPr>
                <w:rFonts w:ascii="Arial" w:cs="Arial" w:eastAsia="Arial" w:hAnsi="Arial"/>
                <w:sz w:val="11"/>
                <w:szCs w:val="11"/>
                <w:color w:val="auto"/>
              </w:rPr>
              <w:t>ERRERA</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20"/>
        </w:trPr>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40" w:type="dxa"/>
            <w:vAlign w:val="bottom"/>
            <w:tcBorders>
              <w:top w:val="single" w:sz="8" w:color="auto"/>
            </w:tcBorders>
          </w:tcPr>
          <w:p>
            <w:pPr>
              <w:jc w:val="center"/>
              <w:ind w:right="838"/>
              <w:spacing w:after="0" w:line="120" w:lineRule="exact"/>
              <w:rPr>
                <w:sz w:val="20"/>
                <w:szCs w:val="20"/>
                <w:color w:val="auto"/>
              </w:rPr>
            </w:pPr>
            <w:r>
              <w:rPr>
                <w:rFonts w:ascii="Arial" w:cs="Arial" w:eastAsia="Arial" w:hAnsi="Arial"/>
                <w:sz w:val="11"/>
                <w:szCs w:val="11"/>
                <w:b w:val="1"/>
                <w:bCs w:val="1"/>
                <w:color w:val="auto"/>
                <w:w w:val="94"/>
              </w:rPr>
              <w:t>Gary W. Ferrera</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41"/>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60" w:type="dxa"/>
            <w:vAlign w:val="bottom"/>
            <w:gridSpan w:val="2"/>
          </w:tcPr>
          <w:p>
            <w:pPr>
              <w:jc w:val="center"/>
              <w:ind w:right="1020"/>
              <w:spacing w:after="0"/>
              <w:rPr>
                <w:sz w:val="20"/>
                <w:szCs w:val="20"/>
                <w:color w:val="auto"/>
              </w:rPr>
            </w:pPr>
            <w:r>
              <w:rPr>
                <w:rFonts w:ascii="Arial" w:cs="Arial" w:eastAsia="Arial" w:hAnsi="Arial"/>
                <w:sz w:val="11"/>
                <w:szCs w:val="11"/>
                <w:b w:val="1"/>
                <w:bCs w:val="1"/>
                <w:color w:val="auto"/>
                <w:w w:val="91"/>
              </w:rPr>
              <w:t>Attorney in fact</w:t>
            </w:r>
          </w:p>
        </w:tc>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94"/>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20" w:type="dxa"/>
            <w:vAlign w:val="bottom"/>
          </w:tcPr>
          <w:p>
            <w:pPr>
              <w:ind w:left="480"/>
              <w:spacing w:after="0"/>
              <w:rPr>
                <w:sz w:val="20"/>
                <w:szCs w:val="20"/>
                <w:color w:val="auto"/>
              </w:rPr>
            </w:pPr>
            <w:r>
              <w:rPr>
                <w:rFonts w:ascii="Arial" w:cs="Arial" w:eastAsia="Arial" w:hAnsi="Arial"/>
                <w:sz w:val="14"/>
                <w:szCs w:val="14"/>
                <w:color w:val="auto"/>
              </w:rPr>
              <w:t>II-5</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60"/>
          </w:cols>
          <w:pgMar w:left="220" w:top="399" w:right="2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4"/>
          <w:szCs w:val="14"/>
          <w:b w:val="1"/>
          <w:bCs w:val="1"/>
          <w:color w:val="auto"/>
        </w:rPr>
        <w:t>Exhibit 1.1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Common Stock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UNDERWRITING AGREEMENT</w:t>
      </w:r>
    </w:p>
    <w:p>
      <w:pPr>
        <w:spacing w:after="0" w:line="149" w:lineRule="exact"/>
        <w:rPr>
          <w:sz w:val="20"/>
          <w:szCs w:val="20"/>
          <w:color w:val="auto"/>
        </w:rPr>
      </w:pPr>
    </w:p>
    <w:tbl>
      <w:tblPr>
        <w:tblLayout w:type="fixed"/>
        <w:tblInd w:w="10300" w:type="dxa"/>
        <w:tblCellMar>
          <w:top w:w="0" w:type="dxa"/>
          <w:left w:w="0" w:type="dxa"/>
          <w:bottom w:w="0" w:type="dxa"/>
          <w:right w:w="0" w:type="dxa"/>
        </w:tblCellMar>
      </w:tblPr>
      <w:tr>
        <w:trPr>
          <w:trHeight w:val="181"/>
        </w:trPr>
        <w:tc>
          <w:tcPr>
            <w:tcW w:w="400" w:type="dxa"/>
            <w:vAlign w:val="bottom"/>
          </w:tcPr>
          <w:p>
            <w:pPr>
              <w:jc w:val="right"/>
              <w:ind w:right="309"/>
              <w:spacing w:after="0"/>
              <w:rPr>
                <w:sz w:val="20"/>
                <w:szCs w:val="20"/>
                <w:color w:val="auto"/>
              </w:rPr>
            </w:pPr>
            <w:r>
              <w:rPr>
                <w:rFonts w:ascii="Arial" w:cs="Arial" w:eastAsia="Arial" w:hAnsi="Arial"/>
                <w:sz w:val="10"/>
                <w:szCs w:val="10"/>
                <w:color w:val="auto"/>
                <w:w w:val="70"/>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 2007</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LEHMAN BROTHERS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INCORPORATED,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As Representatives of the Several Underwriters,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c/o Credit Suisse Securities (USA)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10010-3629</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Dear Sirs:</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Introductory</w:t>
      </w:r>
      <w:r>
        <w:rPr>
          <w:rFonts w:ascii="Arial" w:cs="Arial" w:eastAsia="Arial" w:hAnsi="Arial"/>
          <w:sz w:val="13"/>
          <w:szCs w:val="13"/>
          <w:color w:val="auto"/>
        </w:rPr>
        <w:t>. National CineMedia, Inc., a Delaware corporation (“</w:t>
      </w:r>
      <w:r>
        <w:rPr>
          <w:rFonts w:ascii="Arial" w:cs="Arial" w:eastAsia="Arial" w:hAnsi="Arial"/>
          <w:sz w:val="13"/>
          <w:szCs w:val="13"/>
          <w:b w:val="1"/>
          <w:bCs w:val="1"/>
          <w:color w:val="auto"/>
        </w:rPr>
        <w:t>Company</w:t>
      </w:r>
      <w:r>
        <w:rPr>
          <w:rFonts w:ascii="Arial" w:cs="Arial" w:eastAsia="Arial" w:hAnsi="Arial"/>
          <w:sz w:val="13"/>
          <w:szCs w:val="13"/>
          <w:color w:val="auto"/>
        </w:rPr>
        <w:t>”), proposes to issue and sell to the Underwriters (as defined below) [ ] shares (“</w:t>
      </w:r>
      <w:r>
        <w:rPr>
          <w:rFonts w:ascii="Arial" w:cs="Arial" w:eastAsia="Arial" w:hAnsi="Arial"/>
          <w:sz w:val="13"/>
          <w:szCs w:val="13"/>
          <w:b w:val="1"/>
          <w:bCs w:val="1"/>
          <w:color w:val="auto"/>
        </w:rPr>
        <w:t>Firm Securities</w:t>
      </w:r>
      <w:r>
        <w:rPr>
          <w:rFonts w:ascii="Arial" w:cs="Arial" w:eastAsia="Arial" w:hAnsi="Arial"/>
          <w:sz w:val="13"/>
          <w:szCs w:val="13"/>
          <w:color w:val="auto"/>
        </w:rPr>
        <w:t>”) of its</w:t>
      </w:r>
    </w:p>
    <w:p>
      <w:pPr>
        <w:spacing w:after="0" w:line="35" w:lineRule="exact"/>
        <w:rPr>
          <w:sz w:val="20"/>
          <w:szCs w:val="20"/>
          <w:color w:val="auto"/>
        </w:rPr>
      </w:pPr>
    </w:p>
    <w:p>
      <w:pPr>
        <w:ind w:right="280"/>
        <w:spacing w:after="0" w:line="304" w:lineRule="auto"/>
        <w:rPr>
          <w:sz w:val="20"/>
          <w:szCs w:val="20"/>
          <w:color w:val="auto"/>
        </w:rPr>
      </w:pPr>
      <w:r>
        <w:rPr>
          <w:rFonts w:ascii="Arial" w:cs="Arial" w:eastAsia="Arial" w:hAnsi="Arial"/>
          <w:sz w:val="12"/>
          <w:szCs w:val="12"/>
          <w:color w:val="auto"/>
        </w:rPr>
        <w:t>common stock, $0.01 par value per share (“</w:t>
      </w:r>
      <w:r>
        <w:rPr>
          <w:rFonts w:ascii="Arial" w:cs="Arial" w:eastAsia="Arial" w:hAnsi="Arial"/>
          <w:sz w:val="12"/>
          <w:szCs w:val="12"/>
          <w:b w:val="1"/>
          <w:bCs w:val="1"/>
          <w:color w:val="auto"/>
        </w:rPr>
        <w:t>Securities</w:t>
      </w:r>
      <w:r>
        <w:rPr>
          <w:rFonts w:ascii="Arial" w:cs="Arial" w:eastAsia="Arial" w:hAnsi="Arial"/>
          <w:sz w:val="12"/>
          <w:szCs w:val="12"/>
          <w:color w:val="auto"/>
        </w:rPr>
        <w:t>”) and also proposes to issue and sell to the Underwriters, at the option of the Underwriters, an aggregate of not more than [ ] additional shares (“</w:t>
      </w:r>
      <w:r>
        <w:rPr>
          <w:rFonts w:ascii="Arial" w:cs="Arial" w:eastAsia="Arial" w:hAnsi="Arial"/>
          <w:sz w:val="12"/>
          <w:szCs w:val="12"/>
          <w:b w:val="1"/>
          <w:bCs w:val="1"/>
          <w:color w:val="auto"/>
        </w:rPr>
        <w:t>Optional Securities</w:t>
      </w:r>
      <w:r>
        <w:rPr>
          <w:rFonts w:ascii="Arial" w:cs="Arial" w:eastAsia="Arial" w:hAnsi="Arial"/>
          <w:sz w:val="12"/>
          <w:szCs w:val="12"/>
          <w:color w:val="auto"/>
        </w:rPr>
        <w:t>”) of its Securities as set forth below. The Firm Securities and the Optional Securities are herein collectively called the “</w:t>
      </w:r>
      <w:r>
        <w:rPr>
          <w:rFonts w:ascii="Arial" w:cs="Arial" w:eastAsia="Arial" w:hAnsi="Arial"/>
          <w:sz w:val="12"/>
          <w:szCs w:val="12"/>
          <w:b w:val="1"/>
          <w:bCs w:val="1"/>
          <w:color w:val="auto"/>
        </w:rPr>
        <w:t>Offered Securities</w:t>
      </w:r>
      <w:r>
        <w:rPr>
          <w:rFonts w:ascii="Arial" w:cs="Arial" w:eastAsia="Arial" w:hAnsi="Arial"/>
          <w:sz w:val="12"/>
          <w:szCs w:val="12"/>
          <w:color w:val="auto"/>
        </w:rPr>
        <w:t>.” As part of the offering contemplated by this Agreement, Credit Suisse Securities (USA) LLC (the “</w:t>
      </w:r>
      <w:r>
        <w:rPr>
          <w:rFonts w:ascii="Arial" w:cs="Arial" w:eastAsia="Arial" w:hAnsi="Arial"/>
          <w:sz w:val="12"/>
          <w:szCs w:val="12"/>
          <w:b w:val="1"/>
          <w:bCs w:val="1"/>
          <w:color w:val="auto"/>
        </w:rPr>
        <w:t>Designated Underwriter</w:t>
      </w:r>
      <w:r>
        <w:rPr>
          <w:rFonts w:ascii="Arial" w:cs="Arial" w:eastAsia="Arial" w:hAnsi="Arial"/>
          <w:sz w:val="12"/>
          <w:szCs w:val="12"/>
          <w:color w:val="auto"/>
        </w:rPr>
        <w:t>”) has agreed to reserve out of the Firm Securities purchased by it under this Agreement, up to</w:t>
      </w:r>
    </w:p>
    <w:p>
      <w:pPr>
        <w:ind w:firstLine="7"/>
        <w:spacing w:after="0" w:line="265" w:lineRule="auto"/>
        <w:tabs>
          <w:tab w:leader="none" w:pos="331" w:val="left"/>
        </w:tabs>
        <w:numPr>
          <w:ilvl w:val="0"/>
          <w:numId w:val="121"/>
        </w:numPr>
        <w:rPr>
          <w:rFonts w:ascii="Arial" w:cs="Arial" w:eastAsia="Arial" w:hAnsi="Arial"/>
          <w:sz w:val="14"/>
          <w:szCs w:val="14"/>
          <w:color w:val="auto"/>
        </w:rPr>
      </w:pPr>
      <w:r>
        <w:rPr>
          <w:rFonts w:ascii="Arial" w:cs="Arial" w:eastAsia="Arial" w:hAnsi="Arial"/>
          <w:sz w:val="14"/>
          <w:szCs w:val="14"/>
          <w:color w:val="auto"/>
        </w:rPr>
        <w:t>] shares, for sale to the Company’s directors, officers, employees and other parties associated with the Company (collectively, “</w:t>
      </w:r>
      <w:r>
        <w:rPr>
          <w:rFonts w:ascii="Arial" w:cs="Arial" w:eastAsia="Arial" w:hAnsi="Arial"/>
          <w:sz w:val="14"/>
          <w:szCs w:val="14"/>
          <w:b w:val="1"/>
          <w:bCs w:val="1"/>
          <w:color w:val="auto"/>
        </w:rPr>
        <w:t>Participants</w:t>
      </w:r>
      <w:r>
        <w:rPr>
          <w:rFonts w:ascii="Arial" w:cs="Arial" w:eastAsia="Arial" w:hAnsi="Arial"/>
          <w:sz w:val="14"/>
          <w:szCs w:val="14"/>
          <w:color w:val="auto"/>
        </w:rPr>
        <w:t>”), as set forth in the Prospectus (as defined herein) under the heading “Underwriting” (the “</w:t>
      </w:r>
      <w:r>
        <w:rPr>
          <w:rFonts w:ascii="Arial" w:cs="Arial" w:eastAsia="Arial" w:hAnsi="Arial"/>
          <w:sz w:val="14"/>
          <w:szCs w:val="14"/>
          <w:b w:val="1"/>
          <w:bCs w:val="1"/>
          <w:color w:val="auto"/>
        </w:rPr>
        <w:t>Directed Share Program</w:t>
      </w:r>
      <w:r>
        <w:rPr>
          <w:rFonts w:ascii="Arial" w:cs="Arial" w:eastAsia="Arial" w:hAnsi="Arial"/>
          <w:sz w:val="14"/>
          <w:szCs w:val="14"/>
          <w:color w:val="auto"/>
        </w:rPr>
        <w:t>”). The Firm Securities to be sold by the Designated Underwriter pursuant to the Directed Share Program (the “</w:t>
      </w:r>
      <w:r>
        <w:rPr>
          <w:rFonts w:ascii="Arial" w:cs="Arial" w:eastAsia="Arial" w:hAnsi="Arial"/>
          <w:sz w:val="14"/>
          <w:szCs w:val="14"/>
          <w:b w:val="1"/>
          <w:bCs w:val="1"/>
          <w:color w:val="auto"/>
        </w:rPr>
        <w:t>Directed Shares</w:t>
      </w:r>
      <w:r>
        <w:rPr>
          <w:rFonts w:ascii="Arial" w:cs="Arial" w:eastAsia="Arial" w:hAnsi="Arial"/>
          <w:sz w:val="14"/>
          <w:szCs w:val="14"/>
          <w:color w:val="auto"/>
        </w:rPr>
        <w:t>”) will be sold by the Designated Underwriter pursuant to this Agreement at the public offering price. Any Directed Shares not subscribed for by the end of the business day on which this Agreement is executed will be offered to the public by the Underwriters as set forth in the Prospectus. The Company hereby agrees with the several Underwriters named in Schedule A hereto (“</w:t>
      </w:r>
      <w:r>
        <w:rPr>
          <w:rFonts w:ascii="Arial" w:cs="Arial" w:eastAsia="Arial" w:hAnsi="Arial"/>
          <w:sz w:val="14"/>
          <w:szCs w:val="14"/>
          <w:b w:val="1"/>
          <w:bCs w:val="1"/>
          <w:color w:val="auto"/>
        </w:rPr>
        <w:t>Underwriters</w:t>
      </w:r>
      <w:r>
        <w:rPr>
          <w:rFonts w:ascii="Arial" w:cs="Arial" w:eastAsia="Arial" w:hAnsi="Arial"/>
          <w:sz w:val="14"/>
          <w:szCs w:val="14"/>
          <w:color w:val="auto"/>
        </w:rPr>
        <w:t>”) as follows:</w:t>
      </w:r>
    </w:p>
    <w:p>
      <w:pPr>
        <w:spacing w:after="0" w:line="45" w:lineRule="exact"/>
        <w:rPr>
          <w:sz w:val="20"/>
          <w:szCs w:val="20"/>
          <w:color w:val="auto"/>
        </w:rPr>
      </w:pPr>
    </w:p>
    <w:p>
      <w:pPr>
        <w:ind w:right="260" w:firstLine="916"/>
        <w:spacing w:after="0" w:line="289" w:lineRule="auto"/>
        <w:rPr>
          <w:sz w:val="20"/>
          <w:szCs w:val="20"/>
          <w:color w:val="auto"/>
        </w:rPr>
      </w:pPr>
      <w:r>
        <w:rPr>
          <w:rFonts w:ascii="Arial" w:cs="Arial" w:eastAsia="Arial" w:hAnsi="Arial"/>
          <w:sz w:val="14"/>
          <w:szCs w:val="14"/>
          <w:color w:val="auto"/>
        </w:rPr>
        <w:t>For the avoidance of doubt, it shall be understood and agreed by the parties hereto that any and all references in this Agreement to “subsidiaries” of the Company shall be deemed to include National CineMedia, LLC, a Delaware limited liability company (“</w:t>
      </w:r>
      <w:r>
        <w:rPr>
          <w:rFonts w:ascii="Arial" w:cs="Arial" w:eastAsia="Arial" w:hAnsi="Arial"/>
          <w:sz w:val="14"/>
          <w:szCs w:val="14"/>
          <w:b w:val="1"/>
          <w:bCs w:val="1"/>
          <w:color w:val="auto"/>
        </w:rPr>
        <w:t>NCM LLC</w:t>
      </w:r>
      <w:r>
        <w:rPr>
          <w:rFonts w:ascii="Arial" w:cs="Arial" w:eastAsia="Arial" w:hAnsi="Arial"/>
          <w:sz w:val="14"/>
          <w:szCs w:val="14"/>
          <w:color w:val="auto"/>
        </w:rPr>
        <w:t>”).</w:t>
      </w:r>
    </w:p>
    <w:p>
      <w:pPr>
        <w:sectPr>
          <w:pgSz w:w="11900" w:h="16838" w:orient="portrait"/>
          <w:cols w:equalWidth="0" w:num="1">
            <w:col w:w="11460"/>
          </w:cols>
          <w:pgMar w:left="220" w:top="128" w:right="219" w:bottom="1440" w:gutter="0" w:footer="0" w:header="0"/>
        </w:sectPr>
      </w:pPr>
    </w:p>
    <w:bookmarkStart w:id="235" w:name="page236"/>
    <w:bookmarkEnd w:id="235"/>
    <w:p>
      <w:pPr>
        <w:ind w:firstLine="916"/>
        <w:spacing w:after="0" w:line="28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Any reference in this Agreement, to the extent the context requires, to the “</w:t>
      </w:r>
      <w:r>
        <w:rPr>
          <w:rFonts w:ascii="Arial" w:cs="Arial" w:eastAsia="Arial" w:hAnsi="Arial"/>
          <w:sz w:val="13"/>
          <w:szCs w:val="13"/>
          <w:b w:val="1"/>
          <w:bCs w:val="1"/>
          <w:color w:val="auto"/>
        </w:rPr>
        <w:t>Reorganization</w:t>
      </w:r>
      <w:r>
        <w:rPr>
          <w:rFonts w:ascii="Arial" w:cs="Arial" w:eastAsia="Arial" w:hAnsi="Arial"/>
          <w:sz w:val="13"/>
          <w:szCs w:val="13"/>
          <w:color w:val="auto"/>
        </w:rPr>
        <w:t>” and “</w:t>
      </w:r>
      <w:r>
        <w:rPr>
          <w:rFonts w:ascii="Arial" w:cs="Arial" w:eastAsia="Arial" w:hAnsi="Arial"/>
          <w:sz w:val="13"/>
          <w:szCs w:val="13"/>
          <w:b w:val="1"/>
          <w:bCs w:val="1"/>
          <w:color w:val="auto"/>
        </w:rPr>
        <w:t>Financing Transaction</w:t>
      </w:r>
      <w:r>
        <w:rPr>
          <w:rFonts w:ascii="Arial" w:cs="Arial" w:eastAsia="Arial" w:hAnsi="Arial"/>
          <w:sz w:val="13"/>
          <w:szCs w:val="13"/>
          <w:color w:val="auto"/>
        </w:rPr>
        <w:t>” shall have the meanings ascribed thereto in the Prospectus (as defined below). Any reference to the business, assets, earnings, losses, properties, liabilities, contracts, agreements, obligations, instruments or subsidiaries of NCM LLC means the business, assets, earnings, losses, properties, liabilities, contracts, agreements, obligations, instruments or subsidiaries of the Company and NCM LLC that have been or will be retained by NCM LLC pursuant to the Reorganization. “</w:t>
      </w:r>
      <w:r>
        <w:rPr>
          <w:rFonts w:ascii="Arial" w:cs="Arial" w:eastAsia="Arial" w:hAnsi="Arial"/>
          <w:sz w:val="13"/>
          <w:szCs w:val="13"/>
          <w:b w:val="1"/>
          <w:bCs w:val="1"/>
          <w:color w:val="auto"/>
        </w:rPr>
        <w:t>Transaction Documents</w:t>
      </w:r>
      <w:r>
        <w:rPr>
          <w:rFonts w:ascii="Arial" w:cs="Arial" w:eastAsia="Arial" w:hAnsi="Arial"/>
          <w:sz w:val="13"/>
          <w:szCs w:val="13"/>
          <w:color w:val="auto"/>
        </w:rPr>
        <w:t>” shall mean the following agreements to be entered into in connection with the Reorganization: (i) the Exhibitor Services Agreement to be entered into by and between NCM LLC and Regal Cinemas, Inc. (ii) the Exhibitor Services Agreement to be entered into by and between NCM LLC and American Multi-Cinema, Inc., (iii) the Exhibitor Services Agreement to be entered into by and between NCM LLC and Cinemark USA, Inc., (iv) the Third Amended and Restated Limited Liability Company Operating Agreement to be entered into by and among NCM Inc., Regal CineMedia Holdings, LLC, American Multi-Cinema, Inc. and Cinemark Media, Inc., (v) the Loews Screen Integration Agreement to be entered into by and among NCM LLC and American Multi-Cinema, Inc., (vi) the Tax Receivable Agreement to be entered into by and among NCM Inc., NCM LLC, Regal CineMedia Holdings, LLC, Cinemark Media, Inc., Regal Cinemas, Inc., American Multi-Cinema, Inc. and Cinemark USA, Inc and (vii) the Common Unit Adjustment Agreement to be entered into by and among NCM Inc., NCM LLC, Regal CineMedia Holdings, LLC, American Multi-Cinema, Inc., Cinemark Media, Inc., Regal Cinemas, Inc., and Cinemark USA, Inc.</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Representations and Warranties of the Company</w:t>
      </w:r>
      <w:r>
        <w:rPr>
          <w:rFonts w:ascii="Arial" w:cs="Arial" w:eastAsia="Arial" w:hAnsi="Arial"/>
          <w:sz w:val="13"/>
          <w:szCs w:val="13"/>
          <w:color w:val="auto"/>
        </w:rPr>
        <w:t>. Each of the Company and NCM LLC jointly and severally represents and warrants to, and agrees with, the several Underwriters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that:</w:t>
      </w:r>
    </w:p>
    <w:p>
      <w:pPr>
        <w:spacing w:after="0" w:line="70" w:lineRule="exact"/>
        <w:rPr>
          <w:sz w:val="20"/>
          <w:szCs w:val="20"/>
          <w:color w:val="auto"/>
        </w:rPr>
      </w:pPr>
    </w:p>
    <w:p>
      <w:pPr>
        <w:ind w:right="20" w:firstLine="1496"/>
        <w:spacing w:after="0" w:line="286" w:lineRule="auto"/>
        <w:tabs>
          <w:tab w:leader="none" w:pos="1682"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 registration statement on Form S-1 (No. 333-137976) (“</w:t>
      </w:r>
      <w:r>
        <w:rPr>
          <w:rFonts w:ascii="Arial" w:cs="Arial" w:eastAsia="Arial" w:hAnsi="Arial"/>
          <w:sz w:val="13"/>
          <w:szCs w:val="13"/>
          <w:b w:val="1"/>
          <w:bCs w:val="1"/>
          <w:color w:val="auto"/>
        </w:rPr>
        <w:t>initial registration statement</w:t>
      </w:r>
      <w:r>
        <w:rPr>
          <w:rFonts w:ascii="Arial" w:cs="Arial" w:eastAsia="Arial" w:hAnsi="Arial"/>
          <w:sz w:val="13"/>
          <w:szCs w:val="13"/>
          <w:color w:val="auto"/>
        </w:rPr>
        <w:t>”) relating to the Offered Securities, including a form of prospectus, has been filed with the Securities and Exchange Commission (“</w:t>
      </w:r>
      <w:r>
        <w:rPr>
          <w:rFonts w:ascii="Arial" w:cs="Arial" w:eastAsia="Arial" w:hAnsi="Arial"/>
          <w:sz w:val="13"/>
          <w:szCs w:val="13"/>
          <w:b w:val="1"/>
          <w:bCs w:val="1"/>
          <w:color w:val="auto"/>
        </w:rPr>
        <w:t>Commission</w:t>
      </w:r>
      <w:r>
        <w:rPr>
          <w:rFonts w:ascii="Arial" w:cs="Arial" w:eastAsia="Arial" w:hAnsi="Arial"/>
          <w:sz w:val="13"/>
          <w:szCs w:val="13"/>
          <w:color w:val="auto"/>
        </w:rPr>
        <w:t>”) and an additional registration statement (“</w:t>
      </w:r>
      <w:r>
        <w:rPr>
          <w:rFonts w:ascii="Arial" w:cs="Arial" w:eastAsia="Arial" w:hAnsi="Arial"/>
          <w:sz w:val="13"/>
          <w:szCs w:val="13"/>
          <w:b w:val="1"/>
          <w:bCs w:val="1"/>
          <w:color w:val="auto"/>
        </w:rPr>
        <w:t>additional registration statement</w:t>
      </w:r>
      <w:r>
        <w:rPr>
          <w:rFonts w:ascii="Arial" w:cs="Arial" w:eastAsia="Arial" w:hAnsi="Arial"/>
          <w:sz w:val="13"/>
          <w:szCs w:val="13"/>
          <w:color w:val="auto"/>
        </w:rPr>
        <w:t>”) relating to the Offered Securities may have been or may be filed with the Commission pursuant to Rule 462(b) (“</w:t>
      </w:r>
      <w:r>
        <w:rPr>
          <w:rFonts w:ascii="Arial" w:cs="Arial" w:eastAsia="Arial" w:hAnsi="Arial"/>
          <w:sz w:val="13"/>
          <w:szCs w:val="13"/>
          <w:b w:val="1"/>
          <w:bCs w:val="1"/>
          <w:color w:val="auto"/>
        </w:rPr>
        <w:t>Rule 462(b)</w:t>
      </w:r>
      <w:r>
        <w:rPr>
          <w:rFonts w:ascii="Arial" w:cs="Arial" w:eastAsia="Arial" w:hAnsi="Arial"/>
          <w:sz w:val="13"/>
          <w:szCs w:val="13"/>
          <w:color w:val="auto"/>
        </w:rPr>
        <w:t>”) under the Securities Act of 1933 (“</w:t>
      </w:r>
      <w:r>
        <w:rPr>
          <w:rFonts w:ascii="Arial" w:cs="Arial" w:eastAsia="Arial" w:hAnsi="Arial"/>
          <w:sz w:val="13"/>
          <w:szCs w:val="13"/>
          <w:b w:val="1"/>
          <w:bCs w:val="1"/>
          <w:color w:val="auto"/>
        </w:rPr>
        <w:t>Act</w:t>
      </w:r>
      <w:r>
        <w:rPr>
          <w:rFonts w:ascii="Arial" w:cs="Arial" w:eastAsia="Arial" w:hAnsi="Arial"/>
          <w:sz w:val="13"/>
          <w:szCs w:val="13"/>
          <w:color w:val="auto"/>
        </w:rPr>
        <w:t>”). “</w:t>
      </w:r>
      <w:r>
        <w:rPr>
          <w:rFonts w:ascii="Arial" w:cs="Arial" w:eastAsia="Arial" w:hAnsi="Arial"/>
          <w:sz w:val="13"/>
          <w:szCs w:val="13"/>
          <w:b w:val="1"/>
          <w:bCs w:val="1"/>
          <w:color w:val="auto"/>
        </w:rPr>
        <w:t>Initial Registration Statement</w:t>
      </w:r>
      <w:r>
        <w:rPr>
          <w:rFonts w:ascii="Arial" w:cs="Arial" w:eastAsia="Arial" w:hAnsi="Arial"/>
          <w:sz w:val="13"/>
          <w:szCs w:val="13"/>
          <w:color w:val="auto"/>
        </w:rPr>
        <w:t>” as of any time means the initial registration statement, in the form then filed with the Commission, including all information contained in the additional registration statement (if any) and then deemed to be a part of the initial registration statement pursuant to the General Instructions of the Form on which it is filed and all information (if any) included in a prospectus then deemed to be a part of the initial registration statement pursuant to Rule 430C (“</w:t>
      </w:r>
      <w:r>
        <w:rPr>
          <w:rFonts w:ascii="Arial" w:cs="Arial" w:eastAsia="Arial" w:hAnsi="Arial"/>
          <w:sz w:val="13"/>
          <w:szCs w:val="13"/>
          <w:b w:val="1"/>
          <w:bCs w:val="1"/>
          <w:color w:val="auto"/>
        </w:rPr>
        <w:t>Rule 430C</w:t>
      </w:r>
      <w:r>
        <w:rPr>
          <w:rFonts w:ascii="Arial" w:cs="Arial" w:eastAsia="Arial" w:hAnsi="Arial"/>
          <w:sz w:val="13"/>
          <w:szCs w:val="13"/>
          <w:color w:val="auto"/>
        </w:rPr>
        <w:t>”) under the Act or retroactively deemed to be a part of the initial registration statement pursuant to Rule 430A(b) (“</w:t>
      </w:r>
      <w:r>
        <w:rPr>
          <w:rFonts w:ascii="Arial" w:cs="Arial" w:eastAsia="Arial" w:hAnsi="Arial"/>
          <w:sz w:val="13"/>
          <w:szCs w:val="13"/>
          <w:b w:val="1"/>
          <w:bCs w:val="1"/>
          <w:color w:val="auto"/>
        </w:rPr>
        <w:t>Rule 430A(b)</w:t>
      </w:r>
      <w:r>
        <w:rPr>
          <w:rFonts w:ascii="Arial" w:cs="Arial" w:eastAsia="Arial" w:hAnsi="Arial"/>
          <w:sz w:val="13"/>
          <w:szCs w:val="13"/>
          <w:color w:val="auto"/>
        </w:rPr>
        <w:t>”) under the Act and that in any case has not then been superseded or modified. “</w:t>
      </w:r>
      <w:r>
        <w:rPr>
          <w:rFonts w:ascii="Arial" w:cs="Arial" w:eastAsia="Arial" w:hAnsi="Arial"/>
          <w:sz w:val="13"/>
          <w:szCs w:val="13"/>
          <w:b w:val="1"/>
          <w:bCs w:val="1"/>
          <w:color w:val="auto"/>
        </w:rPr>
        <w:t>Additional Registration Statement</w:t>
      </w:r>
      <w:r>
        <w:rPr>
          <w:rFonts w:ascii="Arial" w:cs="Arial" w:eastAsia="Arial" w:hAnsi="Arial"/>
          <w:sz w:val="13"/>
          <w:szCs w:val="13"/>
          <w:color w:val="auto"/>
        </w:rPr>
        <w:t>” as of any time means the additional registration statement, in the form then filed with the Commission, including the contents of the Initial Registration Statement incorporated by reference therein and including all information (if any) included in a prospectus then deemed to be a part of the additional registration statement pursuant to Rule 430C or retroactively deemed to be a part of the additional registration statement pursuant to Rule 430A(b) and that in any case has not then been superseded or modified. The Initial Registration Statement and the Additional Registration Statement are herein referred to collectively as the “</w:t>
      </w:r>
      <w:r>
        <w:rPr>
          <w:rFonts w:ascii="Arial" w:cs="Arial" w:eastAsia="Arial" w:hAnsi="Arial"/>
          <w:sz w:val="13"/>
          <w:szCs w:val="13"/>
          <w:b w:val="1"/>
          <w:bCs w:val="1"/>
          <w:color w:val="auto"/>
        </w:rPr>
        <w:t>Registration Statements</w:t>
      </w:r>
      <w:r>
        <w:rPr>
          <w:rFonts w:ascii="Arial" w:cs="Arial" w:eastAsia="Arial" w:hAnsi="Arial"/>
          <w:sz w:val="13"/>
          <w:szCs w:val="13"/>
          <w:color w:val="auto"/>
        </w:rPr>
        <w:t>” and individually as a “</w:t>
      </w:r>
      <w:r>
        <w:rPr>
          <w:rFonts w:ascii="Arial" w:cs="Arial" w:eastAsia="Arial" w:hAnsi="Arial"/>
          <w:sz w:val="13"/>
          <w:szCs w:val="13"/>
          <w:b w:val="1"/>
          <w:bCs w:val="1"/>
          <w:color w:val="auto"/>
        </w:rPr>
        <w:t>Registration Statement</w:t>
      </w:r>
      <w:r>
        <w:rPr>
          <w:rFonts w:ascii="Arial" w:cs="Arial" w:eastAsia="Arial" w:hAnsi="Arial"/>
          <w:sz w:val="13"/>
          <w:szCs w:val="13"/>
          <w:color w:val="auto"/>
        </w:rPr>
        <w:t>.” “</w:t>
      </w:r>
      <w:r>
        <w:rPr>
          <w:rFonts w:ascii="Arial" w:cs="Arial" w:eastAsia="Arial" w:hAnsi="Arial"/>
          <w:sz w:val="13"/>
          <w:szCs w:val="13"/>
          <w:b w:val="1"/>
          <w:bCs w:val="1"/>
          <w:color w:val="auto"/>
        </w:rPr>
        <w:t>Registration Statement</w:t>
      </w:r>
      <w:r>
        <w:rPr>
          <w:rFonts w:ascii="Arial" w:cs="Arial" w:eastAsia="Arial" w:hAnsi="Arial"/>
          <w:sz w:val="13"/>
          <w:szCs w:val="13"/>
          <w:color w:val="auto"/>
        </w:rPr>
        <w:t>” as of any time means the Initial Registration Statement and any</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20" w:top="248" w:right="239" w:bottom="1440" w:gutter="0" w:footer="0" w:header="0"/>
        </w:sectPr>
      </w:pPr>
    </w:p>
    <w:bookmarkStart w:id="236" w:name="page237"/>
    <w:bookmarkEnd w:id="236"/>
    <w:p>
      <w:pPr>
        <w:spacing w:after="0" w:line="30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Additional Registration Statement as of such time. For purposes of the foregoing definitions, information contained in a form of prospectus that is deemed retroactively to be a part of a Registration Statement pursuant to Rule 430A shall be considered to be included in such Registration Statement as of the time specified in Rule 430A. As of the time of execution and delivery of this Agreement, the Initial Registration Statement has been declared effective under the Act and is not proposed to be amended (except as contemplated in compliance with Rule 430C and 430A(b)). Any Additional Registration Statement has or will become effective upon filing with the Commission pursuant to Rule 462(b) and is not proposed to be amended (except as contemplated in compliance with Rule 430C and 430A(b)). The Offered Securities all have been or will be duly registered under the Act pursuant to the Initial Registration Statement and, if applicable, the Additional Registration Statement. For purposes of this Agreement, “</w:t>
      </w:r>
      <w:r>
        <w:rPr>
          <w:rFonts w:ascii="Arial" w:cs="Arial" w:eastAsia="Arial" w:hAnsi="Arial"/>
          <w:sz w:val="12"/>
          <w:szCs w:val="12"/>
          <w:b w:val="1"/>
          <w:bCs w:val="1"/>
          <w:color w:val="auto"/>
        </w:rPr>
        <w:t>Effective Time</w:t>
      </w:r>
      <w:r>
        <w:rPr>
          <w:rFonts w:ascii="Arial" w:cs="Arial" w:eastAsia="Arial" w:hAnsi="Arial"/>
          <w:sz w:val="12"/>
          <w:szCs w:val="12"/>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w:t>
      </w:r>
      <w:r>
        <w:rPr>
          <w:rFonts w:ascii="Arial" w:cs="Arial" w:eastAsia="Arial" w:hAnsi="Arial"/>
          <w:sz w:val="12"/>
          <w:szCs w:val="12"/>
          <w:b w:val="1"/>
          <w:bCs w:val="1"/>
          <w:color w:val="auto"/>
        </w:rPr>
        <w:t>Rule 462(c)</w:t>
      </w:r>
      <w:r>
        <w:rPr>
          <w:rFonts w:ascii="Arial" w:cs="Arial" w:eastAsia="Arial" w:hAnsi="Arial"/>
          <w:sz w:val="12"/>
          <w:szCs w:val="12"/>
          <w:color w:val="auto"/>
        </w:rPr>
        <w:t>”) under the Act. If an Additional Registration Statement has not been filed prior to the execution and delivery of this Agreement but the Company has advised the Representatives that it proposes to file one, “</w:t>
      </w:r>
      <w:r>
        <w:rPr>
          <w:rFonts w:ascii="Arial" w:cs="Arial" w:eastAsia="Arial" w:hAnsi="Arial"/>
          <w:sz w:val="12"/>
          <w:szCs w:val="12"/>
          <w:b w:val="1"/>
          <w:bCs w:val="1"/>
          <w:color w:val="auto"/>
        </w:rPr>
        <w:t>Effective</w:t>
      </w:r>
      <w:r>
        <w:rPr>
          <w:rFonts w:ascii="Arial" w:cs="Arial" w:eastAsia="Arial" w:hAnsi="Arial"/>
          <w:sz w:val="12"/>
          <w:szCs w:val="12"/>
          <w:color w:val="auto"/>
        </w:rPr>
        <w:t xml:space="preserve"> </w:t>
      </w:r>
      <w:r>
        <w:rPr>
          <w:rFonts w:ascii="Arial" w:cs="Arial" w:eastAsia="Arial" w:hAnsi="Arial"/>
          <w:sz w:val="12"/>
          <w:szCs w:val="12"/>
          <w:b w:val="1"/>
          <w:bCs w:val="1"/>
          <w:color w:val="auto"/>
        </w:rPr>
        <w:t>Time</w:t>
      </w:r>
      <w:r>
        <w:rPr>
          <w:rFonts w:ascii="Arial" w:cs="Arial" w:eastAsia="Arial" w:hAnsi="Arial"/>
          <w:sz w:val="12"/>
          <w:szCs w:val="12"/>
          <w:color w:val="auto"/>
        </w:rPr>
        <w:t>” with respect to such Additional Registration Statement means the date and time as of which such Registration Statement is filed and becomes effective pursuant to Rule 462(b). “</w:t>
      </w:r>
      <w:r>
        <w:rPr>
          <w:rFonts w:ascii="Arial" w:cs="Arial" w:eastAsia="Arial" w:hAnsi="Arial"/>
          <w:sz w:val="12"/>
          <w:szCs w:val="12"/>
          <w:b w:val="1"/>
          <w:bCs w:val="1"/>
          <w:color w:val="auto"/>
        </w:rPr>
        <w:t>Effective Date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with respect to the Initial Registration Statement or the Additional Registration Statement (if any) means the date of the Effective Time thereof. A “</w:t>
      </w:r>
      <w:r>
        <w:rPr>
          <w:rFonts w:ascii="Arial" w:cs="Arial" w:eastAsia="Arial" w:hAnsi="Arial"/>
          <w:sz w:val="12"/>
          <w:szCs w:val="12"/>
          <w:b w:val="1"/>
          <w:bCs w:val="1"/>
          <w:color w:val="auto"/>
        </w:rPr>
        <w:t>Registration Statement</w:t>
      </w:r>
      <w:r>
        <w:rPr>
          <w:rFonts w:ascii="Arial" w:cs="Arial" w:eastAsia="Arial" w:hAnsi="Arial"/>
          <w:sz w:val="12"/>
          <w:szCs w:val="12"/>
          <w:color w:val="auto"/>
        </w:rPr>
        <w:t>” without reference to a time means such Registration Statement as of its Effective Time. “</w:t>
      </w:r>
      <w:r>
        <w:rPr>
          <w:rFonts w:ascii="Arial" w:cs="Arial" w:eastAsia="Arial" w:hAnsi="Arial"/>
          <w:sz w:val="12"/>
          <w:szCs w:val="12"/>
          <w:b w:val="1"/>
          <w:bCs w:val="1"/>
          <w:color w:val="auto"/>
        </w:rPr>
        <w:t>Statutory Prospectus</w:t>
      </w:r>
      <w:r>
        <w:rPr>
          <w:rFonts w:ascii="Arial" w:cs="Arial" w:eastAsia="Arial" w:hAnsi="Arial"/>
          <w:sz w:val="12"/>
          <w:szCs w:val="12"/>
          <w:color w:val="auto"/>
        </w:rPr>
        <w:t>” as of any time means the prospectus included in a Registration Statement immediately prior to that time, including any information in a prospectus deemed to be a part thereof pursuant to Rule 430A or 430C that has not been superseded or modified. For purposes of the preceding sentence, information contained in a form of prospectus that is deemed retroactively to be a part of a Registration Statement pursuant to Rule 430A shall be considered to be included in the Statutory Prospectus as of the actual time that form of prospectus is filed with the Commission pursuant to Rule 424(b) (“</w:t>
      </w:r>
      <w:r>
        <w:rPr>
          <w:rFonts w:ascii="Arial" w:cs="Arial" w:eastAsia="Arial" w:hAnsi="Arial"/>
          <w:sz w:val="12"/>
          <w:szCs w:val="12"/>
          <w:b w:val="1"/>
          <w:bCs w:val="1"/>
          <w:color w:val="auto"/>
        </w:rPr>
        <w:t>Rule 424(b)</w:t>
      </w:r>
      <w:r>
        <w:rPr>
          <w:rFonts w:ascii="Arial" w:cs="Arial" w:eastAsia="Arial" w:hAnsi="Arial"/>
          <w:sz w:val="12"/>
          <w:szCs w:val="12"/>
          <w:color w:val="auto"/>
        </w:rPr>
        <w:t>”) under the Act. “</w:t>
      </w:r>
      <w:r>
        <w:rPr>
          <w:rFonts w:ascii="Arial" w:cs="Arial" w:eastAsia="Arial" w:hAnsi="Arial"/>
          <w:sz w:val="12"/>
          <w:szCs w:val="12"/>
          <w:b w:val="1"/>
          <w:bCs w:val="1"/>
          <w:color w:val="auto"/>
        </w:rPr>
        <w:t>Prospectus</w:t>
      </w:r>
      <w:r>
        <w:rPr>
          <w:rFonts w:ascii="Arial" w:cs="Arial" w:eastAsia="Arial" w:hAnsi="Arial"/>
          <w:sz w:val="12"/>
          <w:szCs w:val="12"/>
          <w:color w:val="auto"/>
        </w:rPr>
        <w:t>” means the Statutory Prospectus that discloses the public offering price and other final terms of the Offered Securities and otherwise satisfies Section 10(a) of the Act. “</w:t>
      </w:r>
      <w:r>
        <w:rPr>
          <w:rFonts w:ascii="Arial" w:cs="Arial" w:eastAsia="Arial" w:hAnsi="Arial"/>
          <w:sz w:val="12"/>
          <w:szCs w:val="12"/>
          <w:b w:val="1"/>
          <w:bCs w:val="1"/>
          <w:color w:val="auto"/>
        </w:rPr>
        <w:t>Issuer Free Writing Prospectus</w:t>
      </w:r>
      <w:r>
        <w:rPr>
          <w:rFonts w:ascii="Arial" w:cs="Arial" w:eastAsia="Arial" w:hAnsi="Arial"/>
          <w:sz w:val="12"/>
          <w:szCs w:val="12"/>
          <w:color w:val="auto"/>
        </w:rPr>
        <w:t>” means any “issuer free writing prospectus,” as defined in Rule 433</w:t>
      </w:r>
    </w:p>
    <w:p>
      <w:pPr>
        <w:spacing w:after="0" w:line="14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Rule 433</w:t>
      </w:r>
      <w:r>
        <w:rPr>
          <w:rFonts w:ascii="Arial" w:cs="Arial" w:eastAsia="Arial" w:hAnsi="Arial"/>
          <w:sz w:val="14"/>
          <w:szCs w:val="14"/>
          <w:color w:val="auto"/>
        </w:rPr>
        <w:t>”) under the Act, relating to the Offered Securities in the form filed or required to be filed with the Commission or, if not required to be filed, in the form retained in the Company’s records pursuant to Rule 433(g). “</w:t>
      </w:r>
      <w:r>
        <w:rPr>
          <w:rFonts w:ascii="Arial" w:cs="Arial" w:eastAsia="Arial" w:hAnsi="Arial"/>
          <w:sz w:val="14"/>
          <w:szCs w:val="14"/>
          <w:b w:val="1"/>
          <w:bCs w:val="1"/>
          <w:color w:val="auto"/>
        </w:rPr>
        <w:t>General Use Issuer Free Writing Prospectus</w:t>
      </w:r>
      <w:r>
        <w:rPr>
          <w:rFonts w:ascii="Arial" w:cs="Arial" w:eastAsia="Arial" w:hAnsi="Arial"/>
          <w:sz w:val="14"/>
          <w:szCs w:val="14"/>
          <w:color w:val="auto"/>
        </w:rPr>
        <w:t>” means any Issuer Free Writing Prospectus that is intended for general distribution to prospective investors, as evidenced by its being specified in a schedule to this Agreement. “</w:t>
      </w:r>
      <w:r>
        <w:rPr>
          <w:rFonts w:ascii="Arial" w:cs="Arial" w:eastAsia="Arial" w:hAnsi="Arial"/>
          <w:sz w:val="14"/>
          <w:szCs w:val="14"/>
          <w:b w:val="1"/>
          <w:bCs w:val="1"/>
          <w:color w:val="auto"/>
        </w:rPr>
        <w:t>Limited Use Issuer Free Writing Prospectus</w:t>
      </w:r>
      <w:r>
        <w:rPr>
          <w:rFonts w:ascii="Arial" w:cs="Arial" w:eastAsia="Arial" w:hAnsi="Arial"/>
          <w:sz w:val="14"/>
          <w:szCs w:val="14"/>
          <w:color w:val="auto"/>
        </w:rPr>
        <w:t>” means any Issuer Free Writing Prospectus that is not a General Use Issuer Free Writing Prospectus. “</w:t>
      </w:r>
      <w:r>
        <w:rPr>
          <w:rFonts w:ascii="Arial" w:cs="Arial" w:eastAsia="Arial" w:hAnsi="Arial"/>
          <w:sz w:val="14"/>
          <w:szCs w:val="14"/>
          <w:b w:val="1"/>
          <w:bCs w:val="1"/>
          <w:color w:val="auto"/>
        </w:rPr>
        <w:t>Applicable Time</w:t>
      </w:r>
      <w:r>
        <w:rPr>
          <w:rFonts w:ascii="Arial" w:cs="Arial" w:eastAsia="Arial" w:hAnsi="Arial"/>
          <w:sz w:val="14"/>
          <w:szCs w:val="14"/>
          <w:color w:val="auto"/>
        </w:rPr>
        <w:t>” means [ ]:00 [a/p]m (Eastern time) on the date of this Agreement.</w:t>
      </w:r>
    </w:p>
    <w:p>
      <w:pPr>
        <w:spacing w:after="0" w:line="108" w:lineRule="exact"/>
        <w:rPr>
          <w:sz w:val="20"/>
          <w:szCs w:val="20"/>
          <w:color w:val="auto"/>
        </w:rPr>
      </w:pPr>
    </w:p>
    <w:p>
      <w:pPr>
        <w:ind w:right="200" w:firstLine="1489"/>
        <w:spacing w:after="0" w:line="305" w:lineRule="auto"/>
        <w:rPr>
          <w:sz w:val="20"/>
          <w:szCs w:val="20"/>
          <w:color w:val="auto"/>
        </w:rPr>
      </w:pPr>
      <w:r>
        <w:rPr>
          <w:rFonts w:ascii="Arial" w:cs="Arial" w:eastAsia="Arial" w:hAnsi="Arial"/>
          <w:sz w:val="13"/>
          <w:szCs w:val="13"/>
          <w:color w:val="auto"/>
        </w:rPr>
        <w:t>(b)(i) On the Effective Date of the Initial Registration Statement, the Initial Registration Statement conformed in all material respects to the requirements of the Act and the rules and regulations of the Commission (“</w:t>
      </w:r>
      <w:r>
        <w:rPr>
          <w:rFonts w:ascii="Arial" w:cs="Arial" w:eastAsia="Arial" w:hAnsi="Arial"/>
          <w:sz w:val="13"/>
          <w:szCs w:val="13"/>
          <w:b w:val="1"/>
          <w:bCs w:val="1"/>
          <w:color w:val="auto"/>
        </w:rPr>
        <w:t>Rules and Regulations</w:t>
      </w:r>
      <w:r>
        <w:rPr>
          <w:rFonts w:ascii="Arial" w:cs="Arial" w:eastAsia="Arial" w:hAnsi="Arial"/>
          <w:sz w:val="13"/>
          <w:szCs w:val="13"/>
          <w:color w:val="auto"/>
        </w:rPr>
        <w:t>”) and did not include any untrue statement of a material fact or omit to state any material fact required to be stated therein or necessary to make the statements therein not misleading, (ii) on the Effective Date of the Additional Registration Statement (if any), each Registration Statement conformed, or will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52" w:right="219" w:bottom="1440" w:gutter="0" w:footer="0" w:header="0"/>
        </w:sectPr>
      </w:pPr>
    </w:p>
    <w:bookmarkStart w:id="237" w:name="page238"/>
    <w:bookmarkEnd w:id="237"/>
    <w:p>
      <w:pPr>
        <w:spacing w:after="0" w:line="26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conform, in all material respects to the requirements of the Act and the Rules and Regulations and did not include, or will not include, any untrue statement of a material fact and did not omit, or will not omit, to state any material fact required to be stated therein or necessary to make the statements therein, in light of the circumstances under which they were made, not misleading and (iii) on the date of this Agreement, the Initial Registration Statement and, if the Effective Time of the Additional Registration Statement is prior to the execution and delivery of this Agreement, the Additional Registration Statement each conforms, and at the time of filing of the Prospectus pursuant to Rule 424(b) or (if no such filing is required) at the Effective Date of the Additional Registration Statement in which the Prospectus is included, each Registration Statement and the Prospectus will conform, in all material respects to the requirements of the Act and the Rules and Regulations, and neither of such documents includes, or will include, any untrue statement of a material fact or omits, or will omit, to state any material fact required to be stated therein or necessary to make the statements therein not misleading. The preceding sentence does not apply to statements in or omissions from a Registration Statement or the Prospectus based upon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111" w:lineRule="exact"/>
        <w:rPr>
          <w:sz w:val="20"/>
          <w:szCs w:val="20"/>
          <w:color w:val="auto"/>
        </w:rPr>
      </w:pPr>
    </w:p>
    <w:p>
      <w:pPr>
        <w:ind w:right="20" w:firstLine="1489"/>
        <w:spacing w:after="0" w:line="267" w:lineRule="auto"/>
        <w:rPr>
          <w:sz w:val="20"/>
          <w:szCs w:val="20"/>
          <w:color w:val="auto"/>
        </w:rPr>
      </w:pPr>
      <w:r>
        <w:rPr>
          <w:rFonts w:ascii="Arial" w:cs="Arial" w:eastAsia="Arial" w:hAnsi="Arial"/>
          <w:sz w:val="14"/>
          <w:szCs w:val="14"/>
          <w:color w:val="auto"/>
        </w:rPr>
        <w:t>(c)(i) At the time of initial filing of the Initial Registration Statement and (ii) at the date of this Agreement, the Company was not and is not an “ineligible issuer,” as defined in Rule 405 (“</w:t>
      </w:r>
      <w:r>
        <w:rPr>
          <w:rFonts w:ascii="Arial" w:cs="Arial" w:eastAsia="Arial" w:hAnsi="Arial"/>
          <w:sz w:val="14"/>
          <w:szCs w:val="14"/>
          <w:b w:val="1"/>
          <w:bCs w:val="1"/>
          <w:color w:val="auto"/>
        </w:rPr>
        <w:t>Rule 405</w:t>
      </w:r>
      <w:r>
        <w:rPr>
          <w:rFonts w:ascii="Arial" w:cs="Arial" w:eastAsia="Arial" w:hAnsi="Arial"/>
          <w:sz w:val="14"/>
          <w:szCs w:val="14"/>
          <w:color w:val="auto"/>
        </w:rPr>
        <w:t>”) under the Act, including (x) the Company or any other subsidiary in the preceding three years not having been convicted of a felony or misdemeanor or having been made the subject of a judicial or administrative decree or order as described in Rule 405 and (y) the Company in the preceding three years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Offered Securities, all as described in Rule 405.</w:t>
      </w:r>
    </w:p>
    <w:p>
      <w:pPr>
        <w:spacing w:after="0" w:line="110" w:lineRule="exact"/>
        <w:rPr>
          <w:sz w:val="20"/>
          <w:szCs w:val="20"/>
          <w:color w:val="auto"/>
        </w:rPr>
      </w:pPr>
    </w:p>
    <w:p>
      <w:pPr>
        <w:ind w:firstLine="1496"/>
        <w:spacing w:after="0" w:line="265" w:lineRule="auto"/>
        <w:tabs>
          <w:tab w:leader="none" w:pos="169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As of the Applicable Time, neither (i) the General Use Issuer Free Writing Prospectus(es) issued at or prior to the Applicable Time, the preliminary prospectus, dated [ ], 2006 (which is the most recent Statutory Prospectus distributed to investors generally) and the information set forth in Schedule B hereto, all considered together (collectively, the “</w:t>
      </w:r>
      <w:r>
        <w:rPr>
          <w:rFonts w:ascii="Arial" w:cs="Arial" w:eastAsia="Arial" w:hAnsi="Arial"/>
          <w:sz w:val="14"/>
          <w:szCs w:val="14"/>
          <w:b w:val="1"/>
          <w:bCs w:val="1"/>
          <w:color w:val="auto"/>
        </w:rPr>
        <w:t>General Disclosure</w:t>
      </w:r>
      <w:r>
        <w:rPr>
          <w:rFonts w:ascii="Arial" w:cs="Arial" w:eastAsia="Arial" w:hAnsi="Arial"/>
          <w:sz w:val="14"/>
          <w:szCs w:val="14"/>
          <w:color w:val="auto"/>
        </w:rPr>
        <w:t xml:space="preserve"> </w:t>
      </w:r>
      <w:r>
        <w:rPr>
          <w:rFonts w:ascii="Arial" w:cs="Arial" w:eastAsia="Arial" w:hAnsi="Arial"/>
          <w:sz w:val="14"/>
          <w:szCs w:val="14"/>
          <w:b w:val="1"/>
          <w:bCs w:val="1"/>
          <w:color w:val="auto"/>
        </w:rPr>
        <w:t>Package</w:t>
      </w:r>
      <w:r>
        <w:rPr>
          <w:rFonts w:ascii="Arial" w:cs="Arial" w:eastAsia="Arial" w:hAnsi="Arial"/>
          <w:sz w:val="14"/>
          <w:szCs w:val="14"/>
          <w:color w:val="auto"/>
        </w:rPr>
        <w:t>”), nor (ii) any individual Limited Use Issuer Free Writing Prospectus, when considered together with the General Disclosure Package, included any untrue statement of a material fact or</w:t>
      </w:r>
      <w:r>
        <w:rPr>
          <w:rFonts w:ascii="Arial" w:cs="Arial" w:eastAsia="Arial" w:hAnsi="Arial"/>
          <w:sz w:val="14"/>
          <w:szCs w:val="14"/>
          <w:b w:val="1"/>
          <w:bCs w:val="1"/>
          <w:color w:val="auto"/>
        </w:rPr>
        <w:t xml:space="preserve"> </w:t>
      </w:r>
      <w:r>
        <w:rPr>
          <w:rFonts w:ascii="Arial" w:cs="Arial" w:eastAsia="Arial" w:hAnsi="Arial"/>
          <w:sz w:val="14"/>
          <w:szCs w:val="14"/>
          <w:color w:val="auto"/>
        </w:rPr>
        <w:t>omitted to state any material fact necessary in order to make the statements therein, in the light of the circumstances under which they were made, not misleading. The preceding sentence does not apply to statements in or omissions from any prospectus included in the Registration Statement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110" w:lineRule="exact"/>
        <w:rPr>
          <w:rFonts w:ascii="Arial" w:cs="Arial" w:eastAsia="Arial" w:hAnsi="Arial"/>
          <w:sz w:val="14"/>
          <w:szCs w:val="14"/>
          <w:color w:val="auto"/>
        </w:rPr>
      </w:pPr>
    </w:p>
    <w:p>
      <w:pPr>
        <w:ind w:left="1680" w:hanging="184"/>
        <w:spacing w:after="0"/>
        <w:tabs>
          <w:tab w:leader="none" w:pos="16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Each Issuer Free Writing Prospectus, as of its issue date and at all subsequent times through the completion of the public offer and sale of the Offered Securities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252" w:right="219" w:bottom="1440" w:gutter="0" w:footer="0" w:header="0"/>
        </w:sectPr>
      </w:pPr>
    </w:p>
    <w:bookmarkStart w:id="238" w:name="page239"/>
    <w:bookmarkEnd w:id="238"/>
    <w:p>
      <w:pPr>
        <w:ind w:right="80"/>
        <w:spacing w:after="0" w:line="28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until any earlier date that the Company notified or notifies Credit Suisse Securities (USA) LLC (“</w:t>
      </w:r>
      <w:r>
        <w:rPr>
          <w:rFonts w:ascii="Arial" w:cs="Arial" w:eastAsia="Arial" w:hAnsi="Arial"/>
          <w:sz w:val="13"/>
          <w:szCs w:val="13"/>
          <w:b w:val="1"/>
          <w:bCs w:val="1"/>
          <w:color w:val="auto"/>
        </w:rPr>
        <w:t>Credit Suisse</w:t>
      </w:r>
      <w:r>
        <w:rPr>
          <w:rFonts w:ascii="Arial" w:cs="Arial" w:eastAsia="Arial" w:hAnsi="Arial"/>
          <w:sz w:val="13"/>
          <w:szCs w:val="13"/>
          <w:color w:val="auto"/>
        </w:rPr>
        <w:t>”)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(i) the Company has promptly notified or will promptly notify Credit Suisse and (ii) the Company has promptly amended or will promptly amend or supplement such Issuer Free Writing Prospectus to eliminate or correct such conflict, untrue statement or omission. The foregoing two sentences do not apply to statements in or omissions from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99" w:lineRule="exact"/>
        <w:rPr>
          <w:sz w:val="20"/>
          <w:szCs w:val="20"/>
          <w:color w:val="auto"/>
        </w:rPr>
      </w:pPr>
    </w:p>
    <w:p>
      <w:pPr>
        <w:ind w:right="140" w:firstLine="1496"/>
        <w:spacing w:after="0" w:line="270" w:lineRule="auto"/>
        <w:tabs>
          <w:tab w:leader="none" w:pos="166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Company has been duly incorporated and is an existing corporation in good standing under the laws of the State of Delaware, with corporate power and authority to own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except where the failure to be so qualified would not have a Material Adverse Effect (as defined in subsection (q) below).</w:t>
      </w:r>
    </w:p>
    <w:p>
      <w:pPr>
        <w:spacing w:after="0" w:line="106" w:lineRule="exact"/>
        <w:rPr>
          <w:rFonts w:ascii="Arial" w:cs="Arial" w:eastAsia="Arial" w:hAnsi="Arial"/>
          <w:sz w:val="14"/>
          <w:szCs w:val="14"/>
          <w:color w:val="auto"/>
        </w:rPr>
      </w:pPr>
    </w:p>
    <w:p>
      <w:pPr>
        <w:ind w:firstLine="1496"/>
        <w:spacing w:after="0" w:line="290" w:lineRule="auto"/>
        <w:tabs>
          <w:tab w:leader="none" w:pos="169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Each subsidiary of the Company has been duly incorporated or formed and is an existing corporation or limited liability company in good standing under the laws of the jurisdiction of its incorporation or formation, as applicable, with power and authority (corporate or other, as applicable) to own its properties and conduct its business as described in the General Disclosure Package; and each subsidiary of the Company is duly qualified to do business as a foreign corporation or company in good standing in all other jurisdictions in which its ownership or lease of property or the conduct of its business requires such qualification, except where the failure to be so qualified would not have a Material Adverse Effect; all of the issued and outstanding capital stock or other equity interests, as applicable, of each subsidiary of the Company has been duly authorized and validly issued and is fully paid and nonassessable; and the capital stock or other equity interests, as applicable, of each subsidiary owned by the Company, directly or through subsidiaries, is owned free from liens, encumbrances and defects.</w:t>
      </w:r>
    </w:p>
    <w:p>
      <w:pPr>
        <w:spacing w:after="0" w:line="96" w:lineRule="exact"/>
        <w:rPr>
          <w:rFonts w:ascii="Arial" w:cs="Arial" w:eastAsia="Arial" w:hAnsi="Arial"/>
          <w:sz w:val="13"/>
          <w:szCs w:val="13"/>
          <w:color w:val="auto"/>
        </w:rPr>
      </w:pPr>
    </w:p>
    <w:p>
      <w:pPr>
        <w:ind w:right="40" w:firstLine="1496"/>
        <w:spacing w:after="0" w:line="328" w:lineRule="auto"/>
        <w:tabs>
          <w:tab w:leader="none" w:pos="169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Offered Securities and all other outstanding shares of capital stock of the Company have been duly authorized; all outstanding shares of capital stock of the Company are, and, when the Offered Securities have been delivered and paid for in accordance with this Agreement on each Closing Date (as defined below), such Offered Securities will have been, validly issued, fully paid and nonassessable and will conform in all material respects to the description thereof contained in the Prospectus; and the stockholders of the Company have no preemptive rights or other similar rights with respect to the Securities, and after the Reorganization the stockholders of the Company will have no preemptive rights or other similar rights with respect to the Securities.</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20" w:top="248" w:right="259" w:bottom="1440" w:gutter="0" w:footer="0" w:header="0"/>
        </w:sectPr>
      </w:pPr>
    </w:p>
    <w:bookmarkStart w:id="239" w:name="page240"/>
    <w:bookmarkEnd w:id="239"/>
    <w:p>
      <w:pPr>
        <w:jc w:val="both"/>
        <w:ind w:left="-20" w:right="80" w:firstLine="1496"/>
        <w:spacing w:after="0" w:line="297" w:lineRule="auto"/>
        <w:tabs>
          <w:tab w:leader="none" w:pos="1639" w:val="left"/>
        </w:tabs>
        <w:numPr>
          <w:ilvl w:val="0"/>
          <w:numId w:val="12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Except as disclosed in the General Disclosure Package and the registration rights in the Amended and Restated Limited Liability Company Operating Agreement dated as of July 15, 2005 by and among Cinemark media, Inc., National Cinema Network, Inc. and Regal CineMedia Holdings, LLC, as amended (which agreement, including the registration rights contained therein, will terminate on the First Closing Date), there are no contracts, agreements or understandings between the Company or NCM LLC and any person that would give rise to a valid claim against the Company or NCM LLC or any Underwriter for a brokerage commission, finder’s fee or other like payment in connection with this offering.</w:t>
      </w:r>
    </w:p>
    <w:p>
      <w:pPr>
        <w:spacing w:after="0" w:line="90" w:lineRule="exact"/>
        <w:rPr>
          <w:rFonts w:ascii="Arial" w:cs="Arial" w:eastAsia="Arial" w:hAnsi="Arial"/>
          <w:sz w:val="13"/>
          <w:szCs w:val="13"/>
          <w:color w:val="auto"/>
        </w:rPr>
      </w:pPr>
    </w:p>
    <w:p>
      <w:pPr>
        <w:ind w:left="-20" w:right="20" w:firstLine="1496"/>
        <w:spacing w:after="0" w:line="270" w:lineRule="auto"/>
        <w:tabs>
          <w:tab w:leader="none" w:pos="1639"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Except for the registration rights disclosed in the Prospectus, there are no contracts, agreements or understandings between the Company or NCM LLC and any person granting such person the right to require the Company or NCM LLC to file a registration statement under the Act with respect to any securities of the Company or NCM LLC owned or to be owned by such person or to require the Company or NCM LLC to include such securities in the securities registered pursuant to a Registration Statement or in any securities being registered pursuant to any other registration statement filed by the Company or NCM LLC under the Act.</w:t>
      </w:r>
    </w:p>
    <w:p>
      <w:pPr>
        <w:spacing w:after="0" w:line="106" w:lineRule="exact"/>
        <w:rPr>
          <w:rFonts w:ascii="Arial" w:cs="Arial" w:eastAsia="Arial" w:hAnsi="Arial"/>
          <w:sz w:val="14"/>
          <w:szCs w:val="14"/>
          <w:color w:val="auto"/>
        </w:rPr>
      </w:pPr>
    </w:p>
    <w:p>
      <w:pPr>
        <w:ind w:left="1680" w:hanging="204"/>
        <w:spacing w:after="0"/>
        <w:tabs>
          <w:tab w:leader="none" w:pos="16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Offered Securities have been approved for listing on The Nasdaq Global Select Market subject to notice of issuance.</w:t>
      </w:r>
    </w:p>
    <w:p>
      <w:pPr>
        <w:spacing w:after="0" w:line="145" w:lineRule="exact"/>
        <w:rPr>
          <w:rFonts w:ascii="Arial" w:cs="Arial" w:eastAsia="Arial" w:hAnsi="Arial"/>
          <w:sz w:val="14"/>
          <w:szCs w:val="14"/>
          <w:color w:val="auto"/>
        </w:rPr>
      </w:pPr>
    </w:p>
    <w:p>
      <w:pPr>
        <w:ind w:left="-20" w:right="320" w:firstLine="1496"/>
        <w:spacing w:after="0" w:line="275" w:lineRule="auto"/>
        <w:tabs>
          <w:tab w:leader="none" w:pos="1639" w:val="left"/>
        </w:tabs>
        <w:numPr>
          <w:ilvl w:val="0"/>
          <w:numId w:val="125"/>
        </w:numPr>
        <w:rPr>
          <w:rFonts w:ascii="Arial" w:cs="Arial" w:eastAsia="Arial" w:hAnsi="Arial"/>
          <w:sz w:val="14"/>
          <w:szCs w:val="14"/>
          <w:color w:val="auto"/>
        </w:rPr>
      </w:pPr>
      <w:r>
        <w:rPr>
          <w:rFonts w:ascii="Arial" w:cs="Arial" w:eastAsia="Arial" w:hAnsi="Arial"/>
          <w:sz w:val="14"/>
          <w:szCs w:val="14"/>
          <w:color w:val="auto"/>
        </w:rPr>
        <w:t>No consent, approval, authorization, or order of, or filing with, any governmental agency or body or any court is required for the consummation of the transactions contemplated by this Agreement in connection with the issuance and sale of the Offered Securities by the Company, except such as have been obtained and made under the Act and such as may be required under state securities laws.</w:t>
      </w:r>
    </w:p>
    <w:p>
      <w:pPr>
        <w:spacing w:after="0" w:line="102" w:lineRule="exact"/>
        <w:rPr>
          <w:rFonts w:ascii="Arial" w:cs="Arial" w:eastAsia="Arial" w:hAnsi="Arial"/>
          <w:sz w:val="14"/>
          <w:szCs w:val="14"/>
          <w:color w:val="auto"/>
        </w:rPr>
      </w:pPr>
    </w:p>
    <w:p>
      <w:pPr>
        <w:jc w:val="both"/>
        <w:ind w:left="-20" w:right="180" w:firstLine="1496"/>
        <w:spacing w:after="0" w:line="305" w:lineRule="auto"/>
        <w:tabs>
          <w:tab w:leader="none" w:pos="171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Each of the Transaction Documents to be entered into by NCM LLC and NCM Inc., as applicable, in connection with the Reorganization has been duly authorized and, when duly executed and delivered, will constitute the valid and legally binding obligation of NCM LLC and NCM Inc., as applicable, enforceable in accordance with its terms, subject to bankruptcy, insolvency, fraudulent transfer, reorganization, moratorium and similar laws of general applicability relating to or affecting creditors’ rights and to general equity principles.</w:t>
      </w:r>
    </w:p>
    <w:p>
      <w:pPr>
        <w:spacing w:after="0" w:line="85" w:lineRule="exact"/>
        <w:rPr>
          <w:rFonts w:ascii="Arial" w:cs="Arial" w:eastAsia="Arial" w:hAnsi="Arial"/>
          <w:sz w:val="13"/>
          <w:szCs w:val="13"/>
          <w:color w:val="auto"/>
        </w:rPr>
      </w:pPr>
    </w:p>
    <w:p>
      <w:pPr>
        <w:ind w:left="-20" w:firstLine="1496"/>
        <w:spacing w:after="0" w:line="293" w:lineRule="auto"/>
        <w:tabs>
          <w:tab w:leader="none" w:pos="167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execution, delivery and performance of this Agreement and the Transaction Documents, the issuance and sale of the Offered Securities, compliance with the terms and provisions of this Agreement and the consummation of the transactions contemplated by this Agreement will not result in a breach or violation of any of the terms and provisions of, or constitute a default under, (i) any statute, any rule, regulation or order of any governmental agency or body or any court, domestic or foreign, having jurisdiction over the Company or any subsidiary of the Company or any of their properties, or (ii) except for the Credit Agreement dated as of March 22, 2006, among National CineMedia, LLC, the Lenders party thereto, Citicorp North America, Inc., as Administrative Agent, Collateral Agent and Syndication Agent, Citibank, N.A., as Issuing Bank, Citigroup Global Markets Inc., as Lead Arranger 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252" w:right="239" w:bottom="1440" w:gutter="0" w:footer="0" w:header="0"/>
        </w:sectPr>
      </w:pPr>
    </w:p>
    <w:bookmarkStart w:id="240" w:name="page241"/>
    <w:bookmarkEnd w:id="240"/>
    <w:p>
      <w:pPr>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Bookrunner, and Bank of America, N.A., Credit Suisse and Lehman Commercial Paper Inc., as Co-Documentation Agents, any agreement or instrument to which the Company or any such subsidiary is a party or by which the Company or any such subsidiary is bound (including, without limitation, those to be entered into in connection with the Reorganization and Financing Transaction) or to which any of the properties of the Company or any such subsidiary is subject, or (iii) the charter or by-laws of the Company or charter, by-laws, certificate of formation, limited liability company agreement or similar document or agreement, as applicable, of any such subsidiary, except with respect to (i) and (ii) above only for such breaches, violations or defaults which individually or in the aggregate are not reasonably likely to have a Material Adverse Effect, and the Company has full power and authority to authorize, issue and sell the Offered Securities as contemplated by this Agreement.</w:t>
      </w:r>
    </w:p>
    <w:p>
      <w:pPr>
        <w:spacing w:after="0" w:line="93" w:lineRule="exact"/>
        <w:rPr>
          <w:sz w:val="20"/>
          <w:szCs w:val="20"/>
          <w:color w:val="auto"/>
        </w:rPr>
      </w:pPr>
    </w:p>
    <w:p>
      <w:pPr>
        <w:ind w:left="1700" w:hanging="204"/>
        <w:spacing w:after="0"/>
        <w:tabs>
          <w:tab w:leader="none" w:pos="17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This Agreement has been duly authorized, executed and delivered by the Company and NCM LLC.</w:t>
      </w:r>
    </w:p>
    <w:p>
      <w:pPr>
        <w:spacing w:after="0" w:line="145" w:lineRule="exact"/>
        <w:rPr>
          <w:rFonts w:ascii="Arial" w:cs="Arial" w:eastAsia="Arial" w:hAnsi="Arial"/>
          <w:sz w:val="14"/>
          <w:szCs w:val="14"/>
          <w:color w:val="auto"/>
        </w:rPr>
      </w:pPr>
    </w:p>
    <w:p>
      <w:pPr>
        <w:ind w:right="40" w:firstLine="1496"/>
        <w:spacing w:after="0" w:line="270" w:lineRule="auto"/>
        <w:tabs>
          <w:tab w:leader="none" w:pos="169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Except as disclosed in the General Disclosure Package, the Company and its subsidiaries have good and marketable title to all real properties and all other material properties and material assets owned by them, in each case free from liens,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exceptions that would materially interfere with the use made or to be made thereof by them.</w:t>
      </w:r>
    </w:p>
    <w:p>
      <w:pPr>
        <w:spacing w:after="0" w:line="106" w:lineRule="exact"/>
        <w:rPr>
          <w:rFonts w:ascii="Arial" w:cs="Arial" w:eastAsia="Arial" w:hAnsi="Arial"/>
          <w:sz w:val="14"/>
          <w:szCs w:val="14"/>
          <w:color w:val="auto"/>
        </w:rPr>
      </w:pPr>
    </w:p>
    <w:p>
      <w:pPr>
        <w:ind w:right="60" w:firstLine="1496"/>
        <w:spacing w:after="0" w:line="270" w:lineRule="auto"/>
        <w:tabs>
          <w:tab w:leader="none" w:pos="169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Company and its subsidiaries possess adequate certificates, authorities or permits issued by appropriate governmental agencies or bodies necessary to conduct the business now operated by them and have not received any notice of proceedings relating to the revocation or modification of any such certificate, authority or permit that, if determined adversely to the Company or any of its subsidiaries, would individually or in the aggregate have a material adverse effect on the condition (financial or other), business, properties or results of operations of the Company and its subsidiaries taken as a whole (“</w:t>
      </w:r>
      <w:r>
        <w:rPr>
          <w:rFonts w:ascii="Arial" w:cs="Arial" w:eastAsia="Arial" w:hAnsi="Arial"/>
          <w:sz w:val="14"/>
          <w:szCs w:val="14"/>
          <w:b w:val="1"/>
          <w:bCs w:val="1"/>
          <w:color w:val="auto"/>
        </w:rPr>
        <w:t>Material Adverse Effect</w:t>
      </w:r>
      <w:r>
        <w:rPr>
          <w:rFonts w:ascii="Arial" w:cs="Arial" w:eastAsia="Arial" w:hAnsi="Arial"/>
          <w:sz w:val="14"/>
          <w:szCs w:val="14"/>
          <w:color w:val="auto"/>
        </w:rPr>
        <w:t>”).</w:t>
      </w:r>
    </w:p>
    <w:p>
      <w:pPr>
        <w:spacing w:after="0" w:line="106" w:lineRule="exact"/>
        <w:rPr>
          <w:rFonts w:ascii="Arial" w:cs="Arial" w:eastAsia="Arial" w:hAnsi="Arial"/>
          <w:sz w:val="14"/>
          <w:szCs w:val="14"/>
          <w:color w:val="auto"/>
        </w:rPr>
      </w:pPr>
    </w:p>
    <w:p>
      <w:pPr>
        <w:ind w:right="120" w:firstLine="1496"/>
        <w:spacing w:after="0" w:line="289" w:lineRule="auto"/>
        <w:tabs>
          <w:tab w:leader="none" w:pos="1666" w:val="left"/>
        </w:tabs>
        <w:numPr>
          <w:ilvl w:val="0"/>
          <w:numId w:val="126"/>
        </w:numPr>
        <w:rPr>
          <w:rFonts w:ascii="Arial" w:cs="Arial" w:eastAsia="Arial" w:hAnsi="Arial"/>
          <w:sz w:val="14"/>
          <w:szCs w:val="14"/>
          <w:color w:val="auto"/>
        </w:rPr>
      </w:pPr>
      <w:r>
        <w:rPr>
          <w:rFonts w:ascii="Arial" w:cs="Arial" w:eastAsia="Arial" w:hAnsi="Arial"/>
          <w:sz w:val="14"/>
          <w:szCs w:val="14"/>
          <w:color w:val="auto"/>
        </w:rPr>
        <w:t>No labor dispute with the employees of the Company or any subsidiary exists or, to the knowledge of the Company or NCM LLC, is imminent that is reasonably likely to have a Material Adverse Effect.</w:t>
      </w:r>
    </w:p>
    <w:p>
      <w:pPr>
        <w:spacing w:after="0" w:line="93" w:lineRule="exact"/>
        <w:rPr>
          <w:rFonts w:ascii="Arial" w:cs="Arial" w:eastAsia="Arial" w:hAnsi="Arial"/>
          <w:sz w:val="14"/>
          <w:szCs w:val="14"/>
          <w:color w:val="auto"/>
        </w:rPr>
      </w:pPr>
    </w:p>
    <w:p>
      <w:pPr>
        <w:ind w:right="60" w:firstLine="1496"/>
        <w:spacing w:after="0" w:line="297" w:lineRule="auto"/>
        <w:tabs>
          <w:tab w:leader="none" w:pos="1674"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Company and its subsidiaries own, possess, license or, to the Company’s knowledge, can acquire on reasonable terms, adequate trademarks, trade names and other rights to inventions, know-how, patents, copyrights, confidential information and other intellectual property (collectively, “</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necessary to conduct the business now operated by them, or presently employed by them, and, except as to matters which have been resolved, have not received any notice of infringement or other violation of any intellectual property rights of any third party that, if determined adversely to the Company or any of its subsidiaries, would individually or in the aggregate have a Material Adverse Effect.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252" w:right="219" w:bottom="1440" w:gutter="0" w:footer="0" w:header="0"/>
        </w:sectPr>
      </w:pPr>
    </w:p>
    <w:bookmarkStart w:id="241" w:name="page242"/>
    <w:bookmarkEnd w:id="241"/>
    <w:p>
      <w:pPr>
        <w:ind w:left="-20" w:right="60" w:firstLine="1496"/>
        <w:spacing w:after="0" w:line="266" w:lineRule="auto"/>
        <w:tabs>
          <w:tab w:leader="none" w:pos="1639" w:val="left"/>
        </w:tabs>
        <w:numPr>
          <w:ilvl w:val="0"/>
          <w:numId w:val="12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Except as disclosed in the General Disclosure Package, neither the Company nor any of its subsidiaries is in violation of any statute, any rule, regulation, decision or order of any governmental agency or body or any court, domestic or foreign, in either case, with jurisdiction over the Company, its subsidiaries or its properties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4"/>
          <w:szCs w:val="14"/>
          <w:b w:val="1"/>
          <w:bCs w:val="1"/>
          <w:color w:val="auto"/>
        </w:rPr>
        <w:t>environmental laws</w:t>
      </w:r>
      <w:r>
        <w:rPr>
          <w:rFonts w:ascii="Arial" w:cs="Arial" w:eastAsia="Arial" w:hAnsi="Arial"/>
          <w:sz w:val="14"/>
          <w:szCs w:val="14"/>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neither the Company nor NCM LLC is aware of any pending investigation which might lead to such a claim.</w:t>
      </w:r>
    </w:p>
    <w:p>
      <w:pPr>
        <w:spacing w:after="0" w:line="109" w:lineRule="exact"/>
        <w:rPr>
          <w:rFonts w:ascii="Arial" w:cs="Arial" w:eastAsia="Arial" w:hAnsi="Arial"/>
          <w:sz w:val="14"/>
          <w:szCs w:val="14"/>
          <w:color w:val="auto"/>
        </w:rPr>
      </w:pPr>
    </w:p>
    <w:p>
      <w:pPr>
        <w:ind w:left="-20" w:firstLine="1496"/>
        <w:spacing w:after="0" w:line="270" w:lineRule="auto"/>
        <w:tabs>
          <w:tab w:leader="none" w:pos="167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Except as disclosed in the General Disclosure Package, there are no pending actions, suits or proceedings against or affecting the Company, any of its subsidiaries or any of their respective properties that, if determined adversely to the Company or any of its subsidiaries, would individually or in the aggregate have a Material Adverse Effect, or would materially and adversely affect the ability of the Company or NCM LLC to perform its obligations under this Agreement, or which are otherwise material in the context of the sale of the Offered Securities; and no such actions, suits or proceedings are threatened or, to the Company’s or NCM LLC’s knowledge, contemplated.</w:t>
      </w:r>
    </w:p>
    <w:p>
      <w:pPr>
        <w:spacing w:after="0" w:line="106" w:lineRule="exact"/>
        <w:rPr>
          <w:rFonts w:ascii="Arial" w:cs="Arial" w:eastAsia="Arial" w:hAnsi="Arial"/>
          <w:sz w:val="14"/>
          <w:szCs w:val="14"/>
          <w:color w:val="auto"/>
        </w:rPr>
      </w:pPr>
    </w:p>
    <w:p>
      <w:pPr>
        <w:ind w:left="-20" w:firstLine="1496"/>
        <w:spacing w:after="0" w:line="290" w:lineRule="auto"/>
        <w:tabs>
          <w:tab w:leader="none" w:pos="167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financial statements and the related notes thereto included in each Registration Statement and the General Disclosure Package present fairly the financial positions of the Company and its consolidated subsidiaries as of the dates shown and their results of operations and cash flows for the periods shown, and such financial statements and the related notes have been prepared in conformity with the generally accepted accounting principles in the United States applied on a consistent basis; the schedules included in each Registration Statement present fairly the information required to be stated therein; and the assumptions used in preparing the pro forma financial statements included in each Registration Statement and the General Disclosure Package 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w:t>
      </w:r>
    </w:p>
    <w:p>
      <w:pPr>
        <w:spacing w:after="0" w:line="96" w:lineRule="exact"/>
        <w:rPr>
          <w:rFonts w:ascii="Arial" w:cs="Arial" w:eastAsia="Arial" w:hAnsi="Arial"/>
          <w:sz w:val="13"/>
          <w:szCs w:val="13"/>
          <w:color w:val="auto"/>
        </w:rPr>
      </w:pPr>
    </w:p>
    <w:p>
      <w:pPr>
        <w:ind w:left="-20" w:right="300" w:firstLine="1496"/>
        <w:spacing w:after="0" w:line="267" w:lineRule="auto"/>
        <w:tabs>
          <w:tab w:leader="none" w:pos="1702"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Except as disclosed in the General Disclosure Package, since the date of the latest audited financial statements included in the General Disclosure Package of the Company and NCM LLC, respectively, there has been no material adverse change, nor any development or event which is reasonably likely to result in a material adverse change, in the condition (financial or other), business, properties or results of operations of the Company and its subsidiaries taken as a whole or NCM LLC, and, except as disclosed in or contemplated by the General Disclosure Package, there has been no dividend or distribution of any kind declared, paid or made by the Company on any class of its capital stock or paid or made by NCM LLC with respect to its equity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40" w:top="253" w:right="219" w:bottom="1440" w:gutter="0" w:footer="0" w:header="0"/>
        </w:sectPr>
      </w:pPr>
    </w:p>
    <w:bookmarkStart w:id="242" w:name="page243"/>
    <w:bookmarkEnd w:id="242"/>
    <w:p>
      <w:pPr>
        <w:ind w:left="-20" w:right="140" w:firstLine="1496"/>
        <w:spacing w:after="0" w:line="289" w:lineRule="auto"/>
        <w:tabs>
          <w:tab w:leader="none" w:pos="1670" w:val="left"/>
        </w:tabs>
        <w:numPr>
          <w:ilvl w:val="0"/>
          <w:numId w:val="12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Neither the Company nor any of its subsidiaries is, and, after giving effect to the offering and sale of the Offered Securities and the application of the proceeds thereof as described in the General Disclosure Package, will be an “investment company” as defined in the Investment Company Act of 1940.</w:t>
      </w:r>
    </w:p>
    <w:p>
      <w:pPr>
        <w:spacing w:after="0" w:line="93" w:lineRule="exact"/>
        <w:rPr>
          <w:rFonts w:ascii="Arial" w:cs="Arial" w:eastAsia="Arial" w:hAnsi="Arial"/>
          <w:sz w:val="14"/>
          <w:szCs w:val="14"/>
          <w:color w:val="auto"/>
        </w:rPr>
      </w:pPr>
    </w:p>
    <w:p>
      <w:pPr>
        <w:ind w:left="-20" w:firstLine="1496"/>
        <w:spacing w:after="0" w:line="290" w:lineRule="auto"/>
        <w:tabs>
          <w:tab w:leader="none" w:pos="167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All material Tax returns required to be filed by the Company or any of its subsidiaries have been filed in all jurisdictions where such returns are required to be filed, which returns are true, complete, and correct in all material respects and all Taxes shown on such returns have been paid. All material Taxes due or claimed to be due from the Company and each of its subsidiaries have been paid, other than those (A) currently payable without penalty or interest or (B) being contested in good faith and by appropriate proceedings and for which, in the case of both clauses (A) and (B), adequate reserves have been established on the books and records of the Company and its subsidiaries in accordance with U.S. GAAP. No material deficiency or adjustment for any Taxes has been threatened, proposed, asserted or assessed against the Company or any of its subsidiaries. For purposes of this Agreement, the term “</w:t>
      </w:r>
      <w:r>
        <w:rPr>
          <w:rFonts w:ascii="Arial" w:cs="Arial" w:eastAsia="Arial" w:hAnsi="Arial"/>
          <w:sz w:val="13"/>
          <w:szCs w:val="13"/>
          <w:b w:val="1"/>
          <w:bCs w:val="1"/>
          <w:color w:val="auto"/>
        </w:rPr>
        <w:t>Tax</w:t>
      </w:r>
      <w:r>
        <w:rPr>
          <w:rFonts w:ascii="Arial" w:cs="Arial" w:eastAsia="Arial" w:hAnsi="Arial"/>
          <w:sz w:val="13"/>
          <w:szCs w:val="13"/>
          <w:color w:val="auto"/>
        </w:rPr>
        <w:t>” and “</w:t>
      </w:r>
      <w:r>
        <w:rPr>
          <w:rFonts w:ascii="Arial" w:cs="Arial" w:eastAsia="Arial" w:hAnsi="Arial"/>
          <w:sz w:val="13"/>
          <w:szCs w:val="13"/>
          <w:b w:val="1"/>
          <w:bCs w:val="1"/>
          <w:color w:val="auto"/>
        </w:rPr>
        <w:t>Taxes</w:t>
      </w:r>
      <w:r>
        <w:rPr>
          <w:rFonts w:ascii="Arial" w:cs="Arial" w:eastAsia="Arial" w:hAnsi="Arial"/>
          <w:sz w:val="13"/>
          <w:szCs w:val="13"/>
          <w:color w:val="auto"/>
        </w:rPr>
        <w:t>” shall mean all Federal, state, local and foreign taxes, and other assessments of a similar nature (whether imposed directly or through withholding), including any interest, additions to tax, or penalties applicable thereto.</w:t>
      </w:r>
    </w:p>
    <w:p>
      <w:pPr>
        <w:spacing w:after="0" w:line="96" w:lineRule="exact"/>
        <w:rPr>
          <w:rFonts w:ascii="Arial" w:cs="Arial" w:eastAsia="Arial" w:hAnsi="Arial"/>
          <w:sz w:val="13"/>
          <w:szCs w:val="13"/>
          <w:color w:val="auto"/>
        </w:rPr>
      </w:pPr>
    </w:p>
    <w:p>
      <w:pPr>
        <w:ind w:left="-20" w:right="20" w:firstLine="1496"/>
        <w:spacing w:after="0" w:line="264" w:lineRule="auto"/>
        <w:tabs>
          <w:tab w:leader="none" w:pos="1662" w:val="left"/>
        </w:tabs>
        <w:numPr>
          <w:ilvl w:val="0"/>
          <w:numId w:val="128"/>
        </w:numPr>
        <w:rPr>
          <w:rFonts w:ascii="Arial" w:cs="Arial" w:eastAsia="Arial" w:hAnsi="Arial"/>
          <w:sz w:val="14"/>
          <w:szCs w:val="14"/>
          <w:color w:val="auto"/>
        </w:rPr>
      </w:pPr>
      <w:r>
        <w:rPr>
          <w:rFonts w:ascii="Arial" w:cs="Arial" w:eastAsia="Arial" w:hAnsi="Arial"/>
          <w:sz w:val="14"/>
          <w:szCs w:val="14"/>
          <w:color w:val="auto"/>
        </w:rPr>
        <w:t>Neither the Company nor any of its subsidiaries nor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4"/>
          <w:szCs w:val="14"/>
          <w:b w:val="1"/>
          <w:bCs w:val="1"/>
          <w:color w:val="auto"/>
        </w:rPr>
        <w:t>FCPA</w:t>
      </w:r>
      <w:r>
        <w:rPr>
          <w:rFonts w:ascii="Arial" w:cs="Arial" w:eastAsia="Arial" w:hAnsi="Arial"/>
          <w:sz w:val="14"/>
          <w:szCs w:val="14"/>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their respective affiliates have conducted their businesses in compliance with the FCPA and have instituted and maintain policies and procedures designed to ensure, and which are reasonably expected to continue to ensure, continued compliance therewith and neither the Company nor any of its subsidiaries nor any director, officer, agent, employee or affiliate of the Company or any of its subsidiaries or has otherwise made any bribe, rebate, payoff, influence payment, kickback or other unlawful payment.</w:t>
      </w:r>
    </w:p>
    <w:p>
      <w:pPr>
        <w:spacing w:after="0" w:line="113" w:lineRule="exact"/>
        <w:rPr>
          <w:sz w:val="20"/>
          <w:szCs w:val="20"/>
          <w:color w:val="auto"/>
        </w:rPr>
      </w:pPr>
    </w:p>
    <w:p>
      <w:pPr>
        <w:ind w:left="-20" w:firstLine="1496"/>
        <w:spacing w:after="0" w:line="267" w:lineRule="auto"/>
        <w:tabs>
          <w:tab w:leader="none" w:pos="1725"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in each case, to the extent applicable to or binding on the Company and its subsidiaries (collectively, the “</w:t>
      </w:r>
      <w:r>
        <w:rPr>
          <w:rFonts w:ascii="Arial" w:cs="Arial" w:eastAsia="Arial" w:hAnsi="Arial"/>
          <w:sz w:val="14"/>
          <w:szCs w:val="14"/>
          <w:b w:val="1"/>
          <w:bCs w:val="1"/>
          <w:color w:val="auto"/>
        </w:rPr>
        <w:t>Money Laundering Laws</w:t>
      </w:r>
      <w:r>
        <w:rPr>
          <w:rFonts w:ascii="Arial" w:cs="Arial" w:eastAsia="Arial" w:hAnsi="Arial"/>
          <w:sz w:val="14"/>
          <w:szCs w:val="14"/>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252" w:right="239" w:bottom="1440" w:gutter="0" w:footer="0" w:header="0"/>
        </w:sectPr>
      </w:pPr>
    </w:p>
    <w:bookmarkStart w:id="243" w:name="page244"/>
    <w:bookmarkEnd w:id="243"/>
    <w:p>
      <w:pPr>
        <w:ind w:right="220" w:firstLine="1496"/>
        <w:spacing w:after="0" w:line="330" w:lineRule="auto"/>
        <w:tabs>
          <w:tab w:leader="none" w:pos="1761" w:val="left"/>
        </w:tabs>
        <w:numPr>
          <w:ilvl w:val="0"/>
          <w:numId w:val="13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There is and has been no failure on the part of the Company, NCM LLC, nor any of their respective directors or officers, in their capacities as such, to comply with the provisions of the Sarbanes-Oxley Act of 2002 and the rules and regulations promulgated in connection therewith (the “</w:t>
      </w:r>
      <w:r>
        <w:rPr>
          <w:rFonts w:ascii="Arial" w:cs="Arial" w:eastAsia="Arial" w:hAnsi="Arial"/>
          <w:sz w:val="13"/>
          <w:szCs w:val="13"/>
          <w:b w:val="1"/>
          <w:bCs w:val="1"/>
          <w:color w:val="auto"/>
        </w:rPr>
        <w:t>Sarbanes-Oxley Act</w:t>
      </w:r>
      <w:r>
        <w:rPr>
          <w:rFonts w:ascii="Arial" w:cs="Arial" w:eastAsia="Arial" w:hAnsi="Arial"/>
          <w:sz w:val="13"/>
          <w:szCs w:val="13"/>
          <w:color w:val="auto"/>
        </w:rPr>
        <w:t>”) applicable to the Company and NCM LLC.</w:t>
      </w:r>
    </w:p>
    <w:p>
      <w:pPr>
        <w:spacing w:after="0" w:line="69" w:lineRule="exact"/>
        <w:rPr>
          <w:rFonts w:ascii="Arial" w:cs="Arial" w:eastAsia="Arial" w:hAnsi="Arial"/>
          <w:sz w:val="13"/>
          <w:szCs w:val="13"/>
          <w:color w:val="auto"/>
        </w:rPr>
      </w:pPr>
    </w:p>
    <w:p>
      <w:pPr>
        <w:ind w:right="20" w:firstLine="1496"/>
        <w:spacing w:after="0" w:line="286" w:lineRule="auto"/>
        <w:tabs>
          <w:tab w:leader="none" w:pos="1745" w:val="left"/>
        </w:tabs>
        <w:numPr>
          <w:ilvl w:val="0"/>
          <w:numId w:val="130"/>
        </w:numPr>
        <w:rPr>
          <w:rFonts w:ascii="Arial" w:cs="Arial" w:eastAsia="Arial" w:hAnsi="Arial"/>
          <w:sz w:val="13"/>
          <w:szCs w:val="13"/>
          <w:color w:val="auto"/>
        </w:rPr>
      </w:pPr>
      <w:r>
        <w:rPr>
          <w:rFonts w:ascii="Arial" w:cs="Arial" w:eastAsia="Arial" w:hAnsi="Arial"/>
          <w:sz w:val="13"/>
          <w:szCs w:val="13"/>
          <w:color w:val="auto"/>
        </w:rPr>
        <w:t>Each of the Company and its subsidiaries maintain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The general accounting records of the Company and of each of its subsidiaries provide the basis for the preparation of the Company’s consolidated financial statements under U.S. GAAP and have been maintained in compliance with applicable laws. The Company maintains disclosure controls and procedures (as such term is defined in Rule 13a-15 under the Securities Exchange Act of 1934 (the “</w:t>
      </w:r>
      <w:r>
        <w:rPr>
          <w:rFonts w:ascii="Arial" w:cs="Arial" w:eastAsia="Arial" w:hAnsi="Arial"/>
          <w:sz w:val="13"/>
          <w:szCs w:val="13"/>
          <w:b w:val="1"/>
          <w:bCs w:val="1"/>
          <w:color w:val="auto"/>
        </w:rPr>
        <w:t>Exchange Act</w:t>
      </w:r>
      <w:r>
        <w:rPr>
          <w:rFonts w:ascii="Arial" w:cs="Arial" w:eastAsia="Arial" w:hAnsi="Arial"/>
          <w:sz w:val="13"/>
          <w:szCs w:val="13"/>
          <w:color w:val="auto"/>
        </w:rPr>
        <w:t>”)) that are effective in ensuring that information required to be disclosed by the Company in the reports that it will file or submit under the Exchange Act is recorded, processed, summarized and reported, within the time periods specified in the rules and forms of the Commission, including, without limitation, controls and procedures designed to ensure that information required to be disclosed by the Company in the reports that it will file or submit under the Exchange Act is accumulated and communicated to the Company’s management, including its principal executive officer or officers and its principal financial officer or officers, as appropriate to allow timely decisions regarding required disclosure.</w:t>
      </w:r>
    </w:p>
    <w:p>
      <w:pPr>
        <w:spacing w:after="0" w:line="98" w:lineRule="exact"/>
        <w:rPr>
          <w:rFonts w:ascii="Arial" w:cs="Arial" w:eastAsia="Arial" w:hAnsi="Arial"/>
          <w:sz w:val="13"/>
          <w:szCs w:val="13"/>
          <w:color w:val="auto"/>
        </w:rPr>
      </w:pPr>
    </w:p>
    <w:p>
      <w:pPr>
        <w:ind w:right="120" w:firstLine="1496"/>
        <w:spacing w:after="0" w:line="297" w:lineRule="auto"/>
        <w:tabs>
          <w:tab w:leader="none" w:pos="1761"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section entitled “Management’s Discussion and Analysis of Financial Condition and Results of Operations—Critical Accounting Policies” in the Prospectus accurately and fully describes in all material respects (A) the accounting policies that the Company believes are the most important in the portrayal of the Company’s financial condition and results of operations and that require management’s most difficult, subjective or complex judgments (“</w:t>
      </w:r>
      <w:r>
        <w:rPr>
          <w:rFonts w:ascii="Arial" w:cs="Arial" w:eastAsia="Arial" w:hAnsi="Arial"/>
          <w:sz w:val="13"/>
          <w:szCs w:val="13"/>
          <w:b w:val="1"/>
          <w:bCs w:val="1"/>
          <w:color w:val="auto"/>
        </w:rPr>
        <w:t>Critical Accounting Policies</w:t>
      </w:r>
      <w:r>
        <w:rPr>
          <w:rFonts w:ascii="Arial" w:cs="Arial" w:eastAsia="Arial" w:hAnsi="Arial"/>
          <w:sz w:val="13"/>
          <w:szCs w:val="13"/>
          <w:color w:val="auto"/>
        </w:rPr>
        <w:t>”); (B) the material judgments and uncertainties affecting the application of Critical Accounting Policies; and (C) the estimated likelihood that materially different amounts would be reported under different conditions or using different assumptions and an explanation thereof.</w:t>
      </w:r>
    </w:p>
    <w:p>
      <w:pPr>
        <w:spacing w:after="0" w:line="90" w:lineRule="exact"/>
        <w:rPr>
          <w:rFonts w:ascii="Arial" w:cs="Arial" w:eastAsia="Arial" w:hAnsi="Arial"/>
          <w:sz w:val="13"/>
          <w:szCs w:val="13"/>
          <w:color w:val="auto"/>
        </w:rPr>
      </w:pPr>
    </w:p>
    <w:p>
      <w:pPr>
        <w:ind w:firstLine="1496"/>
        <w:spacing w:after="0" w:line="297" w:lineRule="auto"/>
        <w:tabs>
          <w:tab w:leader="none" w:pos="1745" w:val="left"/>
        </w:tabs>
        <w:numPr>
          <w:ilvl w:val="0"/>
          <w:numId w:val="130"/>
        </w:numPr>
        <w:rPr>
          <w:rFonts w:ascii="Arial" w:cs="Arial" w:eastAsia="Arial" w:hAnsi="Arial"/>
          <w:sz w:val="13"/>
          <w:szCs w:val="13"/>
          <w:color w:val="auto"/>
        </w:rPr>
      </w:pPr>
      <w:r>
        <w:rPr>
          <w:rFonts w:ascii="Arial" w:cs="Arial" w:eastAsia="Arial" w:hAnsi="Arial"/>
          <w:sz w:val="13"/>
          <w:szCs w:val="13"/>
          <w:color w:val="auto"/>
        </w:rPr>
        <w:t>Except as disclosed in the General Disclosure Package, no material indebtedness (actual or contingent) and no material contract or arrangement is outstanding between the Company or any of its subsidiaries and any director or executive officer of the Company or any of its subsidiaries or any person connected with such director or executive officer (including his/her spouse, children, and any company or undertaking in which he/she holds a controlling interest). There are no relationships or transactions between the Company or any of its subsidiaries, on the one hand, and its affiliates, officers and directors or their stockholders, customers or suppliers, on the other, which, although required to be disclosed, are not disclosed in the Prospectus.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252" w:right="219" w:bottom="1440" w:gutter="0" w:footer="0" w:header="0"/>
        </w:sectPr>
      </w:pPr>
    </w:p>
    <w:bookmarkStart w:id="244" w:name="page245"/>
    <w:bookmarkEnd w:id="244"/>
    <w:p>
      <w:pPr>
        <w:ind w:right="140" w:firstLine="1496"/>
        <w:spacing w:after="0" w:line="289" w:lineRule="auto"/>
        <w:tabs>
          <w:tab w:leader="none" w:pos="1711" w:val="left"/>
        </w:tabs>
        <w:numPr>
          <w:ilvl w:val="0"/>
          <w:numId w:val="13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There are no material contracts or documents that are required to be described in the Registration Statements or the Prospectus or to be filed as exhibits thereto that have not been so described and filed as required.</w:t>
      </w:r>
    </w:p>
    <w:p>
      <w:pPr>
        <w:spacing w:after="0" w:line="93" w:lineRule="exact"/>
        <w:rPr>
          <w:rFonts w:ascii="Arial" w:cs="Arial" w:eastAsia="Arial" w:hAnsi="Arial"/>
          <w:sz w:val="14"/>
          <w:szCs w:val="14"/>
          <w:color w:val="auto"/>
        </w:rPr>
      </w:pPr>
    </w:p>
    <w:p>
      <w:pPr>
        <w:ind w:right="300" w:firstLine="1496"/>
        <w:spacing w:after="0" w:line="289" w:lineRule="auto"/>
        <w:tabs>
          <w:tab w:leader="none" w:pos="1761" w:val="left"/>
        </w:tabs>
        <w:numPr>
          <w:ilvl w:val="0"/>
          <w:numId w:val="131"/>
        </w:numPr>
        <w:rPr>
          <w:rFonts w:ascii="Arial" w:cs="Arial" w:eastAsia="Arial" w:hAnsi="Arial"/>
          <w:sz w:val="14"/>
          <w:szCs w:val="14"/>
          <w:color w:val="auto"/>
        </w:rPr>
      </w:pPr>
      <w:r>
        <w:rPr>
          <w:rFonts w:ascii="Arial" w:cs="Arial" w:eastAsia="Arial" w:hAnsi="Arial"/>
          <w:sz w:val="14"/>
          <w:szCs w:val="14"/>
          <w:color w:val="auto"/>
        </w:rPr>
        <w:t>Deloitte and Touche LLP, who have audited certain financial statements of the Company and its subsidiaries, are an independent registered public accounting firm as required by the Act and the rules and regulations of the Commission thereunder;</w:t>
      </w:r>
    </w:p>
    <w:p>
      <w:pPr>
        <w:spacing w:after="0" w:line="93" w:lineRule="exact"/>
        <w:rPr>
          <w:rFonts w:ascii="Arial" w:cs="Arial" w:eastAsia="Arial" w:hAnsi="Arial"/>
          <w:sz w:val="14"/>
          <w:szCs w:val="14"/>
          <w:color w:val="auto"/>
        </w:rPr>
      </w:pPr>
    </w:p>
    <w:p>
      <w:pPr>
        <w:ind w:right="80" w:firstLine="1496"/>
        <w:spacing w:after="0" w:line="275" w:lineRule="auto"/>
        <w:tabs>
          <w:tab w:leader="none" w:pos="1761" w:val="left"/>
        </w:tabs>
        <w:numPr>
          <w:ilvl w:val="0"/>
          <w:numId w:val="131"/>
        </w:numPr>
        <w:rPr>
          <w:rFonts w:ascii="Arial" w:cs="Arial" w:eastAsia="Arial" w:hAnsi="Arial"/>
          <w:sz w:val="14"/>
          <w:szCs w:val="14"/>
          <w:color w:val="auto"/>
        </w:rPr>
      </w:pPr>
      <w:r>
        <w:rPr>
          <w:rFonts w:ascii="Arial" w:cs="Arial" w:eastAsia="Arial" w:hAnsi="Arial"/>
          <w:sz w:val="14"/>
          <w:szCs w:val="14"/>
          <w:color w:val="auto"/>
        </w:rPr>
        <w:t>Neither the Company, NCM LLC nor any of their respective officers, directors or affiliates have taken or will take, directly or indirectly, any action that is designed to or which has constituted or which could be expected to cause or result in, stabilization or manipulation of the price of any security of the Company or NCM LLC to facilitate the sale or resale of the Offered Securities.</w:t>
      </w:r>
    </w:p>
    <w:p>
      <w:pPr>
        <w:spacing w:after="0" w:line="102" w:lineRule="exact"/>
        <w:rPr>
          <w:rFonts w:ascii="Arial" w:cs="Arial" w:eastAsia="Arial" w:hAnsi="Arial"/>
          <w:sz w:val="14"/>
          <w:szCs w:val="14"/>
          <w:color w:val="auto"/>
        </w:rPr>
      </w:pPr>
    </w:p>
    <w:p>
      <w:pPr>
        <w:ind w:left="1700" w:hanging="204"/>
        <w:spacing w:after="0"/>
        <w:tabs>
          <w:tab w:leader="none" w:pos="170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Furthermore, the Company and NCM LLC represent and warrant to the Underwriters that none of the Directed Shares have been offered outside the United States.</w:t>
      </w:r>
    </w:p>
    <w:p>
      <w:pPr>
        <w:spacing w:after="0" w:line="156" w:lineRule="exact"/>
        <w:rPr>
          <w:rFonts w:ascii="Arial" w:cs="Arial" w:eastAsia="Arial" w:hAnsi="Arial"/>
          <w:sz w:val="13"/>
          <w:szCs w:val="13"/>
          <w:color w:val="auto"/>
        </w:rPr>
      </w:pPr>
    </w:p>
    <w:p>
      <w:pPr>
        <w:ind w:right="100" w:firstLine="1496"/>
        <w:spacing w:after="0" w:line="275" w:lineRule="auto"/>
        <w:tabs>
          <w:tab w:leader="none" w:pos="1698" w:val="left"/>
        </w:tabs>
        <w:numPr>
          <w:ilvl w:val="0"/>
          <w:numId w:val="131"/>
        </w:numPr>
        <w:rPr>
          <w:rFonts w:ascii="Arial" w:cs="Arial" w:eastAsia="Arial" w:hAnsi="Arial"/>
          <w:sz w:val="14"/>
          <w:szCs w:val="14"/>
          <w:color w:val="auto"/>
        </w:rPr>
      </w:pPr>
      <w:r>
        <w:rPr>
          <w:rFonts w:ascii="Arial" w:cs="Arial" w:eastAsia="Arial" w:hAnsi="Arial"/>
          <w:sz w:val="14"/>
          <w:szCs w:val="14"/>
          <w:color w:val="auto"/>
        </w:rPr>
        <w:t>Neither the Company nor NCM LLC has offered, nor caused the Underwriters to offer, any Offered Securities to any person pursuant to the Directed Share Program with the specific intent to unlawfully influence (i) a customer or supplier of the Company or NCM LLC to alter the customer’s or supplier’s level or type of business with the Company or (ii) a trade journalist or publication to write or publish favorable information about the Company, NCM LLC or their respective products.</w:t>
      </w:r>
    </w:p>
    <w:p>
      <w:pPr>
        <w:spacing w:after="0" w:line="102" w:lineRule="exact"/>
        <w:rPr>
          <w:sz w:val="20"/>
          <w:szCs w:val="20"/>
          <w:color w:val="auto"/>
        </w:rPr>
      </w:pPr>
    </w:p>
    <w:p>
      <w:pPr>
        <w:ind w:right="220" w:firstLine="924"/>
        <w:spacing w:after="0" w:line="275" w:lineRule="auto"/>
        <w:tabs>
          <w:tab w:leader="none" w:pos="1058" w:val="left"/>
        </w:tabs>
        <w:numPr>
          <w:ilvl w:val="0"/>
          <w:numId w:val="132"/>
        </w:numPr>
        <w:rPr>
          <w:rFonts w:ascii="Arial" w:cs="Arial" w:eastAsia="Arial" w:hAnsi="Arial"/>
          <w:sz w:val="14"/>
          <w:szCs w:val="14"/>
          <w:color w:val="auto"/>
        </w:rPr>
      </w:pPr>
      <w:r>
        <w:rPr>
          <w:rFonts w:ascii="Arial" w:cs="Arial" w:eastAsia="Arial" w:hAnsi="Arial"/>
          <w:sz w:val="14"/>
          <w:szCs w:val="14"/>
          <w:i w:val="1"/>
          <w:iCs w:val="1"/>
          <w:color w:val="auto"/>
        </w:rPr>
        <w:t>Purchase, Sale and Delivery of Offered Securities</w:t>
      </w:r>
      <w:r>
        <w:rPr>
          <w:rFonts w:ascii="Arial" w:cs="Arial" w:eastAsia="Arial" w:hAnsi="Arial"/>
          <w:sz w:val="14"/>
          <w:szCs w:val="14"/>
          <w:color w:val="auto"/>
        </w:rPr>
        <w:t>. On the basis of the representations, warranties and agreements and subject to the terms and conditions set forth herein,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agrees to sell to the several Underwriters, and each of the Underwriters agrees, severally and not jointly, to purchase from the Company, at a purchase price of $[ ] per share, the respective number of shares of Firm Securities set forth opposite the names of the Underwriters in Schedule A hereto.</w:t>
      </w:r>
    </w:p>
    <w:p>
      <w:pPr>
        <w:spacing w:after="0" w:line="102" w:lineRule="exact"/>
        <w:rPr>
          <w:sz w:val="20"/>
          <w:szCs w:val="20"/>
          <w:color w:val="auto"/>
        </w:rPr>
      </w:pPr>
    </w:p>
    <w:p>
      <w:pPr>
        <w:ind w:firstLine="916"/>
        <w:spacing w:after="0" w:line="265" w:lineRule="auto"/>
        <w:rPr>
          <w:sz w:val="20"/>
          <w:szCs w:val="20"/>
          <w:color w:val="auto"/>
        </w:rPr>
      </w:pPr>
      <w:r>
        <w:rPr>
          <w:rFonts w:ascii="Arial" w:cs="Arial" w:eastAsia="Arial" w:hAnsi="Arial"/>
          <w:sz w:val="14"/>
          <w:szCs w:val="14"/>
          <w:color w:val="auto"/>
        </w:rPr>
        <w:t>The Company will deliver the Firm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Credit Suisse drawn to the order of the Company at the office of Holme Roberts &amp; Owen LLP, 1700 Lincoln Street, Suite 4100, Denver, Colorado 80203 at [ ]A.M., Denver time, on [ ], or at such other time not later than seven full business days thereafter as Credit Suisse and the Company determine, such time being herein referred to as the “</w:t>
      </w:r>
      <w:r>
        <w:rPr>
          <w:rFonts w:ascii="Arial" w:cs="Arial" w:eastAsia="Arial" w:hAnsi="Arial"/>
          <w:sz w:val="14"/>
          <w:szCs w:val="14"/>
          <w:b w:val="1"/>
          <w:bCs w:val="1"/>
          <w:color w:val="auto"/>
        </w:rPr>
        <w:t>First Closing Date</w:t>
      </w:r>
      <w:r>
        <w:rPr>
          <w:rFonts w:ascii="Arial" w:cs="Arial" w:eastAsia="Arial" w:hAnsi="Arial"/>
          <w:sz w:val="14"/>
          <w:szCs w:val="14"/>
          <w:color w:val="auto"/>
        </w:rPr>
        <w:t>.” For purposes of Rule 15c6-1 under the Securities Exchange Act of 1934,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above office of Holme Roberts &amp; Owen LLP, 1700 Lincoln Street, Suite 4100, Denver, Colorado 80203 at least 24 hours prior to the First Closing Date.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20" w:top="252" w:right="239" w:bottom="1440" w:gutter="0" w:footer="0" w:header="0"/>
        </w:sectPr>
      </w:pPr>
    </w:p>
    <w:bookmarkStart w:id="245" w:name="page246"/>
    <w:bookmarkEnd w:id="245"/>
    <w:p>
      <w:pPr>
        <w:ind w:right="60" w:firstLine="916"/>
        <w:spacing w:after="0" w:line="28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addition, upon written notice from Credit Suisse given to the Company from time to time not more than 30 days subsequent to the date of the Prospectus, the Underwriters may purchase all or less than all of the Optional Securities at the same purchase price per share to be paid for the Firm Securities. The Company agrees to sell to the Underwriters the number of shares of Optional Securities specified in such notice and the Underwriters agree, severally and not jointly, to purchase such Optional Securities. Such Optional Securities shall be purchased for the account of each Underwriter in the same proportion as the number of shares of Firm Securities set forth opposite such Underwriter’s name bears to the total number of shares of Firm Securities (subject to adjustment by Credit Suisse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Credit Suisse to the Company.</w:t>
      </w:r>
    </w:p>
    <w:p>
      <w:pPr>
        <w:spacing w:after="0" w:line="91" w:lineRule="exact"/>
        <w:rPr>
          <w:sz w:val="20"/>
          <w:szCs w:val="20"/>
          <w:color w:val="auto"/>
        </w:rPr>
      </w:pPr>
    </w:p>
    <w:p>
      <w:pPr>
        <w:ind w:firstLine="916"/>
        <w:spacing w:after="0" w:line="291" w:lineRule="auto"/>
        <w:rPr>
          <w:sz w:val="20"/>
          <w:szCs w:val="20"/>
          <w:color w:val="auto"/>
        </w:rPr>
      </w:pPr>
      <w:r>
        <w:rPr>
          <w:rFonts w:ascii="Arial" w:cs="Arial" w:eastAsia="Arial" w:hAnsi="Arial"/>
          <w:sz w:val="13"/>
          <w:szCs w:val="13"/>
          <w:color w:val="auto"/>
        </w:rPr>
        <w:t>Each time for the delivery of and payment for the Optional Securities, being herein referred to as an “</w:t>
      </w:r>
      <w:r>
        <w:rPr>
          <w:rFonts w:ascii="Arial" w:cs="Arial" w:eastAsia="Arial" w:hAnsi="Arial"/>
          <w:sz w:val="13"/>
          <w:szCs w:val="13"/>
          <w:b w:val="1"/>
          <w:bCs w:val="1"/>
          <w:color w:val="auto"/>
        </w:rPr>
        <w:t>Optional Closing Date</w:t>
      </w:r>
      <w:r>
        <w:rPr>
          <w:rFonts w:ascii="Arial" w:cs="Arial" w:eastAsia="Arial" w:hAnsi="Arial"/>
          <w:sz w:val="13"/>
          <w:szCs w:val="13"/>
          <w:color w:val="auto"/>
        </w:rPr>
        <w:t>,” which may be the First Closing Date (the First Closing Date and each Optional Closing Date, if any, being sometimes referred to as a “</w:t>
      </w:r>
      <w:r>
        <w:rPr>
          <w:rFonts w:ascii="Arial" w:cs="Arial" w:eastAsia="Arial" w:hAnsi="Arial"/>
          <w:sz w:val="13"/>
          <w:szCs w:val="13"/>
          <w:b w:val="1"/>
          <w:bCs w:val="1"/>
          <w:color w:val="auto"/>
        </w:rPr>
        <w:t>Closing Date</w:t>
      </w:r>
      <w:r>
        <w:rPr>
          <w:rFonts w:ascii="Arial" w:cs="Arial" w:eastAsia="Arial" w:hAnsi="Arial"/>
          <w:sz w:val="13"/>
          <w:szCs w:val="13"/>
          <w:color w:val="auto"/>
        </w:rPr>
        <w:t>”), shall be determined by Credit Suisse but shall be not later than five full business days after written notice of election to purchase Optional Securities is given. The Company will deliver the Optional Securities being purchased on each Optional Closing Date to or as instructed by the Representatives for the accounts of the several Underwriters in a form reasonably acceptable to the Representatives against payment of the purchase price therefor in Federal (same day) funds by wire transfer to an account at a bank acceptable to Credit Suisse drawn to the order of the Company, at the above office of Holme Roberts &amp; Owen LLP. The Optional Securities being purchased on each Optional Closing Date or evidence of their issuance will be made available for checking at the above office of Holme Roberts &amp; Owen LLP at a reasonable time in advance of such Optional Closing Date.</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i w:val="1"/>
          <w:iCs w:val="1"/>
          <w:color w:val="auto"/>
        </w:rPr>
        <w:t>Offering by Underwriters</w:t>
      </w:r>
      <w:r>
        <w:rPr>
          <w:rFonts w:ascii="Arial" w:cs="Arial" w:eastAsia="Arial" w:hAnsi="Arial"/>
          <w:sz w:val="13"/>
          <w:szCs w:val="13"/>
          <w:color w:val="auto"/>
        </w:rPr>
        <w:t>. It is understood that the several Underwriters propose to offer the Offered Securities for sale to the public upon the terms and conditions as set forth in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Prospectus.</w:t>
      </w:r>
    </w:p>
    <w:p>
      <w:pPr>
        <w:spacing w:after="0" w:line="139" w:lineRule="exact"/>
        <w:rPr>
          <w:sz w:val="20"/>
          <w:szCs w:val="20"/>
          <w:color w:val="auto"/>
        </w:rPr>
      </w:pPr>
    </w:p>
    <w:p>
      <w:pPr>
        <w:ind w:left="1060" w:hanging="136"/>
        <w:spacing w:after="0"/>
        <w:tabs>
          <w:tab w:leader="none" w:pos="1060" w:val="left"/>
        </w:tabs>
        <w:numPr>
          <w:ilvl w:val="0"/>
          <w:numId w:val="133"/>
        </w:numPr>
        <w:rPr>
          <w:rFonts w:ascii="Arial" w:cs="Arial" w:eastAsia="Arial" w:hAnsi="Arial"/>
          <w:sz w:val="14"/>
          <w:szCs w:val="14"/>
          <w:color w:val="auto"/>
        </w:rPr>
      </w:pPr>
      <w:r>
        <w:rPr>
          <w:rFonts w:ascii="Arial" w:cs="Arial" w:eastAsia="Arial" w:hAnsi="Arial"/>
          <w:sz w:val="14"/>
          <w:szCs w:val="14"/>
          <w:i w:val="1"/>
          <w:iCs w:val="1"/>
          <w:color w:val="auto"/>
        </w:rPr>
        <w:t>Certain Agreements of the Company and NCM LLC</w:t>
      </w:r>
      <w:r>
        <w:rPr>
          <w:rFonts w:ascii="Arial" w:cs="Arial" w:eastAsia="Arial" w:hAnsi="Arial"/>
          <w:sz w:val="14"/>
          <w:szCs w:val="14"/>
          <w:color w:val="auto"/>
        </w:rPr>
        <w:t>. The Company and NCM LLC agree with the several Underwriters that:</w:t>
      </w:r>
    </w:p>
    <w:p>
      <w:pPr>
        <w:spacing w:after="0" w:line="79" w:lineRule="exact"/>
        <w:rPr>
          <w:rFonts w:ascii="Arial" w:cs="Arial" w:eastAsia="Arial" w:hAnsi="Arial"/>
          <w:sz w:val="14"/>
          <w:szCs w:val="14"/>
          <w:color w:val="auto"/>
        </w:rPr>
      </w:pPr>
    </w:p>
    <w:p>
      <w:pPr>
        <w:ind w:right="180" w:firstLine="1496"/>
        <w:spacing w:after="0" w:line="293" w:lineRule="auto"/>
        <w:tabs>
          <w:tab w:leader="none" w:pos="1682" w:val="left"/>
        </w:tabs>
        <w:numPr>
          <w:ilvl w:val="1"/>
          <w:numId w:val="133"/>
        </w:numPr>
        <w:rPr>
          <w:rFonts w:ascii="Arial" w:cs="Arial" w:eastAsia="Arial" w:hAnsi="Arial"/>
          <w:sz w:val="13"/>
          <w:szCs w:val="13"/>
          <w:color w:val="auto"/>
        </w:rPr>
      </w:pPr>
      <w:r>
        <w:rPr>
          <w:rFonts w:ascii="Arial" w:cs="Arial" w:eastAsia="Arial" w:hAnsi="Arial"/>
          <w:sz w:val="13"/>
          <w:szCs w:val="13"/>
          <w:color w:val="auto"/>
        </w:rPr>
        <w:t>The Company will file the Prospectus with the Commission pursuant to and in accordance with subparagraph (1) (or, if applicable and if consented to by Credit Suisse, subparagraph (4)) of Rule 424(b) not later than the earlier of (A) the second business day following the execution and delivery of this Agreement or (B) the fifteenth business day after the Effective Date of the Initial Registration Statement. The Company will advise Credit Suisse promptly of any such filing pursuant to Rule 424(b).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252" w:right="219" w:bottom="1440" w:gutter="0" w:footer="0" w:header="0"/>
        </w:sectPr>
      </w:pPr>
    </w:p>
    <w:bookmarkStart w:id="246" w:name="page247"/>
    <w:bookmarkEnd w:id="246"/>
    <w:p>
      <w:pPr>
        <w:ind w:right="8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prior to 10:00 P.M., New York time, on the date of this Agreement or, if earlier, on or prior to the time the Prospectus is printed and distributed to any Underwriter, or will make such filing at such later date as shall have been consented to by Credit Suisse.</w:t>
      </w:r>
    </w:p>
    <w:p>
      <w:pPr>
        <w:spacing w:after="0" w:line="93" w:lineRule="exact"/>
        <w:rPr>
          <w:sz w:val="20"/>
          <w:szCs w:val="20"/>
          <w:color w:val="auto"/>
        </w:rPr>
      </w:pPr>
    </w:p>
    <w:p>
      <w:pPr>
        <w:ind w:right="20" w:firstLine="1496"/>
        <w:spacing w:after="0" w:line="266" w:lineRule="auto"/>
        <w:tabs>
          <w:tab w:leader="none" w:pos="169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Company will advise Credit Suisse promptly of any proposal to amend or supplement at any time the Initial Registration Statement, any Additional Registration Statement or any Statutory Prospectus and will not effect such amendment or supplementation without Credit Suisse’s consent (not to be unreasonably withheld or delayed), unless in the judgment of the Company and its counsel, and after notification to Credit Suisse, such amendment or supplement is required by law; and the Company will also advise Credit Suisse promptly of the effectiveness of any Additional Registration Statement (if its Effective Time is subsequent to the execution and delivery of this Agreement) and of any amendment or supplementation of a Registration Statement or any Statutory Prospectus and of the institution by the Commission of any stop order proceedings in respect of a Registration Statement and will use its best efforts to prevent the issuance of any such stop order and to obtain as soon as possible its lifting, if issued.</w:t>
      </w:r>
    </w:p>
    <w:p>
      <w:pPr>
        <w:spacing w:after="0" w:line="109" w:lineRule="exact"/>
        <w:rPr>
          <w:rFonts w:ascii="Arial" w:cs="Arial" w:eastAsia="Arial" w:hAnsi="Arial"/>
          <w:sz w:val="14"/>
          <w:szCs w:val="14"/>
          <w:color w:val="auto"/>
        </w:rPr>
      </w:pPr>
    </w:p>
    <w:p>
      <w:pPr>
        <w:ind w:right="60" w:firstLine="1496"/>
        <w:spacing w:after="0" w:line="266" w:lineRule="auto"/>
        <w:tabs>
          <w:tab w:leader="none" w:pos="1682"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If, at any time when a prospectus relating to the Offered Securities is (or but for the exemption in Rule 172 would be required to be) delivered under the Act in connection with sales by any Underwriter or dealer, any event occurs as a result of which the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Prospectus to comply with the Act, the Company will promptly notify Credit Suisse of such event and will promptly prepare and file with the Commission, at its own expense, an amendment or supplement which will correct such statement or omission or an amendment which will effect such compliance. Neither Credit Suisse’s consent to, nor the Underwriters’ delivery of, any such amendment or supplement shall constitute a waiver of any of the conditions set forth in Section 7.</w:t>
      </w:r>
    </w:p>
    <w:p>
      <w:pPr>
        <w:spacing w:after="0" w:line="109" w:lineRule="exact"/>
        <w:rPr>
          <w:rFonts w:ascii="Arial" w:cs="Arial" w:eastAsia="Arial" w:hAnsi="Arial"/>
          <w:sz w:val="14"/>
          <w:szCs w:val="14"/>
          <w:color w:val="auto"/>
        </w:rPr>
      </w:pPr>
    </w:p>
    <w:p>
      <w:pPr>
        <w:ind w:right="40" w:firstLine="1496"/>
        <w:spacing w:after="0" w:line="267" w:lineRule="auto"/>
        <w:tabs>
          <w:tab w:leader="none" w:pos="169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As soon as practicable, but not later than the Availability Date (as defined below), the Company will make generally available to its securityholders an earnings statement covering a period of at least 12 months beginning after the Effective Date of the Initial Registration Statement (or, if later, the Effective Date of the Additional Registration Statement) which will satisfy the provisions of Section 11(a) of the Act and Rule 158 under the Act. For the purpose of the preceding sentence, “</w:t>
      </w:r>
      <w:r>
        <w:rPr>
          <w:rFonts w:ascii="Arial" w:cs="Arial" w:eastAsia="Arial" w:hAnsi="Arial"/>
          <w:sz w:val="14"/>
          <w:szCs w:val="14"/>
          <w:b w:val="1"/>
          <w:bCs w:val="1"/>
          <w:color w:val="auto"/>
        </w:rPr>
        <w:t>Availability Date</w:t>
      </w:r>
      <w:r>
        <w:rPr>
          <w:rFonts w:ascii="Arial" w:cs="Arial" w:eastAsia="Arial" w:hAnsi="Arial"/>
          <w:sz w:val="14"/>
          <w:szCs w:val="14"/>
          <w:color w:val="auto"/>
        </w:rPr>
        <w:t>” means the 45th day after the end of the fourth fiscal quarter following the fiscal quarter that includes such Effective Date, except that, if such fourth fiscal quarter is the last quarter of the Company’s fiscal year, “</w:t>
      </w:r>
      <w:r>
        <w:rPr>
          <w:rFonts w:ascii="Arial" w:cs="Arial" w:eastAsia="Arial" w:hAnsi="Arial"/>
          <w:sz w:val="14"/>
          <w:szCs w:val="14"/>
          <w:b w:val="1"/>
          <w:bCs w:val="1"/>
          <w:color w:val="auto"/>
        </w:rPr>
        <w:t>Availability Date</w:t>
      </w:r>
      <w:r>
        <w:rPr>
          <w:rFonts w:ascii="Arial" w:cs="Arial" w:eastAsia="Arial" w:hAnsi="Arial"/>
          <w:sz w:val="14"/>
          <w:szCs w:val="14"/>
          <w:color w:val="auto"/>
        </w:rPr>
        <w:t>” means the 90th day after the end of such fourth fiscal quarter.</w:t>
      </w:r>
    </w:p>
    <w:p>
      <w:pPr>
        <w:spacing w:after="0" w:line="109" w:lineRule="exact"/>
        <w:rPr>
          <w:rFonts w:ascii="Arial" w:cs="Arial" w:eastAsia="Arial" w:hAnsi="Arial"/>
          <w:sz w:val="14"/>
          <w:szCs w:val="14"/>
          <w:color w:val="auto"/>
        </w:rPr>
      </w:pPr>
    </w:p>
    <w:p>
      <w:pPr>
        <w:ind w:firstLine="1496"/>
        <w:spacing w:after="0" w:line="270" w:lineRule="auto"/>
        <w:tabs>
          <w:tab w:leader="none" w:pos="1682"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Company will furnish to the Representatives copies of each Registration Statement (five of which will be signed and will include all exhibits), each related preliminary prospectus, and, so long as a prospectus relating to the Offered Securities is required to be delivered under the Act in connection with sales by any Underwriter or dealer, the Prospectus and all amendments and supplements to such documents, in each case in such quantities as Credit Suisse requests The Prospectus shall be so furnished on or prior to 3:00 P.M., New York time, on the business day following the execution and delivery of this Agreement. All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252" w:right="219" w:bottom="1440" w:gutter="0" w:footer="0" w:header="0"/>
        </w:sectPr>
      </w:pPr>
    </w:p>
    <w:bookmarkStart w:id="247" w:name="page248"/>
    <w:bookmarkEnd w:id="247"/>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other documents shall be so furnished as soon as available. The Company and NCM LLC will jointly and severally pay the expenses of printing and distributing to the Underwriters all such documents.</w:t>
      </w:r>
    </w:p>
    <w:p>
      <w:pPr>
        <w:spacing w:after="0" w:line="168" w:lineRule="exact"/>
        <w:rPr>
          <w:sz w:val="20"/>
          <w:szCs w:val="20"/>
          <w:color w:val="auto"/>
        </w:rPr>
      </w:pPr>
    </w:p>
    <w:p>
      <w:pPr>
        <w:ind w:firstLine="1496"/>
        <w:spacing w:after="0" w:line="270" w:lineRule="auto"/>
        <w:tabs>
          <w:tab w:leader="none" w:pos="166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Company will endeavor, in cooperation with Credit Suisse, to qualify the Offered Securities for offering and sale under the applicable securities laws of such states and other jurisdictions as Credit Suisse may reasonably designate and to maintain such qualifications in effect so long as required for the distribution;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06" w:lineRule="exact"/>
        <w:rPr>
          <w:rFonts w:ascii="Arial" w:cs="Arial" w:eastAsia="Arial" w:hAnsi="Arial"/>
          <w:sz w:val="14"/>
          <w:szCs w:val="14"/>
          <w:color w:val="auto"/>
        </w:rPr>
      </w:pPr>
    </w:p>
    <w:p>
      <w:pPr>
        <w:ind w:right="100" w:firstLine="1496"/>
        <w:spacing w:after="0" w:line="264" w:lineRule="auto"/>
        <w:tabs>
          <w:tab w:leader="none" w:pos="169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Company and NCM LLC will jointly and severally pay all expenses incident to the performance of its obligations under this Agreement, for any filing fees and other expenses (including fees and disbursements of counsel) incurred in connection with qualification of the Offered Securities for sale under the laws of such jurisdictions as Credit Suisse designates and the printing of memoranda relating thereto for the filing fee incident to the review by the National Association of Securities Dealers, Inc. of the Offered Securities, for any travel expenses of the Company’s or NCM LLC’s officers and employees, for expenses incurred in distributing preliminary prospectuses and the Prospectus (including any amendments and supplements thereto) to the Underwriters and for expenses incurred for preparing, printing and distributing any Issuer Free Writing Prospectuses to investors or prospective investors; provided however, that the Company and NCM LLC jointly and severally on one hand and the Underwriters jointly and severally on the other hand, shall each pay one-half of all of the expenses of the Company or NCM LLC incurred in connection with attending or hosting meetings with prospective purchasers of the Offered Securities, including the cost of any aircraft chartered in connection with attending or hosting such meetings. Except as otherwise provided by this Agreement, the Underwriters shall pay their own costs and expenses in connection with the transactions contemplated hereby, including, without limitation, fees and expenses of their counsel.</w:t>
      </w:r>
    </w:p>
    <w:p>
      <w:pPr>
        <w:spacing w:after="0" w:line="107" w:lineRule="exact"/>
        <w:rPr>
          <w:rFonts w:ascii="Arial" w:cs="Arial" w:eastAsia="Arial" w:hAnsi="Arial"/>
          <w:sz w:val="14"/>
          <w:szCs w:val="14"/>
          <w:color w:val="auto"/>
        </w:rPr>
      </w:pPr>
    </w:p>
    <w:p>
      <w:pPr>
        <w:ind w:firstLine="1496"/>
        <w:spacing w:after="0" w:line="265" w:lineRule="auto"/>
        <w:tabs>
          <w:tab w:leader="none" w:pos="169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Except in connection with the Reorganization and as contemplated by this Agreement with respect to the Offered Securities, for the period specified below (the “</w:t>
      </w:r>
      <w:r>
        <w:rPr>
          <w:rFonts w:ascii="Arial" w:cs="Arial" w:eastAsia="Arial" w:hAnsi="Arial"/>
          <w:sz w:val="14"/>
          <w:szCs w:val="14"/>
          <w:b w:val="1"/>
          <w:bCs w:val="1"/>
          <w:color w:val="auto"/>
        </w:rPr>
        <w:t>Lock-Up</w:t>
      </w:r>
      <w:r>
        <w:rPr>
          <w:rFonts w:ascii="Arial" w:cs="Arial" w:eastAsia="Arial" w:hAnsi="Arial"/>
          <w:sz w:val="14"/>
          <w:szCs w:val="14"/>
          <w:color w:val="auto"/>
        </w:rPr>
        <w:t xml:space="preserve"> </w:t>
      </w:r>
      <w:r>
        <w:rPr>
          <w:rFonts w:ascii="Arial" w:cs="Arial" w:eastAsia="Arial" w:hAnsi="Arial"/>
          <w:sz w:val="14"/>
          <w:szCs w:val="14"/>
          <w:b w:val="1"/>
          <w:bCs w:val="1"/>
          <w:color w:val="auto"/>
        </w:rPr>
        <w:t>Period</w:t>
      </w:r>
      <w:r>
        <w:rPr>
          <w:rFonts w:ascii="Arial" w:cs="Arial" w:eastAsia="Arial" w:hAnsi="Arial"/>
          <w:sz w:val="14"/>
          <w:szCs w:val="14"/>
          <w:color w:val="auto"/>
        </w:rPr>
        <w:t>”), the Company and NCM LLC will not offer, sell, contract to sell, pledge or otherwise dispose of, directly or indirectly, or file with the Commission a registration statement under the Act</w:t>
      </w:r>
      <w:r>
        <w:rPr>
          <w:rFonts w:ascii="Arial" w:cs="Arial" w:eastAsia="Arial" w:hAnsi="Arial"/>
          <w:sz w:val="14"/>
          <w:szCs w:val="14"/>
          <w:b w:val="1"/>
          <w:bCs w:val="1"/>
          <w:color w:val="auto"/>
        </w:rPr>
        <w:t xml:space="preserve"> </w:t>
      </w:r>
      <w:r>
        <w:rPr>
          <w:rFonts w:ascii="Arial" w:cs="Arial" w:eastAsia="Arial" w:hAnsi="Arial"/>
          <w:sz w:val="14"/>
          <w:szCs w:val="14"/>
          <w:color w:val="auto"/>
        </w:rPr>
        <w:t>relating to, any additional shares of its Securities or securities convertible into or exchangeable, redeemable or exercisable for any shares of its Securities, except grants of employee stock options or restricted stock pursuant to the terms of the Company’s 2007 Equity Incentive Plan, grants of any other employee stock options to be issued in substitution for the options previously granted pursuant to the National CineMedia 2006 Unit Option Plan, as amended, the issuance of options or restricted stock as “IPO awards” pursuant to the terms of the National CineMedia 2006 Unit Option Plan, as amended, and the issuances of Securities pursuant to the exercise of any such options described in this paragraph or the filing of a registration statement on Form S-8 relating to the securities issuable upon the exercise of such options or the issuance of restricted stock. The initial Lock-Up Period will commence on the date hereof and will continue and include the date 180 days after the date hereof or such earlier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40"/>
          </w:cols>
          <w:pgMar w:left="220" w:top="252" w:right="239" w:bottom="1440" w:gutter="0" w:footer="0" w:header="0"/>
        </w:sectPr>
      </w:pPr>
    </w:p>
    <w:bookmarkStart w:id="248" w:name="page249"/>
    <w:bookmarkEnd w:id="248"/>
    <w:p>
      <w:pPr>
        <w:ind w:right="1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date that Credit Suisse consents to in writing; provided, however, that if (1) during the last 17 days of the initial Lock-Up Period, the Company releases earnings results or material news or a material event relating to the Company occurs or (2) prior to the expiration of the initial Lock-Up Period, the Company announces that it will release earnings results during the 16-day period beginning on the last day of the initial Lock-Up Period, then in each case the Lock-Up Period will be extended until the expiration of the 18-day period beginning on the date of release of the earnings results or the occurrence of the materials news or material event, as applicable, unless Credit Suisse waives, in writing, such extension. The Company will provide Credit Suisse with notice of any announcement described in clause (2) of the preceding sentence that gives rise to an extension of the Lock-Up Period.</w:t>
      </w:r>
    </w:p>
    <w:p>
      <w:pPr>
        <w:spacing w:after="0" w:line="110" w:lineRule="exact"/>
        <w:rPr>
          <w:sz w:val="20"/>
          <w:szCs w:val="20"/>
          <w:color w:val="auto"/>
        </w:rPr>
      </w:pPr>
    </w:p>
    <w:p>
      <w:pPr>
        <w:ind w:right="240" w:firstLine="1496"/>
        <w:spacing w:after="0" w:line="305" w:lineRule="auto"/>
        <w:tabs>
          <w:tab w:leader="none" w:pos="165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For the Lock-Up Period, the Company will (i) not allow grantees of equity awards to sell or otherwise transfer, without the prior written consent of Credit Suisse, any securities subject to the restrictions set forth in the respective stock option or other equity award agreements that the Company has entered into with such grantees in connection with the Company’s 2007 Equity Incentive Plan (the “</w:t>
      </w:r>
      <w:r>
        <w:rPr>
          <w:rFonts w:ascii="Arial" w:cs="Arial" w:eastAsia="Arial" w:hAnsi="Arial"/>
          <w:sz w:val="13"/>
          <w:szCs w:val="13"/>
          <w:b w:val="1"/>
          <w:bCs w:val="1"/>
          <w:color w:val="auto"/>
        </w:rPr>
        <w:t>Stock Option Shares</w:t>
      </w:r>
      <w:r>
        <w:rPr>
          <w:rFonts w:ascii="Arial" w:cs="Arial" w:eastAsia="Arial" w:hAnsi="Arial"/>
          <w:sz w:val="13"/>
          <w:szCs w:val="13"/>
          <w:color w:val="auto"/>
        </w:rPr>
        <w:t>”) and (ii) instruct the transfer agent to impose stop transfer instructions with respect to the Stock Option Shares.</w:t>
      </w:r>
    </w:p>
    <w:p>
      <w:pPr>
        <w:spacing w:after="0" w:line="85" w:lineRule="exact"/>
        <w:rPr>
          <w:rFonts w:ascii="Arial" w:cs="Arial" w:eastAsia="Arial" w:hAnsi="Arial"/>
          <w:sz w:val="13"/>
          <w:szCs w:val="13"/>
          <w:color w:val="auto"/>
        </w:rPr>
      </w:pPr>
    </w:p>
    <w:p>
      <w:pPr>
        <w:ind w:right="560" w:firstLine="1496"/>
        <w:spacing w:after="0" w:line="289" w:lineRule="auto"/>
        <w:tabs>
          <w:tab w:leader="none" w:pos="165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Company will use the net proceeds received from the sale of the Offered Securities pursuant to this Agreement and received in connection with the Financing Transaction in the manner specified in the Prospectus under the caption “Use of Proceeds”.</w:t>
      </w:r>
    </w:p>
    <w:p>
      <w:pPr>
        <w:spacing w:after="0" w:line="93" w:lineRule="exact"/>
        <w:rPr>
          <w:rFonts w:ascii="Arial" w:cs="Arial" w:eastAsia="Arial" w:hAnsi="Arial"/>
          <w:sz w:val="14"/>
          <w:szCs w:val="14"/>
          <w:color w:val="auto"/>
        </w:rPr>
      </w:pPr>
    </w:p>
    <w:p>
      <w:pPr>
        <w:ind w:right="20" w:firstLine="1496"/>
        <w:spacing w:after="0" w:line="270" w:lineRule="auto"/>
        <w:tabs>
          <w:tab w:leader="none" w:pos="169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 connection with the Directed Share Program, the Company will ensure that the Directed Shares will be restricted to the extent required by the National Association of Securities Dealers, Inc. (the “</w:t>
      </w:r>
      <w:r>
        <w:rPr>
          <w:rFonts w:ascii="Arial" w:cs="Arial" w:eastAsia="Arial" w:hAnsi="Arial"/>
          <w:sz w:val="14"/>
          <w:szCs w:val="14"/>
          <w:b w:val="1"/>
          <w:bCs w:val="1"/>
          <w:color w:val="auto"/>
        </w:rPr>
        <w:t>NASD</w:t>
      </w:r>
      <w:r>
        <w:rPr>
          <w:rFonts w:ascii="Arial" w:cs="Arial" w:eastAsia="Arial" w:hAnsi="Arial"/>
          <w:sz w:val="14"/>
          <w:szCs w:val="14"/>
          <w:color w:val="auto"/>
        </w:rPr>
        <w:t>”) or the NASD rules from sale, transfer, assignment, pledge or hypothecation for a period of three months following the date of the effectiveness of the Registration Statement. The Designated Underwriter will notify the Company as to which Participants will need to be so restricted. The Company will direct the transfer agent to place stop transfer restrictions upon such securities for such period of time.</w:t>
      </w:r>
    </w:p>
    <w:p>
      <w:pPr>
        <w:spacing w:after="0" w:line="106" w:lineRule="exact"/>
        <w:rPr>
          <w:rFonts w:ascii="Arial" w:cs="Arial" w:eastAsia="Arial" w:hAnsi="Arial"/>
          <w:sz w:val="14"/>
          <w:szCs w:val="14"/>
          <w:color w:val="auto"/>
        </w:rPr>
      </w:pPr>
    </w:p>
    <w:p>
      <w:pPr>
        <w:ind w:right="140" w:firstLine="1496"/>
        <w:spacing w:after="0" w:line="330" w:lineRule="auto"/>
        <w:tabs>
          <w:tab w:leader="none" w:pos="165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and NCM LLC will jointly and severally pay all reasonable fees and disbursements of outside counsel incurred by the Underwriters in connection with the Directed Shares Program and stamp duties, similar taxes or duties or other taxes, if any, incurred by the underwriters in connection with the Directed Share Program.</w:t>
      </w:r>
    </w:p>
    <w:p>
      <w:pPr>
        <w:spacing w:after="0" w:line="69" w:lineRule="exact"/>
        <w:rPr>
          <w:rFonts w:ascii="Arial" w:cs="Arial" w:eastAsia="Arial" w:hAnsi="Arial"/>
          <w:sz w:val="13"/>
          <w:szCs w:val="13"/>
          <w:color w:val="auto"/>
        </w:rPr>
      </w:pPr>
    </w:p>
    <w:p>
      <w:pPr>
        <w:ind w:left="1740" w:hanging="244"/>
        <w:spacing w:after="0"/>
        <w:tabs>
          <w:tab w:leader="none" w:pos="17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Furthermore, the Company covenants with the Underwriters that none of the Directed Shares will be offered outside the United States.</w:t>
      </w:r>
    </w:p>
    <w:p>
      <w:pPr>
        <w:spacing w:after="0" w:line="145" w:lineRule="exact"/>
        <w:rPr>
          <w:sz w:val="20"/>
          <w:szCs w:val="20"/>
          <w:color w:val="auto"/>
        </w:rPr>
      </w:pPr>
    </w:p>
    <w:p>
      <w:pPr>
        <w:ind w:firstLine="924"/>
        <w:spacing w:after="0" w:line="267" w:lineRule="auto"/>
        <w:tabs>
          <w:tab w:leader="none" w:pos="1058" w:val="left"/>
        </w:tabs>
        <w:numPr>
          <w:ilvl w:val="0"/>
          <w:numId w:val="137"/>
        </w:numPr>
        <w:rPr>
          <w:rFonts w:ascii="Arial" w:cs="Arial" w:eastAsia="Arial" w:hAnsi="Arial"/>
          <w:sz w:val="14"/>
          <w:szCs w:val="14"/>
          <w:color w:val="auto"/>
        </w:rPr>
      </w:pPr>
      <w:r>
        <w:rPr>
          <w:rFonts w:ascii="Arial" w:cs="Arial" w:eastAsia="Arial" w:hAnsi="Arial"/>
          <w:sz w:val="14"/>
          <w:szCs w:val="14"/>
          <w:i w:val="1"/>
          <w:iCs w:val="1"/>
          <w:color w:val="auto"/>
        </w:rPr>
        <w:t>Free Writing Prospectuses</w:t>
      </w:r>
      <w:r>
        <w:rPr>
          <w:rFonts w:ascii="Arial" w:cs="Arial" w:eastAsia="Arial" w:hAnsi="Arial"/>
          <w:sz w:val="14"/>
          <w:szCs w:val="14"/>
          <w:color w:val="auto"/>
        </w:rPr>
        <w:t>. The Company represents and agrees that, unless it obtains the prior consent of Credit Suisse, and each Underwriter represents and agrees that, unless it</w:t>
      </w:r>
      <w:r>
        <w:rPr>
          <w:rFonts w:ascii="Arial" w:cs="Arial" w:eastAsia="Arial" w:hAnsi="Arial"/>
          <w:sz w:val="14"/>
          <w:szCs w:val="14"/>
          <w:i w:val="1"/>
          <w:iCs w:val="1"/>
          <w:color w:val="auto"/>
        </w:rPr>
        <w:t xml:space="preserve"> </w:t>
      </w:r>
      <w:r>
        <w:rPr>
          <w:rFonts w:ascii="Arial" w:cs="Arial" w:eastAsia="Arial" w:hAnsi="Arial"/>
          <w:sz w:val="14"/>
          <w:szCs w:val="14"/>
          <w:color w:val="auto"/>
        </w:rPr>
        <w:t>obtains the prior consent of the Company and Credit Suisse,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Credit Suisse is hereinafter referred to as a “</w:t>
      </w:r>
      <w:r>
        <w:rPr>
          <w:rFonts w:ascii="Arial" w:cs="Arial" w:eastAsia="Arial" w:hAnsi="Arial"/>
          <w:sz w:val="14"/>
          <w:szCs w:val="14"/>
          <w:b w:val="1"/>
          <w:bCs w:val="1"/>
          <w:color w:val="auto"/>
        </w:rPr>
        <w:t>Permitted Free Writing Prospectus</w:t>
      </w:r>
      <w:r>
        <w:rPr>
          <w:rFonts w:ascii="Arial" w:cs="Arial" w:eastAsia="Arial" w:hAnsi="Arial"/>
          <w:sz w:val="14"/>
          <w:szCs w:val="14"/>
          <w:color w:val="auto"/>
        </w:rPr>
        <w:t>.” The Company represents that it has treated and agrees that it will treat each Permitted Free Writing Prospectus as an “issuer free writing prospectus,” as defined in Rule 433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253" w:right="239" w:bottom="1440" w:gutter="0" w:footer="0" w:header="0"/>
        </w:sectPr>
      </w:pPr>
    </w:p>
    <w:bookmarkStart w:id="249" w:name="page250"/>
    <w:bookmarkEnd w:id="249"/>
    <w:p>
      <w:pPr>
        <w:ind w:right="26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and has complied and will comply with the requirements of Rule 164 under the Act and Rule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02" w:lineRule="exact"/>
        <w:rPr>
          <w:sz w:val="20"/>
          <w:szCs w:val="20"/>
          <w:color w:val="auto"/>
        </w:rPr>
      </w:pPr>
    </w:p>
    <w:p>
      <w:pPr>
        <w:jc w:val="both"/>
        <w:ind w:right="80" w:firstLine="924"/>
        <w:spacing w:after="0" w:line="270" w:lineRule="auto"/>
        <w:tabs>
          <w:tab w:leader="none" w:pos="1058" w:val="left"/>
        </w:tabs>
        <w:numPr>
          <w:ilvl w:val="0"/>
          <w:numId w:val="138"/>
        </w:numPr>
        <w:rPr>
          <w:rFonts w:ascii="Arial" w:cs="Arial" w:eastAsia="Arial" w:hAnsi="Arial"/>
          <w:sz w:val="14"/>
          <w:szCs w:val="14"/>
          <w:color w:val="auto"/>
        </w:rPr>
      </w:pPr>
      <w:r>
        <w:rPr>
          <w:rFonts w:ascii="Arial" w:cs="Arial" w:eastAsia="Arial" w:hAnsi="Arial"/>
          <w:sz w:val="14"/>
          <w:szCs w:val="14"/>
          <w:i w:val="1"/>
          <w:iCs w:val="1"/>
          <w:color w:val="auto"/>
        </w:rPr>
        <w:t>Conditions of the Obligations of the Underwriters</w:t>
      </w:r>
      <w:r>
        <w:rPr>
          <w:rFonts w:ascii="Arial" w:cs="Arial" w:eastAsia="Arial" w:hAnsi="Arial"/>
          <w:sz w:val="14"/>
          <w:szCs w:val="14"/>
          <w:color w:val="auto"/>
        </w:rPr>
        <w:t>. The obligations of the several Underwriters to purchase and pay for the Firm Securities on the First Closing Date and the Optional</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to be purchased on each Optional Closing Date will be subject to the accuracy of the representations and warranties on the part of the Company and NCM LLC herein, to the accuracy of the statements of Company and NCM LLC officers made pursuant to the provisions hereof, to the performance by the Company and NCM LLC of their respective obligations hereunder and to the following additional conditions precedent:</w:t>
      </w:r>
    </w:p>
    <w:p>
      <w:pPr>
        <w:spacing w:after="0" w:line="40" w:lineRule="exact"/>
        <w:rPr>
          <w:rFonts w:ascii="Arial" w:cs="Arial" w:eastAsia="Arial" w:hAnsi="Arial"/>
          <w:sz w:val="14"/>
          <w:szCs w:val="14"/>
          <w:color w:val="auto"/>
        </w:rPr>
      </w:pPr>
    </w:p>
    <w:p>
      <w:pPr>
        <w:jc w:val="both"/>
        <w:ind w:right="260" w:firstLine="1496"/>
        <w:spacing w:after="0" w:line="361" w:lineRule="auto"/>
        <w:tabs>
          <w:tab w:leader="none" w:pos="1682" w:val="left"/>
        </w:tabs>
        <w:numPr>
          <w:ilvl w:val="1"/>
          <w:numId w:val="138"/>
        </w:numPr>
        <w:rPr>
          <w:rFonts w:ascii="Arial" w:cs="Arial" w:eastAsia="Arial" w:hAnsi="Arial"/>
          <w:sz w:val="12"/>
          <w:szCs w:val="12"/>
          <w:color w:val="auto"/>
        </w:rPr>
      </w:pPr>
      <w:r>
        <w:rPr>
          <w:rFonts w:ascii="Arial" w:cs="Arial" w:eastAsia="Arial" w:hAnsi="Arial"/>
          <w:sz w:val="12"/>
          <w:szCs w:val="12"/>
          <w:color w:val="auto"/>
        </w:rPr>
        <w:t>The Representatives shall have received a letter, dated the date of delivery thereof (which shall be on or prior to the date of this Agreement), of Deloitte &amp; Touche LLP confirming that they are an independent registered public accounting firm within the meaning of the Act and the applicable published Rules and Regulations thereunder and stating to the effect that:</w:t>
      </w:r>
    </w:p>
    <w:p>
      <w:pPr>
        <w:ind w:left="460" w:firstLine="1435"/>
        <w:spacing w:after="0" w:line="289" w:lineRule="auto"/>
        <w:tabs>
          <w:tab w:leader="none" w:pos="2059" w:val="left"/>
        </w:tabs>
        <w:numPr>
          <w:ilvl w:val="2"/>
          <w:numId w:val="138"/>
        </w:numPr>
        <w:rPr>
          <w:rFonts w:ascii="Arial" w:cs="Arial" w:eastAsia="Arial" w:hAnsi="Arial"/>
          <w:sz w:val="14"/>
          <w:szCs w:val="14"/>
          <w:color w:val="auto"/>
        </w:rPr>
      </w:pPr>
      <w:r>
        <w:rPr>
          <w:rFonts w:ascii="Arial" w:cs="Arial" w:eastAsia="Arial" w:hAnsi="Arial"/>
          <w:sz w:val="14"/>
          <w:szCs w:val="14"/>
          <w:color w:val="auto"/>
        </w:rPr>
        <w:t>in their opinion the financial statements and schedules audited by them and included in the Registration Statements and the General Disclosure Package comply as to form in all material respects with the applicable accounting requirements of the Act and the related published Rules and Regulations;</w:t>
      </w:r>
    </w:p>
    <w:p>
      <w:pPr>
        <w:spacing w:after="0" w:line="27" w:lineRule="exact"/>
        <w:rPr>
          <w:rFonts w:ascii="Arial" w:cs="Arial" w:eastAsia="Arial" w:hAnsi="Arial"/>
          <w:sz w:val="14"/>
          <w:szCs w:val="14"/>
          <w:color w:val="auto"/>
        </w:rPr>
      </w:pPr>
    </w:p>
    <w:p>
      <w:pPr>
        <w:ind w:left="460" w:firstLine="1435"/>
        <w:spacing w:after="0" w:line="330" w:lineRule="auto"/>
        <w:tabs>
          <w:tab w:leader="none" w:pos="2098" w:val="left"/>
        </w:tabs>
        <w:numPr>
          <w:ilvl w:val="2"/>
          <w:numId w:val="138"/>
        </w:numPr>
        <w:rPr>
          <w:rFonts w:ascii="Arial" w:cs="Arial" w:eastAsia="Arial" w:hAnsi="Arial"/>
          <w:sz w:val="13"/>
          <w:szCs w:val="13"/>
          <w:color w:val="auto"/>
        </w:rPr>
      </w:pPr>
      <w:r>
        <w:rPr>
          <w:rFonts w:ascii="Arial" w:cs="Arial" w:eastAsia="Arial" w:hAnsi="Arial"/>
          <w:sz w:val="13"/>
          <w:szCs w:val="13"/>
          <w:color w:val="auto"/>
        </w:rPr>
        <w:t>they have performed the procedures specified by the American Institute of Certified Public Accountants for a review of interim financial information as described in Statement of Auditing Standards No. 100, Interim Financial Information, on the unaudited financial statements included in the Registration Statements and the General Disclosure Package;</w:t>
      </w:r>
    </w:p>
    <w:p>
      <w:pPr>
        <w:spacing w:after="0" w:line="4" w:lineRule="exact"/>
        <w:rPr>
          <w:rFonts w:ascii="Arial" w:cs="Arial" w:eastAsia="Arial" w:hAnsi="Arial"/>
          <w:sz w:val="13"/>
          <w:szCs w:val="13"/>
          <w:color w:val="auto"/>
        </w:rPr>
      </w:pPr>
    </w:p>
    <w:p>
      <w:pPr>
        <w:ind w:left="460" w:right="20" w:firstLine="1435"/>
        <w:spacing w:after="0" w:line="275" w:lineRule="auto"/>
        <w:tabs>
          <w:tab w:leader="none" w:pos="2138" w:val="left"/>
        </w:tabs>
        <w:numPr>
          <w:ilvl w:val="2"/>
          <w:numId w:val="138"/>
        </w:numPr>
        <w:rPr>
          <w:rFonts w:ascii="Arial" w:cs="Arial" w:eastAsia="Arial" w:hAnsi="Arial"/>
          <w:sz w:val="14"/>
          <w:szCs w:val="14"/>
          <w:color w:val="auto"/>
        </w:rPr>
      </w:pPr>
      <w:r>
        <w:rPr>
          <w:rFonts w:ascii="Arial" w:cs="Arial" w:eastAsia="Arial" w:hAnsi="Arial"/>
          <w:sz w:val="14"/>
          <w:szCs w:val="14"/>
          <w:color w:val="auto"/>
        </w:rPr>
        <w:t>on the basis of the review referred to in clause (ii) above, a reading of the latest available interim financial statements of the Company and NCM LLC, inquiries of officials of the Company and NCM LLC who have responsibility for financial and accounting matters and other specified procedures, nothing came to their attention that caused them to believe that:</w:t>
      </w:r>
    </w:p>
    <w:p>
      <w:pPr>
        <w:spacing w:after="0" w:line="36" w:lineRule="exact"/>
        <w:rPr>
          <w:rFonts w:ascii="Arial" w:cs="Arial" w:eastAsia="Arial" w:hAnsi="Arial"/>
          <w:sz w:val="14"/>
          <w:szCs w:val="14"/>
          <w:color w:val="auto"/>
        </w:rPr>
      </w:pPr>
    </w:p>
    <w:p>
      <w:pPr>
        <w:jc w:val="both"/>
        <w:ind w:left="920" w:right="440" w:firstLine="1373"/>
        <w:spacing w:after="0" w:line="275" w:lineRule="auto"/>
        <w:tabs>
          <w:tab w:leader="none" w:pos="2522" w:val="left"/>
        </w:tabs>
        <w:numPr>
          <w:ilvl w:val="3"/>
          <w:numId w:val="138"/>
        </w:numPr>
        <w:rPr>
          <w:rFonts w:ascii="Arial" w:cs="Arial" w:eastAsia="Arial" w:hAnsi="Arial"/>
          <w:sz w:val="14"/>
          <w:szCs w:val="14"/>
          <w:color w:val="auto"/>
        </w:rPr>
      </w:pPr>
      <w:r>
        <w:rPr>
          <w:rFonts w:ascii="Arial" w:cs="Arial" w:eastAsia="Arial" w:hAnsi="Arial"/>
          <w:sz w:val="14"/>
          <w:szCs w:val="14"/>
          <w:color w:val="auto"/>
        </w:rPr>
        <w:t>the unaudited financial statements included in the Registration Statements or the General Disclosure Package do not comply as to form in all material respects with the applicable accounting requirements of the Act and the related published Rules and Regulations or any material modifications should be made to such unaudited financial statements for them to be in conformity with generally accepted accounting principles;</w:t>
      </w:r>
    </w:p>
    <w:p>
      <w:pPr>
        <w:spacing w:after="0" w:line="36" w:lineRule="exact"/>
        <w:rPr>
          <w:rFonts w:ascii="Arial" w:cs="Arial" w:eastAsia="Arial" w:hAnsi="Arial"/>
          <w:sz w:val="14"/>
          <w:szCs w:val="14"/>
          <w:color w:val="auto"/>
        </w:rPr>
      </w:pPr>
    </w:p>
    <w:p>
      <w:pPr>
        <w:ind w:left="920" w:right="40" w:firstLine="1373"/>
        <w:spacing w:after="0" w:line="289" w:lineRule="auto"/>
        <w:tabs>
          <w:tab w:leader="none" w:pos="2515" w:val="left"/>
        </w:tabs>
        <w:numPr>
          <w:ilvl w:val="3"/>
          <w:numId w:val="138"/>
        </w:numPr>
        <w:rPr>
          <w:rFonts w:ascii="Arial" w:cs="Arial" w:eastAsia="Arial" w:hAnsi="Arial"/>
          <w:sz w:val="14"/>
          <w:szCs w:val="14"/>
          <w:color w:val="auto"/>
        </w:rPr>
      </w:pPr>
      <w:r>
        <w:rPr>
          <w:rFonts w:ascii="Arial" w:cs="Arial" w:eastAsia="Arial" w:hAnsi="Arial"/>
          <w:sz w:val="14"/>
          <w:szCs w:val="14"/>
          <w:color w:val="auto"/>
        </w:rPr>
        <w:t>at the date of the latest available balance sheet read by such accountants, or at a subsequent specified date not more than three business days prior to the date of this Agreement, there was any change in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252" w:right="219" w:bottom="1440" w:gutter="0" w:footer="0" w:header="0"/>
        </w:sectPr>
      </w:pPr>
    </w:p>
    <w:bookmarkStart w:id="250" w:name="page251"/>
    <w:bookmarkEnd w:id="250"/>
    <w:p>
      <w:pPr>
        <w:ind w:left="920" w:right="40"/>
        <w:spacing w:after="0" w:line="33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members’ equity or capital stock or any increase in short-term indebtedness or long-term debt or, at the date of the latest available balance sheet read by such accountants, there was any decrease in consolidated net current assets, as compared with amounts shown on the latest balance sheet included in the General Disclosure Package; or</w:t>
      </w:r>
    </w:p>
    <w:p>
      <w:pPr>
        <w:spacing w:after="0" w:line="4" w:lineRule="exact"/>
        <w:rPr>
          <w:sz w:val="20"/>
          <w:szCs w:val="20"/>
          <w:color w:val="auto"/>
        </w:rPr>
      </w:pPr>
    </w:p>
    <w:p>
      <w:pPr>
        <w:ind w:left="920" w:right="20" w:firstLine="1373"/>
        <w:spacing w:after="0" w:line="275" w:lineRule="auto"/>
        <w:tabs>
          <w:tab w:leader="none" w:pos="2515" w:val="left"/>
        </w:tabs>
        <w:numPr>
          <w:ilvl w:val="0"/>
          <w:numId w:val="139"/>
        </w:numPr>
        <w:rPr>
          <w:rFonts w:ascii="Arial" w:cs="Arial" w:eastAsia="Arial" w:hAnsi="Arial"/>
          <w:sz w:val="14"/>
          <w:szCs w:val="14"/>
          <w:color w:val="auto"/>
        </w:rPr>
      </w:pPr>
      <w:r>
        <w:rPr>
          <w:rFonts w:ascii="Arial" w:cs="Arial" w:eastAsia="Arial" w:hAnsi="Arial"/>
          <w:sz w:val="14"/>
          <w:szCs w:val="14"/>
          <w:color w:val="auto"/>
        </w:rPr>
        <w:t>for the period from the closing date of the latest income statement included in the General Disclosure Package to the closing date of the latest available income statement read by such accountants there were any decreases, as compared with the corresponding period of the previous year, in consolidated net sales or in the total amounts of consolidated net income,</w:t>
      </w:r>
    </w:p>
    <w:p>
      <w:pPr>
        <w:spacing w:after="0" w:line="37" w:lineRule="exact"/>
        <w:rPr>
          <w:sz w:val="20"/>
          <w:szCs w:val="20"/>
          <w:color w:val="auto"/>
        </w:rPr>
      </w:pPr>
    </w:p>
    <w:p>
      <w:pPr>
        <w:ind w:left="920" w:right="140"/>
        <w:spacing w:after="0" w:line="289" w:lineRule="auto"/>
        <w:rPr>
          <w:sz w:val="20"/>
          <w:szCs w:val="20"/>
          <w:color w:val="auto"/>
        </w:rPr>
      </w:pPr>
      <w:r>
        <w:rPr>
          <w:rFonts w:ascii="Arial" w:cs="Arial" w:eastAsia="Arial" w:hAnsi="Arial"/>
          <w:sz w:val="14"/>
          <w:szCs w:val="14"/>
          <w:color w:val="auto"/>
        </w:rPr>
        <w:t>except in all cases set forth in clauses above for changes, increases or decreases which the General Disclosure Package discloses have occurred or may occur or which are described in such letter; and</w:t>
      </w:r>
    </w:p>
    <w:p>
      <w:pPr>
        <w:spacing w:after="0" w:line="28" w:lineRule="exact"/>
        <w:rPr>
          <w:sz w:val="20"/>
          <w:szCs w:val="20"/>
          <w:color w:val="auto"/>
        </w:rPr>
      </w:pPr>
    </w:p>
    <w:p>
      <w:pPr>
        <w:ind w:left="460" w:right="40" w:firstLine="1435"/>
        <w:spacing w:after="0" w:line="266" w:lineRule="auto"/>
        <w:tabs>
          <w:tab w:leader="none" w:pos="213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they have compared specified dollar amounts (or percentages derived from such dollar amounts) and other financial information contained in the Registration Statements, each Issuer Free Writing Prospectus (other than any Issuer Free Writing Prospectus that is an “electronic road show,” as defined in Rule 433(h)) and the General Disclosure Package (in each case to the extent that such dollar amounts, percentages and other financial information are derived from the general accounting records of the Company and its subsidiaries subject to the internal controls of the Company’s accounting system or are derived directly from such records by analysis or computation) with the results obtained from inquiries, a reading of such general accounting records and other procedures specified in such letter and have found such dollar amounts, percentages and other financial information to be in agreement with such results, except as otherwise specified in such letter.</w:t>
      </w:r>
    </w:p>
    <w:p>
      <w:pPr>
        <w:spacing w:after="0" w:line="106" w:lineRule="exact"/>
        <w:rPr>
          <w:sz w:val="20"/>
          <w:szCs w:val="20"/>
          <w:color w:val="auto"/>
        </w:rPr>
      </w:pPr>
    </w:p>
    <w:p>
      <w:pPr>
        <w:ind w:right="500" w:firstLine="916"/>
        <w:spacing w:after="0" w:line="278" w:lineRule="auto"/>
        <w:rPr>
          <w:sz w:val="20"/>
          <w:szCs w:val="20"/>
          <w:color w:val="auto"/>
        </w:rPr>
      </w:pPr>
      <w:r>
        <w:rPr>
          <w:rFonts w:ascii="Arial" w:cs="Arial" w:eastAsia="Arial" w:hAnsi="Arial"/>
          <w:sz w:val="14"/>
          <w:szCs w:val="14"/>
          <w:color w:val="auto"/>
        </w:rPr>
        <w:t>For purposes of this subsection, if the Effective Time of the Additional Registration Statement is subsequent to the execution and delivery of this Agreement, “</w:t>
      </w:r>
      <w:r>
        <w:rPr>
          <w:rFonts w:ascii="Arial" w:cs="Arial" w:eastAsia="Arial" w:hAnsi="Arial"/>
          <w:sz w:val="14"/>
          <w:szCs w:val="14"/>
          <w:b w:val="1"/>
          <w:bCs w:val="1"/>
          <w:color w:val="auto"/>
        </w:rPr>
        <w:t>Registration</w:t>
      </w:r>
      <w:r>
        <w:rPr>
          <w:rFonts w:ascii="Arial" w:cs="Arial" w:eastAsia="Arial" w:hAnsi="Arial"/>
          <w:sz w:val="14"/>
          <w:szCs w:val="14"/>
          <w:color w:val="auto"/>
        </w:rPr>
        <w:t xml:space="preserve"> </w:t>
      </w:r>
      <w:r>
        <w:rPr>
          <w:rFonts w:ascii="Arial" w:cs="Arial" w:eastAsia="Arial" w:hAnsi="Arial"/>
          <w:sz w:val="14"/>
          <w:szCs w:val="14"/>
          <w:b w:val="1"/>
          <w:bCs w:val="1"/>
          <w:color w:val="auto"/>
        </w:rPr>
        <w:t>Statements</w:t>
      </w:r>
      <w:r>
        <w:rPr>
          <w:rFonts w:ascii="Arial" w:cs="Arial" w:eastAsia="Arial" w:hAnsi="Arial"/>
          <w:sz w:val="14"/>
          <w:szCs w:val="14"/>
          <w:color w:val="auto"/>
        </w:rPr>
        <w:t>” shall mean the Initial Registration Statement and the Additional Registration Statement as proposed to be filed shortly prior to its Effective Time, and “</w:t>
      </w:r>
      <w:r>
        <w:rPr>
          <w:rFonts w:ascii="Arial" w:cs="Arial" w:eastAsia="Arial" w:hAnsi="Arial"/>
          <w:sz w:val="14"/>
          <w:szCs w:val="14"/>
          <w:b w:val="1"/>
          <w:bCs w:val="1"/>
          <w:color w:val="auto"/>
        </w:rPr>
        <w:t>Prospectus</w:t>
      </w:r>
      <w:r>
        <w:rPr>
          <w:rFonts w:ascii="Arial" w:cs="Arial" w:eastAsia="Arial" w:hAnsi="Arial"/>
          <w:sz w:val="14"/>
          <w:szCs w:val="14"/>
          <w:color w:val="auto"/>
        </w:rPr>
        <w:t>” shall mean the</w:t>
      </w:r>
      <w:r>
        <w:rPr>
          <w:rFonts w:ascii="Arial" w:cs="Arial" w:eastAsia="Arial" w:hAnsi="Arial"/>
          <w:sz w:val="14"/>
          <w:szCs w:val="14"/>
          <w:b w:val="1"/>
          <w:bCs w:val="1"/>
          <w:color w:val="auto"/>
        </w:rPr>
        <w:t xml:space="preserve"> </w:t>
      </w:r>
      <w:r>
        <w:rPr>
          <w:rFonts w:ascii="Arial" w:cs="Arial" w:eastAsia="Arial" w:hAnsi="Arial"/>
          <w:sz w:val="14"/>
          <w:szCs w:val="14"/>
          <w:color w:val="auto"/>
        </w:rPr>
        <w:t>prospectus included in the Registration Statements.</w:t>
      </w:r>
    </w:p>
    <w:p>
      <w:pPr>
        <w:spacing w:after="0" w:line="100" w:lineRule="exact"/>
        <w:rPr>
          <w:sz w:val="20"/>
          <w:szCs w:val="20"/>
          <w:color w:val="auto"/>
        </w:rPr>
      </w:pPr>
    </w:p>
    <w:p>
      <w:pPr>
        <w:ind w:firstLine="1496"/>
        <w:spacing w:after="0" w:line="267" w:lineRule="auto"/>
        <w:tabs>
          <w:tab w:leader="none" w:pos="169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If the Effective Time of the Additional Registration Statement (if any) is not prior to the execution and delivery of this Agreement, such Effective Time shall have occurred not later than 10:00 P.M., New York time, on the date of this Agreement or, if earlier, the time the Prospectus is printed and distributed to any Underwriter, or shall have occurred at such later date as shall have been consented to by Credit Suisse. The Prospectus shall have been filed with the Commission in accordance with the Rules and Regulations and Section 5(a) of this Agreement. Prior to such Closing Date, no stop order suspending the effectiveness of a Registration Statement shall have been issued and no proceedings for that purpose shall have been instituted or, to the knowledge of the Company, NCM LLC or the Representatives, shall be contemplated by the Commission.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252" w:right="219" w:bottom="1440" w:gutter="0" w:footer="0" w:header="0"/>
        </w:sectPr>
      </w:pPr>
    </w:p>
    <w:bookmarkStart w:id="251" w:name="page252"/>
    <w:bookmarkEnd w:id="251"/>
    <w:p>
      <w:pPr>
        <w:ind w:right="60" w:firstLine="1496"/>
        <w:spacing w:after="0" w:line="285" w:lineRule="auto"/>
        <w:tabs>
          <w:tab w:leader="none" w:pos="1682" w:val="left"/>
        </w:tabs>
        <w:numPr>
          <w:ilvl w:val="0"/>
          <w:numId w:val="14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Subsequent to the execution and delivery of this Agreement, there shall not have occurred (i) any change, or any development or event involving a prospective change, in the condition (financial or other), business, properties or results of operations of the Company and its subsidiaries taken as one enterprise which, in the judgment of a majority in interest of the Representatives, is material and adverse and makes it impractical or inadvisable to proceed with completion of the public offering or the sale of and payment for the Offered Securities; (ii) any downgrading in the rating of any debt securities of the Company by any “nationally recognized statistical rating organization” (as defined for purposes of Rule 436(g) under the Act), or any public announcement that any such organization has under surveillance or review its rating of any debt securities or preferred stock of the Company (other than an announcement with positive implications of a possible upgrading, and no implication of a possible downgrading, of such rating); (iii) any change in U.S. or international financial, political or economic conditions or currency exchange rates or exchange controls as would, in the judgment of a majority in interest of the Representatives, be likely to prejudice materially the success of the proposed issue, sale or distribution of the Offered Securities, whether in the primary market or in respect of dealings in the secondary market; (iv) any material suspension or material limitation of trading in securities generally on the New York Stock Exchange or any setting of minimum prices for trading on such exchange; (v) any banking moratorium declared by U.S. Federal or New York authorities; (vi) any major disruption of settlements of securities or clearance services in the United States or (vii) any attack on, outbreak or escalation of hostilities or act of terrorism involving the United States, any declaration of war by Congress or any other national or international calamity or emergency if, in the judgment of a majority in interest of the Representatives, the effect of any such attack, outbreak, escalation, act, declaration, calamity or emergency makes it impractical or inadvisable to proceed with completion of the public offering or the sale of and payment for the Offered Securities.</w:t>
      </w:r>
    </w:p>
    <w:p>
      <w:pPr>
        <w:spacing w:after="0" w:line="99" w:lineRule="exact"/>
        <w:rPr>
          <w:rFonts w:ascii="Arial" w:cs="Arial" w:eastAsia="Arial" w:hAnsi="Arial"/>
          <w:sz w:val="13"/>
          <w:szCs w:val="13"/>
          <w:color w:val="auto"/>
        </w:rPr>
      </w:pPr>
    </w:p>
    <w:p>
      <w:pPr>
        <w:ind w:left="1700" w:hanging="204"/>
        <w:spacing w:after="0"/>
        <w:tabs>
          <w:tab w:leader="none" w:pos="170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Representatives shall have received an opinion, dated such Closing Date, of Holme Roberts &amp; Owen LLP, counsel for the Company substantially in the form attached</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hereto as Annex 1.</w:t>
      </w:r>
    </w:p>
    <w:p>
      <w:pPr>
        <w:spacing w:after="0" w:line="139" w:lineRule="exact"/>
        <w:rPr>
          <w:rFonts w:ascii="Arial" w:cs="Arial" w:eastAsia="Arial" w:hAnsi="Arial"/>
          <w:sz w:val="12"/>
          <w:szCs w:val="12"/>
          <w:color w:val="auto"/>
        </w:rPr>
      </w:pPr>
    </w:p>
    <w:p>
      <w:pPr>
        <w:ind w:left="1680" w:hanging="184"/>
        <w:spacing w:after="0"/>
        <w:tabs>
          <w:tab w:leader="none" w:pos="16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The Representatives shall have received an opinion, dated such Closing Date, of Willkie Farr &amp; Gallagher LLP, special counsel for the Company substantially in the form</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attached hereto as Annex 2.</w:t>
      </w:r>
    </w:p>
    <w:p>
      <w:pPr>
        <w:spacing w:after="0" w:line="139" w:lineRule="exact"/>
        <w:rPr>
          <w:rFonts w:ascii="Arial" w:cs="Arial" w:eastAsia="Arial" w:hAnsi="Arial"/>
          <w:sz w:val="13"/>
          <w:szCs w:val="13"/>
          <w:color w:val="auto"/>
        </w:rPr>
      </w:pPr>
    </w:p>
    <w:p>
      <w:pPr>
        <w:ind w:firstLine="1496"/>
        <w:spacing w:after="0" w:line="305" w:lineRule="auto"/>
        <w:tabs>
          <w:tab w:leader="none" w:pos="1666"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The Representatives shall have received from Skadden, Arps, Slate, Meagher &amp; Flom LLP, counsel for the Underwriters, such opinion or opinions, dated such Closing Date, with respect to the incorporation of the Company, the validity of the Offered Securities delivered on such Closing Date, the Registration Statements, the Prospectus and other related matters as the Representatives may require, and the Company shall have furnished to such counsel such documents as they request for the purpose of enabling them to pass upon such matters.</w:t>
      </w:r>
    </w:p>
    <w:p>
      <w:pPr>
        <w:spacing w:after="0" w:line="85" w:lineRule="exact"/>
        <w:rPr>
          <w:rFonts w:ascii="Arial" w:cs="Arial" w:eastAsia="Arial" w:hAnsi="Arial"/>
          <w:sz w:val="13"/>
          <w:szCs w:val="13"/>
          <w:color w:val="auto"/>
        </w:rPr>
      </w:pPr>
    </w:p>
    <w:p>
      <w:pPr>
        <w:jc w:val="both"/>
        <w:ind w:right="80" w:firstLine="1496"/>
        <w:spacing w:after="0" w:line="275" w:lineRule="auto"/>
        <w:tabs>
          <w:tab w:leader="none" w:pos="169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Representatives shall have received a certificate, dated such Closing Date, of the President or any Vice President and a principal financial or accounting officer of the Company and NCM LLC in which such officers, to the best of their knowledge after reasonable investigation, shall state that the representations and warranties of the Company and NCM LLC in this Agreement are true and correct; the Company and NCM LLC has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40"/>
          </w:cols>
          <w:pgMar w:left="220" w:top="252" w:right="239" w:bottom="1440" w:gutter="0" w:footer="0" w:header="0"/>
        </w:sectPr>
      </w:pPr>
    </w:p>
    <w:bookmarkStart w:id="252" w:name="page253"/>
    <w:bookmarkEnd w:id="252"/>
    <w:p>
      <w:pPr>
        <w:ind w:right="40"/>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are contemplated by the Commission; the Additional Registration Statement (if any) satisfying the requirements of subparagraphs (1) and (3) of Rule 462(b) was filed pursuant to Rule 462(b), including payment of the applicable filing fee in accordance with Rule 111(a) or (b) under the Act, prior to the Applicable Time; and, subsequent to the respective dates of the most recent financial statements in the General Disclosure Package, there has been no material adverse change, nor any development or event which to the knowledge of such officers, is reasonably likely to result in a material adverse change, in the condition (financial or other), business, properties or results of operations of the Company and its subsidiaries taken as a whole except as set forth in the General Disclosure Package or as described in such certificate.</w:t>
      </w:r>
    </w:p>
    <w:p>
      <w:pPr>
        <w:spacing w:after="0" w:line="96" w:lineRule="exact"/>
        <w:rPr>
          <w:sz w:val="20"/>
          <w:szCs w:val="20"/>
          <w:color w:val="auto"/>
        </w:rPr>
      </w:pPr>
    </w:p>
    <w:p>
      <w:pPr>
        <w:ind w:firstLine="1496"/>
        <w:spacing w:after="0" w:line="289" w:lineRule="auto"/>
        <w:tabs>
          <w:tab w:leader="none" w:pos="169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Representatives shall have received a letter, dated such Closing Date, of Deloitte &amp; Touche LLP which meets the requirements of subsection (a) of this Section, except that the specified date referred to in such subsection will be a date not more than three days prior to such Closing Date for the purposes of this subsection.</w:t>
      </w:r>
    </w:p>
    <w:p>
      <w:pPr>
        <w:spacing w:after="0" w:line="93" w:lineRule="exact"/>
        <w:rPr>
          <w:rFonts w:ascii="Arial" w:cs="Arial" w:eastAsia="Arial" w:hAnsi="Arial"/>
          <w:sz w:val="14"/>
          <w:szCs w:val="14"/>
          <w:color w:val="auto"/>
        </w:rPr>
      </w:pPr>
    </w:p>
    <w:p>
      <w:pPr>
        <w:ind w:right="360" w:firstLine="1496"/>
        <w:spacing w:after="0" w:line="289" w:lineRule="auto"/>
        <w:tabs>
          <w:tab w:leader="none" w:pos="1659" w:val="left"/>
        </w:tabs>
        <w:numPr>
          <w:ilvl w:val="0"/>
          <w:numId w:val="143"/>
        </w:numPr>
        <w:rPr>
          <w:rFonts w:ascii="Arial" w:cs="Arial" w:eastAsia="Arial" w:hAnsi="Arial"/>
          <w:sz w:val="14"/>
          <w:szCs w:val="14"/>
          <w:color w:val="auto"/>
        </w:rPr>
      </w:pPr>
      <w:r>
        <w:rPr>
          <w:rFonts w:ascii="Arial" w:cs="Arial" w:eastAsia="Arial" w:hAnsi="Arial"/>
          <w:sz w:val="14"/>
          <w:szCs w:val="14"/>
          <w:color w:val="auto"/>
        </w:rPr>
        <w:t>On or prior to the date of this Agreement, the Representatives shall have received lock-up letters from AMC Entertainment Inc., Cinemark, Inc., Regal Entertainment Group, NCM Holdings, LLC and each of the executive officers and directors of the Company.</w:t>
      </w:r>
    </w:p>
    <w:p>
      <w:pPr>
        <w:spacing w:after="0" w:line="93" w:lineRule="exact"/>
        <w:rPr>
          <w:rFonts w:ascii="Arial" w:cs="Arial" w:eastAsia="Arial" w:hAnsi="Arial"/>
          <w:sz w:val="14"/>
          <w:szCs w:val="14"/>
          <w:color w:val="auto"/>
        </w:rPr>
      </w:pPr>
    </w:p>
    <w:p>
      <w:pPr>
        <w:ind w:right="160" w:firstLine="1496"/>
        <w:spacing w:after="0" w:line="275" w:lineRule="auto"/>
        <w:tabs>
          <w:tab w:leader="none" w:pos="1659"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Financing Transaction shall have been completed (or shall be completed simultaneously with the transactions contemplated by this Agreement) and the net proceeds contemplated thereby (in an amount not less than $[ ]) shall have been received (or shall be received simultaneously with the receipt of the net proceeds payable hereunder) by the Company or its applicable affiliate.</w:t>
      </w:r>
    </w:p>
    <w:p>
      <w:pPr>
        <w:spacing w:after="0" w:line="102" w:lineRule="exact"/>
        <w:rPr>
          <w:rFonts w:ascii="Arial" w:cs="Arial" w:eastAsia="Arial" w:hAnsi="Arial"/>
          <w:sz w:val="14"/>
          <w:szCs w:val="14"/>
          <w:color w:val="auto"/>
        </w:rPr>
      </w:pPr>
    </w:p>
    <w:p>
      <w:pPr>
        <w:ind w:left="1700" w:hanging="204"/>
        <w:spacing w:after="0"/>
        <w:tabs>
          <w:tab w:leader="none" w:pos="17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Reorganization shall have been completed (or shall be completed simultaneously with the transactions contemplated by this Agreement).</w:t>
      </w:r>
    </w:p>
    <w:p>
      <w:pPr>
        <w:spacing w:after="0" w:line="145" w:lineRule="exact"/>
        <w:rPr>
          <w:sz w:val="20"/>
          <w:szCs w:val="20"/>
          <w:color w:val="auto"/>
        </w:rPr>
      </w:pPr>
    </w:p>
    <w:p>
      <w:pPr>
        <w:ind w:right="60" w:firstLine="916"/>
        <w:spacing w:after="0" w:line="275" w:lineRule="auto"/>
        <w:rPr>
          <w:sz w:val="20"/>
          <w:szCs w:val="20"/>
          <w:color w:val="auto"/>
        </w:rPr>
      </w:pPr>
      <w:r>
        <w:rPr>
          <w:rFonts w:ascii="Arial" w:cs="Arial" w:eastAsia="Arial" w:hAnsi="Arial"/>
          <w:sz w:val="14"/>
          <w:szCs w:val="14"/>
          <w:color w:val="auto"/>
        </w:rPr>
        <w:t>The Company and NCM LLC will furnish the Representatives with such conformed copies of such opinions, certificates, letters and documents as the Representatives reasonably request. Credit Suisse may in its sole discretion waive on behalf of the Underwriters compliance with any conditions to the obligations of the Underwriters hereunder, whether in respect of an Optional Closing Date or otherwise.</w:t>
      </w:r>
    </w:p>
    <w:p>
      <w:pPr>
        <w:spacing w:after="0" w:line="102" w:lineRule="exact"/>
        <w:rPr>
          <w:sz w:val="20"/>
          <w:szCs w:val="20"/>
          <w:color w:val="auto"/>
        </w:rPr>
      </w:pPr>
    </w:p>
    <w:p>
      <w:pPr>
        <w:ind w:right="60" w:firstLine="924"/>
        <w:spacing w:after="0" w:line="267" w:lineRule="auto"/>
        <w:tabs>
          <w:tab w:leader="none" w:pos="1058"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Indemnification and Contribution</w:t>
      </w:r>
      <w:r>
        <w:rPr>
          <w:rFonts w:ascii="Arial" w:cs="Arial" w:eastAsia="Arial" w:hAnsi="Arial"/>
          <w:sz w:val="14"/>
          <w:szCs w:val="14"/>
          <w:color w:val="auto"/>
        </w:rPr>
        <w:t>. (a) The Company and NCM LLC will jointly and severally indemnify and hold harmless each Underwriter, its partners, members,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officers, affiliates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Prospectus or any Issuer Free Writing Prospectus, or arise out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40"/>
          </w:cols>
          <w:pgMar w:left="220" w:top="252" w:right="239" w:bottom="1440" w:gutter="0" w:footer="0" w:header="0"/>
        </w:sectPr>
      </w:pPr>
    </w:p>
    <w:bookmarkStart w:id="253" w:name="page254"/>
    <w:bookmarkEnd w:id="253"/>
    <w:p>
      <w:pPr>
        <w:spacing w:after="0" w:line="26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loss, claim, damage, liability or action as such expenses are incurred; provided, however, that the Company and NCM LLC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and NCM LLC by any Underwriter through the Representatives specifically for use therein, it being understood and agreed that the only such information furnished by any Underwriter consists of the information described as such in subsection (b) below.</w:t>
      </w:r>
    </w:p>
    <w:p>
      <w:pPr>
        <w:spacing w:after="0" w:line="110" w:lineRule="exact"/>
        <w:rPr>
          <w:sz w:val="20"/>
          <w:szCs w:val="20"/>
          <w:color w:val="auto"/>
        </w:rPr>
      </w:pPr>
    </w:p>
    <w:p>
      <w:pPr>
        <w:ind w:right="140" w:firstLine="916"/>
        <w:spacing w:after="0" w:line="282" w:lineRule="auto"/>
        <w:rPr>
          <w:sz w:val="20"/>
          <w:szCs w:val="20"/>
          <w:color w:val="auto"/>
        </w:rPr>
      </w:pPr>
      <w:r>
        <w:rPr>
          <w:rFonts w:ascii="Arial" w:cs="Arial" w:eastAsia="Arial" w:hAnsi="Arial"/>
          <w:sz w:val="13"/>
          <w:szCs w:val="13"/>
          <w:color w:val="auto"/>
        </w:rPr>
        <w:t>The Company and NCM LLC agree to jointly and severally indemnify and hold harmless the Designated Underwriter and its affiliates and each person, if any, who controls the Designated Underwriter within the meaning of either Section 15 of the Securities Act or Section 20 of the Exchange Act (the “Designated Entities”), from and against any and all losses, claims, damages and liabilities (including, without limitation, any legal or other expenses reasonably incurred in connection with defending or investigating any such action or claim) (i) caused by any untrue statement or alleged untrue statement of a material fact contained in any material prepared by or with the consent of the Company or NCM LLC for distribution to Participants in connection with the Directed Share Program or caused by any omission or alleged omission to state therein a material fact required to be stated therein or necessary to make the statements therein not misleading;</w:t>
      </w:r>
    </w:p>
    <w:p>
      <w:pPr>
        <w:spacing w:after="0" w:line="2" w:lineRule="exact"/>
        <w:rPr>
          <w:sz w:val="20"/>
          <w:szCs w:val="20"/>
          <w:color w:val="auto"/>
        </w:rPr>
      </w:pPr>
    </w:p>
    <w:p>
      <w:pPr>
        <w:ind w:right="120" w:firstLine="7"/>
        <w:spacing w:after="0" w:line="271" w:lineRule="auto"/>
        <w:tabs>
          <w:tab w:leader="none" w:pos="209" w:val="left"/>
        </w:tabs>
        <w:numPr>
          <w:ilvl w:val="0"/>
          <w:numId w:val="145"/>
        </w:numPr>
        <w:rPr>
          <w:rFonts w:ascii="Arial" w:cs="Arial" w:eastAsia="Arial" w:hAnsi="Arial"/>
          <w:sz w:val="14"/>
          <w:szCs w:val="14"/>
          <w:color w:val="auto"/>
        </w:rPr>
      </w:pPr>
      <w:r>
        <w:rPr>
          <w:rFonts w:ascii="Arial" w:cs="Arial" w:eastAsia="Arial" w:hAnsi="Arial"/>
          <w:sz w:val="14"/>
          <w:szCs w:val="14"/>
          <w:color w:val="auto"/>
        </w:rPr>
        <w:t>caused by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the Designated Entities.</w:t>
      </w:r>
    </w:p>
    <w:p>
      <w:pPr>
        <w:spacing w:after="0" w:line="104" w:lineRule="exact"/>
        <w:rPr>
          <w:rFonts w:ascii="Arial" w:cs="Arial" w:eastAsia="Arial" w:hAnsi="Arial"/>
          <w:sz w:val="14"/>
          <w:szCs w:val="14"/>
          <w:color w:val="auto"/>
        </w:rPr>
      </w:pPr>
    </w:p>
    <w:p>
      <w:pPr>
        <w:ind w:right="40" w:firstLine="1496"/>
        <w:spacing w:after="0" w:line="286" w:lineRule="auto"/>
        <w:tabs>
          <w:tab w:leader="none" w:pos="169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Each Underwriter will severally and not jointly indemnify and hold harmless the Company and NCM LLC, their respective directors and officers and each person, if any who controls the Company or NCM LLC within the meaning of Section 15 of the Act or Section 20 of the Exchange Act, against any losses, claims, damages or liabilities to which the Company or NCM LLC may become subject, under the Act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Prospectus, or any Issuer Free Writing Prospectus, or arise out of or are based upon the omission or the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and NCM LLC by such Underwriter through the Representatives specifically for use therein, and will reimburse any legal or other expenses reasonably incurred by the Company and NCM LLC in connection with investigating or defending any such loss, claim, damage, liability or action as such expenses are incurred, it being understood and agreed that the only such information furnished by any Underwriter consists of the following information in the Prospectus furnished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40"/>
          </w:cols>
          <w:pgMar w:left="220" w:top="252" w:right="239" w:bottom="1440" w:gutter="0" w:footer="0" w:header="0"/>
        </w:sectPr>
      </w:pPr>
    </w:p>
    <w:bookmarkStart w:id="254" w:name="page255"/>
    <w:bookmarkEnd w:id="254"/>
    <w:p>
      <w:pPr>
        <w:ind w:right="42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on behalf of each Underwriter: the concession and reallowance figures appearing in the [ ] paragraph under the caption “Underwriting” and the information contained the [ ] paragraphs under the caption “Underwriting”.</w:t>
      </w:r>
    </w:p>
    <w:p>
      <w:pPr>
        <w:spacing w:after="0" w:line="93" w:lineRule="exact"/>
        <w:rPr>
          <w:sz w:val="20"/>
          <w:szCs w:val="20"/>
          <w:color w:val="auto"/>
        </w:rPr>
      </w:pPr>
    </w:p>
    <w:p>
      <w:pPr>
        <w:ind w:firstLine="1496"/>
        <w:spacing w:after="0" w:line="284" w:lineRule="auto"/>
        <w:tabs>
          <w:tab w:leader="none" w:pos="168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Promptly after receipt by an indemnified party under this Section of notice of the commencement of any action, 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or material procedural rights or defenses) by such failure; and provided further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Notwithstanding anything contained herein to the contrary, if indemnity may be sought pursuant to the last paragraph in Section 8 (a) hereof in respect of such action or proceeding, then in addition to such separate firm for the indemnified parties, the indemnifying party shall be liable for the reasonable fees and expenses of not more than one separate firm (in addition to any local counsel) for the Designated Underwriter for the defense of any losses, claims, damages and liabilities arising out of the Directed Share Program, and all persons, if any, who control the Designated Underwriter within the meaning of either Section 15 of the Act of Section 20 of the Exchange Act.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00" w:lineRule="exact"/>
        <w:rPr>
          <w:rFonts w:ascii="Arial" w:cs="Arial" w:eastAsia="Arial" w:hAnsi="Arial"/>
          <w:sz w:val="13"/>
          <w:szCs w:val="13"/>
          <w:color w:val="auto"/>
        </w:rPr>
      </w:pPr>
    </w:p>
    <w:p>
      <w:pPr>
        <w:ind w:right="140" w:firstLine="1496"/>
        <w:spacing w:after="0" w:line="293" w:lineRule="auto"/>
        <w:tabs>
          <w:tab w:leader="none" w:pos="169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and NCM LLC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NCM LLC on the one hand and the Underwriters on the other in connection with the statements or omissions which resulted in such losses, claims,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252" w:right="219" w:bottom="1440" w:gutter="0" w:footer="0" w:header="0"/>
        </w:sectPr>
      </w:pPr>
    </w:p>
    <w:bookmarkStart w:id="255" w:name="page256"/>
    <w:bookmarkEnd w:id="255"/>
    <w:p>
      <w:pPr>
        <w:ind w:right="80"/>
        <w:spacing w:after="0" w:line="26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damages or liabilities as well as any other relevant equitable considerations. The relative benefits received by the Company and NCM LLC on the one hand and the Underwriters on the other shall be deemed to be in the same proportion as the total net proceeds from the offering (before deducting expenses) received by the Company and NCM LLC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and NCM LLC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14" w:lineRule="exact"/>
        <w:rPr>
          <w:sz w:val="20"/>
          <w:szCs w:val="20"/>
          <w:color w:val="auto"/>
        </w:rPr>
      </w:pPr>
    </w:p>
    <w:p>
      <w:pPr>
        <w:ind w:right="40" w:firstLine="1496"/>
        <w:spacing w:after="0" w:line="297" w:lineRule="auto"/>
        <w:tabs>
          <w:tab w:leader="none" w:pos="1682" w:val="left"/>
        </w:tabs>
        <w:numPr>
          <w:ilvl w:val="1"/>
          <w:numId w:val="147"/>
        </w:numPr>
        <w:rPr>
          <w:rFonts w:ascii="Arial" w:cs="Arial" w:eastAsia="Arial" w:hAnsi="Arial"/>
          <w:sz w:val="13"/>
          <w:szCs w:val="13"/>
          <w:color w:val="auto"/>
        </w:rPr>
      </w:pPr>
      <w:r>
        <w:rPr>
          <w:rFonts w:ascii="Arial" w:cs="Arial" w:eastAsia="Arial" w:hAnsi="Arial"/>
          <w:sz w:val="13"/>
          <w:szCs w:val="13"/>
          <w:color w:val="auto"/>
        </w:rPr>
        <w:t>The obligations of the Company and NCM LLC under this Section shall be in addition to any liability which the Company or NCM LLC may otherwise have and shall extend, upon the same terms and conditions, to each person, if any, who controls any Underwriter within the meaning of the Act; and the obligations of the Underwriters under this Section shall be in addition to any liability which the respective Underwriters may otherwise have and shall extend, upon the same terms and conditions, to each director of the Company and NCM LLC, to each officer of the Company or NCM LLC who has signed a Registration Statement and to each person, if any, who controls the Company or NCM LLC within the meaning of the Act.</w:t>
      </w:r>
    </w:p>
    <w:p>
      <w:pPr>
        <w:spacing w:after="0" w:line="90" w:lineRule="exact"/>
        <w:rPr>
          <w:rFonts w:ascii="Arial" w:cs="Arial" w:eastAsia="Arial" w:hAnsi="Arial"/>
          <w:sz w:val="13"/>
          <w:szCs w:val="13"/>
          <w:color w:val="auto"/>
        </w:rPr>
      </w:pPr>
    </w:p>
    <w:p>
      <w:pPr>
        <w:ind w:firstLine="924"/>
        <w:spacing w:after="0" w:line="289" w:lineRule="auto"/>
        <w:tabs>
          <w:tab w:leader="none" w:pos="1058" w:val="left"/>
        </w:tabs>
        <w:numPr>
          <w:ilvl w:val="0"/>
          <w:numId w:val="148"/>
        </w:numPr>
        <w:rPr>
          <w:rFonts w:ascii="Arial" w:cs="Arial" w:eastAsia="Arial" w:hAnsi="Arial"/>
          <w:sz w:val="13"/>
          <w:szCs w:val="13"/>
          <w:color w:val="auto"/>
        </w:rPr>
      </w:pPr>
      <w:r>
        <w:rPr>
          <w:rFonts w:ascii="Arial" w:cs="Arial" w:eastAsia="Arial" w:hAnsi="Arial"/>
          <w:sz w:val="13"/>
          <w:szCs w:val="13"/>
          <w:i w:val="1"/>
          <w:iCs w:val="1"/>
          <w:color w:val="auto"/>
        </w:rPr>
        <w:t>Default of Underwriters</w:t>
      </w:r>
      <w:r>
        <w:rPr>
          <w:rFonts w:ascii="Arial" w:cs="Arial" w:eastAsia="Arial" w:hAnsi="Arial"/>
          <w:sz w:val="13"/>
          <w:szCs w:val="13"/>
          <w:color w:val="auto"/>
        </w:rPr>
        <w:t>. If any Underwriter or Underwriters default in their obligations to purchase Offered Securities hereunder on either the First or any Optional Closing Date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aggregate number of shares of Offered Securities that such defaulting Underwriter or Underwriters agreed but failed to purchase does not exceed 10% of the total number of shares of Offered Securities that the Underwriters are obligated to purchase on such Closing Date, Credit Suisse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Credit Suisse and the Company for the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253" w:right="219" w:bottom="1440" w:gutter="0" w:footer="0" w:header="0"/>
        </w:sectPr>
      </w:pPr>
    </w:p>
    <w:bookmarkStart w:id="256" w:name="page257"/>
    <w:bookmarkEnd w:id="256"/>
    <w:p>
      <w:pPr>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purchase of such Offered Securities by other persons are not made within 36 hours after such default, this Agreement will terminate without liability on the part of any non-defaulting Underwriter or the Company, except as provided in Section 11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06" w:lineRule="exact"/>
        <w:rPr>
          <w:sz w:val="20"/>
          <w:szCs w:val="20"/>
          <w:color w:val="auto"/>
        </w:rPr>
      </w:pPr>
    </w:p>
    <w:p>
      <w:pPr>
        <w:ind w:left="1140" w:hanging="216"/>
        <w:spacing w:after="0"/>
        <w:tabs>
          <w:tab w:leader="none" w:pos="11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Reserved</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right="40" w:firstLine="924"/>
        <w:spacing w:after="0" w:line="313" w:lineRule="auto"/>
        <w:tabs>
          <w:tab w:leader="none" w:pos="1124" w:val="left"/>
        </w:tabs>
        <w:numPr>
          <w:ilvl w:val="0"/>
          <w:numId w:val="149"/>
        </w:numPr>
        <w:rPr>
          <w:rFonts w:ascii="Arial" w:cs="Arial" w:eastAsia="Arial" w:hAnsi="Arial"/>
          <w:sz w:val="12"/>
          <w:szCs w:val="12"/>
          <w:color w:val="auto"/>
        </w:rPr>
      </w:pPr>
      <w:r>
        <w:rPr>
          <w:rFonts w:ascii="Arial" w:cs="Arial" w:eastAsia="Arial" w:hAnsi="Arial"/>
          <w:sz w:val="12"/>
          <w:szCs w:val="12"/>
          <w:i w:val="1"/>
          <w:iCs w:val="1"/>
          <w:color w:val="auto"/>
        </w:rPr>
        <w:t>Survival of Certain Representations and Obligations</w:t>
      </w:r>
      <w:r>
        <w:rPr>
          <w:rFonts w:ascii="Arial" w:cs="Arial" w:eastAsia="Arial" w:hAnsi="Arial"/>
          <w:sz w:val="12"/>
          <w:szCs w:val="12"/>
          <w:color w:val="auto"/>
        </w:rPr>
        <w:t>. The respective indemnities, agreements, representations, warranties and other statements of the Company, NCM LLC or their</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officers and of the several Underwriters set forth in or made pursuant to this Agreement will remain in full force and effect, regardless of any investigation, or statement as to the results thereof, made by or on behalf of any Underwriter, the Company, NCM LLC or any of their respective representatives, officers or directors or any controlling person, and will survive delivery of and payment for the Offered Securities. If this Agreement is terminated pursuant to Section 9 or if for any reason the purchase of the Offered Securities by the Underwriters is not consummated, the Company and NCM LLC shall remain jointly and severally responsible for the expenses to be paid or reimbursed by it pursuant to Section 5 and the respective obligations of the Company, NCM LLC and the Underwriters pursuant to Section 8 shall remain in effect, and if any Offered Securities have been purchased hereunder the representations and warranties in Section 2 and all obligations under Section 5 shall also remain in effect. If the purchase of the Offered Securities by the Underwriters is not consummated for any reason other than solely because of the termination of this Agreement pursuant to Section 9 or the occurrence of any event specified in clause (iii), (iv), (v), (vi) or (vii) of Section 7(c), the Company and NCM LLC will jointly and severally reimburse the Underwriters for all out-of-pocket expenses (including the reasonable fees and disbursements of their outside counsel) reasonably incurred by them in connection with the offering of the Offered Securities.</w:t>
      </w:r>
    </w:p>
    <w:p>
      <w:pPr>
        <w:spacing w:after="0" w:line="85" w:lineRule="exact"/>
        <w:rPr>
          <w:rFonts w:ascii="Arial" w:cs="Arial" w:eastAsia="Arial" w:hAnsi="Arial"/>
          <w:sz w:val="12"/>
          <w:szCs w:val="12"/>
          <w:color w:val="auto"/>
        </w:rPr>
      </w:pPr>
    </w:p>
    <w:p>
      <w:pPr>
        <w:ind w:right="40" w:firstLine="924"/>
        <w:spacing w:after="0" w:line="270" w:lineRule="auto"/>
        <w:tabs>
          <w:tab w:leader="none" w:pos="1129" w:val="left"/>
        </w:tabs>
        <w:numPr>
          <w:ilvl w:val="0"/>
          <w:numId w:val="149"/>
        </w:numPr>
        <w:rPr>
          <w:rFonts w:ascii="Arial" w:cs="Arial" w:eastAsia="Arial" w:hAnsi="Arial"/>
          <w:sz w:val="14"/>
          <w:szCs w:val="14"/>
          <w:color w:val="auto"/>
        </w:rPr>
      </w:pPr>
      <w:r>
        <w:rPr>
          <w:rFonts w:ascii="Arial" w:cs="Arial" w:eastAsia="Arial" w:hAnsi="Arial"/>
          <w:sz w:val="14"/>
          <w:szCs w:val="14"/>
          <w:i w:val="1"/>
          <w:iCs w:val="1"/>
          <w:color w:val="auto"/>
        </w:rPr>
        <w:t>Notices</w:t>
      </w:r>
      <w:r>
        <w:rPr>
          <w:rFonts w:ascii="Arial" w:cs="Arial" w:eastAsia="Arial" w:hAnsi="Arial"/>
          <w:sz w:val="14"/>
          <w:szCs w:val="14"/>
          <w:color w:val="auto"/>
        </w:rPr>
        <w:t>. All communications hereunder will be in writing and, if sent to the Underwriters, will be mailed, delivered or telegraphed and confirmed to the Representatives, c/o Credit</w:t>
      </w:r>
      <w:r>
        <w:rPr>
          <w:rFonts w:ascii="Arial" w:cs="Arial" w:eastAsia="Arial" w:hAnsi="Arial"/>
          <w:sz w:val="14"/>
          <w:szCs w:val="14"/>
          <w:i w:val="1"/>
          <w:iCs w:val="1"/>
          <w:color w:val="auto"/>
        </w:rPr>
        <w:t xml:space="preserve"> </w:t>
      </w:r>
      <w:r>
        <w:rPr>
          <w:rFonts w:ascii="Arial" w:cs="Arial" w:eastAsia="Arial" w:hAnsi="Arial"/>
          <w:sz w:val="14"/>
          <w:szCs w:val="14"/>
          <w:color w:val="auto"/>
        </w:rPr>
        <w:t>Suisse Securities (USA) LLC, at Eleven Madison Avenue, New York, N.Y. 10010-3629, Attention: LCD-IBD, or, if sent to the Company or NCM LLC, will be mailed, delivered or telegraphed and confirmed to it at 9110 East Nichols Avenue, Suite 200, Centennial, Colorado 80112-3405, Attention: R. Eugene Hardy; provided, however, that any notice to an Underwriter pursuant to Section 8 will be mailed, delivered or telegraphed and confirmed to such Underwriter.</w:t>
      </w:r>
    </w:p>
    <w:p>
      <w:pPr>
        <w:spacing w:after="0" w:line="106" w:lineRule="exact"/>
        <w:rPr>
          <w:rFonts w:ascii="Arial" w:cs="Arial" w:eastAsia="Arial" w:hAnsi="Arial"/>
          <w:sz w:val="14"/>
          <w:szCs w:val="14"/>
          <w:color w:val="auto"/>
        </w:rPr>
      </w:pPr>
    </w:p>
    <w:p>
      <w:pPr>
        <w:jc w:val="both"/>
        <w:ind w:right="180" w:firstLine="924"/>
        <w:spacing w:after="0" w:line="275" w:lineRule="auto"/>
        <w:tabs>
          <w:tab w:leader="none" w:pos="1129" w:val="left"/>
        </w:tabs>
        <w:numPr>
          <w:ilvl w:val="0"/>
          <w:numId w:val="149"/>
        </w:numPr>
        <w:rPr>
          <w:rFonts w:ascii="Arial" w:cs="Arial" w:eastAsia="Arial" w:hAnsi="Arial"/>
          <w:sz w:val="14"/>
          <w:szCs w:val="14"/>
          <w:color w:val="auto"/>
        </w:rPr>
      </w:pPr>
      <w:r>
        <w:rPr>
          <w:rFonts w:ascii="Arial" w:cs="Arial" w:eastAsia="Arial" w:hAnsi="Arial"/>
          <w:sz w:val="14"/>
          <w:szCs w:val="14"/>
          <w:i w:val="1"/>
          <w:iCs w:val="1"/>
          <w:color w:val="auto"/>
        </w:rPr>
        <w:t>Successors</w:t>
      </w:r>
      <w:r>
        <w:rPr>
          <w:rFonts w:ascii="Arial" w:cs="Arial" w:eastAsia="Arial" w:hAnsi="Arial"/>
          <w:sz w:val="14"/>
          <w:szCs w:val="14"/>
          <w:color w:val="auto"/>
        </w:rPr>
        <w:t>. This Agreement will inure solely to the benefit of and be binding upon the parties hereto and their respective successors and assigns and the officers and directors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controlling persons referred to in Section 8, and no other person will have any right or obligation hereunder. No purchaser of Offered Securities from any Underwriter shall be deemed a successor by reason merely of such purchase.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40"/>
          </w:cols>
          <w:pgMar w:left="220" w:top="252" w:right="239" w:bottom="1440" w:gutter="0" w:footer="0" w:header="0"/>
        </w:sectPr>
      </w:pPr>
    </w:p>
    <w:bookmarkStart w:id="257" w:name="page258"/>
    <w:bookmarkEnd w:id="257"/>
    <w:p>
      <w:pPr>
        <w:ind w:right="380" w:firstLine="924"/>
        <w:spacing w:after="0" w:line="289" w:lineRule="auto"/>
        <w:tabs>
          <w:tab w:leader="none" w:pos="1129" w:val="left"/>
        </w:tabs>
        <w:numPr>
          <w:ilvl w:val="0"/>
          <w:numId w:val="150"/>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Representation of Underwriters</w:t>
      </w:r>
      <w:r>
        <w:rPr>
          <w:rFonts w:ascii="Arial" w:cs="Arial" w:eastAsia="Arial" w:hAnsi="Arial"/>
          <w:sz w:val="14"/>
          <w:szCs w:val="14"/>
          <w:color w:val="auto"/>
        </w:rPr>
        <w:t>. The Representatives will act for the several Underwriters in connection with this financing, and any action under this Agreement taken by the</w:t>
      </w:r>
      <w:r>
        <w:rPr>
          <w:rFonts w:ascii="Arial" w:cs="Arial" w:eastAsia="Arial" w:hAnsi="Arial"/>
          <w:sz w:val="14"/>
          <w:szCs w:val="14"/>
          <w:i w:val="1"/>
          <w:iCs w:val="1"/>
          <w:color w:val="auto"/>
        </w:rPr>
        <w:t xml:space="preserve"> </w:t>
      </w:r>
      <w:r>
        <w:rPr>
          <w:rFonts w:ascii="Arial" w:cs="Arial" w:eastAsia="Arial" w:hAnsi="Arial"/>
          <w:sz w:val="14"/>
          <w:szCs w:val="14"/>
          <w:color w:val="auto"/>
        </w:rPr>
        <w:t>Representatives will be binding upon all the Underwriters.</w:t>
      </w:r>
    </w:p>
    <w:p>
      <w:pPr>
        <w:spacing w:after="0" w:line="93" w:lineRule="exact"/>
        <w:rPr>
          <w:rFonts w:ascii="Arial" w:cs="Arial" w:eastAsia="Arial" w:hAnsi="Arial"/>
          <w:sz w:val="14"/>
          <w:szCs w:val="14"/>
          <w:color w:val="auto"/>
        </w:rPr>
      </w:pPr>
    </w:p>
    <w:p>
      <w:pPr>
        <w:ind w:right="180" w:firstLine="924"/>
        <w:spacing w:after="0" w:line="289" w:lineRule="auto"/>
        <w:tabs>
          <w:tab w:leader="none" w:pos="1129" w:val="left"/>
        </w:tabs>
        <w:numPr>
          <w:ilvl w:val="0"/>
          <w:numId w:val="150"/>
        </w:numPr>
        <w:rPr>
          <w:rFonts w:ascii="Arial" w:cs="Arial" w:eastAsia="Arial" w:hAnsi="Arial"/>
          <w:sz w:val="14"/>
          <w:szCs w:val="14"/>
          <w:color w:val="auto"/>
        </w:rPr>
      </w:pPr>
      <w:r>
        <w:rPr>
          <w:rFonts w:ascii="Arial" w:cs="Arial" w:eastAsia="Arial" w:hAnsi="Arial"/>
          <w:sz w:val="14"/>
          <w:szCs w:val="14"/>
          <w:i w:val="1"/>
          <w:iCs w:val="1"/>
          <w:color w:val="auto"/>
        </w:rPr>
        <w:t>Counterparts</w:t>
      </w:r>
      <w:r>
        <w:rPr>
          <w:rFonts w:ascii="Arial" w:cs="Arial" w:eastAsia="Arial" w:hAnsi="Arial"/>
          <w:sz w:val="14"/>
          <w:szCs w:val="14"/>
          <w:color w:val="auto"/>
        </w:rPr>
        <w:t>. This Agreement may be executed in any number of counterparts, each of which shall be deemed to be an original, but all such counterparts shall together constitute</w:t>
      </w:r>
      <w:r>
        <w:rPr>
          <w:rFonts w:ascii="Arial" w:cs="Arial" w:eastAsia="Arial" w:hAnsi="Arial"/>
          <w:sz w:val="14"/>
          <w:szCs w:val="14"/>
          <w:i w:val="1"/>
          <w:iCs w:val="1"/>
          <w:color w:val="auto"/>
        </w:rPr>
        <w:t xml:space="preserve"> </w:t>
      </w:r>
      <w:r>
        <w:rPr>
          <w:rFonts w:ascii="Arial" w:cs="Arial" w:eastAsia="Arial" w:hAnsi="Arial"/>
          <w:sz w:val="14"/>
          <w:szCs w:val="14"/>
          <w:color w:val="auto"/>
        </w:rPr>
        <w:t>one and the same Agreement.</w:t>
      </w:r>
    </w:p>
    <w:p>
      <w:pPr>
        <w:spacing w:after="0" w:line="93" w:lineRule="exact"/>
        <w:rPr>
          <w:rFonts w:ascii="Arial" w:cs="Arial" w:eastAsia="Arial" w:hAnsi="Arial"/>
          <w:sz w:val="14"/>
          <w:szCs w:val="14"/>
          <w:color w:val="auto"/>
        </w:rPr>
      </w:pPr>
    </w:p>
    <w:p>
      <w:pPr>
        <w:ind w:left="1140" w:hanging="216"/>
        <w:spacing w:after="0"/>
        <w:tabs>
          <w:tab w:leader="none" w:pos="1140" w:val="left"/>
        </w:tabs>
        <w:numPr>
          <w:ilvl w:val="0"/>
          <w:numId w:val="150"/>
        </w:numPr>
        <w:rPr>
          <w:rFonts w:ascii="Arial" w:cs="Arial" w:eastAsia="Arial" w:hAnsi="Arial"/>
          <w:sz w:val="14"/>
          <w:szCs w:val="14"/>
          <w:color w:val="auto"/>
        </w:rPr>
      </w:pPr>
      <w:r>
        <w:rPr>
          <w:rFonts w:ascii="Arial" w:cs="Arial" w:eastAsia="Arial" w:hAnsi="Arial"/>
          <w:sz w:val="14"/>
          <w:szCs w:val="14"/>
          <w:i w:val="1"/>
          <w:iCs w:val="1"/>
          <w:color w:val="auto"/>
        </w:rPr>
        <w:t>Absence of Fiduciary Relationship</w:t>
      </w:r>
      <w:r>
        <w:rPr>
          <w:rFonts w:ascii="Arial" w:cs="Arial" w:eastAsia="Arial" w:hAnsi="Arial"/>
          <w:sz w:val="14"/>
          <w:szCs w:val="14"/>
          <w:color w:val="auto"/>
        </w:rPr>
        <w:t>. The Company and NCM LLC acknowledge and agree that:</w:t>
      </w:r>
    </w:p>
    <w:p>
      <w:pPr>
        <w:spacing w:after="0" w:line="79" w:lineRule="exact"/>
        <w:rPr>
          <w:rFonts w:ascii="Arial" w:cs="Arial" w:eastAsia="Arial" w:hAnsi="Arial"/>
          <w:sz w:val="14"/>
          <w:szCs w:val="14"/>
          <w:color w:val="auto"/>
        </w:rPr>
      </w:pPr>
    </w:p>
    <w:p>
      <w:pPr>
        <w:ind w:firstLine="1496"/>
        <w:spacing w:after="0" w:line="275" w:lineRule="auto"/>
        <w:tabs>
          <w:tab w:leader="none" w:pos="1682" w:val="left"/>
        </w:tabs>
        <w:numPr>
          <w:ilvl w:val="1"/>
          <w:numId w:val="150"/>
        </w:numPr>
        <w:rPr>
          <w:rFonts w:ascii="Arial" w:cs="Arial" w:eastAsia="Arial" w:hAnsi="Arial"/>
          <w:sz w:val="14"/>
          <w:szCs w:val="14"/>
          <w:color w:val="auto"/>
        </w:rPr>
      </w:pPr>
      <w:r>
        <w:rPr>
          <w:rFonts w:ascii="Arial" w:cs="Arial" w:eastAsia="Arial" w:hAnsi="Arial"/>
          <w:sz w:val="14"/>
          <w:szCs w:val="14"/>
          <w:color w:val="auto"/>
        </w:rPr>
        <w:t>the Representatives have been retained solely to act as underwriters in connection with the sale of Offered Securities and that no fiduciary, advisory or agency relationship between the Company and NCM LLC, on one hand, and the Representatives, on the other hand, has been created in respect of any of the transactions contemplated by this Agreement or the Prospectus, irrespective of whether the Representatives have advised or are advising the Company or NCM LLC on other matters;</w:t>
      </w:r>
    </w:p>
    <w:p>
      <w:pPr>
        <w:spacing w:after="0" w:line="102" w:lineRule="exact"/>
        <w:rPr>
          <w:rFonts w:ascii="Arial" w:cs="Arial" w:eastAsia="Arial" w:hAnsi="Arial"/>
          <w:sz w:val="14"/>
          <w:szCs w:val="14"/>
          <w:color w:val="auto"/>
        </w:rPr>
      </w:pPr>
    </w:p>
    <w:p>
      <w:pPr>
        <w:ind w:right="620" w:firstLine="1496"/>
        <w:spacing w:after="0" w:line="378" w:lineRule="auto"/>
        <w:tabs>
          <w:tab w:leader="none" w:pos="1690" w:val="left"/>
        </w:tabs>
        <w:numPr>
          <w:ilvl w:val="1"/>
          <w:numId w:val="150"/>
        </w:numPr>
        <w:rPr>
          <w:rFonts w:ascii="Arial" w:cs="Arial" w:eastAsia="Arial" w:hAnsi="Arial"/>
          <w:sz w:val="12"/>
          <w:szCs w:val="12"/>
          <w:color w:val="auto"/>
        </w:rPr>
      </w:pPr>
      <w:r>
        <w:rPr>
          <w:rFonts w:ascii="Arial" w:cs="Arial" w:eastAsia="Arial" w:hAnsi="Arial"/>
          <w:sz w:val="12"/>
          <w:szCs w:val="12"/>
          <w:color w:val="auto"/>
        </w:rPr>
        <w:t>the price of the Offered Securities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46" w:lineRule="exact"/>
        <w:rPr>
          <w:rFonts w:ascii="Arial" w:cs="Arial" w:eastAsia="Arial" w:hAnsi="Arial"/>
          <w:sz w:val="12"/>
          <w:szCs w:val="12"/>
          <w:color w:val="auto"/>
        </w:rPr>
      </w:pPr>
    </w:p>
    <w:p>
      <w:pPr>
        <w:jc w:val="both"/>
        <w:ind w:right="180" w:firstLine="1496"/>
        <w:spacing w:after="0" w:line="275" w:lineRule="auto"/>
        <w:tabs>
          <w:tab w:leader="none" w:pos="1682" w:val="left"/>
        </w:tabs>
        <w:numPr>
          <w:ilvl w:val="1"/>
          <w:numId w:val="150"/>
        </w:numPr>
        <w:rPr>
          <w:rFonts w:ascii="Arial" w:cs="Arial" w:eastAsia="Arial" w:hAnsi="Arial"/>
          <w:sz w:val="14"/>
          <w:szCs w:val="14"/>
          <w:color w:val="auto"/>
        </w:rPr>
      </w:pPr>
      <w:r>
        <w:rPr>
          <w:rFonts w:ascii="Arial" w:cs="Arial" w:eastAsia="Arial" w:hAnsi="Arial"/>
          <w:sz w:val="14"/>
          <w:szCs w:val="14"/>
          <w:color w:val="auto"/>
        </w:rPr>
        <w:t>the Company and NCM LLC have been advised that their Representatives and their respective affiliates are engaged in a broad range of transactions which may involve interests that differ from those of the Company and NCM LLC and that the Representatives have no obligation to disclose such interests and transactions to the Company and NCM LLC by virtue of any fiduciary, advisory or agency relationship; and</w:t>
      </w:r>
    </w:p>
    <w:p>
      <w:pPr>
        <w:spacing w:after="0" w:line="102" w:lineRule="exact"/>
        <w:rPr>
          <w:rFonts w:ascii="Arial" w:cs="Arial" w:eastAsia="Arial" w:hAnsi="Arial"/>
          <w:sz w:val="14"/>
          <w:szCs w:val="14"/>
          <w:color w:val="auto"/>
        </w:rPr>
      </w:pPr>
    </w:p>
    <w:p>
      <w:pPr>
        <w:ind w:right="160" w:firstLine="1496"/>
        <w:spacing w:after="0" w:line="305" w:lineRule="auto"/>
        <w:tabs>
          <w:tab w:leader="none" w:pos="1690" w:val="left"/>
        </w:tabs>
        <w:numPr>
          <w:ilvl w:val="1"/>
          <w:numId w:val="150"/>
        </w:numPr>
        <w:rPr>
          <w:rFonts w:ascii="Arial" w:cs="Arial" w:eastAsia="Arial" w:hAnsi="Arial"/>
          <w:sz w:val="13"/>
          <w:szCs w:val="13"/>
          <w:color w:val="auto"/>
        </w:rPr>
      </w:pPr>
      <w:r>
        <w:rPr>
          <w:rFonts w:ascii="Arial" w:cs="Arial" w:eastAsia="Arial" w:hAnsi="Arial"/>
          <w:sz w:val="13"/>
          <w:szCs w:val="13"/>
          <w:color w:val="auto"/>
        </w:rPr>
        <w:t>the Company and NCM LLC waive, to the fullest extent permitted by law, any claims it may have against the Representatives for breach of fiduciary duty or alleged breach of fiduciary duty and agrees that the Representatives shall have no liability (whether direct or indirect) to the Company or NCM LLC in respect of such a fiduciary duty claim or to any person asserting a fiduciary duty claim on behalf of or in right of the Company or NCM LLC, including stockholders, employees or creditors of the Company and NCM LLC.</w:t>
      </w:r>
    </w:p>
    <w:p>
      <w:pPr>
        <w:spacing w:after="0" w:line="81" w:lineRule="exact"/>
        <w:rPr>
          <w:rFonts w:ascii="Arial" w:cs="Arial" w:eastAsia="Arial" w:hAnsi="Arial"/>
          <w:sz w:val="13"/>
          <w:szCs w:val="13"/>
          <w:color w:val="auto"/>
        </w:rPr>
      </w:pPr>
    </w:p>
    <w:p>
      <w:pPr>
        <w:ind w:left="1140" w:hanging="216"/>
        <w:spacing w:after="0"/>
        <w:tabs>
          <w:tab w:leader="none" w:pos="1140"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Applicable Law</w:t>
      </w:r>
      <w:r>
        <w:rPr>
          <w:rFonts w:ascii="Arial" w:cs="Arial" w:eastAsia="Arial" w:hAnsi="Arial"/>
          <w:sz w:val="13"/>
          <w:szCs w:val="13"/>
          <w:b w:val="1"/>
          <w:bCs w:val="1"/>
          <w:color w:val="auto"/>
        </w:rPr>
        <w:t>. This Agreement shall be governed by, and construed in accordance with, the laws of the State of New York, without regard to principles of conflicts of</w:t>
      </w:r>
    </w:p>
    <w:p>
      <w:pPr>
        <w:spacing w:after="0" w:line="35"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b w:val="1"/>
          <w:bCs w:val="1"/>
          <w:color w:val="auto"/>
        </w:rPr>
        <w:t>laws.</w:t>
      </w:r>
    </w:p>
    <w:p>
      <w:pPr>
        <w:spacing w:after="0" w:line="139" w:lineRule="exact"/>
        <w:rPr>
          <w:sz w:val="20"/>
          <w:szCs w:val="20"/>
          <w:color w:val="auto"/>
        </w:rPr>
      </w:pPr>
    </w:p>
    <w:p>
      <w:pPr>
        <w:ind w:right="420" w:firstLine="916"/>
        <w:spacing w:after="0" w:line="289" w:lineRule="auto"/>
        <w:rPr>
          <w:sz w:val="20"/>
          <w:szCs w:val="20"/>
          <w:color w:val="auto"/>
        </w:rPr>
      </w:pPr>
      <w:r>
        <w:rPr>
          <w:rFonts w:ascii="Arial" w:cs="Arial" w:eastAsia="Arial" w:hAnsi="Arial"/>
          <w:sz w:val="14"/>
          <w:szCs w:val="14"/>
          <w:color w:val="auto"/>
        </w:rPr>
        <w:t>The Company and NCM LLC hereby submit to the non-exclusive jurisdiction of the Federal and state courts in the Borough of Manhattan in The City of New York in any suit or proceeding arising out of or relating to this Agreement or the transactions contemplated hereby.</w:t>
      </w:r>
    </w:p>
    <w:p>
      <w:pPr>
        <w:spacing w:after="0" w:line="93" w:lineRule="exact"/>
        <w:rPr>
          <w:sz w:val="20"/>
          <w:szCs w:val="20"/>
          <w:color w:val="auto"/>
        </w:rPr>
      </w:pPr>
    </w:p>
    <w:p>
      <w:pPr>
        <w:ind w:right="400" w:firstLine="916"/>
        <w:spacing w:after="0" w:line="289" w:lineRule="auto"/>
        <w:rPr>
          <w:sz w:val="20"/>
          <w:szCs w:val="20"/>
          <w:color w:val="auto"/>
        </w:rPr>
      </w:pPr>
      <w:r>
        <w:rPr>
          <w:rFonts w:ascii="Arial" w:cs="Arial" w:eastAsia="Arial" w:hAnsi="Arial"/>
          <w:sz w:val="14"/>
          <w:szCs w:val="14"/>
          <w:color w:val="auto"/>
        </w:rPr>
        <w:t>If the foregoing is in accordance with the Representatives’ understanding of our agreement, kindly sign and return to the Company and NCM LLC one of the counterparts hereof, whereupon it will become a binding agreement between the Company and the several Underwriters in accordance with its terms.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40"/>
          </w:cols>
          <w:pgMar w:left="220" w:top="252" w:right="239" w:bottom="1440" w:gutter="0" w:footer="0" w:header="0"/>
        </w:sectPr>
      </w:pPr>
    </w:p>
    <w:bookmarkStart w:id="258" w:name="page259"/>
    <w:bookmarkEnd w:id="258"/>
    <w:p>
      <w:pPr>
        <w:ind w:left="68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Very truly yours,</w:t>
      </w:r>
    </w:p>
    <w:p>
      <w:pPr>
        <w:spacing w:after="0" w:line="189"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NATIONAL CINEMEDIA, INC.</w:t>
      </w:r>
    </w:p>
    <w:p>
      <w:pPr>
        <w:spacing w:after="0" w:line="189"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6350</wp:posOffset>
            </wp:positionV>
            <wp:extent cx="252603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Title:</w:t>
      </w:r>
    </w:p>
    <w:p>
      <w:pPr>
        <w:spacing w:after="0" w:line="18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NATIONAL CINEMEDIA, LLC</w:t>
      </w:r>
    </w:p>
    <w:p>
      <w:pPr>
        <w:spacing w:after="0" w:line="189"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6350</wp:posOffset>
            </wp:positionV>
            <wp:extent cx="252603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 foregoing Underwriting Agreement is hereby confirmed and accepted as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the date first above written.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REDIT</w:t>
      </w:r>
      <w:r>
        <w:rPr>
          <w:rFonts w:ascii="Arial" w:cs="Arial" w:eastAsia="Arial" w:hAnsi="Arial"/>
          <w:sz w:val="14"/>
          <w:szCs w:val="14"/>
          <w:color w:val="auto"/>
        </w:rPr>
        <w:t xml:space="preserve"> S</w:t>
      </w:r>
      <w:r>
        <w:rPr>
          <w:rFonts w:ascii="Arial" w:cs="Arial" w:eastAsia="Arial" w:hAnsi="Arial"/>
          <w:sz w:val="11"/>
          <w:szCs w:val="11"/>
          <w:color w:val="auto"/>
        </w:rPr>
        <w:t>UISSE</w:t>
      </w:r>
      <w:r>
        <w:rPr>
          <w:rFonts w:ascii="Arial" w:cs="Arial" w:eastAsia="Arial" w:hAnsi="Arial"/>
          <w:sz w:val="14"/>
          <w:szCs w:val="14"/>
          <w:color w:val="auto"/>
        </w:rPr>
        <w:t xml:space="preserve"> S</w:t>
      </w:r>
      <w:r>
        <w:rPr>
          <w:rFonts w:ascii="Arial" w:cs="Arial" w:eastAsia="Arial" w:hAnsi="Arial"/>
          <w:sz w:val="11"/>
          <w:szCs w:val="11"/>
          <w:color w:val="auto"/>
        </w:rPr>
        <w:t>ECURITIES</w:t>
      </w:r>
      <w:r>
        <w:rPr>
          <w:rFonts w:ascii="Arial" w:cs="Arial" w:eastAsia="Arial" w:hAnsi="Arial"/>
          <w:sz w:val="14"/>
          <w:szCs w:val="14"/>
          <w:color w:val="auto"/>
        </w:rPr>
        <w:t xml:space="preserve"> (USA)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J.P. 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ECURITIES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EHMAN</w:t>
      </w:r>
      <w:r>
        <w:rPr>
          <w:rFonts w:ascii="Arial" w:cs="Arial" w:eastAsia="Arial" w:hAnsi="Arial"/>
          <w:sz w:val="14"/>
          <w:szCs w:val="14"/>
          <w:color w:val="auto"/>
        </w:rPr>
        <w:t xml:space="preserve"> B</w:t>
      </w:r>
      <w:r>
        <w:rPr>
          <w:rFonts w:ascii="Arial" w:cs="Arial" w:eastAsia="Arial" w:hAnsi="Arial"/>
          <w:sz w:val="11"/>
          <w:szCs w:val="11"/>
          <w:color w:val="auto"/>
        </w:rPr>
        <w:t>ROTHERS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TANLEY</w:t>
      </w:r>
      <w:r>
        <w:rPr>
          <w:rFonts w:ascii="Arial" w:cs="Arial" w:eastAsia="Arial" w:hAnsi="Arial"/>
          <w:sz w:val="14"/>
          <w:szCs w:val="14"/>
          <w:color w:val="auto"/>
        </w:rPr>
        <w:t xml:space="preserve"> &amp; C</w:t>
      </w:r>
      <w:r>
        <w:rPr>
          <w:rFonts w:ascii="Arial" w:cs="Arial" w:eastAsia="Arial" w:hAnsi="Arial"/>
          <w:sz w:val="11"/>
          <w:szCs w:val="11"/>
          <w:color w:val="auto"/>
        </w:rPr>
        <w:t>O</w:t>
      </w:r>
      <w:r>
        <w:rPr>
          <w:rFonts w:ascii="Arial" w:cs="Arial" w:eastAsia="Arial" w:hAnsi="Arial"/>
          <w:sz w:val="14"/>
          <w:szCs w:val="14"/>
          <w:color w:val="auto"/>
        </w:rPr>
        <w:t>. I</w:t>
      </w:r>
      <w:r>
        <w:rPr>
          <w:rFonts w:ascii="Arial" w:cs="Arial" w:eastAsia="Arial" w:hAnsi="Arial"/>
          <w:sz w:val="11"/>
          <w:szCs w:val="11"/>
          <w:color w:val="auto"/>
        </w:rPr>
        <w:t>NCORPORATED</w:t>
      </w:r>
      <w:r>
        <w:rPr>
          <w:rFonts w:ascii="Arial" w:cs="Arial" w:eastAsia="Arial" w:hAnsi="Arial"/>
          <w:sz w:val="14"/>
          <w:szCs w:val="14"/>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Acting on behalf of themselves and as the Representatives of the several</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Underwriters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By C</w:t>
      </w:r>
      <w:r>
        <w:rPr>
          <w:rFonts w:ascii="Arial" w:cs="Arial" w:eastAsia="Arial" w:hAnsi="Arial"/>
          <w:sz w:val="11"/>
          <w:szCs w:val="11"/>
          <w:color w:val="auto"/>
        </w:rPr>
        <w:t>REDIT</w:t>
      </w:r>
      <w:r>
        <w:rPr>
          <w:rFonts w:ascii="Arial" w:cs="Arial" w:eastAsia="Arial" w:hAnsi="Arial"/>
          <w:sz w:val="14"/>
          <w:szCs w:val="14"/>
          <w:color w:val="auto"/>
        </w:rPr>
        <w:t xml:space="preserve"> S</w:t>
      </w:r>
      <w:r>
        <w:rPr>
          <w:rFonts w:ascii="Arial" w:cs="Arial" w:eastAsia="Arial" w:hAnsi="Arial"/>
          <w:sz w:val="11"/>
          <w:szCs w:val="11"/>
          <w:color w:val="auto"/>
        </w:rPr>
        <w:t>UISSE</w:t>
      </w:r>
      <w:r>
        <w:rPr>
          <w:rFonts w:ascii="Arial" w:cs="Arial" w:eastAsia="Arial" w:hAnsi="Arial"/>
          <w:sz w:val="14"/>
          <w:szCs w:val="14"/>
          <w:color w:val="auto"/>
        </w:rPr>
        <w:t xml:space="preserve"> S</w:t>
      </w:r>
      <w:r>
        <w:rPr>
          <w:rFonts w:ascii="Arial" w:cs="Arial" w:eastAsia="Arial" w:hAnsi="Arial"/>
          <w:sz w:val="11"/>
          <w:szCs w:val="11"/>
          <w:color w:val="auto"/>
        </w:rPr>
        <w:t>ECURITIES</w:t>
      </w:r>
      <w:r>
        <w:rPr>
          <w:rFonts w:ascii="Arial" w:cs="Arial" w:eastAsia="Arial" w:hAnsi="Arial"/>
          <w:sz w:val="14"/>
          <w:szCs w:val="14"/>
          <w:color w:val="auto"/>
        </w:rPr>
        <w:t xml:space="preserve"> (USA) LLC</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6350</wp:posOffset>
            </wp:positionV>
            <wp:extent cx="249809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98090"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By J.P. 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ECURITIES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6350</wp:posOffset>
            </wp:positionV>
            <wp:extent cx="249809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98090"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By L</w:t>
      </w:r>
      <w:r>
        <w:rPr>
          <w:rFonts w:ascii="Arial" w:cs="Arial" w:eastAsia="Arial" w:hAnsi="Arial"/>
          <w:sz w:val="11"/>
          <w:szCs w:val="11"/>
          <w:color w:val="auto"/>
        </w:rPr>
        <w:t>EHMAN</w:t>
      </w:r>
      <w:r>
        <w:rPr>
          <w:rFonts w:ascii="Arial" w:cs="Arial" w:eastAsia="Arial" w:hAnsi="Arial"/>
          <w:sz w:val="14"/>
          <w:szCs w:val="14"/>
          <w:color w:val="auto"/>
        </w:rPr>
        <w:t xml:space="preserve"> B</w:t>
      </w:r>
      <w:r>
        <w:rPr>
          <w:rFonts w:ascii="Arial" w:cs="Arial" w:eastAsia="Arial" w:hAnsi="Arial"/>
          <w:sz w:val="11"/>
          <w:szCs w:val="11"/>
          <w:color w:val="auto"/>
        </w:rPr>
        <w:t>ROTHERS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6350</wp:posOffset>
            </wp:positionV>
            <wp:extent cx="249809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98090"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239"/>
          </w:cols>
          <w:pgMar w:left="220" w:top="252" w:right="1440"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By 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TANLEY</w:t>
      </w:r>
      <w:r>
        <w:rPr>
          <w:rFonts w:ascii="Arial" w:cs="Arial" w:eastAsia="Arial" w:hAnsi="Arial"/>
          <w:sz w:val="14"/>
          <w:szCs w:val="14"/>
          <w:color w:val="auto"/>
        </w:rPr>
        <w:t xml:space="preserve"> &amp; C</w:t>
      </w:r>
      <w:r>
        <w:rPr>
          <w:rFonts w:ascii="Arial" w:cs="Arial" w:eastAsia="Arial" w:hAnsi="Arial"/>
          <w:sz w:val="11"/>
          <w:szCs w:val="11"/>
          <w:color w:val="auto"/>
        </w:rPr>
        <w:t>O</w:t>
      </w:r>
      <w:r>
        <w:rPr>
          <w:rFonts w:ascii="Arial" w:cs="Arial" w:eastAsia="Arial" w:hAnsi="Arial"/>
          <w:sz w:val="14"/>
          <w:szCs w:val="14"/>
          <w:color w:val="auto"/>
        </w:rPr>
        <w:t>. I</w:t>
      </w:r>
      <w:r>
        <w:rPr>
          <w:rFonts w:ascii="Arial" w:cs="Arial" w:eastAsia="Arial" w:hAnsi="Arial"/>
          <w:sz w:val="11"/>
          <w:szCs w:val="11"/>
          <w:color w:val="auto"/>
        </w:rPr>
        <w:t>NCORPORATED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6350</wp:posOffset>
            </wp:positionV>
            <wp:extent cx="249809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98090"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2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239"/>
          </w:cols>
          <w:pgMar w:left="220" w:top="252" w:right="1440"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7360" w:type="dxa"/>
            <w:vAlign w:val="bottom"/>
            <w:gridSpan w:val="4"/>
          </w:tcPr>
          <w:p>
            <w:pPr>
              <w:ind w:left="1160"/>
              <w:spacing w:after="0"/>
              <w:rPr>
                <w:sz w:val="20"/>
                <w:szCs w:val="20"/>
                <w:color w:val="auto"/>
              </w:rPr>
            </w:pPr>
            <w:r>
              <w:rPr>
                <w:rFonts w:ascii="Arial" w:cs="Arial" w:eastAsia="Arial" w:hAnsi="Arial"/>
                <w:sz w:val="14"/>
                <w:szCs w:val="14"/>
                <w:b w:val="1"/>
                <w:bCs w:val="1"/>
                <w:color w:val="auto"/>
              </w:rPr>
              <w:t>SCHEDULE A</w:t>
            </w:r>
          </w:p>
        </w:tc>
        <w:tc>
          <w:tcPr>
            <w:tcW w:w="0" w:type="dxa"/>
            <w:vAlign w:val="bottom"/>
          </w:tcPr>
          <w:p>
            <w:pPr>
              <w:spacing w:after="0"/>
              <w:rPr>
                <w:sz w:val="1"/>
                <w:szCs w:val="1"/>
                <w:color w:val="auto"/>
              </w:rPr>
            </w:pPr>
          </w:p>
        </w:tc>
      </w:tr>
      <w:tr>
        <w:trPr>
          <w:trHeight w:val="275"/>
        </w:trPr>
        <w:tc>
          <w:tcPr>
            <w:tcW w:w="4120" w:type="dxa"/>
            <w:vAlign w:val="bottom"/>
            <w:vMerge w:val="restart"/>
          </w:tcPr>
          <w:p>
            <w:pPr>
              <w:spacing w:after="0"/>
              <w:rPr>
                <w:sz w:val="20"/>
                <w:szCs w:val="20"/>
                <w:color w:val="auto"/>
              </w:rPr>
            </w:pPr>
            <w:r>
              <w:rPr>
                <w:rFonts w:ascii="Arial" w:cs="Arial" w:eastAsia="Arial" w:hAnsi="Arial"/>
                <w:sz w:val="11"/>
                <w:szCs w:val="11"/>
                <w:b w:val="1"/>
                <w:bCs w:val="1"/>
                <w:color w:val="auto"/>
              </w:rPr>
              <w:t>Underwriter</w:t>
            </w:r>
          </w:p>
        </w:tc>
        <w:tc>
          <w:tcPr>
            <w:tcW w:w="49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[Number of]</w:t>
            </w:r>
          </w:p>
        </w:tc>
        <w:tc>
          <w:tcPr>
            <w:tcW w:w="0" w:type="dxa"/>
            <w:vAlign w:val="bottom"/>
          </w:tcPr>
          <w:p>
            <w:pPr>
              <w:spacing w:after="0"/>
              <w:rPr>
                <w:sz w:val="1"/>
                <w:szCs w:val="1"/>
                <w:color w:val="auto"/>
              </w:rPr>
            </w:pPr>
          </w:p>
        </w:tc>
      </w:tr>
      <w:tr>
        <w:trPr>
          <w:trHeight w:val="140"/>
        </w:trPr>
        <w:tc>
          <w:tcPr>
            <w:tcW w:w="4120" w:type="dxa"/>
            <w:vAlign w:val="bottom"/>
            <w:tcBorders>
              <w:bottom w:val="single" w:sz="8" w:color="auto"/>
            </w:tcBorders>
            <w:vMerge w:val="continue"/>
          </w:tcPr>
          <w:p>
            <w:pPr>
              <w:spacing w:after="0"/>
              <w:rPr>
                <w:sz w:val="12"/>
                <w:szCs w:val="12"/>
                <w:color w:val="auto"/>
              </w:rPr>
            </w:pPr>
          </w:p>
        </w:tc>
        <w:tc>
          <w:tcPr>
            <w:tcW w:w="494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90"/>
              </w:rPr>
              <w:t>Firm Securities</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Credit Suisse Securities (USA) LLC</w:t>
            </w:r>
          </w:p>
        </w:tc>
        <w:tc>
          <w:tcPr>
            <w:tcW w:w="6060" w:type="dxa"/>
            <w:vAlign w:val="bottom"/>
            <w:gridSpan w:val="2"/>
          </w:tcPr>
          <w:p>
            <w:pPr>
              <w:spacing w:after="0"/>
              <w:rPr>
                <w:sz w:val="14"/>
                <w:szCs w:val="14"/>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__________________</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120" w:type="dxa"/>
            <w:vAlign w:val="bottom"/>
          </w:tcPr>
          <w:p>
            <w:pPr>
              <w:spacing w:after="0"/>
              <w:rPr>
                <w:sz w:val="20"/>
                <w:szCs w:val="20"/>
                <w:color w:val="auto"/>
              </w:rPr>
            </w:pPr>
            <w:r>
              <w:rPr>
                <w:rFonts w:ascii="Arial" w:cs="Arial" w:eastAsia="Arial" w:hAnsi="Arial"/>
                <w:sz w:val="14"/>
                <w:szCs w:val="14"/>
                <w:color w:val="auto"/>
              </w:rPr>
              <w:t>J.P. Morgan Securities Inc.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Lehman Brothers Inc.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Morgan Stanley &amp; Co. Incorporated</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AGM Securities LLC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Allen &amp; Company LLC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Banc of America Securities LLC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Bear, Stearns &amp; Co. Inc.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Citigroup Global Markets Inc.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Deutsche Bank Securities Inc.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Goldman, Sachs &amp; Co</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Merrill Lynch, Pierce, Fenner &amp; Smith Incorporated</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Arial" w:cs="Arial" w:eastAsia="Arial" w:hAnsi="Arial"/>
                <w:sz w:val="14"/>
                <w:szCs w:val="14"/>
                <w:color w:val="auto"/>
              </w:rPr>
              <w:t>UBS Securities LLC</w:t>
            </w:r>
          </w:p>
        </w:tc>
        <w:tc>
          <w:tcPr>
            <w:tcW w:w="7360" w:type="dxa"/>
            <w:vAlign w:val="bottom"/>
            <w:gridSpan w:val="4"/>
          </w:tcPr>
          <w:p>
            <w:pPr>
              <w:jc w:val="center"/>
              <w:ind w:left="5969"/>
              <w:spacing w:after="0"/>
              <w:rPr>
                <w:sz w:val="20"/>
                <w:szCs w:val="20"/>
                <w:color w:val="auto"/>
              </w:rPr>
            </w:pPr>
            <w:r>
              <w:rPr>
                <w:rFonts w:ascii="Arial" w:cs="Arial" w:eastAsia="Arial" w:hAnsi="Arial"/>
                <w:sz w:val="14"/>
                <w:szCs w:val="14"/>
                <w:color w:val="auto"/>
                <w:w w:val="91"/>
              </w:rPr>
              <w:t>__________________</w:t>
            </w:r>
          </w:p>
        </w:tc>
        <w:tc>
          <w:tcPr>
            <w:tcW w:w="0" w:type="dxa"/>
            <w:vAlign w:val="bottom"/>
          </w:tcPr>
          <w:p>
            <w:pPr>
              <w:spacing w:after="0"/>
              <w:rPr>
                <w:sz w:val="1"/>
                <w:szCs w:val="1"/>
                <w:color w:val="auto"/>
              </w:rPr>
            </w:pPr>
          </w:p>
        </w:tc>
      </w:tr>
      <w:tr>
        <w:trPr>
          <w:trHeight w:val="263"/>
        </w:trPr>
        <w:tc>
          <w:tcPr>
            <w:tcW w:w="4120" w:type="dxa"/>
            <w:vAlign w:val="bottom"/>
          </w:tcPr>
          <w:p>
            <w:pPr>
              <w:ind w:left="360"/>
              <w:spacing w:after="0"/>
              <w:rPr>
                <w:sz w:val="20"/>
                <w:szCs w:val="20"/>
                <w:color w:val="auto"/>
              </w:rPr>
            </w:pPr>
            <w:r>
              <w:rPr>
                <w:rFonts w:ascii="Arial" w:cs="Arial" w:eastAsia="Arial" w:hAnsi="Arial"/>
                <w:sz w:val="14"/>
                <w:szCs w:val="14"/>
                <w:color w:val="auto"/>
              </w:rPr>
              <w:t>Total</w:t>
            </w:r>
          </w:p>
        </w:tc>
        <w:tc>
          <w:tcPr>
            <w:tcW w:w="4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60"/>
          </w:cols>
          <w:pgMar w:left="220" w:top="248" w:right="21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bookmarkStart w:id="261" w:name="page262"/>
    <w:bookmarkEnd w:id="261"/>
    <w:p>
      <w:pPr>
        <w:spacing w:after="0" w:line="343" w:lineRule="exact"/>
        <w:rPr>
          <w:sz w:val="20"/>
          <w:szCs w:val="20"/>
          <w:color w:val="auto"/>
        </w:rPr>
      </w:pPr>
    </w:p>
    <w:p>
      <w:pPr>
        <w:ind w:left="453" w:hanging="453"/>
        <w:spacing w:after="0"/>
        <w:tabs>
          <w:tab w:leader="none" w:pos="453"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There are [</w:t>
      </w:r>
      <w:r>
        <w:rPr>
          <w:rFonts w:ascii="Arial" w:cs="Arial" w:eastAsia="Arial" w:hAnsi="Arial"/>
          <w:sz w:val="12"/>
          <w:szCs w:val="12"/>
          <w:color w:val="auto"/>
        </w:rPr>
        <w:t>] shares of Firm Securities to be sold to the Underwriters.</w:t>
      </w:r>
    </w:p>
    <w:p>
      <w:pPr>
        <w:spacing w:after="0" w:line="79" w:lineRule="exact"/>
        <w:rPr>
          <w:rFonts w:ascii="Arial" w:cs="Arial" w:eastAsia="Arial" w:hAnsi="Arial"/>
          <w:sz w:val="14"/>
          <w:szCs w:val="14"/>
          <w:color w:val="auto"/>
        </w:rPr>
      </w:pPr>
    </w:p>
    <w:p>
      <w:pPr>
        <w:ind w:left="453" w:hanging="453"/>
        <w:spacing w:after="0"/>
        <w:tabs>
          <w:tab w:leader="none" w:pos="453"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price per share of the Firm Securities to be sold to the public is $[</w:t>
      </w:r>
    </w:p>
    <w:p>
      <w:pPr>
        <w:spacing w:after="0" w:line="20" w:lineRule="exact"/>
        <w:rPr>
          <w:sz w:val="20"/>
          <w:szCs w:val="20"/>
          <w:color w:val="auto"/>
        </w:rPr>
      </w:pPr>
      <w:r>
        <w:rPr>
          <w:sz w:val="20"/>
          <w:szCs w:val="20"/>
          <w:color w:val="auto"/>
        </w:rPr>
        <w:br w:type="column"/>
      </w:r>
    </w:p>
    <w:p>
      <w:pPr>
        <w:jc w:val="right"/>
        <w:ind w:right="4059"/>
        <w:spacing w:after="0"/>
        <w:rPr>
          <w:sz w:val="20"/>
          <w:szCs w:val="20"/>
          <w:color w:val="auto"/>
        </w:rPr>
      </w:pPr>
      <w:r>
        <w:rPr>
          <w:rFonts w:ascii="Arial" w:cs="Arial" w:eastAsia="Arial" w:hAnsi="Arial"/>
          <w:sz w:val="14"/>
          <w:szCs w:val="14"/>
          <w:b w:val="1"/>
          <w:bCs w:val="1"/>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-170815</wp:posOffset>
            </wp:positionV>
            <wp:extent cx="7292340" cy="234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28</w:t>
      </w:r>
    </w:p>
    <w:p>
      <w:pPr>
        <w:sectPr>
          <w:pgSz w:w="11900" w:h="16838" w:orient="portrait"/>
          <w:cols w:equalWidth="0" w:num="2">
            <w:col w:w="4613" w:space="520"/>
            <w:col w:w="5099"/>
          </w:cols>
          <w:pgMar w:left="227" w:top="248" w:right="1440" w:bottom="1440" w:gutter="0" w:footer="0" w:header="0"/>
        </w:sectPr>
      </w:pPr>
    </w:p>
    <w:bookmarkStart w:id="262" w:name="page263"/>
    <w:bookmarkEnd w:id="262"/>
    <w:p>
      <w:pPr>
        <w:jc w:val="right"/>
        <w:spacing w:after="0"/>
        <w:rPr>
          <w:sz w:val="20"/>
          <w:szCs w:val="20"/>
          <w:color w:val="auto"/>
        </w:rPr>
      </w:pPr>
      <w:r>
        <w:rPr>
          <w:rFonts w:ascii="Arial" w:cs="Arial" w:eastAsia="Arial" w:hAnsi="Arial"/>
          <w:sz w:val="14"/>
          <w:szCs w:val="14"/>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278370" cy="266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TAX RECEIVABLE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NATIONAL CINEMEDIA,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NATIONAL CINEMEDIA LLC,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REGAL CINEMEDIA HOLDINGS, LLC,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CINEMARK MEDIA,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REGAL CINEMAS,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AMERICAN MULTI-CINEMA, INC.,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CINEMARK USA, INC.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ind w:left="4720"/>
              <w:spacing w:after="0"/>
              <w:rPr>
                <w:sz w:val="20"/>
                <w:szCs w:val="20"/>
                <w:color w:val="auto"/>
              </w:rPr>
            </w:pPr>
            <w:r>
              <w:rPr>
                <w:rFonts w:ascii="Arial" w:cs="Arial" w:eastAsia="Arial" w:hAnsi="Arial"/>
                <w:sz w:val="14"/>
                <w:szCs w:val="14"/>
                <w:b w:val="1"/>
                <w:bCs w:val="1"/>
                <w:color w:val="auto"/>
                <w:w w:val="99"/>
              </w:rPr>
              <w:t>DATED AS OF</w:t>
            </w:r>
          </w:p>
        </w:tc>
        <w:tc>
          <w:tcPr>
            <w:tcW w:w="5780" w:type="dxa"/>
            <w:vAlign w:val="bottom"/>
            <w:gridSpan w:val="2"/>
          </w:tcPr>
          <w:p>
            <w:pPr>
              <w:jc w:val="right"/>
              <w:ind w:right="4700"/>
              <w:spacing w:after="0"/>
              <w:rPr>
                <w:sz w:val="20"/>
                <w:szCs w:val="20"/>
                <w:color w:val="auto"/>
              </w:rPr>
            </w:pPr>
            <w:r>
              <w:rPr>
                <w:rFonts w:ascii="Arial" w:cs="Arial" w:eastAsia="Arial" w:hAnsi="Arial"/>
                <w:sz w:val="14"/>
                <w:szCs w:val="14"/>
                <w:b w:val="1"/>
                <w:bCs w:val="1"/>
                <w:color w:val="auto"/>
              </w:rPr>
              <w:t>, 2007</w:t>
            </w:r>
          </w:p>
        </w:tc>
      </w:tr>
      <w:tr>
        <w:trPr>
          <w:trHeight w:val="281"/>
        </w:trPr>
        <w:tc>
          <w:tcPr>
            <w:tcW w:w="568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-26035</wp:posOffset>
            </wp:positionV>
            <wp:extent cx="12700" cy="266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12700" cy="266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6670"/>
                    </a:xfrm>
                    <a:prstGeom prst="rect">
                      <a:avLst/>
                    </a:prstGeom>
                    <a:noFill/>
                  </pic:spPr>
                </pic:pic>
              </a:graphicData>
            </a:graphic>
          </wp:anchor>
        </w:drawing>
      </w:r>
    </w:p>
    <w:p>
      <w:pPr>
        <w:sectPr>
          <w:pgSz w:w="11900" w:h="16838" w:orient="portrait"/>
          <w:cols w:equalWidth="0" w:num="1">
            <w:col w:w="11460"/>
          </w:cols>
          <w:pgMar w:left="220" w:top="128" w:right="21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240" w:type="dxa"/>
            <w:vAlign w:val="bottom"/>
            <w:gridSpan w:val="2"/>
            <w:vMerge w:val="restart"/>
          </w:tcPr>
          <w:p>
            <w:pPr>
              <w:spacing w:after="0"/>
              <w:rPr>
                <w:sz w:val="20"/>
                <w:szCs w:val="20"/>
                <w:color w:val="auto"/>
              </w:rPr>
            </w:pPr>
            <w:r>
              <w:rPr>
                <w:rFonts w:ascii="Arial" w:cs="Arial" w:eastAsia="Arial" w:hAnsi="Arial"/>
                <w:sz w:val="14"/>
                <w:szCs w:val="14"/>
                <w:color w:val="auto"/>
              </w:rPr>
              <w:t>ARTICLE I DEFINITIONS</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75"/>
              </w:rPr>
              <w:t>Page</w:t>
            </w:r>
          </w:p>
        </w:tc>
        <w:tc>
          <w:tcPr>
            <w:tcW w:w="0" w:type="dxa"/>
            <w:vAlign w:val="bottom"/>
          </w:tcPr>
          <w:p>
            <w:pPr>
              <w:spacing w:after="0"/>
              <w:rPr>
                <w:sz w:val="1"/>
                <w:szCs w:val="1"/>
                <w:color w:val="auto"/>
              </w:rPr>
            </w:pPr>
          </w:p>
        </w:tc>
      </w:tr>
      <w:tr>
        <w:trPr>
          <w:trHeight w:val="158"/>
        </w:trPr>
        <w:tc>
          <w:tcPr>
            <w:tcW w:w="11240" w:type="dxa"/>
            <w:vAlign w:val="bottom"/>
            <w:gridSpan w:val="2"/>
            <w:vMerge w:val="continue"/>
          </w:tcPr>
          <w:p>
            <w:pPr>
              <w:spacing w:after="0"/>
              <w:rPr>
                <w:sz w:val="13"/>
                <w:szCs w:val="13"/>
                <w:color w:val="auto"/>
              </w:rPr>
            </w:pPr>
          </w:p>
        </w:tc>
        <w:tc>
          <w:tcPr>
            <w:tcW w:w="2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240" w:type="dxa"/>
            <w:vAlign w:val="bottom"/>
            <w:gridSpan w:val="2"/>
          </w:tcPr>
          <w:p>
            <w:pPr>
              <w:ind w:left="360"/>
              <w:spacing w:after="0"/>
              <w:rPr>
                <w:sz w:val="20"/>
                <w:szCs w:val="20"/>
                <w:color w:val="auto"/>
              </w:rPr>
            </w:pPr>
            <w:r>
              <w:rPr>
                <w:rFonts w:ascii="Arial" w:cs="Arial" w:eastAsia="Arial" w:hAnsi="Arial"/>
                <w:sz w:val="14"/>
                <w:szCs w:val="14"/>
                <w:color w:val="auto"/>
              </w:rPr>
              <w:t>SECTION 1.01. Definitions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11240" w:type="dxa"/>
            <w:vAlign w:val="bottom"/>
            <w:gridSpan w:val="2"/>
          </w:tcPr>
          <w:p>
            <w:pPr>
              <w:spacing w:after="0"/>
              <w:rPr>
                <w:sz w:val="20"/>
                <w:szCs w:val="20"/>
                <w:color w:val="auto"/>
              </w:rPr>
            </w:pPr>
            <w:r>
              <w:rPr>
                <w:rFonts w:ascii="Arial" w:cs="Arial" w:eastAsia="Arial" w:hAnsi="Arial"/>
                <w:sz w:val="14"/>
                <w:szCs w:val="14"/>
                <w:color w:val="auto"/>
              </w:rPr>
              <w:t>ARTICLE II DETERMINATION OF REALIZED TAX BENEFIT OR REALIZED TAX DETRIMENT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11240" w:type="dxa"/>
            <w:vAlign w:val="bottom"/>
            <w:gridSpan w:val="2"/>
          </w:tcPr>
          <w:p>
            <w:pPr>
              <w:ind w:left="360"/>
              <w:spacing w:after="0"/>
              <w:rPr>
                <w:sz w:val="20"/>
                <w:szCs w:val="20"/>
                <w:color w:val="auto"/>
              </w:rPr>
            </w:pPr>
            <w:r>
              <w:rPr>
                <w:rFonts w:ascii="Arial" w:cs="Arial" w:eastAsia="Arial" w:hAnsi="Arial"/>
                <w:sz w:val="14"/>
                <w:szCs w:val="14"/>
                <w:color w:val="auto"/>
              </w:rPr>
              <w:t>SECTION 2.01. Tax Characterization of Transactions; Basis Adjustments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(a)</w:t>
            </w:r>
          </w:p>
        </w:tc>
        <w:tc>
          <w:tcPr>
            <w:tcW w:w="10260" w:type="dxa"/>
            <w:vAlign w:val="bottom"/>
          </w:tcPr>
          <w:p>
            <w:pPr>
              <w:ind w:left="300"/>
              <w:spacing w:after="0"/>
              <w:rPr>
                <w:sz w:val="20"/>
                <w:szCs w:val="20"/>
                <w:color w:val="auto"/>
              </w:rPr>
            </w:pPr>
            <w:r>
              <w:rPr>
                <w:rFonts w:ascii="Arial" w:cs="Arial" w:eastAsia="Arial" w:hAnsi="Arial"/>
                <w:sz w:val="14"/>
                <w:szCs w:val="14"/>
                <w:color w:val="auto"/>
              </w:rPr>
              <w:t>Initial ESA Modification Payments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(b)</w:t>
            </w:r>
          </w:p>
        </w:tc>
        <w:tc>
          <w:tcPr>
            <w:tcW w:w="10260" w:type="dxa"/>
            <w:vAlign w:val="bottom"/>
          </w:tcPr>
          <w:p>
            <w:pPr>
              <w:ind w:left="300"/>
              <w:spacing w:after="0"/>
              <w:rPr>
                <w:sz w:val="20"/>
                <w:szCs w:val="20"/>
                <w:color w:val="auto"/>
              </w:rPr>
            </w:pPr>
            <w:r>
              <w:rPr>
                <w:rFonts w:ascii="Arial" w:cs="Arial" w:eastAsia="Arial" w:hAnsi="Arial"/>
                <w:sz w:val="14"/>
                <w:szCs w:val="14"/>
                <w:color w:val="auto"/>
              </w:rPr>
              <w:t>Initial Deemed Exchange</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7"/>
              </w:rPr>
              <w:t>(c)</w:t>
            </w:r>
          </w:p>
        </w:tc>
        <w:tc>
          <w:tcPr>
            <w:tcW w:w="10260" w:type="dxa"/>
            <w:vAlign w:val="bottom"/>
          </w:tcPr>
          <w:p>
            <w:pPr>
              <w:ind w:left="300"/>
              <w:spacing w:after="0"/>
              <w:rPr>
                <w:sz w:val="20"/>
                <w:szCs w:val="20"/>
                <w:color w:val="auto"/>
              </w:rPr>
            </w:pPr>
            <w:r>
              <w:rPr>
                <w:rFonts w:ascii="Arial" w:cs="Arial" w:eastAsia="Arial" w:hAnsi="Arial"/>
                <w:sz w:val="14"/>
                <w:szCs w:val="14"/>
                <w:color w:val="auto"/>
              </w:rPr>
              <w:t>Positive Theatre Access Adjustments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(d)</w:t>
            </w:r>
          </w:p>
        </w:tc>
        <w:tc>
          <w:tcPr>
            <w:tcW w:w="10260" w:type="dxa"/>
            <w:vAlign w:val="bottom"/>
          </w:tcPr>
          <w:p>
            <w:pPr>
              <w:ind w:left="300"/>
              <w:spacing w:after="0"/>
              <w:rPr>
                <w:sz w:val="20"/>
                <w:szCs w:val="20"/>
                <w:color w:val="auto"/>
              </w:rPr>
            </w:pPr>
            <w:r>
              <w:rPr>
                <w:rFonts w:ascii="Arial" w:cs="Arial" w:eastAsia="Arial" w:hAnsi="Arial"/>
                <w:sz w:val="14"/>
                <w:szCs w:val="14"/>
                <w:color w:val="auto"/>
              </w:rPr>
              <w:t>Negative Theatre Access Adjustments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(e)</w:t>
            </w:r>
          </w:p>
        </w:tc>
        <w:tc>
          <w:tcPr>
            <w:tcW w:w="10260" w:type="dxa"/>
            <w:vAlign w:val="bottom"/>
          </w:tcPr>
          <w:p>
            <w:pPr>
              <w:ind w:left="300"/>
              <w:spacing w:after="0"/>
              <w:rPr>
                <w:sz w:val="20"/>
                <w:szCs w:val="20"/>
                <w:color w:val="auto"/>
              </w:rPr>
            </w:pPr>
            <w:r>
              <w:rPr>
                <w:rFonts w:ascii="Arial" w:cs="Arial" w:eastAsia="Arial" w:hAnsi="Arial"/>
                <w:sz w:val="14"/>
                <w:szCs w:val="14"/>
                <w:color w:val="auto"/>
              </w:rPr>
              <w:t>Subsequent Deemed Exchanges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rPr>
              <w:t>(f)</w:t>
            </w:r>
          </w:p>
        </w:tc>
        <w:tc>
          <w:tcPr>
            <w:tcW w:w="10260" w:type="dxa"/>
            <w:vAlign w:val="bottom"/>
          </w:tcPr>
          <w:p>
            <w:pPr>
              <w:ind w:left="280"/>
              <w:spacing w:after="0"/>
              <w:rPr>
                <w:sz w:val="20"/>
                <w:szCs w:val="20"/>
                <w:color w:val="auto"/>
              </w:rPr>
            </w:pPr>
            <w:r>
              <w:rPr>
                <w:rFonts w:ascii="Arial" w:cs="Arial" w:eastAsia="Arial" w:hAnsi="Arial"/>
                <w:sz w:val="14"/>
                <w:szCs w:val="14"/>
                <w:color w:val="auto"/>
              </w:rPr>
              <w:t>Payments Under Agreement.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5"/>
        </w:trPr>
        <w:tc>
          <w:tcPr>
            <w:tcW w:w="980" w:type="dxa"/>
            <w:vAlign w:val="bottom"/>
          </w:tcPr>
          <w:p>
            <w:pPr>
              <w:ind w:left="360"/>
              <w:spacing w:after="0"/>
              <w:rPr>
                <w:sz w:val="20"/>
                <w:szCs w:val="20"/>
                <w:color w:val="auto"/>
              </w:rPr>
            </w:pPr>
            <w:r>
              <w:rPr>
                <w:rFonts w:ascii="Arial" w:cs="Arial" w:eastAsia="Arial" w:hAnsi="Arial"/>
                <w:sz w:val="14"/>
                <w:szCs w:val="14"/>
                <w:color w:val="auto"/>
                <w:w w:val="96"/>
              </w:rPr>
              <w:t>SECTION</w:t>
            </w:r>
          </w:p>
        </w:tc>
        <w:tc>
          <w:tcPr>
            <w:tcW w:w="10260" w:type="dxa"/>
            <w:vAlign w:val="bottom"/>
          </w:tcPr>
          <w:p>
            <w:pPr>
              <w:ind w:left="20"/>
              <w:spacing w:after="0"/>
              <w:rPr>
                <w:sz w:val="20"/>
                <w:szCs w:val="20"/>
                <w:color w:val="auto"/>
              </w:rPr>
            </w:pPr>
            <w:r>
              <w:rPr>
                <w:rFonts w:ascii="Arial" w:cs="Arial" w:eastAsia="Arial" w:hAnsi="Arial"/>
                <w:sz w:val="14"/>
                <w:szCs w:val="14"/>
                <w:color w:val="auto"/>
              </w:rPr>
              <w:t>2.02. Basis Schedules.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(a)</w:t>
            </w:r>
          </w:p>
        </w:tc>
        <w:tc>
          <w:tcPr>
            <w:tcW w:w="10260" w:type="dxa"/>
            <w:vAlign w:val="bottom"/>
          </w:tcPr>
          <w:p>
            <w:pPr>
              <w:ind w:left="300"/>
              <w:spacing w:after="0"/>
              <w:rPr>
                <w:sz w:val="20"/>
                <w:szCs w:val="20"/>
                <w:color w:val="auto"/>
              </w:rPr>
            </w:pPr>
            <w:r>
              <w:rPr>
                <w:rFonts w:ascii="Arial" w:cs="Arial" w:eastAsia="Arial" w:hAnsi="Arial"/>
                <w:sz w:val="14"/>
                <w:szCs w:val="14"/>
                <w:color w:val="auto"/>
              </w:rPr>
              <w:t>Initial Deemed Exchange.</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(b)</w:t>
            </w:r>
          </w:p>
        </w:tc>
        <w:tc>
          <w:tcPr>
            <w:tcW w:w="10260" w:type="dxa"/>
            <w:vAlign w:val="bottom"/>
          </w:tcPr>
          <w:p>
            <w:pPr>
              <w:ind w:left="300"/>
              <w:spacing w:after="0"/>
              <w:rPr>
                <w:sz w:val="20"/>
                <w:szCs w:val="20"/>
                <w:color w:val="auto"/>
              </w:rPr>
            </w:pPr>
            <w:r>
              <w:rPr>
                <w:rFonts w:ascii="Arial" w:cs="Arial" w:eastAsia="Arial" w:hAnsi="Arial"/>
                <w:sz w:val="14"/>
                <w:szCs w:val="14"/>
                <w:color w:val="auto"/>
              </w:rPr>
              <w:t>Initial ESA Modification Payments.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7"/>
              </w:rPr>
              <w:t>(c)</w:t>
            </w:r>
          </w:p>
        </w:tc>
        <w:tc>
          <w:tcPr>
            <w:tcW w:w="10260" w:type="dxa"/>
            <w:vAlign w:val="bottom"/>
          </w:tcPr>
          <w:p>
            <w:pPr>
              <w:ind w:left="300"/>
              <w:spacing w:after="0"/>
              <w:rPr>
                <w:sz w:val="20"/>
                <w:szCs w:val="20"/>
                <w:color w:val="auto"/>
              </w:rPr>
            </w:pPr>
            <w:r>
              <w:rPr>
                <w:rFonts w:ascii="Arial" w:cs="Arial" w:eastAsia="Arial" w:hAnsi="Arial"/>
                <w:sz w:val="14"/>
                <w:szCs w:val="14"/>
                <w:color w:val="auto"/>
              </w:rPr>
              <w:t>Positive Theatre Access Adjustments.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(d)</w:t>
            </w:r>
          </w:p>
        </w:tc>
        <w:tc>
          <w:tcPr>
            <w:tcW w:w="10260" w:type="dxa"/>
            <w:vAlign w:val="bottom"/>
          </w:tcPr>
          <w:p>
            <w:pPr>
              <w:ind w:left="300"/>
              <w:spacing w:after="0"/>
              <w:rPr>
                <w:sz w:val="20"/>
                <w:szCs w:val="20"/>
                <w:color w:val="auto"/>
              </w:rPr>
            </w:pPr>
            <w:r>
              <w:rPr>
                <w:rFonts w:ascii="Arial" w:cs="Arial" w:eastAsia="Arial" w:hAnsi="Arial"/>
                <w:sz w:val="14"/>
                <w:szCs w:val="14"/>
                <w:color w:val="auto"/>
              </w:rPr>
              <w:t>Subsequent Deemed Exchanges.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5"/>
        </w:trPr>
        <w:tc>
          <w:tcPr>
            <w:tcW w:w="980" w:type="dxa"/>
            <w:vAlign w:val="bottom"/>
          </w:tcPr>
          <w:p>
            <w:pPr>
              <w:ind w:left="360"/>
              <w:spacing w:after="0"/>
              <w:rPr>
                <w:sz w:val="20"/>
                <w:szCs w:val="20"/>
                <w:color w:val="auto"/>
              </w:rPr>
            </w:pPr>
            <w:r>
              <w:rPr>
                <w:rFonts w:ascii="Arial" w:cs="Arial" w:eastAsia="Arial" w:hAnsi="Arial"/>
                <w:sz w:val="14"/>
                <w:szCs w:val="14"/>
                <w:color w:val="auto"/>
                <w:w w:val="96"/>
              </w:rPr>
              <w:t>SECTION</w:t>
            </w:r>
          </w:p>
        </w:tc>
        <w:tc>
          <w:tcPr>
            <w:tcW w:w="10260" w:type="dxa"/>
            <w:vAlign w:val="bottom"/>
          </w:tcPr>
          <w:p>
            <w:pPr>
              <w:ind w:left="20"/>
              <w:spacing w:after="0"/>
              <w:rPr>
                <w:sz w:val="20"/>
                <w:szCs w:val="20"/>
                <w:color w:val="auto"/>
              </w:rPr>
            </w:pPr>
            <w:r>
              <w:rPr>
                <w:rFonts w:ascii="Arial" w:cs="Arial" w:eastAsia="Arial" w:hAnsi="Arial"/>
                <w:sz w:val="14"/>
                <w:szCs w:val="14"/>
                <w:color w:val="auto"/>
              </w:rPr>
              <w:t>2.03. Tax Benefit Schedules.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(a)</w:t>
            </w:r>
          </w:p>
        </w:tc>
        <w:tc>
          <w:tcPr>
            <w:tcW w:w="10260" w:type="dxa"/>
            <w:vAlign w:val="bottom"/>
          </w:tcPr>
          <w:p>
            <w:pPr>
              <w:ind w:left="300"/>
              <w:spacing w:after="0"/>
              <w:rPr>
                <w:sz w:val="20"/>
                <w:szCs w:val="20"/>
                <w:color w:val="auto"/>
              </w:rPr>
            </w:pPr>
            <w:r>
              <w:rPr>
                <w:rFonts w:ascii="Arial" w:cs="Arial" w:eastAsia="Arial" w:hAnsi="Arial"/>
                <w:sz w:val="14"/>
                <w:szCs w:val="14"/>
                <w:color w:val="auto"/>
              </w:rPr>
              <w:t>NCM Inc. Tax Benefit Schedules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(b)</w:t>
            </w:r>
          </w:p>
        </w:tc>
        <w:tc>
          <w:tcPr>
            <w:tcW w:w="10260" w:type="dxa"/>
            <w:vAlign w:val="bottom"/>
          </w:tcPr>
          <w:p>
            <w:pPr>
              <w:ind w:left="300"/>
              <w:spacing w:after="0"/>
              <w:rPr>
                <w:sz w:val="20"/>
                <w:szCs w:val="20"/>
                <w:color w:val="auto"/>
              </w:rPr>
            </w:pPr>
            <w:r>
              <w:rPr>
                <w:rFonts w:ascii="Arial" w:cs="Arial" w:eastAsia="Arial" w:hAnsi="Arial"/>
                <w:sz w:val="14"/>
                <w:szCs w:val="14"/>
                <w:color w:val="auto"/>
              </w:rPr>
              <w:t>Amended NCM Inc. Tax Benefit Schedules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1"/>
        </w:trPr>
        <w:tc>
          <w:tcPr>
            <w:tcW w:w="980" w:type="dxa"/>
            <w:vAlign w:val="bottom"/>
          </w:tcPr>
          <w:p>
            <w:pPr>
              <w:ind w:left="800"/>
              <w:spacing w:after="0"/>
              <w:rPr>
                <w:sz w:val="20"/>
                <w:szCs w:val="20"/>
                <w:color w:val="auto"/>
              </w:rPr>
            </w:pPr>
            <w:r>
              <w:rPr>
                <w:rFonts w:ascii="Arial" w:cs="Arial" w:eastAsia="Arial" w:hAnsi="Arial"/>
                <w:sz w:val="14"/>
                <w:szCs w:val="14"/>
                <w:color w:val="auto"/>
                <w:w w:val="97"/>
              </w:rPr>
              <w:t>(c)</w:t>
            </w:r>
          </w:p>
        </w:tc>
        <w:tc>
          <w:tcPr>
            <w:tcW w:w="10260" w:type="dxa"/>
            <w:vAlign w:val="bottom"/>
          </w:tcPr>
          <w:p>
            <w:pPr>
              <w:ind w:left="280"/>
              <w:spacing w:after="0"/>
              <w:rPr>
                <w:sz w:val="20"/>
                <w:szCs w:val="20"/>
                <w:color w:val="auto"/>
              </w:rPr>
            </w:pPr>
            <w:r>
              <w:rPr>
                <w:rFonts w:ascii="Arial" w:cs="Arial" w:eastAsia="Arial" w:hAnsi="Arial"/>
                <w:sz w:val="14"/>
                <w:szCs w:val="14"/>
                <w:color w:val="auto"/>
              </w:rPr>
              <w:t>Applicable Principles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57"/>
        </w:trPr>
        <w:tc>
          <w:tcPr>
            <w:tcW w:w="11240" w:type="dxa"/>
            <w:vAlign w:val="bottom"/>
            <w:gridSpan w:val="2"/>
          </w:tcPr>
          <w:p>
            <w:pPr>
              <w:spacing w:after="0"/>
              <w:rPr>
                <w:sz w:val="20"/>
                <w:szCs w:val="20"/>
                <w:color w:val="auto"/>
              </w:rPr>
            </w:pPr>
            <w:r>
              <w:rPr>
                <w:rFonts w:ascii="Arial" w:cs="Arial" w:eastAsia="Arial" w:hAnsi="Arial"/>
                <w:sz w:val="14"/>
                <w:szCs w:val="14"/>
                <w:color w:val="auto"/>
              </w:rPr>
              <w:t>ARTICLE III PAYMENTS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11240" w:type="dxa"/>
            <w:vAlign w:val="bottom"/>
            <w:gridSpan w:val="2"/>
          </w:tcPr>
          <w:p>
            <w:pPr>
              <w:ind w:left="360"/>
              <w:spacing w:after="0"/>
              <w:rPr>
                <w:sz w:val="20"/>
                <w:szCs w:val="20"/>
                <w:color w:val="auto"/>
              </w:rPr>
            </w:pPr>
            <w:r>
              <w:rPr>
                <w:rFonts w:ascii="Arial" w:cs="Arial" w:eastAsia="Arial" w:hAnsi="Arial"/>
                <w:sz w:val="14"/>
                <w:szCs w:val="14"/>
                <w:color w:val="auto"/>
              </w:rPr>
              <w:t>SECTION 3.01. Exchange-Related Payments.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(a)</w:t>
            </w:r>
          </w:p>
        </w:tc>
        <w:tc>
          <w:tcPr>
            <w:tcW w:w="10260" w:type="dxa"/>
            <w:vAlign w:val="bottom"/>
          </w:tcPr>
          <w:p>
            <w:pPr>
              <w:ind w:left="300"/>
              <w:spacing w:after="0"/>
              <w:rPr>
                <w:sz w:val="20"/>
                <w:szCs w:val="20"/>
                <w:color w:val="auto"/>
              </w:rPr>
            </w:pPr>
            <w:r>
              <w:rPr>
                <w:rFonts w:ascii="Arial" w:cs="Arial" w:eastAsia="Arial" w:hAnsi="Arial"/>
                <w:sz w:val="14"/>
                <w:szCs w:val="14"/>
                <w:color w:val="auto"/>
              </w:rPr>
              <w:t>Payments In Respect of NCM Inc. Tax Benefit Schedules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(b)</w:t>
            </w:r>
          </w:p>
        </w:tc>
        <w:tc>
          <w:tcPr>
            <w:tcW w:w="10260" w:type="dxa"/>
            <w:vAlign w:val="bottom"/>
          </w:tcPr>
          <w:p>
            <w:pPr>
              <w:ind w:left="300"/>
              <w:spacing w:after="0"/>
              <w:rPr>
                <w:sz w:val="20"/>
                <w:szCs w:val="20"/>
                <w:color w:val="auto"/>
              </w:rPr>
            </w:pPr>
            <w:r>
              <w:rPr>
                <w:rFonts w:ascii="Arial" w:cs="Arial" w:eastAsia="Arial" w:hAnsi="Arial"/>
                <w:sz w:val="14"/>
                <w:szCs w:val="14"/>
                <w:color w:val="auto"/>
              </w:rPr>
              <w:t>Payments In Respect of Amended NCM Inc. Tax Benefit Schedules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980" w:type="dxa"/>
            <w:vAlign w:val="bottom"/>
          </w:tcPr>
          <w:p>
            <w:pPr>
              <w:ind w:left="360"/>
              <w:spacing w:after="0"/>
              <w:rPr>
                <w:sz w:val="20"/>
                <w:szCs w:val="20"/>
                <w:color w:val="auto"/>
              </w:rPr>
            </w:pPr>
            <w:r>
              <w:rPr>
                <w:rFonts w:ascii="Arial" w:cs="Arial" w:eastAsia="Arial" w:hAnsi="Arial"/>
                <w:sz w:val="14"/>
                <w:szCs w:val="14"/>
                <w:color w:val="auto"/>
                <w:w w:val="96"/>
              </w:rPr>
              <w:t>SECTION</w:t>
            </w:r>
          </w:p>
        </w:tc>
        <w:tc>
          <w:tcPr>
            <w:tcW w:w="10260" w:type="dxa"/>
            <w:vAlign w:val="bottom"/>
          </w:tcPr>
          <w:p>
            <w:pPr>
              <w:ind w:left="20"/>
              <w:spacing w:after="0"/>
              <w:rPr>
                <w:sz w:val="20"/>
                <w:szCs w:val="20"/>
                <w:color w:val="auto"/>
              </w:rPr>
            </w:pPr>
            <w:r>
              <w:rPr>
                <w:rFonts w:ascii="Arial" w:cs="Arial" w:eastAsia="Arial" w:hAnsi="Arial"/>
                <w:sz w:val="14"/>
                <w:szCs w:val="14"/>
                <w:color w:val="auto"/>
              </w:rPr>
              <w:t>3.02. ESA-Related Payments.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(a)</w:t>
            </w:r>
          </w:p>
        </w:tc>
        <w:tc>
          <w:tcPr>
            <w:tcW w:w="10260" w:type="dxa"/>
            <w:vAlign w:val="bottom"/>
          </w:tcPr>
          <w:p>
            <w:pPr>
              <w:ind w:left="300"/>
              <w:spacing w:after="0"/>
              <w:rPr>
                <w:sz w:val="20"/>
                <w:szCs w:val="20"/>
                <w:color w:val="auto"/>
              </w:rPr>
            </w:pPr>
            <w:r>
              <w:rPr>
                <w:rFonts w:ascii="Arial" w:cs="Arial" w:eastAsia="Arial" w:hAnsi="Arial"/>
                <w:sz w:val="14"/>
                <w:szCs w:val="14"/>
                <w:color w:val="auto"/>
              </w:rPr>
              <w:t>Payments In Respect of NCM Inc. Tax Benefit Schedules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(b)</w:t>
            </w:r>
          </w:p>
        </w:tc>
        <w:tc>
          <w:tcPr>
            <w:tcW w:w="10260" w:type="dxa"/>
            <w:vAlign w:val="bottom"/>
          </w:tcPr>
          <w:p>
            <w:pPr>
              <w:ind w:left="300"/>
              <w:spacing w:after="0"/>
              <w:rPr>
                <w:sz w:val="20"/>
                <w:szCs w:val="20"/>
                <w:color w:val="auto"/>
              </w:rPr>
            </w:pPr>
            <w:r>
              <w:rPr>
                <w:rFonts w:ascii="Arial" w:cs="Arial" w:eastAsia="Arial" w:hAnsi="Arial"/>
                <w:sz w:val="14"/>
                <w:szCs w:val="14"/>
                <w:color w:val="auto"/>
              </w:rPr>
              <w:t>Payments In Respect of Amended NCM Inc. Tax Benefit Schedules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980" w:type="dxa"/>
            <w:vAlign w:val="bottom"/>
          </w:tcPr>
          <w:p>
            <w:pPr>
              <w:ind w:left="360"/>
              <w:spacing w:after="0"/>
              <w:rPr>
                <w:sz w:val="20"/>
                <w:szCs w:val="20"/>
                <w:color w:val="auto"/>
              </w:rPr>
            </w:pPr>
            <w:r>
              <w:rPr>
                <w:rFonts w:ascii="Arial" w:cs="Arial" w:eastAsia="Arial" w:hAnsi="Arial"/>
                <w:sz w:val="14"/>
                <w:szCs w:val="14"/>
                <w:color w:val="auto"/>
                <w:w w:val="96"/>
              </w:rPr>
              <w:t>SECTION</w:t>
            </w:r>
          </w:p>
        </w:tc>
        <w:tc>
          <w:tcPr>
            <w:tcW w:w="10260" w:type="dxa"/>
            <w:vAlign w:val="bottom"/>
          </w:tcPr>
          <w:p>
            <w:pPr>
              <w:ind w:left="20"/>
              <w:spacing w:after="0"/>
              <w:rPr>
                <w:sz w:val="20"/>
                <w:szCs w:val="20"/>
                <w:color w:val="auto"/>
              </w:rPr>
            </w:pPr>
            <w:r>
              <w:rPr>
                <w:rFonts w:ascii="Arial" w:cs="Arial" w:eastAsia="Arial" w:hAnsi="Arial"/>
                <w:sz w:val="14"/>
                <w:szCs w:val="14"/>
                <w:color w:val="auto"/>
              </w:rPr>
              <w:t>3.03. Suspension of Tax Benefit Payments Following Change Notice.</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(a)</w:t>
            </w:r>
          </w:p>
        </w:tc>
        <w:tc>
          <w:tcPr>
            <w:tcW w:w="10260" w:type="dxa"/>
            <w:vAlign w:val="bottom"/>
          </w:tcPr>
          <w:p>
            <w:pPr>
              <w:ind w:left="300"/>
              <w:spacing w:after="0"/>
              <w:rPr>
                <w:sz w:val="20"/>
                <w:szCs w:val="20"/>
                <w:color w:val="auto"/>
              </w:rPr>
            </w:pPr>
            <w:r>
              <w:rPr>
                <w:rFonts w:ascii="Arial" w:cs="Arial" w:eastAsia="Arial" w:hAnsi="Arial"/>
                <w:sz w:val="14"/>
                <w:szCs w:val="14"/>
                <w:color w:val="auto"/>
              </w:rPr>
              <w:t>Receipt of Change Notice</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(b)</w:t>
            </w:r>
          </w:p>
        </w:tc>
        <w:tc>
          <w:tcPr>
            <w:tcW w:w="10260" w:type="dxa"/>
            <w:vAlign w:val="bottom"/>
          </w:tcPr>
          <w:p>
            <w:pPr>
              <w:ind w:left="300"/>
              <w:spacing w:after="0"/>
              <w:rPr>
                <w:sz w:val="20"/>
                <w:szCs w:val="20"/>
                <w:color w:val="auto"/>
              </w:rPr>
            </w:pPr>
            <w:r>
              <w:rPr>
                <w:rFonts w:ascii="Arial" w:cs="Arial" w:eastAsia="Arial" w:hAnsi="Arial"/>
                <w:sz w:val="14"/>
                <w:szCs w:val="14"/>
                <w:color w:val="auto"/>
              </w:rPr>
              <w:t>Suspension of Payments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7"/>
              </w:rPr>
              <w:t>(c)</w:t>
            </w:r>
          </w:p>
        </w:tc>
        <w:tc>
          <w:tcPr>
            <w:tcW w:w="10260" w:type="dxa"/>
            <w:vAlign w:val="bottom"/>
          </w:tcPr>
          <w:p>
            <w:pPr>
              <w:ind w:left="300"/>
              <w:spacing w:after="0"/>
              <w:rPr>
                <w:sz w:val="20"/>
                <w:szCs w:val="20"/>
                <w:color w:val="auto"/>
              </w:rPr>
            </w:pPr>
            <w:r>
              <w:rPr>
                <w:rFonts w:ascii="Arial" w:cs="Arial" w:eastAsia="Arial" w:hAnsi="Arial"/>
                <w:sz w:val="14"/>
                <w:szCs w:val="14"/>
                <w:color w:val="auto"/>
              </w:rPr>
              <w:t>Release of Escrowed Funds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11240" w:type="dxa"/>
            <w:vAlign w:val="bottom"/>
            <w:gridSpan w:val="2"/>
          </w:tcPr>
          <w:p>
            <w:pPr>
              <w:ind w:left="360"/>
              <w:spacing w:after="0"/>
              <w:rPr>
                <w:sz w:val="20"/>
                <w:szCs w:val="20"/>
                <w:color w:val="auto"/>
              </w:rPr>
            </w:pPr>
            <w:r>
              <w:rPr>
                <w:rFonts w:ascii="Arial" w:cs="Arial" w:eastAsia="Arial" w:hAnsi="Arial"/>
                <w:sz w:val="14"/>
                <w:szCs w:val="14"/>
                <w:color w:val="auto"/>
              </w:rPr>
              <w:t>SECTION 3.04. No Duplicative Payments; Other Matters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7"/>
        </w:trPr>
        <w:tc>
          <w:tcPr>
            <w:tcW w:w="11240" w:type="dxa"/>
            <w:vAlign w:val="bottom"/>
            <w:gridSpan w:val="2"/>
          </w:tcPr>
          <w:p>
            <w:pPr>
              <w:spacing w:after="0"/>
              <w:rPr>
                <w:sz w:val="20"/>
                <w:szCs w:val="20"/>
                <w:color w:val="auto"/>
              </w:rPr>
            </w:pPr>
            <w:r>
              <w:rPr>
                <w:rFonts w:ascii="Arial" w:cs="Arial" w:eastAsia="Arial" w:hAnsi="Arial"/>
                <w:sz w:val="14"/>
                <w:szCs w:val="14"/>
                <w:color w:val="auto"/>
              </w:rPr>
              <w:t>ARTICLE IV TERMINATION</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11240" w:type="dxa"/>
            <w:vAlign w:val="bottom"/>
            <w:gridSpan w:val="2"/>
          </w:tcPr>
          <w:p>
            <w:pPr>
              <w:ind w:left="360"/>
              <w:spacing w:after="0"/>
              <w:rPr>
                <w:sz w:val="20"/>
                <w:szCs w:val="20"/>
                <w:color w:val="auto"/>
              </w:rPr>
            </w:pPr>
            <w:r>
              <w:rPr>
                <w:rFonts w:ascii="Arial" w:cs="Arial" w:eastAsia="Arial" w:hAnsi="Arial"/>
                <w:sz w:val="14"/>
                <w:szCs w:val="14"/>
                <w:color w:val="auto"/>
              </w:rPr>
              <w:t>SECTION 4.01. Early Termination of Agreement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11240" w:type="dxa"/>
            <w:vAlign w:val="bottom"/>
            <w:gridSpan w:val="2"/>
          </w:tcPr>
          <w:p>
            <w:pPr>
              <w:ind w:left="360"/>
              <w:spacing w:after="0"/>
              <w:rPr>
                <w:sz w:val="20"/>
                <w:szCs w:val="20"/>
                <w:color w:val="auto"/>
              </w:rPr>
            </w:pPr>
            <w:r>
              <w:rPr>
                <w:rFonts w:ascii="Arial" w:cs="Arial" w:eastAsia="Arial" w:hAnsi="Arial"/>
                <w:sz w:val="14"/>
                <w:szCs w:val="14"/>
                <w:color w:val="auto"/>
              </w:rPr>
              <w:t>SECTION 4.02. Early Termination Notice</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11240" w:type="dxa"/>
            <w:vAlign w:val="bottom"/>
            <w:gridSpan w:val="2"/>
          </w:tcPr>
          <w:p>
            <w:pPr>
              <w:ind w:left="360"/>
              <w:spacing w:after="0"/>
              <w:rPr>
                <w:sz w:val="20"/>
                <w:szCs w:val="20"/>
                <w:color w:val="auto"/>
              </w:rPr>
            </w:pPr>
            <w:r>
              <w:rPr>
                <w:rFonts w:ascii="Arial" w:cs="Arial" w:eastAsia="Arial" w:hAnsi="Arial"/>
                <w:sz w:val="14"/>
                <w:szCs w:val="14"/>
                <w:color w:val="auto"/>
              </w:rPr>
              <w:t>SECTION 4.03. Payment Upon Early Termination.</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(a)</w:t>
            </w:r>
          </w:p>
        </w:tc>
        <w:tc>
          <w:tcPr>
            <w:tcW w:w="10260" w:type="dxa"/>
            <w:vAlign w:val="bottom"/>
          </w:tcPr>
          <w:p>
            <w:pPr>
              <w:ind w:left="300"/>
              <w:spacing w:after="0"/>
              <w:rPr>
                <w:sz w:val="20"/>
                <w:szCs w:val="20"/>
                <w:color w:val="auto"/>
              </w:rPr>
            </w:pPr>
            <w:r>
              <w:rPr>
                <w:rFonts w:ascii="Arial" w:cs="Arial" w:eastAsia="Arial" w:hAnsi="Arial"/>
                <w:sz w:val="14"/>
                <w:szCs w:val="14"/>
                <w:color w:val="auto"/>
              </w:rPr>
              <w:t>Payment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980" w:type="dxa"/>
            <w:vAlign w:val="bottom"/>
          </w:tcPr>
          <w:p>
            <w:pPr>
              <w:ind w:left="800"/>
              <w:spacing w:after="0"/>
              <w:rPr>
                <w:sz w:val="20"/>
                <w:szCs w:val="20"/>
                <w:color w:val="auto"/>
              </w:rPr>
            </w:pPr>
            <w:r>
              <w:rPr>
                <w:rFonts w:ascii="Arial" w:cs="Arial" w:eastAsia="Arial" w:hAnsi="Arial"/>
                <w:sz w:val="14"/>
                <w:szCs w:val="14"/>
                <w:color w:val="auto"/>
                <w:w w:val="93"/>
              </w:rPr>
              <w:t>(b)</w:t>
            </w:r>
          </w:p>
        </w:tc>
        <w:tc>
          <w:tcPr>
            <w:tcW w:w="10260" w:type="dxa"/>
            <w:vAlign w:val="bottom"/>
          </w:tcPr>
          <w:p>
            <w:pPr>
              <w:ind w:left="300"/>
              <w:spacing w:after="0"/>
              <w:rPr>
                <w:sz w:val="20"/>
                <w:szCs w:val="20"/>
                <w:color w:val="auto"/>
              </w:rPr>
            </w:pPr>
            <w:r>
              <w:rPr>
                <w:rFonts w:ascii="Arial" w:cs="Arial" w:eastAsia="Arial" w:hAnsi="Arial"/>
                <w:sz w:val="14"/>
                <w:szCs w:val="14"/>
                <w:color w:val="auto"/>
              </w:rPr>
              <w:t>Determination of Early Termination Payment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980" w:type="dxa"/>
            <w:vAlign w:val="bottom"/>
          </w:tcPr>
          <w:p>
            <w:pPr>
              <w:ind w:left="360"/>
              <w:spacing w:after="0"/>
              <w:rPr>
                <w:sz w:val="20"/>
                <w:szCs w:val="20"/>
                <w:color w:val="auto"/>
              </w:rPr>
            </w:pPr>
            <w:r>
              <w:rPr>
                <w:rFonts w:ascii="Arial" w:cs="Arial" w:eastAsia="Arial" w:hAnsi="Arial"/>
                <w:sz w:val="14"/>
                <w:szCs w:val="14"/>
                <w:color w:val="auto"/>
                <w:w w:val="96"/>
              </w:rPr>
              <w:t>SECTION</w:t>
            </w:r>
          </w:p>
        </w:tc>
        <w:tc>
          <w:tcPr>
            <w:tcW w:w="10260" w:type="dxa"/>
            <w:vAlign w:val="bottom"/>
          </w:tcPr>
          <w:p>
            <w:pPr>
              <w:ind w:left="20"/>
              <w:spacing w:after="0"/>
              <w:rPr>
                <w:sz w:val="20"/>
                <w:szCs w:val="20"/>
                <w:color w:val="auto"/>
              </w:rPr>
            </w:pPr>
            <w:r>
              <w:rPr>
                <w:rFonts w:ascii="Arial" w:cs="Arial" w:eastAsia="Arial" w:hAnsi="Arial"/>
                <w:sz w:val="14"/>
                <w:szCs w:val="14"/>
                <w:color w:val="auto"/>
              </w:rPr>
              <w:t>4.04. No Other Right of Early Termination</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1"/>
        </w:trPr>
        <w:tc>
          <w:tcPr>
            <w:tcW w:w="980" w:type="dxa"/>
            <w:vAlign w:val="bottom"/>
          </w:tcPr>
          <w:p>
            <w:pPr>
              <w:ind w:left="360"/>
              <w:spacing w:after="0"/>
              <w:rPr>
                <w:sz w:val="20"/>
                <w:szCs w:val="20"/>
                <w:color w:val="auto"/>
              </w:rPr>
            </w:pPr>
            <w:r>
              <w:rPr>
                <w:rFonts w:ascii="Arial" w:cs="Arial" w:eastAsia="Arial" w:hAnsi="Arial"/>
                <w:sz w:val="14"/>
                <w:szCs w:val="14"/>
                <w:color w:val="auto"/>
                <w:w w:val="96"/>
              </w:rPr>
              <w:t>SECTION</w:t>
            </w:r>
          </w:p>
        </w:tc>
        <w:tc>
          <w:tcPr>
            <w:tcW w:w="10260" w:type="dxa"/>
            <w:vAlign w:val="bottom"/>
          </w:tcPr>
          <w:p>
            <w:pPr>
              <w:ind w:left="20"/>
              <w:spacing w:after="0"/>
              <w:rPr>
                <w:sz w:val="20"/>
                <w:szCs w:val="20"/>
                <w:color w:val="auto"/>
              </w:rPr>
            </w:pPr>
            <w:r>
              <w:rPr>
                <w:rFonts w:ascii="Arial" w:cs="Arial" w:eastAsia="Arial" w:hAnsi="Arial"/>
                <w:sz w:val="14"/>
                <w:szCs w:val="14"/>
                <w:color w:val="auto"/>
              </w:rPr>
              <w:t>4.05. Term of Agreement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60"/>
          </w:cols>
          <w:pgMar w:left="220" w:top="248" w:right="21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175"/>
        </w:trPr>
        <w:tc>
          <w:tcPr>
            <w:tcW w:w="7940" w:type="dxa"/>
            <w:vAlign w:val="bottom"/>
            <w:gridSpan w:val="2"/>
          </w:tcPr>
          <w:p>
            <w:pPr>
              <w:spacing w:after="0"/>
              <w:rPr>
                <w:sz w:val="20"/>
                <w:szCs w:val="20"/>
                <w:color w:val="auto"/>
              </w:rPr>
            </w:pPr>
            <w:r>
              <w:rPr>
                <w:rFonts w:ascii="Arial" w:cs="Arial" w:eastAsia="Arial" w:hAnsi="Arial"/>
                <w:sz w:val="14"/>
                <w:szCs w:val="14"/>
                <w:color w:val="auto"/>
              </w:rPr>
              <w:t>ARTICLE V SUBORDINATION AND LATE PAYMENTS</w:t>
            </w:r>
          </w:p>
        </w:tc>
        <w:tc>
          <w:tcPr>
            <w:tcW w:w="3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5.01. Subordination</w:t>
            </w:r>
          </w:p>
        </w:tc>
        <w:tc>
          <w:tcPr>
            <w:tcW w:w="3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5.02. Late Payments by NCM Inc. or NCM LLC</w:t>
            </w:r>
          </w:p>
        </w:tc>
        <w:tc>
          <w:tcPr>
            <w:tcW w:w="3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5.03. Rights of Offset</w:t>
            </w:r>
          </w:p>
        </w:tc>
        <w:tc>
          <w:tcPr>
            <w:tcW w:w="3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81"/>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5.04. Late Payments by the Founding Members or ESA Parties</w:t>
            </w:r>
          </w:p>
        </w:tc>
        <w:tc>
          <w:tcPr>
            <w:tcW w:w="3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57"/>
        </w:trPr>
        <w:tc>
          <w:tcPr>
            <w:tcW w:w="7940" w:type="dxa"/>
            <w:vAlign w:val="bottom"/>
            <w:gridSpan w:val="2"/>
          </w:tcPr>
          <w:p>
            <w:pPr>
              <w:spacing w:after="0"/>
              <w:rPr>
                <w:sz w:val="20"/>
                <w:szCs w:val="20"/>
                <w:color w:val="auto"/>
              </w:rPr>
            </w:pPr>
            <w:r>
              <w:rPr>
                <w:rFonts w:ascii="Arial" w:cs="Arial" w:eastAsia="Arial" w:hAnsi="Arial"/>
                <w:sz w:val="14"/>
                <w:szCs w:val="14"/>
                <w:color w:val="auto"/>
              </w:rPr>
              <w:t>ARTICLE VI NO DISPUTES; CONSISTENCY; COOPERATION</w:t>
            </w:r>
          </w:p>
        </w:tc>
        <w:tc>
          <w:tcPr>
            <w:tcW w:w="3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6.01. Participation In NCM Group Tax Matters</w:t>
            </w:r>
          </w:p>
        </w:tc>
        <w:tc>
          <w:tcPr>
            <w:tcW w:w="3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6.02. Consistency</w:t>
            </w:r>
          </w:p>
        </w:tc>
        <w:tc>
          <w:tcPr>
            <w:tcW w:w="35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1"/>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6.03. Cooperation</w:t>
            </w:r>
          </w:p>
        </w:tc>
        <w:tc>
          <w:tcPr>
            <w:tcW w:w="35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57"/>
        </w:trPr>
        <w:tc>
          <w:tcPr>
            <w:tcW w:w="7940" w:type="dxa"/>
            <w:vAlign w:val="bottom"/>
            <w:gridSpan w:val="2"/>
          </w:tcPr>
          <w:p>
            <w:pPr>
              <w:spacing w:after="0"/>
              <w:rPr>
                <w:sz w:val="20"/>
                <w:szCs w:val="20"/>
                <w:color w:val="auto"/>
              </w:rPr>
            </w:pPr>
            <w:r>
              <w:rPr>
                <w:rFonts w:ascii="Arial" w:cs="Arial" w:eastAsia="Arial" w:hAnsi="Arial"/>
                <w:sz w:val="14"/>
                <w:szCs w:val="14"/>
                <w:color w:val="auto"/>
              </w:rPr>
              <w:t>ARTICLE VII GENERAL PROVISIONS</w:t>
            </w:r>
          </w:p>
        </w:tc>
        <w:tc>
          <w:tcPr>
            <w:tcW w:w="3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7.01. Notices</w:t>
            </w:r>
          </w:p>
        </w:tc>
        <w:tc>
          <w:tcPr>
            <w:tcW w:w="3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7.02. Counterparts</w:t>
            </w:r>
          </w:p>
        </w:tc>
        <w:tc>
          <w:tcPr>
            <w:tcW w:w="3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7.03. Entire Agreement; No Third Party Beneficiaries</w:t>
            </w:r>
          </w:p>
        </w:tc>
        <w:tc>
          <w:tcPr>
            <w:tcW w:w="3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7.04. Governing Law; Submission to Jurisdiction.</w:t>
            </w:r>
          </w:p>
        </w:tc>
        <w:tc>
          <w:tcPr>
            <w:tcW w:w="3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5"/>
        </w:trPr>
        <w:tc>
          <w:tcPr>
            <w:tcW w:w="1120" w:type="dxa"/>
            <w:vAlign w:val="bottom"/>
          </w:tcPr>
          <w:p>
            <w:pPr>
              <w:ind w:left="800"/>
              <w:spacing w:after="0"/>
              <w:rPr>
                <w:sz w:val="20"/>
                <w:szCs w:val="20"/>
                <w:color w:val="auto"/>
              </w:rPr>
            </w:pPr>
            <w:r>
              <w:rPr>
                <w:rFonts w:ascii="Arial" w:cs="Arial" w:eastAsia="Arial" w:hAnsi="Arial"/>
                <w:sz w:val="14"/>
                <w:szCs w:val="14"/>
                <w:color w:val="auto"/>
              </w:rPr>
              <w:t>(a)</w:t>
            </w:r>
          </w:p>
        </w:tc>
        <w:tc>
          <w:tcPr>
            <w:tcW w:w="6820" w:type="dxa"/>
            <w:vAlign w:val="bottom"/>
          </w:tcPr>
          <w:p>
            <w:pPr>
              <w:ind w:left="160"/>
              <w:spacing w:after="0"/>
              <w:rPr>
                <w:sz w:val="20"/>
                <w:szCs w:val="20"/>
                <w:color w:val="auto"/>
              </w:rPr>
            </w:pPr>
            <w:r>
              <w:rPr>
                <w:rFonts w:ascii="Arial" w:cs="Arial" w:eastAsia="Arial" w:hAnsi="Arial"/>
                <w:sz w:val="14"/>
                <w:szCs w:val="14"/>
                <w:color w:val="auto"/>
              </w:rPr>
              <w:t>Governing Law</w:t>
            </w:r>
          </w:p>
        </w:tc>
        <w:tc>
          <w:tcPr>
            <w:tcW w:w="3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5"/>
        </w:trPr>
        <w:tc>
          <w:tcPr>
            <w:tcW w:w="1120" w:type="dxa"/>
            <w:vAlign w:val="bottom"/>
          </w:tcPr>
          <w:p>
            <w:pPr>
              <w:ind w:left="800"/>
              <w:spacing w:after="0"/>
              <w:rPr>
                <w:sz w:val="20"/>
                <w:szCs w:val="20"/>
                <w:color w:val="auto"/>
              </w:rPr>
            </w:pPr>
            <w:r>
              <w:rPr>
                <w:rFonts w:ascii="Arial" w:cs="Arial" w:eastAsia="Arial" w:hAnsi="Arial"/>
                <w:sz w:val="14"/>
                <w:szCs w:val="14"/>
                <w:color w:val="auto"/>
              </w:rPr>
              <w:t>(b)</w:t>
            </w:r>
          </w:p>
        </w:tc>
        <w:tc>
          <w:tcPr>
            <w:tcW w:w="6820" w:type="dxa"/>
            <w:vAlign w:val="bottom"/>
          </w:tcPr>
          <w:p>
            <w:pPr>
              <w:ind w:left="160"/>
              <w:spacing w:after="0"/>
              <w:rPr>
                <w:sz w:val="20"/>
                <w:szCs w:val="20"/>
                <w:color w:val="auto"/>
              </w:rPr>
            </w:pPr>
            <w:r>
              <w:rPr>
                <w:rFonts w:ascii="Arial" w:cs="Arial" w:eastAsia="Arial" w:hAnsi="Arial"/>
                <w:sz w:val="14"/>
                <w:szCs w:val="14"/>
                <w:color w:val="auto"/>
              </w:rPr>
              <w:t>Jurisdiction</w:t>
            </w:r>
          </w:p>
        </w:tc>
        <w:tc>
          <w:tcPr>
            <w:tcW w:w="3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5"/>
        </w:trPr>
        <w:tc>
          <w:tcPr>
            <w:tcW w:w="1120" w:type="dxa"/>
            <w:vAlign w:val="bottom"/>
          </w:tcPr>
          <w:p>
            <w:pPr>
              <w:ind w:left="800"/>
              <w:spacing w:after="0"/>
              <w:rPr>
                <w:sz w:val="20"/>
                <w:szCs w:val="20"/>
                <w:color w:val="auto"/>
              </w:rPr>
            </w:pPr>
            <w:r>
              <w:rPr>
                <w:rFonts w:ascii="Arial" w:cs="Arial" w:eastAsia="Arial" w:hAnsi="Arial"/>
                <w:sz w:val="14"/>
                <w:szCs w:val="14"/>
                <w:color w:val="auto"/>
              </w:rPr>
              <w:t>(c)</w:t>
            </w:r>
          </w:p>
        </w:tc>
        <w:tc>
          <w:tcPr>
            <w:tcW w:w="6820" w:type="dxa"/>
            <w:vAlign w:val="bottom"/>
          </w:tcPr>
          <w:p>
            <w:pPr>
              <w:ind w:left="160"/>
              <w:spacing w:after="0"/>
              <w:rPr>
                <w:sz w:val="20"/>
                <w:szCs w:val="20"/>
                <w:color w:val="auto"/>
              </w:rPr>
            </w:pPr>
            <w:r>
              <w:rPr>
                <w:rFonts w:ascii="Arial" w:cs="Arial" w:eastAsia="Arial" w:hAnsi="Arial"/>
                <w:sz w:val="14"/>
                <w:szCs w:val="14"/>
                <w:color w:val="auto"/>
              </w:rPr>
              <w:t>Costs and Expenses</w:t>
            </w:r>
          </w:p>
        </w:tc>
        <w:tc>
          <w:tcPr>
            <w:tcW w:w="35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7.05. Severability</w:t>
            </w:r>
          </w:p>
        </w:tc>
        <w:tc>
          <w:tcPr>
            <w:tcW w:w="35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7.06. Successors; Assignment</w:t>
            </w:r>
          </w:p>
        </w:tc>
        <w:tc>
          <w:tcPr>
            <w:tcW w:w="35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7.07. Titles and Subtitles</w:t>
            </w:r>
          </w:p>
        </w:tc>
        <w:tc>
          <w:tcPr>
            <w:tcW w:w="35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7.08. Withholding</w:t>
            </w:r>
          </w:p>
        </w:tc>
        <w:tc>
          <w:tcPr>
            <w:tcW w:w="35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7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7.09. Reconciliation Procedures</w:t>
            </w:r>
          </w:p>
        </w:tc>
        <w:tc>
          <w:tcPr>
            <w:tcW w:w="35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1"/>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SECTION 7.10. Indemnification</w:t>
            </w:r>
          </w:p>
        </w:tc>
        <w:tc>
          <w:tcPr>
            <w:tcW w:w="352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60"/>
          </w:cols>
          <w:pgMar w:left="220" w:top="252" w:right="21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TAX RECEIVABLE AGREEMENT</w:t>
      </w:r>
    </w:p>
    <w:p>
      <w:pPr>
        <w:spacing w:after="0" w:line="149" w:lineRule="exact"/>
        <w:rPr>
          <w:sz w:val="20"/>
          <w:szCs w:val="20"/>
          <w:color w:val="auto"/>
        </w:rPr>
      </w:pPr>
    </w:p>
    <w:p>
      <w:pPr>
        <w:ind w:left="460"/>
        <w:spacing w:after="0"/>
        <w:tabs>
          <w:tab w:leader="none" w:pos="5440" w:val="left"/>
        </w:tabs>
        <w:rPr>
          <w:sz w:val="20"/>
          <w:szCs w:val="20"/>
          <w:color w:val="auto"/>
        </w:rPr>
      </w:pPr>
      <w:r>
        <w:rPr>
          <w:rFonts w:ascii="Arial" w:cs="Arial" w:eastAsia="Arial" w:hAnsi="Arial"/>
          <w:sz w:val="14"/>
          <w:szCs w:val="14"/>
          <w:color w:val="auto"/>
        </w:rPr>
        <w:t>This TAX RECEIVABLE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w:t>
      </w:r>
      <w:r>
        <w:rPr>
          <w:sz w:val="20"/>
          <w:szCs w:val="20"/>
          <w:color w:val="auto"/>
        </w:rPr>
        <w:tab/>
      </w:r>
      <w:r>
        <w:rPr>
          <w:rFonts w:ascii="Arial" w:cs="Arial" w:eastAsia="Arial" w:hAnsi="Arial"/>
          <w:sz w:val="13"/>
          <w:szCs w:val="13"/>
          <w:color w:val="auto"/>
        </w:rPr>
        <w:t>], 2007, by and among National CineMedia, Inc., a Delaware corporation (“</w:t>
      </w:r>
      <w:r>
        <w:rPr>
          <w:rFonts w:ascii="Arial" w:cs="Arial" w:eastAsia="Arial" w:hAnsi="Arial"/>
          <w:sz w:val="13"/>
          <w:szCs w:val="13"/>
          <w:u w:val="single" w:color="auto"/>
          <w:color w:val="auto"/>
        </w:rPr>
        <w:t>NCM Inc.</w:t>
      </w:r>
      <w:r>
        <w:rPr>
          <w:rFonts w:ascii="Arial" w:cs="Arial" w:eastAsia="Arial" w:hAnsi="Arial"/>
          <w:sz w:val="13"/>
          <w:szCs w:val="13"/>
          <w:color w:val="auto"/>
        </w:rPr>
        <w:t>”),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-6350</wp:posOffset>
            </wp:positionV>
            <wp:extent cx="45085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ind w:right="140"/>
        <w:spacing w:after="0" w:line="271" w:lineRule="auto"/>
        <w:rPr>
          <w:sz w:val="20"/>
          <w:szCs w:val="20"/>
          <w:color w:val="auto"/>
        </w:rPr>
      </w:pPr>
      <w:r>
        <w:rPr>
          <w:rFonts w:ascii="Arial" w:cs="Arial" w:eastAsia="Arial" w:hAnsi="Arial"/>
          <w:sz w:val="14"/>
          <w:szCs w:val="14"/>
          <w:color w:val="auto"/>
        </w:rPr>
        <w:t>CineMedia LLC, a Delaware limited liability company (“</w:t>
      </w:r>
      <w:r>
        <w:rPr>
          <w:rFonts w:ascii="Arial" w:cs="Arial" w:eastAsia="Arial" w:hAnsi="Arial"/>
          <w:sz w:val="14"/>
          <w:szCs w:val="14"/>
          <w:u w:val="single" w:color="auto"/>
          <w:color w:val="auto"/>
        </w:rPr>
        <w:t>NCM LLC</w:t>
      </w:r>
      <w:r>
        <w:rPr>
          <w:rFonts w:ascii="Arial" w:cs="Arial" w:eastAsia="Arial" w:hAnsi="Arial"/>
          <w:sz w:val="14"/>
          <w:szCs w:val="14"/>
          <w:color w:val="auto"/>
        </w:rPr>
        <w:t>”), Regal CineMedia Holdings, LLC, a Delaware limited liability company (“</w:t>
      </w:r>
      <w:r>
        <w:rPr>
          <w:rFonts w:ascii="Arial" w:cs="Arial" w:eastAsia="Arial" w:hAnsi="Arial"/>
          <w:sz w:val="14"/>
          <w:szCs w:val="14"/>
          <w:u w:val="single" w:color="auto"/>
          <w:color w:val="auto"/>
        </w:rPr>
        <w:t>Regal Founding Member</w:t>
      </w:r>
      <w:r>
        <w:rPr>
          <w:rFonts w:ascii="Arial" w:cs="Arial" w:eastAsia="Arial" w:hAnsi="Arial"/>
          <w:sz w:val="14"/>
          <w:szCs w:val="14"/>
          <w:color w:val="auto"/>
        </w:rPr>
        <w:t>”), Cinemark Media, Inc., a Delaware corporation (“</w:t>
      </w:r>
      <w:r>
        <w:rPr>
          <w:rFonts w:ascii="Arial" w:cs="Arial" w:eastAsia="Arial" w:hAnsi="Arial"/>
          <w:sz w:val="14"/>
          <w:szCs w:val="14"/>
          <w:u w:val="single" w:color="auto"/>
          <w:color w:val="auto"/>
        </w:rPr>
        <w:t>Cinemark Founding Member</w:t>
      </w:r>
      <w:r>
        <w:rPr>
          <w:rFonts w:ascii="Arial" w:cs="Arial" w:eastAsia="Arial" w:hAnsi="Arial"/>
          <w:sz w:val="14"/>
          <w:szCs w:val="14"/>
          <w:color w:val="auto"/>
        </w:rPr>
        <w:t>”), Regal Cinemas, Inc., a Tennessee corporation (“</w:t>
      </w:r>
      <w:r>
        <w:rPr>
          <w:rFonts w:ascii="Arial" w:cs="Arial" w:eastAsia="Arial" w:hAnsi="Arial"/>
          <w:sz w:val="14"/>
          <w:szCs w:val="14"/>
          <w:u w:val="single" w:color="auto"/>
          <w:color w:val="auto"/>
        </w:rPr>
        <w:t>Regal ESA Party</w:t>
      </w:r>
      <w:r>
        <w:rPr>
          <w:rFonts w:ascii="Arial" w:cs="Arial" w:eastAsia="Arial" w:hAnsi="Arial"/>
          <w:sz w:val="14"/>
          <w:szCs w:val="14"/>
          <w:color w:val="auto"/>
        </w:rPr>
        <w:t>”), American Multi-Cinema, Inc., a Missouri corporation (“</w:t>
      </w:r>
      <w:r>
        <w:rPr>
          <w:rFonts w:ascii="Arial" w:cs="Arial" w:eastAsia="Arial" w:hAnsi="Arial"/>
          <w:sz w:val="14"/>
          <w:szCs w:val="14"/>
          <w:u w:val="single" w:color="auto"/>
          <w:color w:val="auto"/>
        </w:rPr>
        <w:t>AMCI</w:t>
      </w:r>
      <w:r>
        <w:rPr>
          <w:rFonts w:ascii="Arial" w:cs="Arial" w:eastAsia="Arial" w:hAnsi="Arial"/>
          <w:sz w:val="14"/>
          <w:szCs w:val="14"/>
          <w:color w:val="auto"/>
        </w:rPr>
        <w:t>”), and Cinemark USA, Inc., a Texas corporation (“</w:t>
      </w:r>
      <w:r>
        <w:rPr>
          <w:rFonts w:ascii="Arial" w:cs="Arial" w:eastAsia="Arial" w:hAnsi="Arial"/>
          <w:sz w:val="14"/>
          <w:szCs w:val="14"/>
          <w:u w:val="single" w:color="auto"/>
          <w:color w:val="auto"/>
        </w:rPr>
        <w:t>Cinemark ESA Party</w:t>
      </w:r>
      <w:r>
        <w:rPr>
          <w:rFonts w:ascii="Arial" w:cs="Arial" w:eastAsia="Arial" w:hAnsi="Arial"/>
          <w:sz w:val="14"/>
          <w:szCs w:val="14"/>
          <w:color w:val="auto"/>
        </w:rPr>
        <w: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RECITALS</w:t>
      </w:r>
    </w:p>
    <w:p>
      <w:pPr>
        <w:spacing w:after="0" w:line="149"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4"/>
          <w:szCs w:val="14"/>
          <w:color w:val="auto"/>
        </w:rPr>
        <w:t>WHEREAS, on [</w:t>
      </w:r>
      <w:r>
        <w:rPr>
          <w:sz w:val="20"/>
          <w:szCs w:val="20"/>
          <w:color w:val="auto"/>
        </w:rPr>
        <w:tab/>
      </w:r>
      <w:r>
        <w:rPr>
          <w:rFonts w:ascii="Arial" w:cs="Arial" w:eastAsia="Arial" w:hAnsi="Arial"/>
          <w:sz w:val="13"/>
          <w:szCs w:val="13"/>
          <w:color w:val="auto"/>
        </w:rPr>
        <w:t>], 2006, National Cinema Network, Inc., a Delaware corporation and previously a member of NCM LLC, merged with and into AMCI with AMCI surviving,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-6350</wp:posOffset>
            </wp:positionV>
            <wp:extent cx="45085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281" w:lineRule="auto"/>
        <w:rPr>
          <w:sz w:val="20"/>
          <w:szCs w:val="20"/>
          <w:color w:val="auto"/>
        </w:rPr>
      </w:pPr>
      <w:r>
        <w:rPr>
          <w:rFonts w:ascii="Arial" w:cs="Arial" w:eastAsia="Arial" w:hAnsi="Arial"/>
          <w:sz w:val="14"/>
          <w:szCs w:val="14"/>
          <w:color w:val="auto"/>
        </w:rPr>
        <w:t>whereby AMCI, which had previously entered into an exhibitor services arrangement with NCM LLC, became a member of NCM LLC (AMCI, in its capacity as a member in NCM LLC, referred to as the “</w:t>
      </w:r>
      <w:r>
        <w:rPr>
          <w:rFonts w:ascii="Arial" w:cs="Arial" w:eastAsia="Arial" w:hAnsi="Arial"/>
          <w:sz w:val="14"/>
          <w:szCs w:val="14"/>
          <w:u w:val="single" w:color="auto"/>
          <w:color w:val="auto"/>
        </w:rPr>
        <w:t>AMC Founding Member</w:t>
      </w:r>
      <w:r>
        <w:rPr>
          <w:rFonts w:ascii="Arial" w:cs="Arial" w:eastAsia="Arial" w:hAnsi="Arial"/>
          <w:sz w:val="14"/>
          <w:szCs w:val="14"/>
          <w:color w:val="auto"/>
        </w:rPr>
        <w:t>,” and AMCI in its capacity as a party to an exhibitor services arrangement with NCM LLC, referred to as the “</w:t>
      </w:r>
      <w:r>
        <w:rPr>
          <w:rFonts w:ascii="Arial" w:cs="Arial" w:eastAsia="Arial" w:hAnsi="Arial"/>
          <w:sz w:val="14"/>
          <w:szCs w:val="14"/>
          <w:u w:val="single" w:color="auto"/>
          <w:color w:val="auto"/>
        </w:rPr>
        <w:t>AMC ESA Party</w:t>
      </w:r>
      <w:r>
        <w:rPr>
          <w:rFonts w:ascii="Arial" w:cs="Arial" w:eastAsia="Arial" w:hAnsi="Arial"/>
          <w:sz w:val="14"/>
          <w:szCs w:val="14"/>
          <w:color w:val="auto"/>
        </w:rPr>
        <w:t>”);</w:t>
      </w:r>
    </w:p>
    <w:p>
      <w:pPr>
        <w:spacing w:after="0" w:line="98"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WHEREAS, each of the Regal Founding Member, the AMC Founding Member, and the Cinemark Founding Member (each a “</w:t>
      </w:r>
      <w:r>
        <w:rPr>
          <w:rFonts w:ascii="Arial" w:cs="Arial" w:eastAsia="Arial" w:hAnsi="Arial"/>
          <w:sz w:val="14"/>
          <w:szCs w:val="14"/>
          <w:u w:val="single" w:color="auto"/>
          <w:color w:val="auto"/>
        </w:rPr>
        <w:t>Founding Member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Founding Members</w:t>
      </w:r>
      <w:r>
        <w:rPr>
          <w:rFonts w:ascii="Arial" w:cs="Arial" w:eastAsia="Arial" w:hAnsi="Arial"/>
          <w:sz w:val="14"/>
          <w:szCs w:val="14"/>
          <w:color w:val="auto"/>
        </w:rPr>
        <w:t>”) is an historic member of NCM LLC;</w:t>
      </w:r>
    </w:p>
    <w:p>
      <w:pPr>
        <w:spacing w:after="0" w:line="93"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WHEREAS, as of the date hereof, NCM Inc. has become a member of NCM LLC pursuant to the terms of that certain Common Unit Purchase Agreement and that certain NCM LLC Operating Agreement;</w:t>
      </w:r>
    </w:p>
    <w:p>
      <w:pPr>
        <w:spacing w:after="0" w:line="9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WHEREAS, as of the date hereof, each of the Regal ESA Party, the AMC ESA Party, and the Cinemark ESA Party (each an “</w:t>
      </w:r>
      <w:r>
        <w:rPr>
          <w:rFonts w:ascii="Arial" w:cs="Arial" w:eastAsia="Arial" w:hAnsi="Arial"/>
          <w:sz w:val="14"/>
          <w:szCs w:val="14"/>
          <w:u w:val="single" w:color="auto"/>
          <w:color w:val="auto"/>
        </w:rPr>
        <w:t>ESA Party</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ESA Parties</w:t>
      </w:r>
      <w:r>
        <w:rPr>
          <w:rFonts w:ascii="Arial" w:cs="Arial" w:eastAsia="Arial" w:hAnsi="Arial"/>
          <w:sz w:val="14"/>
          <w:szCs w:val="14"/>
          <w:color w:val="auto"/>
        </w:rPr>
        <w:t>”) has entered into an Exhibitor Services Agreement with NCM LLC;</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as of the date hereof, NCM LLC has received the Net IPO Proceeds from NCM Inc. and NCM LLC has incurred the NCM LLC Indebtedness;</w:t>
      </w:r>
    </w:p>
    <w:p>
      <w:pPr>
        <w:spacing w:after="0" w:line="145"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color w:val="auto"/>
        </w:rPr>
        <w:t>WHEREAS, as of the date hereof, NCM LLC has made a payment (an “</w:t>
      </w:r>
      <w:r>
        <w:rPr>
          <w:rFonts w:ascii="Arial" w:cs="Arial" w:eastAsia="Arial" w:hAnsi="Arial"/>
          <w:sz w:val="14"/>
          <w:szCs w:val="14"/>
          <w:u w:val="single" w:color="auto"/>
          <w:color w:val="auto"/>
        </w:rPr>
        <w:t>Initial ESA Modification Payment</w:t>
      </w:r>
      <w:r>
        <w:rPr>
          <w:rFonts w:ascii="Arial" w:cs="Arial" w:eastAsia="Arial" w:hAnsi="Arial"/>
          <w:sz w:val="14"/>
          <w:szCs w:val="14"/>
          <w:color w:val="auto"/>
        </w:rPr>
        <w:t>”) to each ESA Party pursuant to Section 2.05(a)(i) of each ESA Party’s Exhibitor Services Agreement with NCM LLC;</w:t>
      </w:r>
    </w:p>
    <w:p>
      <w:pPr>
        <w:spacing w:after="0" w:line="93"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WHEREAS, as of the date hereof, NCM LLC has distributed the Redemption Proceeds to the Founding Members in redemption of their Preferred Units pursuant to Section 3.4(d) of the NCM LLC Operating Agreement;</w:t>
      </w:r>
    </w:p>
    <w:p>
      <w:pPr>
        <w:spacing w:after="0" w:line="93"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color w:val="auto"/>
        </w:rPr>
        <w:t>WHEREAS, on and after the date hereof, the Founding Members have the right to have their Common Units redeemed by NCM LLC pursuant to the terms of Sections 9.1 and 3.5(b) of the NCM LLC Operating Agreement;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40"/>
          </w:cols>
          <w:pgMar w:left="220" w:top="248" w:right="239" w:bottom="1440" w:gutter="0" w:footer="0" w:header="0"/>
        </w:sectPr>
      </w:pPr>
    </w:p>
    <w:bookmarkStart w:id="266" w:name="page267"/>
    <w:bookmarkEnd w:id="266"/>
    <w:p>
      <w:pPr>
        <w:ind w:right="40" w:firstLine="458"/>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WHEREAS, on and after the date hereof, the Initial ESA Modification Payments are subject to contingent positive or negative adjustments pursuant to the terms of Section 2.05(a)(iii) of each ESA Party’s Exhibitor Services Agreement with NCM LLC and the Common Unit Adjustment Agreement (a “</w:t>
      </w:r>
      <w:r>
        <w:rPr>
          <w:rFonts w:ascii="Arial" w:cs="Arial" w:eastAsia="Arial" w:hAnsi="Arial"/>
          <w:sz w:val="14"/>
          <w:szCs w:val="14"/>
          <w:u w:val="single" w:color="auto"/>
          <w:color w:val="auto"/>
        </w:rPr>
        <w:t>Positive Theatre Access Adjustment</w:t>
      </w:r>
      <w:r>
        <w:rPr>
          <w:rFonts w:ascii="Arial" w:cs="Arial" w:eastAsia="Arial" w:hAnsi="Arial"/>
          <w:sz w:val="14"/>
          <w:szCs w:val="14"/>
          <w:color w:val="auto"/>
        </w:rPr>
        <w:t>” or a “</w:t>
      </w:r>
      <w:r>
        <w:rPr>
          <w:rFonts w:ascii="Arial" w:cs="Arial" w:eastAsia="Arial" w:hAnsi="Arial"/>
          <w:sz w:val="14"/>
          <w:szCs w:val="14"/>
          <w:u w:val="single" w:color="auto"/>
          <w:color w:val="auto"/>
        </w:rPr>
        <w:t>Negative Theatre Access Adjustment</w:t>
      </w:r>
      <w:r>
        <w:rPr>
          <w:rFonts w:ascii="Arial" w:cs="Arial" w:eastAsia="Arial" w:hAnsi="Arial"/>
          <w:sz w:val="14"/>
          <w:szCs w:val="14"/>
          <w:color w:val="auto"/>
        </w:rPr>
        <w:t>,” respectively); and</w:t>
      </w:r>
    </w:p>
    <w:p>
      <w:pPr>
        <w:spacing w:after="0" w:line="102" w:lineRule="exact"/>
        <w:rPr>
          <w:sz w:val="20"/>
          <w:szCs w:val="20"/>
          <w:color w:val="auto"/>
        </w:rPr>
      </w:pPr>
    </w:p>
    <w:p>
      <w:pPr>
        <w:ind w:right="480" w:firstLine="458"/>
        <w:spacing w:after="0" w:line="289" w:lineRule="auto"/>
        <w:rPr>
          <w:sz w:val="20"/>
          <w:szCs w:val="20"/>
          <w:color w:val="auto"/>
        </w:rPr>
      </w:pPr>
      <w:r>
        <w:rPr>
          <w:rFonts w:ascii="Arial" w:cs="Arial" w:eastAsia="Arial" w:hAnsi="Arial"/>
          <w:sz w:val="14"/>
          <w:szCs w:val="14"/>
          <w:color w:val="auto"/>
        </w:rPr>
        <w:t>WHEREAS, the Parties desire to make certain arrangements with respect to the Realized Tax Benefits and Realized Tax Detriments, if any, associated with the foregoing relationships, agreements, and transactions.</w:t>
      </w:r>
    </w:p>
    <w:p>
      <w:pPr>
        <w:spacing w:after="0" w:line="93"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color w:val="auto"/>
        </w:rPr>
        <w:t>NOW, THEREFORE, in consideration of the foregoing and the respective covenants and agreements set forth herein, and intending to be legally bound hereby, the Parties hereto agree as follows:</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I</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DEFINITIONS</w:t>
      </w:r>
    </w:p>
    <w:p>
      <w:pPr>
        <w:spacing w:after="0" w:line="139"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Agreement, the terms set forth in this Article I shall have the following meanings (such meanings to be equally applicable to both the singular and plural forms of the terms defined).</w:t>
      </w:r>
    </w:p>
    <w:p>
      <w:pPr>
        <w:spacing w:after="0" w:line="28" w:lineRule="exact"/>
        <w:rPr>
          <w:sz w:val="20"/>
          <w:szCs w:val="20"/>
          <w:color w:val="auto"/>
        </w:rPr>
      </w:pPr>
    </w:p>
    <w:p>
      <w:pPr>
        <w:jc w:val="both"/>
        <w:ind w:left="460"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Adjusted Allocable Shares</w:t>
      </w:r>
      <w:r>
        <w:rPr>
          <w:rFonts w:ascii="Arial" w:cs="Arial" w:eastAsia="Arial" w:hAnsi="Arial"/>
          <w:sz w:val="14"/>
          <w:szCs w:val="14"/>
          <w:color w:val="auto"/>
        </w:rPr>
        <w:t>” means the ESA-Related Allocable Shares of the ESA Parties and the Exchange-Related Allocable Shares of the Founding Members, in each case, in effect as of the date of an Early Termination Notice and, in the case of the Exchange-Related Allocable Shares of the Founding Members, as adjusted as of the date of an Early Termination Notice to account for clause (i) of the Valuation Assumptions.</w:t>
      </w:r>
    </w:p>
    <w:p>
      <w:pPr>
        <w:spacing w:after="0" w:line="37" w:lineRule="exact"/>
        <w:rPr>
          <w:sz w:val="20"/>
          <w:szCs w:val="20"/>
          <w:color w:val="auto"/>
        </w:rPr>
      </w:pPr>
    </w:p>
    <w:p>
      <w:pPr>
        <w:ind w:left="460" w:right="100" w:firstLine="440"/>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Advisory Firm</w:t>
      </w:r>
      <w:r>
        <w:rPr>
          <w:rFonts w:ascii="Arial" w:cs="Arial" w:eastAsia="Arial" w:hAnsi="Arial"/>
          <w:sz w:val="13"/>
          <w:szCs w:val="13"/>
          <w:color w:val="auto"/>
        </w:rPr>
        <w:t>” means an accounting or law firm that is nationally recognized as being expert in Covered Tax matters, as determined by the Audit Committee. The Audit Committee shall select the Advisory Firm, and the Audit Committee may replace the Advisory Firm at its discretion (subject to the consistency requirements of Section 6.02 of this Agreement).</w:t>
      </w:r>
    </w:p>
    <w:p>
      <w:pPr>
        <w:spacing w:after="0" w:line="4" w:lineRule="exact"/>
        <w:rPr>
          <w:sz w:val="20"/>
          <w:szCs w:val="20"/>
          <w:color w:val="auto"/>
        </w:rPr>
      </w:pPr>
    </w:p>
    <w:p>
      <w:pPr>
        <w:ind w:left="460" w:firstLine="440"/>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Advisory Firm Letter</w:t>
      </w:r>
      <w:r>
        <w:rPr>
          <w:rFonts w:ascii="Arial" w:cs="Arial" w:eastAsia="Arial" w:hAnsi="Arial"/>
          <w:sz w:val="13"/>
          <w:szCs w:val="13"/>
          <w:color w:val="auto"/>
        </w:rPr>
        <w:t>” shall mean a letter from the Advisory Firm stating that any relevant schedule, notice or other information to be provided by NCM Inc. or NCM LLC to the Founding Members or the ESA Parties pursuant to this Agreement and all supporting schedules and work papers were prepared in a manner consistent with the terms of this Agreement and, to the extent not expressly provided in this Agreement, on a reasonable basis in light of the facts and law in existence on the date such schedule, notice or other information is delivered.</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Agreed Rate</w:t>
      </w:r>
      <w:r>
        <w:rPr>
          <w:rFonts w:ascii="Arial" w:cs="Arial" w:eastAsia="Arial" w:hAnsi="Arial"/>
          <w:sz w:val="14"/>
          <w:szCs w:val="14"/>
          <w:color w:val="auto"/>
        </w:rPr>
        <w:t>” means LIBOR plus 200 basis points.</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is defined in the preamble.</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AMC ESA Party</w:t>
      </w:r>
      <w:r>
        <w:rPr>
          <w:rFonts w:ascii="Arial" w:cs="Arial" w:eastAsia="Arial" w:hAnsi="Arial"/>
          <w:sz w:val="14"/>
          <w:szCs w:val="14"/>
          <w:color w:val="auto"/>
        </w:rPr>
        <w:t>” is defined in the preamble of this Agreement.</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AMC Founding Member</w:t>
      </w:r>
      <w:r>
        <w:rPr>
          <w:rFonts w:ascii="Arial" w:cs="Arial" w:eastAsia="Arial" w:hAnsi="Arial"/>
          <w:sz w:val="14"/>
          <w:szCs w:val="14"/>
          <w:color w:val="auto"/>
        </w:rPr>
        <w:t>” is defined in the preamble of this Agreement.</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60"/>
          </w:cols>
          <w:pgMar w:left="220" w:top="252" w:right="319" w:bottom="1440" w:gutter="0" w:footer="0" w:header="0"/>
        </w:sectPr>
      </w:pPr>
    </w:p>
    <w:bookmarkStart w:id="267" w:name="page268"/>
    <w:bookmarkEnd w:id="267"/>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4"/>
          <w:szCs w:val="14"/>
          <w:u w:val="single" w:color="auto"/>
          <w:color w:val="auto"/>
        </w:rPr>
        <w:t>AMCI</w:t>
      </w:r>
      <w:r>
        <w:rPr>
          <w:rFonts w:ascii="Arial" w:cs="Arial" w:eastAsia="Arial" w:hAnsi="Arial"/>
          <w:sz w:val="14"/>
          <w:szCs w:val="14"/>
          <w:color w:val="auto"/>
        </w:rPr>
        <w:t>” is defined in the preamble.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Amended NCM Inc. Tax Benefit Schedule</w:t>
      </w:r>
      <w:r>
        <w:rPr>
          <w:rFonts w:ascii="Arial" w:cs="Arial" w:eastAsia="Arial" w:hAnsi="Arial"/>
          <w:sz w:val="14"/>
          <w:szCs w:val="14"/>
          <w:color w:val="auto"/>
        </w:rPr>
        <w:t>” is defined in Section 2.03(b) of this Agreement.</w:t>
      </w:r>
    </w:p>
    <w:p>
      <w:pPr>
        <w:spacing w:after="0" w:line="79" w:lineRule="exact"/>
        <w:rPr>
          <w:sz w:val="20"/>
          <w:szCs w:val="20"/>
          <w:color w:val="auto"/>
        </w:rPr>
      </w:pPr>
    </w:p>
    <w:p>
      <w:pPr>
        <w:ind w:left="440"/>
        <w:spacing w:after="0"/>
        <w:tabs>
          <w:tab w:leader="none" w:pos="9160" w:val="left"/>
        </w:tabs>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Treasury Rate</w:t>
      </w:r>
      <w:r>
        <w:rPr>
          <w:rFonts w:ascii="Arial" w:cs="Arial" w:eastAsia="Arial" w:hAnsi="Arial"/>
          <w:sz w:val="14"/>
          <w:szCs w:val="14"/>
          <w:color w:val="auto"/>
        </w:rPr>
        <w:t>” means a rate equal to (1) if an Early Termination Notice is delivered prior to the third anniversary of the date hereof, [</w:t>
      </w:r>
      <w:r>
        <w:rPr>
          <w:sz w:val="20"/>
          <w:szCs w:val="20"/>
          <w:color w:val="auto"/>
        </w:rPr>
        <w:tab/>
      </w:r>
      <w:r>
        <w:rPr>
          <w:rFonts w:ascii="Arial" w:cs="Arial" w:eastAsia="Arial" w:hAnsi="Arial"/>
          <w:sz w:val="13"/>
          <w:szCs w:val="13"/>
          <w:color w:val="auto"/>
        </w:rPr>
        <w:t>]% or (2) the yield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-6350</wp:posOffset>
            </wp:positionV>
            <wp:extent cx="27051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288" w:lineRule="auto"/>
        <w:rPr>
          <w:sz w:val="20"/>
          <w:szCs w:val="20"/>
          <w:color w:val="auto"/>
        </w:rPr>
      </w:pPr>
      <w:r>
        <w:rPr>
          <w:rFonts w:ascii="Arial" w:cs="Arial" w:eastAsia="Arial" w:hAnsi="Arial"/>
          <w:sz w:val="13"/>
          <w:szCs w:val="13"/>
          <w:color w:val="auto"/>
        </w:rPr>
        <w:t>as of the date an Early Termination Notice is delivered of U.S. Treasury securities with a constant maturity (the “</w:t>
      </w:r>
      <w:r>
        <w:rPr>
          <w:rFonts w:ascii="Arial" w:cs="Arial" w:eastAsia="Arial" w:hAnsi="Arial"/>
          <w:sz w:val="13"/>
          <w:szCs w:val="13"/>
          <w:u w:val="single" w:color="auto"/>
          <w:color w:val="auto"/>
        </w:rPr>
        <w:t>Applicable Maturity</w:t>
      </w:r>
      <w:r>
        <w:rPr>
          <w:rFonts w:ascii="Arial" w:cs="Arial" w:eastAsia="Arial" w:hAnsi="Arial"/>
          <w:sz w:val="13"/>
          <w:szCs w:val="13"/>
          <w:color w:val="auto"/>
        </w:rPr>
        <w:t>”) (as compiled and published in the most recent Federal Reserve Statistical Release H 15 (519)) equal to (a) if such Early Termination Notice is delivered on or after the third anniversary of the date hereof but prior to the fifth anniversary of the date hereof, 10 years, (b) if such Early Termination Notice is delivered on or after the fifth anniversary of the date hereof but prior to the fifteenth anniversary of the date hereof, the number of years from the date such Early Termination Notice is delivered through the fifteenth anniversary of the date hereof, or (c) if such Early Termination Notice is delivered on or after the fifteenth anniversary of the date hereof, 2 years. If there are no U.S. Treasury securities with a constant maturity equal to the Applicable Maturity, the yield to maturity shall be interpolated from the U.S. Treasury securities with constant maturities that are most nearly longer than and shorter than the Applicable Maturity.</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Audit Committee</w:t>
      </w:r>
      <w:r>
        <w:rPr>
          <w:rFonts w:ascii="Arial" w:cs="Arial" w:eastAsia="Arial" w:hAnsi="Arial"/>
          <w:sz w:val="14"/>
          <w:szCs w:val="14"/>
          <w:color w:val="auto"/>
        </w:rPr>
        <w:t>” means the independent audit committee of the board of directors of NCM Inc.</w:t>
      </w:r>
    </w:p>
    <w:p>
      <w:pPr>
        <w:spacing w:after="0" w:line="79" w:lineRule="exact"/>
        <w:rPr>
          <w:sz w:val="20"/>
          <w:szCs w:val="20"/>
          <w:color w:val="auto"/>
        </w:rPr>
      </w:pPr>
    </w:p>
    <w:p>
      <w:pPr>
        <w:ind w:right="80" w:firstLine="440"/>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Basis Adjustment</w:t>
      </w:r>
      <w:r>
        <w:rPr>
          <w:rFonts w:ascii="Arial" w:cs="Arial" w:eastAsia="Arial" w:hAnsi="Arial"/>
          <w:sz w:val="14"/>
          <w:szCs w:val="14"/>
          <w:color w:val="auto"/>
        </w:rPr>
        <w:t>” means the increase or decrease to NCM Inc.’s share of the tax basis of NCM LLC’s Original Assets or Exchange Assets, as the case may be, (i) under Sections 743(b) and 754 of the Code and the comparable sections of U.S. state and local income and franchise Tax law as a result of the Initial Deemed Exchange, (ii) under Section 743(b) and 754 of the Code and the comparable sections of U.S. state and local income and franchise Tax law as a result of any Subsequent Deemed Exchange, and (iii) under Sections 743(b) and 754 as a result of any Exchange-Related Payments made under this Agreement. For the avoidance of doubt, any ESA-Related Payments or payments of Imputed Interest under this Agreement shall not be treated as resulting in a Basis Adjustment.</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any calendar day that is not a Saturday, Sunday or other calendar day on which banks are required or authorized to be closed in the City of New York.</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Notice</w:t>
      </w:r>
      <w:r>
        <w:rPr>
          <w:rFonts w:ascii="Arial" w:cs="Arial" w:eastAsia="Arial" w:hAnsi="Arial"/>
          <w:sz w:val="14"/>
          <w:szCs w:val="14"/>
          <w:color w:val="auto"/>
        </w:rPr>
        <w:t>” is defined in Section 3.03(a)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Cinemark ESA Party</w:t>
      </w:r>
      <w:r>
        <w:rPr>
          <w:rFonts w:ascii="Arial" w:cs="Arial" w:eastAsia="Arial" w:hAnsi="Arial"/>
          <w:sz w:val="14"/>
          <w:szCs w:val="14"/>
          <w:color w:val="auto"/>
        </w:rPr>
        <w:t>” is defined in the preamble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Cinemark Founding Member</w:t>
      </w:r>
      <w:r>
        <w:rPr>
          <w:rFonts w:ascii="Arial" w:cs="Arial" w:eastAsia="Arial" w:hAnsi="Arial"/>
          <w:sz w:val="14"/>
          <w:szCs w:val="14"/>
          <w:color w:val="auto"/>
        </w:rPr>
        <w:t>” is defined in the preamble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 as amended, and the Treasury Regulations issued thereunder.</w:t>
      </w:r>
    </w:p>
    <w:p>
      <w:pPr>
        <w:spacing w:after="0" w:line="134"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960"/>
          </w:cols>
          <w:pgMar w:left="680" w:top="252" w:right="259" w:bottom="1440" w:gutter="0" w:footer="0" w:header="0"/>
        </w:sectPr>
      </w:pPr>
    </w:p>
    <w:bookmarkStart w:id="268" w:name="page269"/>
    <w:bookmarkEnd w:id="268"/>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common stock of NCM Inc., par value $0.01 per share.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Units</w:t>
      </w:r>
      <w:r>
        <w:rPr>
          <w:rFonts w:ascii="Arial" w:cs="Arial" w:eastAsia="Arial" w:hAnsi="Arial"/>
          <w:sz w:val="14"/>
          <w:szCs w:val="14"/>
          <w:color w:val="auto"/>
        </w:rPr>
        <w:t>” is defined in Section 1.1 of the NCM LLC Operating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Unit Adjustment Agreement</w:t>
      </w:r>
      <w:r>
        <w:rPr>
          <w:rFonts w:ascii="Arial" w:cs="Arial" w:eastAsia="Arial" w:hAnsi="Arial"/>
          <w:sz w:val="13"/>
          <w:szCs w:val="13"/>
          <w:color w:val="auto"/>
        </w:rPr>
        <w:t>” means that certain Common Unit Adjustment Agreement by and among the Parties to this Agreement and dated as of the date hereof.</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Unit Purchase Agreement</w:t>
      </w:r>
      <w:r>
        <w:rPr>
          <w:rFonts w:ascii="Arial" w:cs="Arial" w:eastAsia="Arial" w:hAnsi="Arial"/>
          <w:sz w:val="13"/>
          <w:szCs w:val="13"/>
          <w:color w:val="auto"/>
        </w:rPr>
        <w:t>” means that certain Common Unit Subscription Agreement by and between NCM Inc. and NCM LLC and dated as of the date hereof.</w:t>
      </w:r>
    </w:p>
    <w:p>
      <w:pPr>
        <w:spacing w:after="0" w:line="91" w:lineRule="exact"/>
        <w:rPr>
          <w:sz w:val="20"/>
          <w:szCs w:val="20"/>
          <w:color w:val="auto"/>
        </w:rPr>
      </w:pPr>
    </w:p>
    <w:p>
      <w:pPr>
        <w:ind w:firstLine="440"/>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Covered Taxable Year</w:t>
      </w:r>
      <w:r>
        <w:rPr>
          <w:rFonts w:ascii="Arial" w:cs="Arial" w:eastAsia="Arial" w:hAnsi="Arial"/>
          <w:sz w:val="14"/>
          <w:szCs w:val="14"/>
          <w:color w:val="auto"/>
        </w:rPr>
        <w:t>” means with respect to each Founding Member or ESA Party, each Taxable Year of NCM Inc. for which Covered Taxes are due and payable, beginning with the Taxable Years that include the date of this Agreement, and ending with NCM Inc.’s Taxable Years that include: (i) the 30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anniversary of the date hereof; or, if earlier, (ii) the occurrence of a material and uncured breach of this Agreement by such Founding Member or ESA Party or, in the case of an ESA Party, the occurrence of a material and uncured breach of such ESA Party’s ESA with NCM LLC.</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Covered Taxes</w:t>
      </w:r>
      <w:r>
        <w:rPr>
          <w:rFonts w:ascii="Arial" w:cs="Arial" w:eastAsia="Arial" w:hAnsi="Arial"/>
          <w:sz w:val="14"/>
          <w:szCs w:val="14"/>
          <w:color w:val="auto"/>
        </w:rPr>
        <w:t>” means U.S. Federal Income Taxes and U.S. state and local income and franchise Taxes.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Determination</w:t>
      </w:r>
      <w:r>
        <w:rPr>
          <w:rFonts w:ascii="Arial" w:cs="Arial" w:eastAsia="Arial" w:hAnsi="Arial"/>
          <w:sz w:val="13"/>
          <w:szCs w:val="13"/>
          <w:color w:val="auto"/>
        </w:rPr>
        <w:t>” shall have the meaning ascribed to such term in Section 1313(a) of the Code or similar provision of state or local income or franchise Tax law, as applicable.</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Distribution</w:t>
      </w:r>
      <w:r>
        <w:rPr>
          <w:rFonts w:ascii="Arial" w:cs="Arial" w:eastAsia="Arial" w:hAnsi="Arial"/>
          <w:sz w:val="14"/>
          <w:szCs w:val="14"/>
          <w:color w:val="auto"/>
        </w:rPr>
        <w:t>” is defined in Section 2.01(b)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Early Termination Notice</w:t>
      </w:r>
      <w:r>
        <w:rPr>
          <w:rFonts w:ascii="Arial" w:cs="Arial" w:eastAsia="Arial" w:hAnsi="Arial"/>
          <w:sz w:val="14"/>
          <w:szCs w:val="14"/>
          <w:color w:val="auto"/>
        </w:rPr>
        <w:t>” is defined in Section 4.02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Early Termination Payment</w:t>
      </w:r>
      <w:r>
        <w:rPr>
          <w:rFonts w:ascii="Arial" w:cs="Arial" w:eastAsia="Arial" w:hAnsi="Arial"/>
          <w:sz w:val="14"/>
          <w:szCs w:val="14"/>
          <w:color w:val="auto"/>
        </w:rPr>
        <w:t>” is defined in Section 4.03(b)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Early Termination Rate</w:t>
      </w:r>
      <w:r>
        <w:rPr>
          <w:rFonts w:ascii="Arial" w:cs="Arial" w:eastAsia="Arial" w:hAnsi="Arial"/>
          <w:sz w:val="14"/>
          <w:szCs w:val="14"/>
          <w:color w:val="auto"/>
        </w:rPr>
        <w:t>” means the Applicable Treasury Rate plus 300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ESA Party</w:t>
      </w:r>
      <w:r>
        <w:rPr>
          <w:rFonts w:ascii="Arial" w:cs="Arial" w:eastAsia="Arial" w:hAnsi="Arial"/>
          <w:sz w:val="14"/>
          <w:szCs w:val="14"/>
          <w:color w:val="auto"/>
        </w:rPr>
        <w:t>” is defined in the recitals to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ESA Parties</w:t>
      </w:r>
      <w:r>
        <w:rPr>
          <w:rFonts w:ascii="Arial" w:cs="Arial" w:eastAsia="Arial" w:hAnsi="Arial"/>
          <w:sz w:val="14"/>
          <w:szCs w:val="14"/>
          <w:color w:val="auto"/>
        </w:rPr>
        <w:t>” is defined in the recitals to this Agreement.</w:t>
      </w:r>
    </w:p>
    <w:p>
      <w:pPr>
        <w:spacing w:after="0" w:line="79" w:lineRule="exact"/>
        <w:rPr>
          <w:sz w:val="20"/>
          <w:szCs w:val="20"/>
          <w:color w:val="auto"/>
        </w:rPr>
      </w:pPr>
    </w:p>
    <w:p>
      <w:pPr>
        <w:ind w:right="80"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ESA-Related Allocable Share</w:t>
      </w:r>
      <w:r>
        <w:rPr>
          <w:rFonts w:ascii="Arial" w:cs="Arial" w:eastAsia="Arial" w:hAnsi="Arial"/>
          <w:sz w:val="14"/>
          <w:szCs w:val="14"/>
          <w:color w:val="auto"/>
        </w:rPr>
        <w:t>” means with respect to each ESA Party, and in connection with any ESA-Related Payment for any Covered Taxable Year, the quotient (expressed as a percentage) obtained by dividing (x) the Realized Tax Benefits or Realized Tax Detriments, if any, for such Covered Taxable Year that result from the Initial ESA Modification Payment made to, or any Positive Theatre Access Adjustments made in respect of, such ESA Party, by (y) the aggregate Realized Tax Benefits or</w:t>
      </w:r>
    </w:p>
    <w:p>
      <w:pPr>
        <w:spacing w:after="0" w:line="9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920"/>
          </w:cols>
          <w:pgMar w:left="680" w:top="252" w:right="299" w:bottom="1440" w:gutter="0" w:footer="0" w:header="0"/>
        </w:sectPr>
      </w:pPr>
    </w:p>
    <w:bookmarkStart w:id="269" w:name="page270"/>
    <w:bookmarkEnd w:id="269"/>
    <w:p>
      <w:pPr>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aggregate Realized Tax Detriments, if any, for such Covered Taxable Year that result from the Initial ESA Modification Payments made to, or any Positive Theatre Access Adjustments made in respect of, all ESA Parties. For the avoidance of doubt, an ESA Party’s ESA-Related Allocable Share shall be zero with respect to all future periods following the last Covered Taxable Year with respect to such ESA Party, however, the Initial ESA Modification Payment and any prior or subsequent Positive Theatre Adjustments attributable to such ESA Party will continue to be taken into consideration for purposes of the denominator (clause (y) in the preceding sentence) used to determine the continuing ESA-Related Allocable Shares of other ESA Parties with respect to any future Covered Taxable Years.</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ESA-Related Payment</w:t>
      </w:r>
      <w:r>
        <w:rPr>
          <w:rFonts w:ascii="Arial" w:cs="Arial" w:eastAsia="Arial" w:hAnsi="Arial"/>
          <w:sz w:val="14"/>
          <w:szCs w:val="14"/>
          <w:color w:val="auto"/>
        </w:rPr>
        <w:t>” means any payment made by NCM LLC or an ESA Party under Section 3.02 of this Agreement.</w:t>
      </w:r>
    </w:p>
    <w:p>
      <w:pPr>
        <w:spacing w:after="0" w:line="79" w:lineRule="exact"/>
        <w:rPr>
          <w:sz w:val="20"/>
          <w:szCs w:val="20"/>
          <w:color w:val="auto"/>
        </w:rPr>
      </w:pPr>
    </w:p>
    <w:p>
      <w:pPr>
        <w:ind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ESA-Related Tax Benefit Payment</w:t>
      </w:r>
      <w:r>
        <w:rPr>
          <w:rFonts w:ascii="Arial" w:cs="Arial" w:eastAsia="Arial" w:hAnsi="Arial"/>
          <w:sz w:val="14"/>
          <w:szCs w:val="14"/>
          <w:color w:val="auto"/>
        </w:rPr>
        <w:t>” means for any Covered Taxable Year the sum of (x) 90% of the Realized Tax Benefit, if any, for such Covered Taxable Year that is attributable to the Initial ESA Modification Payments and any Positive Theatre Access Adjustments, plus (y) interest on such amount at the Agreed Rate from the due date (without extensions) of NCM Inc.’s U.S. Federal Income Tax Return for such Covered Taxable Year to the date of payment.</w:t>
      </w:r>
    </w:p>
    <w:p>
      <w:pPr>
        <w:spacing w:after="0" w:line="37" w:lineRule="exact"/>
        <w:rPr>
          <w:sz w:val="20"/>
          <w:szCs w:val="20"/>
          <w:color w:val="auto"/>
        </w:rPr>
      </w:pPr>
    </w:p>
    <w:p>
      <w:pPr>
        <w:ind w:right="40"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ESA-Related Tax Detriment Payment</w:t>
      </w:r>
      <w:r>
        <w:rPr>
          <w:rFonts w:ascii="Arial" w:cs="Arial" w:eastAsia="Arial" w:hAnsi="Arial"/>
          <w:sz w:val="14"/>
          <w:szCs w:val="14"/>
          <w:color w:val="auto"/>
        </w:rPr>
        <w:t>” means for any Covered Taxable Year the sum of (x) 100% of the Realized Tax Detriment, if any, for such Covered Taxable Year that is attributable to the Initial ESA Modification Payments and any Positive Theatre Access Adjustments, plus (y) interest on such amount at the Agreed Rate from the due date (without extensions) of NCM Inc.’s U.S. Federal Income Tax Return for such Covered Taxable Year to the date of payment.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Escrow Agent</w:t>
      </w:r>
      <w:r>
        <w:rPr>
          <w:rFonts w:ascii="Arial" w:cs="Arial" w:eastAsia="Arial" w:hAnsi="Arial"/>
          <w:sz w:val="14"/>
          <w:szCs w:val="14"/>
          <w:color w:val="auto"/>
        </w:rPr>
        <w:t>” means any escrow agent engaged pursuant to Section 3.03(b)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means the Securities Exchange Act of 1934, as amended, or any successor statute thereto.</w:t>
      </w:r>
    </w:p>
    <w:p>
      <w:pPr>
        <w:spacing w:after="0" w:line="79" w:lineRule="exact"/>
        <w:rPr>
          <w:sz w:val="20"/>
          <w:szCs w:val="20"/>
          <w:color w:val="auto"/>
        </w:rPr>
      </w:pPr>
    </w:p>
    <w:p>
      <w:pPr>
        <w:ind w:right="8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Assets</w:t>
      </w:r>
      <w:r>
        <w:rPr>
          <w:rFonts w:ascii="Arial" w:cs="Arial" w:eastAsia="Arial" w:hAnsi="Arial"/>
          <w:sz w:val="14"/>
          <w:szCs w:val="14"/>
          <w:color w:val="auto"/>
        </w:rPr>
        <w:t>” means the assets owned by NCM LLC as of an applicable Subsequent Deemed Exchange Date (and any asset whose tax basis is determined, in whole or in part, by reference to the adjusted basis of any such asset).</w:t>
      </w:r>
    </w:p>
    <w:p>
      <w:pPr>
        <w:spacing w:after="0" w:line="28" w:lineRule="exact"/>
        <w:rPr>
          <w:sz w:val="20"/>
          <w:szCs w:val="20"/>
          <w:color w:val="auto"/>
        </w:rPr>
      </w:pPr>
    </w:p>
    <w:p>
      <w:pPr>
        <w:ind w:right="20" w:firstLine="440"/>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Exchange-Related Allocable Share</w:t>
      </w:r>
      <w:r>
        <w:rPr>
          <w:rFonts w:ascii="Arial" w:cs="Arial" w:eastAsia="Arial" w:hAnsi="Arial"/>
          <w:sz w:val="14"/>
          <w:szCs w:val="14"/>
          <w:color w:val="auto"/>
        </w:rPr>
        <w:t>” means with respect to each Founding Member, and in connection with any Exchange-Related Payment for any Covered Taxable Year, the quotient (expressed as a percentage) obtained by dividing (x) the Realized Tax Benefits or Realized Tax Detriments, if any, for such Covered Taxable Year that result from any Basis Adjustments attributable to such Founding Member, by (y) the aggregate Realized Tax Benefits or aggregate Realized Tax Detriments, if any, for such Covered Taxable Year that result from any Basis Adjustments attributable to all Founding Members. For the avoidance of doubt, a Founding Member’s Exchange-Related Allocable Share shall be zero with respect to all future periods following the last</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940"/>
          </w:cols>
          <w:pgMar w:left="680" w:top="252" w:right="279" w:bottom="1440" w:gutter="0" w:footer="0" w:header="0"/>
        </w:sectPr>
      </w:pPr>
    </w:p>
    <w:bookmarkStart w:id="270" w:name="page271"/>
    <w:bookmarkEnd w:id="270"/>
    <w:p>
      <w:pPr>
        <w:jc w:val="both"/>
        <w:ind w:right="4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Covered Taxable Year with respect to such Founding Member, however, any remaining prior and subsequent Basis Adjustments attributable to such Founding Member will continue to be taken into consideration for purposes of the denominator (clause (y) in the preceding sentence) used to determine the continuing Exchange-Related Allocable Shares of other Founding Members with respect to any future Covered Taxable Years.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Exchange-Related Payment</w:t>
      </w:r>
      <w:r>
        <w:rPr>
          <w:rFonts w:ascii="Arial" w:cs="Arial" w:eastAsia="Arial" w:hAnsi="Arial"/>
          <w:sz w:val="14"/>
          <w:szCs w:val="14"/>
          <w:color w:val="auto"/>
        </w:rPr>
        <w:t>” means any payment made by NCM Inc. or a Founding Member under Section 3.01 of this Agreement.</w:t>
      </w:r>
    </w:p>
    <w:p>
      <w:pPr>
        <w:spacing w:after="0" w:line="79" w:lineRule="exact"/>
        <w:rPr>
          <w:sz w:val="20"/>
          <w:szCs w:val="20"/>
          <w:color w:val="auto"/>
        </w:rPr>
      </w:pPr>
    </w:p>
    <w:p>
      <w:pPr>
        <w:ind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Exchange-Related Tax Benefit Payment</w:t>
      </w:r>
      <w:r>
        <w:rPr>
          <w:rFonts w:ascii="Arial" w:cs="Arial" w:eastAsia="Arial" w:hAnsi="Arial"/>
          <w:sz w:val="14"/>
          <w:szCs w:val="14"/>
          <w:color w:val="auto"/>
        </w:rPr>
        <w:t>” means for any Covered Taxable Year the sum of (x) 90% of the Realized Tax Benefit, if any, for such Covered Taxable Year that is attributable to any Basis Adjustments made in connection with the Initial Deemed Exchange or any Subsequent Deemed Exchanges, plus (y) interest on such amount at the Agreed Rate from the due date (without extensions) of NCM Inc.’s U.S. Federal Income Tax Return for such Covered Taxable Year to the date of payment.</w:t>
      </w:r>
    </w:p>
    <w:p>
      <w:pPr>
        <w:spacing w:after="0" w:line="37" w:lineRule="exact"/>
        <w:rPr>
          <w:sz w:val="20"/>
          <w:szCs w:val="20"/>
          <w:color w:val="auto"/>
        </w:rPr>
      </w:pPr>
    </w:p>
    <w:p>
      <w:pPr>
        <w:ind w:right="160"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Exchange-Related Tax Detriment Payment</w:t>
      </w:r>
      <w:r>
        <w:rPr>
          <w:rFonts w:ascii="Arial" w:cs="Arial" w:eastAsia="Arial" w:hAnsi="Arial"/>
          <w:sz w:val="14"/>
          <w:szCs w:val="14"/>
          <w:color w:val="auto"/>
        </w:rPr>
        <w:t>” means for any Covered Taxable Year the sum of (x) 100% of the Realized Tax Detriment, if any, for such Covered Taxable Year that is attributable to any Basis Adjustments made in connection with the Initial Deemed Exchange or any Subsequent Deemed Exchanges, plus (y) interest on such amount at the Agreed Rate from the due date (without extensions) of NCM Inc.’s U.S. Federal Income Tax Return for such Covered Taxable Year to the date of payment.</w:t>
      </w:r>
    </w:p>
    <w:p>
      <w:pPr>
        <w:spacing w:after="0" w:line="37" w:lineRule="exact"/>
        <w:rPr>
          <w:sz w:val="20"/>
          <w:szCs w:val="20"/>
          <w:color w:val="auto"/>
        </w:rPr>
      </w:pPr>
    </w:p>
    <w:p>
      <w:pPr>
        <w:ind w:right="2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Exhibitor Services Agreement</w:t>
      </w:r>
      <w:r>
        <w:rPr>
          <w:rFonts w:ascii="Arial" w:cs="Arial" w:eastAsia="Arial" w:hAnsi="Arial"/>
          <w:sz w:val="14"/>
          <w:szCs w:val="14"/>
          <w:color w:val="auto"/>
        </w:rPr>
        <w:t>” means, in the case of each ESA Party, that certain amended Exhibitor Services Agreement by and between such ESA Party and NCM LLC and dated as of the date hereof.</w:t>
      </w:r>
    </w:p>
    <w:p>
      <w:pPr>
        <w:spacing w:after="0" w:line="28" w:lineRule="exact"/>
        <w:rPr>
          <w:sz w:val="20"/>
          <w:szCs w:val="20"/>
          <w:color w:val="auto"/>
        </w:rPr>
      </w:pPr>
    </w:p>
    <w:p>
      <w:pPr>
        <w:ind w:right="16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Federal Income Tax</w:t>
      </w:r>
      <w:r>
        <w:rPr>
          <w:rFonts w:ascii="Arial" w:cs="Arial" w:eastAsia="Arial" w:hAnsi="Arial"/>
          <w:sz w:val="14"/>
          <w:szCs w:val="14"/>
          <w:color w:val="auto"/>
        </w:rPr>
        <w:t>” means any tax imposed under Subtitle A of the Code or any other provision of U.S. Federal income tax law (including, without limitation, the taxes imposed by Sections 11, 55, 59A, 881, 882, 884 and 1201(a) of the Code), and any interest, additions to tax or penalties applicable or related to such tax.</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Founding Member</w:t>
      </w:r>
      <w:r>
        <w:rPr>
          <w:rFonts w:ascii="Arial" w:cs="Arial" w:eastAsia="Arial" w:hAnsi="Arial"/>
          <w:sz w:val="14"/>
          <w:szCs w:val="14"/>
          <w:color w:val="auto"/>
        </w:rPr>
        <w:t>” is defined in the recitals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Founding Members</w:t>
      </w:r>
      <w:r>
        <w:rPr>
          <w:rFonts w:ascii="Arial" w:cs="Arial" w:eastAsia="Arial" w:hAnsi="Arial"/>
          <w:sz w:val="14"/>
          <w:szCs w:val="14"/>
          <w:color w:val="auto"/>
        </w:rPr>
        <w:t>” is defined in the recitals of this Agreement.</w:t>
      </w:r>
    </w:p>
    <w:p>
      <w:pPr>
        <w:spacing w:after="0" w:line="79" w:lineRule="exact"/>
        <w:rPr>
          <w:sz w:val="20"/>
          <w:szCs w:val="20"/>
          <w:color w:val="auto"/>
        </w:rPr>
      </w:pPr>
    </w:p>
    <w:p>
      <w:pPr>
        <w:ind w:right="64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Entity</w:t>
      </w:r>
      <w:r>
        <w:rPr>
          <w:rFonts w:ascii="Arial" w:cs="Arial" w:eastAsia="Arial" w:hAnsi="Arial"/>
          <w:sz w:val="14"/>
          <w:szCs w:val="14"/>
          <w:color w:val="auto"/>
        </w:rPr>
        <w:t>” means any federal, state, local, provincial or foreign government or any court of competent jurisdiction, administrative agency or commission or other governmental authority or instrumentality, whether domestic or foreign.</w:t>
      </w:r>
    </w:p>
    <w:p>
      <w:pPr>
        <w:spacing w:after="0" w:line="28" w:lineRule="exact"/>
        <w:rPr>
          <w:sz w:val="20"/>
          <w:szCs w:val="20"/>
          <w:color w:val="auto"/>
        </w:rPr>
      </w:pPr>
    </w:p>
    <w:p>
      <w:pPr>
        <w:ind w:right="40" w:firstLine="440"/>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Hypothetical Tax Allocations and Deductions</w:t>
      </w:r>
      <w:r>
        <w:rPr>
          <w:rFonts w:ascii="Arial" w:cs="Arial" w:eastAsia="Arial" w:hAnsi="Arial"/>
          <w:sz w:val="14"/>
          <w:szCs w:val="14"/>
          <w:color w:val="auto"/>
        </w:rPr>
        <w:t>” means, with respect to NCM Inc. at any time, (i) the special tax allocations, if any, that would have been made to NCM Inc. pursuant to the terms of Section 6.4(a) of the LLC Operating Agreement if no capital contributions had been made by NCM Inc. to NCM LLC pursuant to the terms of Section 5.1(b) of the LLC Operating Agreement and in respect of the ESA-Related Payments to be made pursuant to Section 3.02 of this Agreement, and (ii) the deductions that would be available to NCM Inc. if no Imputed Interest had arisen in connection with NCM Inc.’s payment obligations under this Agreement.</w:t>
      </w:r>
    </w:p>
    <w:p>
      <w:pPr>
        <w:spacing w:after="0" w:line="9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980"/>
          </w:cols>
          <w:pgMar w:left="680" w:top="252" w:right="239" w:bottom="1440" w:gutter="0" w:footer="0" w:header="0"/>
        </w:sectPr>
      </w:pPr>
    </w:p>
    <w:bookmarkStart w:id="271" w:name="page272"/>
    <w:bookmarkEnd w:id="271"/>
    <w:p>
      <w:pPr>
        <w:ind w:right="60" w:firstLine="440"/>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3"/>
          <w:szCs w:val="13"/>
          <w:u w:val="single" w:color="auto"/>
          <w:color w:val="auto"/>
        </w:rPr>
        <w:t>Hypothetical Tax Basis</w:t>
      </w:r>
      <w:r>
        <w:rPr>
          <w:rFonts w:ascii="Arial" w:cs="Arial" w:eastAsia="Arial" w:hAnsi="Arial"/>
          <w:sz w:val="13"/>
          <w:szCs w:val="13"/>
          <w:color w:val="auto"/>
        </w:rPr>
        <w:t>” means, with respect to any asset at any time, the tax basis that such asset would have at such time if (i) no Basis Adjustments had been made as a result of the Initial Deemed Exchanges or any applicable Subsequent Deemed Exchanges, as the case may be, or (ii) no Initial ESA Modification Payments had been made, or (iii) no Positive Theatre Access Adjustments or Negative Theatre Access Adjustments had been made, or (iv) no Exchange-Related Payments or ESA-Related Payments had been made.</w:t>
      </w:r>
    </w:p>
    <w:p>
      <w:pPr>
        <w:spacing w:after="0" w:line="20" w:lineRule="exact"/>
        <w:rPr>
          <w:sz w:val="20"/>
          <w:szCs w:val="20"/>
          <w:color w:val="auto"/>
        </w:rPr>
      </w:pPr>
    </w:p>
    <w:p>
      <w:pPr>
        <w:ind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Hypothetical Tax Liability</w:t>
      </w:r>
      <w:r>
        <w:rPr>
          <w:rFonts w:ascii="Arial" w:cs="Arial" w:eastAsia="Arial" w:hAnsi="Arial"/>
          <w:sz w:val="14"/>
          <w:szCs w:val="14"/>
          <w:color w:val="auto"/>
        </w:rPr>
        <w:t>” means, with respect to any Covered Taxable Year, the hypothetical liability of NCM Inc. that would arise in respect of Covered Taxes using the same methods, elections, conventions and similar practices used on the actual Tax Returns of NCM Inc., but using the Hypothetical Tax Basis instead of the actual tax basis of each relevant asset and using the Hypothetical Tax Allocations and Deductions.</w:t>
      </w:r>
    </w:p>
    <w:p>
      <w:pPr>
        <w:spacing w:after="0" w:line="37" w:lineRule="exact"/>
        <w:rPr>
          <w:sz w:val="20"/>
          <w:szCs w:val="20"/>
          <w:color w:val="auto"/>
        </w:rPr>
      </w:pPr>
    </w:p>
    <w:p>
      <w:pPr>
        <w:ind w:right="10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Imputed Interest</w:t>
      </w:r>
      <w:r>
        <w:rPr>
          <w:rFonts w:ascii="Arial" w:cs="Arial" w:eastAsia="Arial" w:hAnsi="Arial"/>
          <w:sz w:val="14"/>
          <w:szCs w:val="14"/>
          <w:color w:val="auto"/>
        </w:rPr>
        <w:t>” shall mean any interest imputed under Section 1272, 1274, or 483 or other provision of the Code (or any successor U.S. Federal Income Tax statute) and the similar section of the applicable U.S. state or local income or franchise Tax law with respect to NCM Inc.’s payment obligations under this Agreement.</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Deemed Exchange</w:t>
      </w:r>
      <w:r>
        <w:rPr>
          <w:rFonts w:ascii="Arial" w:cs="Arial" w:eastAsia="Arial" w:hAnsi="Arial"/>
          <w:sz w:val="14"/>
          <w:szCs w:val="14"/>
          <w:color w:val="auto"/>
        </w:rPr>
        <w:t>” is defined in Section 2.01(b)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Deemed Exchange Basis Schedule</w:t>
      </w:r>
      <w:r>
        <w:rPr>
          <w:rFonts w:ascii="Arial" w:cs="Arial" w:eastAsia="Arial" w:hAnsi="Arial"/>
          <w:sz w:val="14"/>
          <w:szCs w:val="14"/>
          <w:color w:val="auto"/>
        </w:rPr>
        <w:t>” is defined in Section 2.02(a)(1)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ESA Modification Payment</w:t>
      </w:r>
      <w:r>
        <w:rPr>
          <w:rFonts w:ascii="Arial" w:cs="Arial" w:eastAsia="Arial" w:hAnsi="Arial"/>
          <w:sz w:val="14"/>
          <w:szCs w:val="14"/>
          <w:color w:val="auto"/>
        </w:rPr>
        <w:t>” is defined in the recitals to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ESA Modification Payment Basis Schedule</w:t>
      </w:r>
      <w:r>
        <w:rPr>
          <w:rFonts w:ascii="Arial" w:cs="Arial" w:eastAsia="Arial" w:hAnsi="Arial"/>
          <w:sz w:val="14"/>
          <w:szCs w:val="14"/>
          <w:color w:val="auto"/>
        </w:rPr>
        <w:t>” is defined in Section 2.02(b)(1)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Exchange Proceeds</w:t>
      </w:r>
      <w:r>
        <w:rPr>
          <w:rFonts w:ascii="Arial" w:cs="Arial" w:eastAsia="Arial" w:hAnsi="Arial"/>
          <w:sz w:val="14"/>
          <w:szCs w:val="14"/>
          <w:color w:val="auto"/>
        </w:rPr>
        <w:t>” is defined in Section 2.01(b)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IRS</w:t>
      </w:r>
      <w:r>
        <w:rPr>
          <w:rFonts w:ascii="Arial" w:cs="Arial" w:eastAsia="Arial" w:hAnsi="Arial"/>
          <w:sz w:val="14"/>
          <w:szCs w:val="14"/>
          <w:color w:val="auto"/>
        </w:rPr>
        <w:t>” means the U.S. Internal Revenue Service.</w:t>
      </w:r>
    </w:p>
    <w:p>
      <w:pPr>
        <w:spacing w:after="0" w:line="79" w:lineRule="exact"/>
        <w:rPr>
          <w:sz w:val="20"/>
          <w:szCs w:val="20"/>
          <w:color w:val="auto"/>
        </w:rPr>
      </w:pPr>
    </w:p>
    <w:p>
      <w:pPr>
        <w:ind w:right="220"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LIBOR</w:t>
      </w:r>
      <w:r>
        <w:rPr>
          <w:rFonts w:ascii="Arial" w:cs="Arial" w:eastAsia="Arial" w:hAnsi="Arial"/>
          <w:sz w:val="14"/>
          <w:szCs w:val="14"/>
          <w:color w:val="auto"/>
        </w:rPr>
        <w:t>” means, for each month (or portion thereof) during any period, an interest rate per annum equal to the rate per annum reported, on the date two days prior to the first day of such month, on the Telerate Page 3750 (or if such screen shall cease to be publicly available, as reported on Reuters Screen page “</w:t>
      </w:r>
      <w:r>
        <w:rPr>
          <w:rFonts w:ascii="Arial" w:cs="Arial" w:eastAsia="Arial" w:hAnsi="Arial"/>
          <w:sz w:val="14"/>
          <w:szCs w:val="14"/>
          <w:u w:val="single" w:color="auto"/>
          <w:color w:val="auto"/>
        </w:rPr>
        <w:t>LIBO</w:t>
      </w:r>
      <w:r>
        <w:rPr>
          <w:rFonts w:ascii="Arial" w:cs="Arial" w:eastAsia="Arial" w:hAnsi="Arial"/>
          <w:sz w:val="14"/>
          <w:szCs w:val="14"/>
          <w:color w:val="auto"/>
        </w:rPr>
        <w:t>” or by any other publicly available source of such market rate) for London interbank offered rates for U.S. dollar deposits for such month (or portion thereof).</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 Inc.</w:t>
      </w:r>
      <w:r>
        <w:rPr>
          <w:rFonts w:ascii="Arial" w:cs="Arial" w:eastAsia="Arial" w:hAnsi="Arial"/>
          <w:sz w:val="14"/>
          <w:szCs w:val="14"/>
          <w:color w:val="auto"/>
        </w:rPr>
        <w:t>” is defined in the preamble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 Inc. Certificate of Incorporation</w:t>
      </w:r>
      <w:r>
        <w:rPr>
          <w:rFonts w:ascii="Arial" w:cs="Arial" w:eastAsia="Arial" w:hAnsi="Arial"/>
          <w:sz w:val="14"/>
          <w:szCs w:val="14"/>
          <w:color w:val="auto"/>
        </w:rPr>
        <w:t>” means the Certificate of Incorporation of NCM Inc.</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 Inc. Payment</w:t>
      </w:r>
      <w:r>
        <w:rPr>
          <w:rFonts w:ascii="Arial" w:cs="Arial" w:eastAsia="Arial" w:hAnsi="Arial"/>
          <w:sz w:val="14"/>
          <w:szCs w:val="14"/>
          <w:color w:val="auto"/>
        </w:rPr>
        <w:t>” is defined in Section 5.01 of this Agreement.</w:t>
      </w:r>
    </w:p>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940"/>
          </w:cols>
          <w:pgMar w:left="680" w:top="253" w:right="279" w:bottom="1440" w:gutter="0" w:footer="0" w:header="0"/>
        </w:sectPr>
      </w:pPr>
    </w:p>
    <w:bookmarkStart w:id="272" w:name="page273"/>
    <w:bookmarkEnd w:id="272"/>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4"/>
          <w:szCs w:val="14"/>
          <w:u w:val="single" w:color="auto"/>
          <w:color w:val="auto"/>
        </w:rPr>
        <w:t>NCM Inc. Tax Benefit Schedule</w:t>
      </w:r>
      <w:r>
        <w:rPr>
          <w:rFonts w:ascii="Arial" w:cs="Arial" w:eastAsia="Arial" w:hAnsi="Arial"/>
          <w:sz w:val="14"/>
          <w:szCs w:val="14"/>
          <w:color w:val="auto"/>
        </w:rPr>
        <w:t>” is defined in Section 2.03(a)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 LLC</w:t>
      </w:r>
      <w:r>
        <w:rPr>
          <w:rFonts w:ascii="Arial" w:cs="Arial" w:eastAsia="Arial" w:hAnsi="Arial"/>
          <w:sz w:val="14"/>
          <w:szCs w:val="14"/>
          <w:color w:val="auto"/>
        </w:rPr>
        <w:t>” is defined in the preamble of this Agreement.</w:t>
      </w:r>
    </w:p>
    <w:p>
      <w:pPr>
        <w:spacing w:after="0" w:line="79" w:lineRule="exact"/>
        <w:rPr>
          <w:sz w:val="20"/>
          <w:szCs w:val="20"/>
          <w:color w:val="auto"/>
        </w:rPr>
      </w:pPr>
    </w:p>
    <w:p>
      <w:pPr>
        <w:ind w:firstLine="440"/>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 LLC Indebtedness</w:t>
      </w:r>
      <w:r>
        <w:rPr>
          <w:rFonts w:ascii="Arial" w:cs="Arial" w:eastAsia="Arial" w:hAnsi="Arial"/>
          <w:sz w:val="14"/>
          <w:szCs w:val="14"/>
          <w:color w:val="auto"/>
        </w:rPr>
        <w:t>” means the debt incurred by NCM LLC as of the date hereof pursuant to that certain $825,000,000 Credit Agreement by and among NCM LLC, as borrower, Lehman Brothers, Inc. and J.P. Morgan Securities, Inc., as arrangers, J.P. Morgan Chase Bank, N.A., as syndication agent, Credit Suisse (USA) LLC, Morgan Stanley Senior Funding, Inc., [and General Electric Capital Corporation], as co-documentation agents, and Lehman Commercial Paper Inc., as administrative agent, and the several lenders from time to time parties thereto, and dated as of the date hereof.</w:t>
      </w:r>
    </w:p>
    <w:p>
      <w:pPr>
        <w:spacing w:after="0" w:line="41" w:lineRule="exact"/>
        <w:rPr>
          <w:sz w:val="20"/>
          <w:szCs w:val="20"/>
          <w:color w:val="auto"/>
        </w:rPr>
      </w:pPr>
    </w:p>
    <w:p>
      <w:pPr>
        <w:ind w:right="18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 LLC Operating Agreement</w:t>
      </w:r>
      <w:r>
        <w:rPr>
          <w:rFonts w:ascii="Arial" w:cs="Arial" w:eastAsia="Arial" w:hAnsi="Arial"/>
          <w:sz w:val="14"/>
          <w:szCs w:val="14"/>
          <w:color w:val="auto"/>
        </w:rPr>
        <w:t>” means that certain Third Amended and Restated Limited Liability Company Operating Agreement by and among NCM LLC, NCM, Inc., and the Founding Members and dated as of the date hereof.</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 LLC Payment</w:t>
      </w:r>
      <w:r>
        <w:rPr>
          <w:rFonts w:ascii="Arial" w:cs="Arial" w:eastAsia="Arial" w:hAnsi="Arial"/>
          <w:sz w:val="14"/>
          <w:szCs w:val="14"/>
          <w:color w:val="auto"/>
        </w:rPr>
        <w:t>” is defined in Section 5.01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Negative Theatre Access Adjustment</w:t>
      </w:r>
      <w:r>
        <w:rPr>
          <w:rFonts w:ascii="Arial" w:cs="Arial" w:eastAsia="Arial" w:hAnsi="Arial"/>
          <w:sz w:val="14"/>
          <w:szCs w:val="14"/>
          <w:color w:val="auto"/>
        </w:rPr>
        <w:t>” is defined in the recitals to this Agreement.</w:t>
      </w:r>
    </w:p>
    <w:p>
      <w:pPr>
        <w:spacing w:after="0" w:line="79" w:lineRule="exact"/>
        <w:rPr>
          <w:sz w:val="20"/>
          <w:szCs w:val="20"/>
          <w:color w:val="auto"/>
        </w:rPr>
      </w:pPr>
    </w:p>
    <w:p>
      <w:pPr>
        <w:ind w:right="4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IPO Proceeds</w:t>
      </w:r>
      <w:r>
        <w:rPr>
          <w:rFonts w:ascii="Arial" w:cs="Arial" w:eastAsia="Arial" w:hAnsi="Arial"/>
          <w:sz w:val="14"/>
          <w:szCs w:val="14"/>
          <w:color w:val="auto"/>
        </w:rPr>
        <w:t>” means the cash proceeds contributed by NCM Inc. to the capital of NCM LLC in connection with NCM Inc.’s purchase of Common Units pursuant to the Common Unit Purchase Agreement.</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Non-TRA Portion</w:t>
      </w:r>
      <w:r>
        <w:rPr>
          <w:rFonts w:ascii="Arial" w:cs="Arial" w:eastAsia="Arial" w:hAnsi="Arial"/>
          <w:sz w:val="14"/>
          <w:szCs w:val="14"/>
          <w:color w:val="auto"/>
        </w:rPr>
        <w:t>” is defined in Section 2.03(c)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Original Assets</w:t>
      </w:r>
      <w:r>
        <w:rPr>
          <w:rFonts w:ascii="Arial" w:cs="Arial" w:eastAsia="Arial" w:hAnsi="Arial"/>
          <w:sz w:val="13"/>
          <w:szCs w:val="13"/>
          <w:color w:val="auto"/>
        </w:rPr>
        <w:t>” means the assets of NCM LLC as of the date hereof (and any asset whose tax basis is determined, in whole or in part, by reference to the adjusted basis of any such</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asset).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Parties</w:t>
      </w:r>
      <w:r>
        <w:rPr>
          <w:rFonts w:ascii="Arial" w:cs="Arial" w:eastAsia="Arial" w:hAnsi="Arial"/>
          <w:sz w:val="14"/>
          <w:szCs w:val="14"/>
          <w:color w:val="auto"/>
        </w:rPr>
        <w:t>” means the parties listed in the preamble to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Percentage Interest</w:t>
      </w:r>
      <w:r>
        <w:rPr>
          <w:rFonts w:ascii="Arial" w:cs="Arial" w:eastAsia="Arial" w:hAnsi="Arial"/>
          <w:sz w:val="14"/>
          <w:szCs w:val="14"/>
          <w:color w:val="auto"/>
        </w:rPr>
        <w:t>” is defined in Section 1.1 of the NCM LLC Operating Agreement.</w:t>
      </w:r>
    </w:p>
    <w:p>
      <w:pPr>
        <w:spacing w:after="0" w:line="79"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and includes any individual, firm, corporation, partnership (including, without limitation, any limited, general or limited liability partnership), company, limited liability company, trust, joint venture, association, joint stock company, unincorporated organization or similar entity or Governmental Entity, or other entity or organization of any nature whatsoever or any “group” (as used in Section 13(d) and 14(d) of the Exchange Act) of two or more of the foregoing.</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Positive Theatre Access Adjustment</w:t>
      </w:r>
      <w:r>
        <w:rPr>
          <w:rFonts w:ascii="Arial" w:cs="Arial" w:eastAsia="Arial" w:hAnsi="Arial"/>
          <w:sz w:val="14"/>
          <w:szCs w:val="14"/>
          <w:color w:val="auto"/>
        </w:rPr>
        <w:t>” is defined in the recitals to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Positive Theatre Access Adjustment Basis Schedule</w:t>
      </w:r>
      <w:r>
        <w:rPr>
          <w:rFonts w:ascii="Arial" w:cs="Arial" w:eastAsia="Arial" w:hAnsi="Arial"/>
          <w:sz w:val="14"/>
          <w:szCs w:val="14"/>
          <w:color w:val="auto"/>
        </w:rPr>
        <w:t>” is defined in Section 2.01(c)(1) of this Agreement.</w:t>
      </w:r>
    </w:p>
    <w:p>
      <w:pPr>
        <w:spacing w:after="0" w:line="134"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960"/>
          </w:cols>
          <w:pgMar w:left="680" w:top="252" w:right="259" w:bottom="1440" w:gutter="0" w:footer="0" w:header="0"/>
        </w:sectPr>
      </w:pPr>
    </w:p>
    <w:bookmarkStart w:id="273" w:name="page274"/>
    <w:bookmarkEnd w:id="273"/>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4"/>
          <w:szCs w:val="14"/>
          <w:u w:val="single" w:color="auto"/>
          <w:color w:val="auto"/>
        </w:rPr>
        <w:t>Potential Reduction</w:t>
      </w:r>
      <w:r>
        <w:rPr>
          <w:rFonts w:ascii="Arial" w:cs="Arial" w:eastAsia="Arial" w:hAnsi="Arial"/>
          <w:sz w:val="14"/>
          <w:szCs w:val="14"/>
          <w:color w:val="auto"/>
        </w:rPr>
        <w:t>” is defined in Section 3.03(a)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Preferred Units</w:t>
      </w:r>
      <w:r>
        <w:rPr>
          <w:rFonts w:ascii="Arial" w:cs="Arial" w:eastAsia="Arial" w:hAnsi="Arial"/>
          <w:sz w:val="14"/>
          <w:szCs w:val="14"/>
          <w:color w:val="auto"/>
        </w:rPr>
        <w:t>” is defined in Section 1.1 of the NCM LLC Operating Agreement.</w:t>
      </w:r>
    </w:p>
    <w:p>
      <w:pPr>
        <w:spacing w:after="0" w:line="79" w:lineRule="exact"/>
        <w:rPr>
          <w:sz w:val="20"/>
          <w:szCs w:val="20"/>
          <w:color w:val="auto"/>
        </w:rPr>
      </w:pPr>
    </w:p>
    <w:p>
      <w:pPr>
        <w:ind w:firstLine="440"/>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Realized Tax Benefit</w:t>
      </w:r>
      <w:r>
        <w:rPr>
          <w:rFonts w:ascii="Arial" w:cs="Arial" w:eastAsia="Arial" w:hAnsi="Arial"/>
          <w:sz w:val="14"/>
          <w:szCs w:val="14"/>
          <w:color w:val="auto"/>
        </w:rPr>
        <w:t>” means, for a Covered Taxable Year, the excess, if any, of the Hypothetical Tax Liability over the actual liability for Covered Taxes of NCM Inc. for such Covered Taxable Year, less the fees, charges, and expenses related to the administration of this Agreement, including any fees, charges, and expenses of the Advisory Firm and, if applicable, the expert described in Section 7.09, in each case paid by NCM LLC or NCM Inc. in the relevant Covered Taxable Year. If all or a portion of the actual tax liability for Covered Taxes for the Covered Taxable Year arises as a result of an audit by a Taxing Authority of any Covered Taxable Year, such liability shall not be included in determining the Realized Tax Benefit unless and until there has been a Determination.</w:t>
      </w:r>
    </w:p>
    <w:p>
      <w:pPr>
        <w:spacing w:after="0" w:line="44" w:lineRule="exact"/>
        <w:rPr>
          <w:sz w:val="20"/>
          <w:szCs w:val="20"/>
          <w:color w:val="auto"/>
        </w:rPr>
      </w:pPr>
    </w:p>
    <w:p>
      <w:pPr>
        <w:ind w:firstLine="440"/>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Realized Tax Detriment</w:t>
      </w:r>
      <w:r>
        <w:rPr>
          <w:rFonts w:ascii="Arial" w:cs="Arial" w:eastAsia="Arial" w:hAnsi="Arial"/>
          <w:sz w:val="14"/>
          <w:szCs w:val="14"/>
          <w:color w:val="auto"/>
        </w:rPr>
        <w:t>” means, for a Covered Taxable Year, the excess, if any, of the actual liability for Covered Taxes of NCM Inc. over the Hypothetical Tax Liability for such Covered Taxable Year, plus the fees, charges, and expenses related to the administration of this Agreement, including the fees, charges, and expenses of the Advisory Firm and, if applicable, the expert described in Section 7.09, in each case paid by NCM LLC or NCM Inc. in the relevant Covered Taxable Year. If all or a portion of the actual tax liability for Covered Taxes for the Covered Taxable Year arises as a result of an audit by a Taxing Authority of any Covered Taxable Year, such liability shall not be included in determining the Realized Tax Detriment unless and until there has been a Determination.</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Reconciliation Procedures</w:t>
      </w:r>
      <w:r>
        <w:rPr>
          <w:rFonts w:ascii="Arial" w:cs="Arial" w:eastAsia="Arial" w:hAnsi="Arial"/>
          <w:sz w:val="14"/>
          <w:szCs w:val="14"/>
          <w:color w:val="auto"/>
        </w:rPr>
        <w:t>” shall mean those procedures set forth in Section 7.09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Redemption Proceeds</w:t>
      </w:r>
      <w:r>
        <w:rPr>
          <w:rFonts w:ascii="Arial" w:cs="Arial" w:eastAsia="Arial" w:hAnsi="Arial"/>
          <w:sz w:val="14"/>
          <w:szCs w:val="14"/>
          <w:color w:val="auto"/>
        </w:rPr>
        <w:t>” means the cash used by NCM LLC to redeem the Preferred Units pursuant to the terms of Section 3.4(d) of the NCM LLC Operating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 ESA Party</w:t>
      </w:r>
      <w:r>
        <w:rPr>
          <w:rFonts w:ascii="Arial" w:cs="Arial" w:eastAsia="Arial" w:hAnsi="Arial"/>
          <w:sz w:val="14"/>
          <w:szCs w:val="14"/>
          <w:color w:val="auto"/>
        </w:rPr>
        <w:t>” is defined in the preamble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 Founding Member</w:t>
      </w:r>
      <w:r>
        <w:rPr>
          <w:rFonts w:ascii="Arial" w:cs="Arial" w:eastAsia="Arial" w:hAnsi="Arial"/>
          <w:sz w:val="14"/>
          <w:szCs w:val="14"/>
          <w:color w:val="auto"/>
        </w:rPr>
        <w:t>” is defined in the preamble of this Agreement.</w:t>
      </w:r>
    </w:p>
    <w:p>
      <w:pPr>
        <w:spacing w:after="0" w:line="79" w:lineRule="exact"/>
        <w:rPr>
          <w:sz w:val="20"/>
          <w:szCs w:val="20"/>
          <w:color w:val="auto"/>
        </w:rPr>
      </w:pPr>
    </w:p>
    <w:p>
      <w:pPr>
        <w:ind w:right="40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Relevant NCM Taxpayer</w:t>
      </w:r>
      <w:r>
        <w:rPr>
          <w:rFonts w:ascii="Arial" w:cs="Arial" w:eastAsia="Arial" w:hAnsi="Arial"/>
          <w:sz w:val="14"/>
          <w:szCs w:val="14"/>
          <w:color w:val="auto"/>
        </w:rPr>
        <w:t>” means (i) NCM Inc. (or its successors or assigns) or (ii) NCM LLC (or its successors or assigns) and (iii) any consolidated, combined or unitary group containing either NCM Inc. or NCM LLC, as the case may be, or any of their respective successors or assigns.</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Scheduled Termination Date</w:t>
      </w:r>
      <w:r>
        <w:rPr>
          <w:rFonts w:ascii="Arial" w:cs="Arial" w:eastAsia="Arial" w:hAnsi="Arial"/>
          <w:sz w:val="14"/>
          <w:szCs w:val="14"/>
          <w:color w:val="auto"/>
        </w:rPr>
        <w:t>” shall mean the date specified in Section 4.05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Subsequent Deemed Exchange</w:t>
      </w:r>
      <w:r>
        <w:rPr>
          <w:rFonts w:ascii="Arial" w:cs="Arial" w:eastAsia="Arial" w:hAnsi="Arial"/>
          <w:sz w:val="14"/>
          <w:szCs w:val="14"/>
          <w:color w:val="auto"/>
        </w:rPr>
        <w:t>” is defined in Section 2.01(e) of this Agreement.</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980"/>
          </w:cols>
          <w:pgMar w:left="680" w:top="252" w:right="239" w:bottom="1440" w:gutter="0" w:footer="0" w:header="0"/>
        </w:sectPr>
      </w:pPr>
    </w:p>
    <w:bookmarkStart w:id="274" w:name="page275"/>
    <w:bookmarkEnd w:id="274"/>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4"/>
          <w:szCs w:val="14"/>
          <w:u w:val="single" w:color="auto"/>
          <w:color w:val="auto"/>
        </w:rPr>
        <w:t>Subsequent Deemed Exchange Basis Schedule</w:t>
      </w:r>
      <w:r>
        <w:rPr>
          <w:rFonts w:ascii="Arial" w:cs="Arial" w:eastAsia="Arial" w:hAnsi="Arial"/>
          <w:sz w:val="14"/>
          <w:szCs w:val="14"/>
          <w:color w:val="auto"/>
        </w:rPr>
        <w:t>” is defined in Section 2.02(d)(1)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Subsequent Deemed Exchange Date</w:t>
      </w:r>
      <w:r>
        <w:rPr>
          <w:rFonts w:ascii="Arial" w:cs="Arial" w:eastAsia="Arial" w:hAnsi="Arial"/>
          <w:sz w:val="14"/>
          <w:szCs w:val="14"/>
          <w:color w:val="auto"/>
        </w:rPr>
        <w:t>” is defined in Section 2.01(e)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Subsequent Exchange Proceeds</w:t>
      </w:r>
      <w:r>
        <w:rPr>
          <w:rFonts w:ascii="Arial" w:cs="Arial" w:eastAsia="Arial" w:hAnsi="Arial"/>
          <w:sz w:val="14"/>
          <w:szCs w:val="14"/>
          <w:color w:val="auto"/>
        </w:rPr>
        <w:t>” is defined in Section 2.01(e) of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Supplemental Theatre Access Fee</w:t>
      </w:r>
      <w:r>
        <w:rPr>
          <w:rFonts w:ascii="Arial" w:cs="Arial" w:eastAsia="Arial" w:hAnsi="Arial"/>
          <w:sz w:val="14"/>
          <w:szCs w:val="14"/>
          <w:color w:val="auto"/>
        </w:rPr>
        <w:t>” is defined in Section 1.01 of each of the Exhibitor Services Agreements.</w:t>
      </w:r>
    </w:p>
    <w:p>
      <w:pPr>
        <w:spacing w:after="0" w:line="79" w:lineRule="exact"/>
        <w:rPr>
          <w:sz w:val="20"/>
          <w:szCs w:val="20"/>
          <w:color w:val="auto"/>
        </w:rPr>
      </w:pPr>
    </w:p>
    <w:p>
      <w:pPr>
        <w:ind w:right="14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Taxable Year</w:t>
      </w:r>
      <w:r>
        <w:rPr>
          <w:rFonts w:ascii="Arial" w:cs="Arial" w:eastAsia="Arial" w:hAnsi="Arial"/>
          <w:sz w:val="14"/>
          <w:szCs w:val="14"/>
          <w:color w:val="auto"/>
        </w:rPr>
        <w:t>” means a Taxable Year as defined in Section 441(b) of the Code or comparable section of U.S. state or local income or franchise Tax law, as applicable, (and, therefore, for the avoidance of doubt, may include a period of less than 12 months for which a Tax Return is made).</w:t>
      </w:r>
    </w:p>
    <w:p>
      <w:pPr>
        <w:spacing w:after="0" w:line="28" w:lineRule="exact"/>
        <w:rPr>
          <w:sz w:val="20"/>
          <w:szCs w:val="20"/>
          <w:color w:val="auto"/>
        </w:rPr>
      </w:pPr>
    </w:p>
    <w:p>
      <w:pPr>
        <w:ind w:right="120" w:firstLine="440"/>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Taxes</w:t>
      </w:r>
      <w:r>
        <w:rPr>
          <w:rFonts w:ascii="Arial" w:cs="Arial" w:eastAsia="Arial" w:hAnsi="Arial"/>
          <w:sz w:val="14"/>
          <w:szCs w:val="14"/>
          <w:color w:val="auto"/>
        </w:rPr>
        <w:t>” means (i) all forms of taxation or duties imposed, or required to be collected or withheld, including, without limitation, charges, together with any related interest, penalties or other additional amounts, (ii) liability for the payment of any amount of the type described in the preceding clause (i) as a result of being a member of an affiliated, consolidated, combined or unitary group, and (iii) liability for the payment of any amounts as a result of being party to any tax sharing agreement (other than this Agreement) or as a result of any express or implied obligation to indemnify any other person with respect to the payment of any amount described in the immediately preceding clauses (i) or (ii) (other than an obligation to indemnify under this Agreement).</w:t>
      </w:r>
    </w:p>
    <w:p>
      <w:pPr>
        <w:spacing w:after="0" w:line="44" w:lineRule="exact"/>
        <w:rPr>
          <w:sz w:val="20"/>
          <w:szCs w:val="20"/>
          <w:color w:val="auto"/>
        </w:rPr>
      </w:pPr>
    </w:p>
    <w:p>
      <w:pPr>
        <w:ind w:right="10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Return</w:t>
      </w:r>
      <w:r>
        <w:rPr>
          <w:rFonts w:ascii="Arial" w:cs="Arial" w:eastAsia="Arial" w:hAnsi="Arial"/>
          <w:sz w:val="14"/>
          <w:szCs w:val="14"/>
          <w:color w:val="auto"/>
        </w:rPr>
        <w:t>” means any return, filing, report, questionnaire, information statement or other document required to be filed, including amended returns that may be filed, for any taxable period with any Taxing Authority (whether or not a payment is required to be made with respect to such filing).</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Taxing Authority</w:t>
      </w:r>
      <w:r>
        <w:rPr>
          <w:rFonts w:ascii="Arial" w:cs="Arial" w:eastAsia="Arial" w:hAnsi="Arial"/>
          <w:sz w:val="14"/>
          <w:szCs w:val="14"/>
          <w:color w:val="auto"/>
        </w:rPr>
        <w:t>” means the IRS and any other state, local, foreign or other Governmental Entity responsible for the administration of Taxes.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Theatre Access Fee</w:t>
      </w:r>
      <w:r>
        <w:rPr>
          <w:rFonts w:ascii="Arial" w:cs="Arial" w:eastAsia="Arial" w:hAnsi="Arial"/>
          <w:sz w:val="14"/>
          <w:szCs w:val="14"/>
          <w:color w:val="auto"/>
        </w:rPr>
        <w:t>” is defined in Section 1.01 of each of the Exhibitor Services Agreements.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 Portion</w:t>
      </w:r>
      <w:r>
        <w:rPr>
          <w:rFonts w:ascii="Arial" w:cs="Arial" w:eastAsia="Arial" w:hAnsi="Arial"/>
          <w:sz w:val="14"/>
          <w:szCs w:val="14"/>
          <w:color w:val="auto"/>
        </w:rPr>
        <w:t>” is defined in Section 2.03(c) of this Agreement.</w:t>
      </w:r>
    </w:p>
    <w:p>
      <w:pPr>
        <w:spacing w:after="0" w:line="79" w:lineRule="exact"/>
        <w:rPr>
          <w:sz w:val="20"/>
          <w:szCs w:val="20"/>
          <w:color w:val="auto"/>
        </w:rPr>
      </w:pPr>
    </w:p>
    <w:p>
      <w:pPr>
        <w:ind w:right="540" w:firstLine="44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Treasury Regulations</w:t>
      </w:r>
      <w:r>
        <w:rPr>
          <w:rFonts w:ascii="Arial" w:cs="Arial" w:eastAsia="Arial" w:hAnsi="Arial"/>
          <w:sz w:val="14"/>
          <w:szCs w:val="14"/>
          <w:color w:val="auto"/>
        </w:rPr>
        <w:t>” means the final, temporary and proposed regulations under the Code promulgated from time to time (including corresponding provisions of succeeding provisions) as in effect for the relevant taxable period.</w:t>
      </w:r>
    </w:p>
    <w:p>
      <w:pPr>
        <w:spacing w:after="0" w:line="28"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Valuation Assumptions</w:t>
      </w:r>
      <w:r>
        <w:rPr>
          <w:rFonts w:ascii="Arial" w:cs="Arial" w:eastAsia="Arial" w:hAnsi="Arial"/>
          <w:sz w:val="14"/>
          <w:szCs w:val="14"/>
          <w:color w:val="auto"/>
        </w:rPr>
        <w:t>” mean the following assumptions to be made in connection with determining the amount of any Early Termination Payment: (i) for purposes of determining the individual and aggregate cumulative Basis Adjustments attributable to the Founding Members, all Common Units outstanding as of the date of the Early Termination Notice will be assumed to be exchanged in taxable Subsequent</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960"/>
          </w:cols>
          <w:pgMar w:left="680" w:top="252" w:right="259" w:bottom="1440" w:gutter="0" w:footer="0" w:header="0"/>
        </w:sectPr>
      </w:pPr>
    </w:p>
    <w:bookmarkStart w:id="275" w:name="page276"/>
    <w:bookmarkEnd w:id="275"/>
    <w:p>
      <w:pPr>
        <w:ind w:left="460"/>
        <w:spacing w:after="0" w:line="26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Deemed Exchanges as of the date on which the Early Termination Notice is delivered, and at a price equal to the 30-day volume-weighted average price per share of Common Stock (determined over the 30 trading days prior to the delivery of the Early Termination Notice); (ii) NCM Inc. will be assumed to have sufficient taxable income in each of the relevant Covered Taxable Years ending after the date of the Early Termination Notice and continuing through the Scheduled Termination Date to fully utilize the applicable amortization deductions attributable to the Initial ESA Modification Payment, any Positive Theatre Access Adjustments made prior to the Early Termination Notice, and any Basis Adjustments made prior to the Early Termination Notice (or deemed made pursuant to clause (i)), and any Imputed Interest; (iii) U.S. Federal Income Tax rates and applicable state and local income and franchise tax rates for each of the relevant Covered Taxable Years ending after the date of the Early Termination Notice and continuing through the Scheduled Termination Date shall be assumed to equal such rates in effect for the Covered Taxable Year in which the Early Termination Notice is delivered; and (iv) any loss carryforwards of NCM Inc. available as of the date of the Early Termination Notice will be utilized by NCM Inc. on a pro rata basis in each of the relevant Covered Taxable Years ending after the date of the Early Termination Notice and continuing through the Scheduled Termination Date.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DETERMINATION OF REALIZED TAX BENEFIT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OR REALIZED TAX DETRIMENT</w:t>
      </w:r>
    </w:p>
    <w:p>
      <w:pPr>
        <w:spacing w:after="0" w:line="139" w:lineRule="exact"/>
        <w:rPr>
          <w:sz w:val="20"/>
          <w:szCs w:val="20"/>
          <w:color w:val="auto"/>
        </w:rPr>
      </w:pPr>
    </w:p>
    <w:p>
      <w:pPr>
        <w:ind w:right="440" w:firstLine="458"/>
        <w:spacing w:after="0" w:line="289" w:lineRule="auto"/>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u w:val="single" w:color="auto"/>
          <w:color w:val="auto"/>
        </w:rPr>
        <w:t>Tax Characterization of Transactions; Basis Adjustments</w:t>
      </w:r>
      <w:r>
        <w:rPr>
          <w:rFonts w:ascii="Arial" w:cs="Arial" w:eastAsia="Arial" w:hAnsi="Arial"/>
          <w:sz w:val="14"/>
          <w:szCs w:val="14"/>
          <w:color w:val="auto"/>
        </w:rPr>
        <w:t>. For purposes of determining the liability of each of the relevant Parties for Covered Taxes, and for purposes of determining the amount of any Realized Tax Benefits or Realized Tax Detriments under this Agreement, the Parties agree as follows:</w:t>
      </w:r>
    </w:p>
    <w:p>
      <w:pPr>
        <w:spacing w:after="0" w:line="28" w:lineRule="exact"/>
        <w:rPr>
          <w:sz w:val="20"/>
          <w:szCs w:val="20"/>
          <w:color w:val="auto"/>
        </w:rPr>
      </w:pPr>
    </w:p>
    <w:p>
      <w:pPr>
        <w:ind w:left="1120" w:hanging="196"/>
        <w:spacing w:after="0"/>
        <w:tabs>
          <w:tab w:leader="none" w:pos="1120"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Initial ESA Modification Payments</w:t>
      </w:r>
      <w:r>
        <w:rPr>
          <w:rFonts w:ascii="Arial" w:cs="Arial" w:eastAsia="Arial" w:hAnsi="Arial"/>
          <w:sz w:val="13"/>
          <w:szCs w:val="13"/>
          <w:color w:val="auto"/>
        </w:rPr>
        <w:t>. Each ESA Party will treat its receipt of an Initial ESA Modification Payment as being immediately taxable in full and NCM LLC will treat such</w:t>
      </w:r>
    </w:p>
    <w:p>
      <w:pPr>
        <w:spacing w:after="0" w:line="31" w:lineRule="exact"/>
        <w:rPr>
          <w:rFonts w:ascii="Arial" w:cs="Arial" w:eastAsia="Arial" w:hAnsi="Arial"/>
          <w:sz w:val="13"/>
          <w:szCs w:val="13"/>
          <w:color w:val="auto"/>
        </w:rPr>
      </w:pPr>
    </w:p>
    <w:p>
      <w:pPr>
        <w:ind w:right="40"/>
        <w:spacing w:after="0" w:line="281" w:lineRule="auto"/>
        <w:rPr>
          <w:rFonts w:ascii="Arial" w:cs="Arial" w:eastAsia="Arial" w:hAnsi="Arial"/>
          <w:sz w:val="13"/>
          <w:szCs w:val="13"/>
          <w:color w:val="auto"/>
        </w:rPr>
      </w:pPr>
      <w:r>
        <w:rPr>
          <w:rFonts w:ascii="Arial" w:cs="Arial" w:eastAsia="Arial" w:hAnsi="Arial"/>
          <w:sz w:val="14"/>
          <w:szCs w:val="14"/>
          <w:color w:val="auto"/>
        </w:rPr>
        <w:t>Initial ESA Modification Payments as giving rise to, in the aggregate, a $[ ] million intangible asset within NCM LLC that will be amortized on a straight-line basis over the thirty (30) year term of the Exhibitor Services Agreements.</w:t>
      </w:r>
    </w:p>
    <w:p>
      <w:pPr>
        <w:spacing w:after="0" w:line="98" w:lineRule="exact"/>
        <w:rPr>
          <w:rFonts w:ascii="Arial" w:cs="Arial" w:eastAsia="Arial" w:hAnsi="Arial"/>
          <w:sz w:val="13"/>
          <w:szCs w:val="13"/>
          <w:color w:val="auto"/>
        </w:rPr>
      </w:pPr>
    </w:p>
    <w:p>
      <w:pPr>
        <w:ind w:right="60" w:firstLine="924"/>
        <w:spacing w:after="0" w:line="265" w:lineRule="auto"/>
        <w:tabs>
          <w:tab w:leader="none" w:pos="1117" w:val="left"/>
        </w:tabs>
        <w:numPr>
          <w:ilvl w:val="0"/>
          <w:numId w:val="152"/>
        </w:numPr>
        <w:rPr>
          <w:rFonts w:ascii="Arial" w:cs="Arial" w:eastAsia="Arial" w:hAnsi="Arial"/>
          <w:sz w:val="14"/>
          <w:szCs w:val="14"/>
          <w:color w:val="auto"/>
        </w:rPr>
      </w:pPr>
      <w:r>
        <w:rPr>
          <w:rFonts w:ascii="Arial" w:cs="Arial" w:eastAsia="Arial" w:hAnsi="Arial"/>
          <w:sz w:val="14"/>
          <w:szCs w:val="14"/>
          <w:u w:val="single" w:color="auto"/>
          <w:color w:val="auto"/>
        </w:rPr>
        <w:t>Initial Deemed Exchange</w:t>
      </w:r>
      <w:r>
        <w:rPr>
          <w:rFonts w:ascii="Arial" w:cs="Arial" w:eastAsia="Arial" w:hAnsi="Arial"/>
          <w:sz w:val="14"/>
          <w:szCs w:val="14"/>
          <w:color w:val="auto"/>
        </w:rPr>
        <w:t>. Each Founding Member will treat its receipt of a proportionate share of the Redemption Proceeds, in part, as a distribution from NCM LLC under Section 731 of the Code (each a “</w:t>
      </w:r>
      <w:r>
        <w:rPr>
          <w:rFonts w:ascii="Arial" w:cs="Arial" w:eastAsia="Arial" w:hAnsi="Arial"/>
          <w:sz w:val="14"/>
          <w:szCs w:val="14"/>
          <w:u w:val="single" w:color="auto"/>
          <w:color w:val="auto"/>
        </w:rPr>
        <w:t>Distribution</w:t>
      </w:r>
      <w:r>
        <w:rPr>
          <w:rFonts w:ascii="Arial" w:cs="Arial" w:eastAsia="Arial" w:hAnsi="Arial"/>
          <w:sz w:val="14"/>
          <w:szCs w:val="14"/>
          <w:color w:val="auto"/>
        </w:rPr>
        <w:t>”) and, in part, as sale proceeds received directly from NCM Inc. in connection with a taxable sale of Units to NCM Inc. under Section 707(a)(2)(B) of the Code (each such taxable sale an “</w:t>
      </w:r>
      <w:r>
        <w:rPr>
          <w:rFonts w:ascii="Arial" w:cs="Arial" w:eastAsia="Arial" w:hAnsi="Arial"/>
          <w:sz w:val="14"/>
          <w:szCs w:val="14"/>
          <w:u w:val="single" w:color="auto"/>
          <w:color w:val="auto"/>
        </w:rPr>
        <w:t>Initial Deemed Exchange</w:t>
      </w:r>
      <w:r>
        <w:rPr>
          <w:rFonts w:ascii="Arial" w:cs="Arial" w:eastAsia="Arial" w:hAnsi="Arial"/>
          <w:sz w:val="14"/>
          <w:szCs w:val="14"/>
          <w:color w:val="auto"/>
        </w:rPr>
        <w:t>”). The total amount of sales proceeds that will be treated as received by the Founding Members in respect of the Initial Deemed Exchanges (the “</w:t>
      </w:r>
      <w:r>
        <w:rPr>
          <w:rFonts w:ascii="Arial" w:cs="Arial" w:eastAsia="Arial" w:hAnsi="Arial"/>
          <w:sz w:val="14"/>
          <w:szCs w:val="14"/>
          <w:u w:val="single" w:color="auto"/>
          <w:color w:val="auto"/>
        </w:rPr>
        <w:t>Initial Exchange Proceeds</w:t>
      </w:r>
      <w:r>
        <w:rPr>
          <w:rFonts w:ascii="Arial" w:cs="Arial" w:eastAsia="Arial" w:hAnsi="Arial"/>
          <w:sz w:val="14"/>
          <w:szCs w:val="14"/>
          <w:color w:val="auto"/>
        </w:rPr>
        <w:t>”) will equal the sum of (i) the portion of the Redemption Proceeds, if any, attributable to the Net IPO Proceeds, plus (ii) the portion of the Redemption Proceeds attributable to the NCM LLC Indebtedness and treated as consideration in excess of the Founding Members’ allocable share of the NCM LLC Indebtedness, as determined under Proposed Treasury Regulation Section 1.707-7. The total amount of the Distributions will equal (x) the Redemption Proceeds, minus (y) the Initial Exchange Proceeds. NCM LLC and NCM Inc. will each treat the distribution of the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-1000125</wp:posOffset>
            </wp:positionV>
            <wp:extent cx="27051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20" w:top="252" w:right="239" w:bottom="1440" w:gutter="0" w:footer="0" w:header="0"/>
        </w:sectPr>
      </w:pPr>
    </w:p>
    <w:bookmarkStart w:id="276" w:name="page277"/>
    <w:bookmarkEnd w:id="276"/>
    <w:p>
      <w:pPr>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Proceeds in a manner consistent with the Founding Members, and NCM LLC will have in effect an election under Section 754 of the Code (and under any similar provisions of applicable state and local law) for the Taxable Year in which the Initial Deemed Exchanges occur, and NCM LLC intends to maintain such elections throughout the term of this Agreement. NCM Inc. will be treated as receiving a Basis Adjustment in connection with each Initial Deemed Exchange. The Founding Members and NCM Inc. shall treat the gain recognized by the Founding Members in respect of the Initial Deemed Exchanges and NCM Inc.’s related Basis Adjustments as occurring entirely as of the date hereof, unless there is a Determination to the contrary. For purposes of this Agreement, the Founding Members and NCM Inc. shall not take into account the fair market value of any Exchange-Related Tax Benefit Payments to be made under this Agreement in determining the gain recognized by the Founding Members in respect of the Initial Deemed Exchanges or in determining NCM Inc.’s related Basis Adjustments.</w:t>
      </w:r>
    </w:p>
    <w:p>
      <w:pPr>
        <w:spacing w:after="0" w:line="96" w:lineRule="exact"/>
        <w:rPr>
          <w:sz w:val="20"/>
          <w:szCs w:val="20"/>
          <w:color w:val="auto"/>
        </w:rPr>
      </w:pPr>
    </w:p>
    <w:p>
      <w:pPr>
        <w:ind w:right="20" w:firstLine="924"/>
        <w:spacing w:after="0" w:line="290" w:lineRule="auto"/>
        <w:tabs>
          <w:tab w:leader="none" w:pos="1109"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Positive Theatre Access Adjustments</w:t>
      </w:r>
      <w:r>
        <w:rPr>
          <w:rFonts w:ascii="Arial" w:cs="Arial" w:eastAsia="Arial" w:hAnsi="Arial"/>
          <w:sz w:val="13"/>
          <w:szCs w:val="13"/>
          <w:color w:val="auto"/>
        </w:rPr>
        <w:t>. Each ESA Party will treat any issuance of Common Units in connection with a Positive Theatre Access Adjustment as being immediately taxable in full and NCM LLC will treat any such issuance as giving rise to an intangible asset within NCM LLC that (i) will equal the fair market value of the Common Units issued (as determined by multiplying the number of such Common Units issued by the NCM Inc. Share Price as defined in the Common Unit Adjustment Agreement), and (ii) will be amortized on a straight-line basis over the then remaining term of the relevant ESA Party’s Exhibitor Services Agreement. The ESA Parties and NCM LLC recognize and agree that the amount of any Positive Theatre Access Adjustment is intended to account for NCM LLC’s future utilization of additional theatre assets over the then remaining term of the Exhibitor Services Agreements (and the Positive Theatre Access Adjustment is not intended to account in any way for the past utilization of any theatre assets), such that no portion of the Positive Theatre Access Adjustment will be treated as Imputed Interest.</w:t>
      </w:r>
    </w:p>
    <w:p>
      <w:pPr>
        <w:spacing w:after="0" w:line="96" w:lineRule="exact"/>
        <w:rPr>
          <w:rFonts w:ascii="Arial" w:cs="Arial" w:eastAsia="Arial" w:hAnsi="Arial"/>
          <w:sz w:val="13"/>
          <w:szCs w:val="13"/>
          <w:color w:val="auto"/>
        </w:rPr>
      </w:pPr>
    </w:p>
    <w:p>
      <w:pPr>
        <w:ind w:firstLine="924"/>
        <w:spacing w:after="0" w:line="285" w:lineRule="auto"/>
        <w:tabs>
          <w:tab w:leader="none" w:pos="1117"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Negative Theatre Access Adjustments</w:t>
      </w:r>
      <w:r>
        <w:rPr>
          <w:rFonts w:ascii="Arial" w:cs="Arial" w:eastAsia="Arial" w:hAnsi="Arial"/>
          <w:sz w:val="13"/>
          <w:szCs w:val="13"/>
          <w:color w:val="auto"/>
        </w:rPr>
        <w:t>. Each ESA Party will treat any surrender of Common Units to NCM LLC or any payment of cash to NCM LLC in connection with a Negative Theatre Access Adjustment as a subsequent adjustment to its Initial ESA Modification Payment that results in an immediate deduction. NCM LLC will treat any such surrender of Common Units to</w:t>
      </w:r>
    </w:p>
    <w:p>
      <w:pPr>
        <w:spacing w:after="0"/>
        <w:tabs>
          <w:tab w:leader="none" w:pos="11200" w:val="left"/>
        </w:tabs>
        <w:rPr>
          <w:sz w:val="20"/>
          <w:szCs w:val="20"/>
          <w:color w:val="auto"/>
        </w:rPr>
      </w:pPr>
      <w:r>
        <w:rPr>
          <w:rFonts w:ascii="Arial" w:cs="Arial" w:eastAsia="Arial" w:hAnsi="Arial"/>
          <w:sz w:val="13"/>
          <w:szCs w:val="13"/>
          <w:color w:val="auto"/>
        </w:rPr>
        <w:t>NCM LLC or any such payment of cash to NCM LLC in connection with a Negative Theatre Access Adjustment (i) as an immediate reduction to the accumulated adjusted basis of (x) the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6859270</wp:posOffset>
            </wp:positionH>
            <wp:positionV relativeFrom="paragraph">
              <wp:posOffset>-10160</wp:posOffset>
            </wp:positionV>
            <wp:extent cx="27051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287" w:lineRule="auto"/>
        <w:rPr>
          <w:sz w:val="20"/>
          <w:szCs w:val="20"/>
          <w:color w:val="auto"/>
        </w:rPr>
      </w:pPr>
      <w:r>
        <w:rPr>
          <w:rFonts w:ascii="Arial" w:cs="Arial" w:eastAsia="Arial" w:hAnsi="Arial"/>
          <w:sz w:val="13"/>
          <w:szCs w:val="13"/>
          <w:color w:val="auto"/>
        </w:rPr>
        <w:t>million intangible asset within NCM LLC that was originally created in connection with the Initial ESA Modification Payments, and then to (y) the amount of any Positive Theatre Access Adjustments, and then to (z) the amount of any ESA-Related Payments made by NCM LLC to the ESA Parties under this Agreement, and (ii) to the extent the accumulated adjusted bases of such intangible assets are insufficient to fully absorb such an immediate reduction, as income. The amount of the foregoing adjustments by each ESA Party and the adjustments (and possibly income) by NCM LLC will equal either the fair market value of the Common Units surrendered (as determined by multiplying the number of such Common Units surrendered by the NCM Inc. Share Price as defined in the Common Unit Adjustment Agreement), or the amount of cash paid. The ESA Parties and NCM LLC recognize and agree that the amount of any Negative Theatre Access Adjustment is intended to account for NCM Inc.’s inability to continue to utilize certain theatre assets over the then remaining term of the Exhibitor Services Agreements (and the Negative Theatre Access Adjustment is not intended to account in any way for the past utilization of any theatre assets), such that no portion of the Negative Theatre Access Adjustment will be treated as Imputed Interest.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40"/>
          </w:cols>
          <w:pgMar w:left="220" w:top="252" w:right="239" w:bottom="1440" w:gutter="0" w:footer="0" w:header="0"/>
        </w:sectPr>
      </w:pPr>
    </w:p>
    <w:bookmarkStart w:id="277" w:name="page278"/>
    <w:bookmarkEnd w:id="277"/>
    <w:p>
      <w:pPr>
        <w:ind w:left="-20" w:firstLine="924"/>
        <w:spacing w:after="0" w:line="284" w:lineRule="auto"/>
        <w:tabs>
          <w:tab w:leader="none" w:pos="1089"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Subsequent Deemed Exchanges</w:t>
      </w:r>
      <w:r>
        <w:rPr>
          <w:rFonts w:ascii="Arial" w:cs="Arial" w:eastAsia="Arial" w:hAnsi="Arial"/>
          <w:sz w:val="13"/>
          <w:szCs w:val="13"/>
          <w:color w:val="auto"/>
        </w:rPr>
        <w:t>. Each Founding Member will treat any redemption of Common Units pursuant to Sections 9.1 and 3.5(b) of the NCM LLC Operating Agreement as a taxable sale of Common Units to NCM Inc. under Section 707(a)(2)(B) of the Code, and each Founding Member will also treat any actual sale of Common Units to NCM Inc. in connection with the underwriters’ exercise of their over-allotment option as a taxable sale of Common Units to NCM Inc. (each such taxable sale a “</w:t>
      </w:r>
      <w:r>
        <w:rPr>
          <w:rFonts w:ascii="Arial" w:cs="Arial" w:eastAsia="Arial" w:hAnsi="Arial"/>
          <w:sz w:val="13"/>
          <w:szCs w:val="13"/>
          <w:u w:val="single" w:color="auto"/>
          <w:color w:val="auto"/>
        </w:rPr>
        <w:t>Subsequent Deemed Exchange</w:t>
      </w:r>
      <w:r>
        <w:rPr>
          <w:rFonts w:ascii="Arial" w:cs="Arial" w:eastAsia="Arial" w:hAnsi="Arial"/>
          <w:sz w:val="13"/>
          <w:szCs w:val="13"/>
          <w:color w:val="auto"/>
        </w:rPr>
        <w:t>”), except to the extent that any such redemption is part of a transaction that qualifies as a non-taxable transaction under the Code (for example, as part of a transaction that qualifies as a non-taxable exchange under Section 351 of the Code). NCM Inc. will be treated as receiving a Basis Adjustment in connection with each Subsequent Deemed Exchange. The sales proceeds that will be treated as received by a Founding Member in connection with a Subsequent Deemed Exchange (the “</w:t>
      </w:r>
      <w:r>
        <w:rPr>
          <w:rFonts w:ascii="Arial" w:cs="Arial" w:eastAsia="Arial" w:hAnsi="Arial"/>
          <w:sz w:val="13"/>
          <w:szCs w:val="13"/>
          <w:u w:val="single" w:color="auto"/>
          <w:color w:val="auto"/>
        </w:rPr>
        <w:t>Subsequent Exchange Proceeds</w:t>
      </w:r>
      <w:r>
        <w:rPr>
          <w:rFonts w:ascii="Arial" w:cs="Arial" w:eastAsia="Arial" w:hAnsi="Arial"/>
          <w:sz w:val="13"/>
          <w:szCs w:val="13"/>
          <w:color w:val="auto"/>
        </w:rPr>
        <w:t>”) will equal the fair market value of the Common Stock or the amount of cash, or both, received by such Founding Member. For this purpose, the fair market value of any Common Stock received by a Founding Member will equal the number of shares of such Common Stock multiplied by the NCM Inc. Redemption Price, as defined in the NCM LLC Operating Agreement. In the case of a redemption of Common Units under Sections 9.1 and 3.5(b) of the NCM LLC Operating Agreement, each Founding Member and NCM Inc. shall treat the gain recognized by a Founding Member in respect of a Subsequent Deemed Exchange and NCM Inc.’s related Basis Adjustment as occurring entirely on the relevant Redemption Date as defined in Section 9.1(a) of the NCM LLC Operating Agreement, and in the case of any actual sale of Common Units to NCM Inc. in connection with the underwriters’ exercise of their over-allotment option each Founding Member and NCM Inc. shall treat the gain recognized by a Founding Member in respect of a Subsequent Deemed Exchange and NCM Inc.’s related Basis Adjustment as occurring entirely on the date of such actual sale (each such date a “</w:t>
      </w:r>
      <w:r>
        <w:rPr>
          <w:rFonts w:ascii="Arial" w:cs="Arial" w:eastAsia="Arial" w:hAnsi="Arial"/>
          <w:sz w:val="13"/>
          <w:szCs w:val="13"/>
          <w:u w:val="single" w:color="auto"/>
          <w:color w:val="auto"/>
        </w:rPr>
        <w:t>Subsequent Deemed Exchange Date</w:t>
      </w:r>
      <w:r>
        <w:rPr>
          <w:rFonts w:ascii="Arial" w:cs="Arial" w:eastAsia="Arial" w:hAnsi="Arial"/>
          <w:sz w:val="13"/>
          <w:szCs w:val="13"/>
          <w:color w:val="auto"/>
        </w:rPr>
        <w:t>”), unless there is a Determination to the contrary. For purposes of this Agreement, and unless a Founding Member elects out of installment sale treatment pursuant to Section 2.01(f) of this Agreement, each Founding Member and NCM Inc. shall not take into account the fair market value of any Exchange-Related Payments to be made under this Agreement in determining the gain recognized by such Founding Member in respect of a Subsequent Deemed Exchange or in determining NCM Inc.’s related Basis Adjustment.</w:t>
      </w:r>
    </w:p>
    <w:p>
      <w:pPr>
        <w:spacing w:after="0" w:line="166" w:lineRule="exact"/>
        <w:rPr>
          <w:rFonts w:ascii="Arial" w:cs="Arial" w:eastAsia="Arial" w:hAnsi="Arial"/>
          <w:sz w:val="13"/>
          <w:szCs w:val="13"/>
          <w:color w:val="auto"/>
        </w:rPr>
      </w:pPr>
    </w:p>
    <w:p>
      <w:pPr>
        <w:ind w:left="1080" w:hanging="176"/>
        <w:spacing w:after="0"/>
        <w:tabs>
          <w:tab w:leader="none" w:pos="1080"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Payments Under Agreement</w:t>
      </w:r>
      <w:r>
        <w:rPr>
          <w:rFonts w:ascii="Arial" w:cs="Arial" w:eastAsia="Arial" w:hAnsi="Arial"/>
          <w:sz w:val="14"/>
          <w:szCs w:val="14"/>
          <w:color w:val="auto"/>
        </w:rPr>
        <w:t>.</w:t>
      </w:r>
    </w:p>
    <w:p>
      <w:pPr>
        <w:spacing w:after="0" w:line="79" w:lineRule="exact"/>
        <w:rPr>
          <w:rFonts w:ascii="Arial" w:cs="Arial" w:eastAsia="Arial" w:hAnsi="Arial"/>
          <w:sz w:val="14"/>
          <w:szCs w:val="14"/>
          <w:color w:val="auto"/>
        </w:rPr>
      </w:pPr>
    </w:p>
    <w:p>
      <w:pPr>
        <w:ind w:left="-20" w:right="140" w:firstLine="1496"/>
        <w:spacing w:after="0" w:line="293" w:lineRule="auto"/>
        <w:tabs>
          <w:tab w:leader="none" w:pos="1670" w:val="left"/>
        </w:tabs>
        <w:numPr>
          <w:ilvl w:val="1"/>
          <w:numId w:val="154"/>
        </w:numPr>
        <w:rPr>
          <w:rFonts w:ascii="Arial" w:cs="Arial" w:eastAsia="Arial" w:hAnsi="Arial"/>
          <w:sz w:val="13"/>
          <w:szCs w:val="13"/>
          <w:color w:val="auto"/>
        </w:rPr>
      </w:pPr>
      <w:r>
        <w:rPr>
          <w:rFonts w:ascii="Arial" w:cs="Arial" w:eastAsia="Arial" w:hAnsi="Arial"/>
          <w:sz w:val="13"/>
          <w:szCs w:val="13"/>
          <w:u w:val="single" w:color="auto"/>
          <w:color w:val="auto"/>
        </w:rPr>
        <w:t>Exchange-Related Payments</w:t>
      </w:r>
      <w:r>
        <w:rPr>
          <w:rFonts w:ascii="Arial" w:cs="Arial" w:eastAsia="Arial" w:hAnsi="Arial"/>
          <w:sz w:val="13"/>
          <w:szCs w:val="13"/>
          <w:color w:val="auto"/>
        </w:rPr>
        <w:t>. Any Exchange-Related Tax Benefit Payments made by NCM Inc. under Section 3.01(a) of this Agreement in respect of an NCM Inc. Tax Benefit Schedule, as well as any payments made by NCM Inc. under Section 3.01(b) of this Agreement with respect to an Amended NCM Inc. Tax Benefit Schedule, will be treated as subsequent upward purchase price adjustments that give rise to further Basis Adjustments for NCM Inc. The Parties recognize and agree that the treatment described in the preceding sentence will have the effect of creating additional Basis Adjustments for NCM Inc. in the year of payment and, as a result, such additional Basis Adjustments will be incorporated into the current year calculation and into future year calculations, as appropriate, with any circularity created in the current year continuing until any incremental current year benefits equal 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40" w:top="252" w:right="219" w:bottom="1440" w:gutter="0" w:footer="0" w:header="0"/>
        </w:sectPr>
      </w:pPr>
    </w:p>
    <w:bookmarkStart w:id="278" w:name="page279"/>
    <w:bookmarkEnd w:id="278"/>
    <w:p>
      <w:pPr>
        <w:ind w:right="80"/>
        <w:spacing w:after="0" w:line="26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immaterial amount. Any such Exchange-Related Payments will be reported by the Founding Members using the installment method under Section 453 of the Code (to the extent applicable, and taking into account the rules under Section 453A of the Code), unless in connection with a Subsequent Deemed Exchange a Founding Member affirmatively elects out of the installment method and treats the fair market value of its rights to receive such Exchange-Related Payments under this Agreement as received on the relevant Subsequent Deemed Exchange Date. To affirmatively elect out of the installment method, the relevant Founding Member shall deliver a written notice to NCM Inc. as of the relevant Subsequent Deemed Exchange Date. The principles of Sections 1272, 1274, or 483 of the Code, as applicable, and the principles of any similar provisions of state and local law, will apply to cause a portion of each Exchange-Related Payment made by NCM Inc. to the Founding Members under this Agreement to be treated as imputed interest (the “</w:t>
      </w:r>
      <w:r>
        <w:rPr>
          <w:rFonts w:ascii="Arial" w:cs="Arial" w:eastAsia="Arial" w:hAnsi="Arial"/>
          <w:sz w:val="14"/>
          <w:szCs w:val="14"/>
          <w:u w:val="single" w:color="auto"/>
          <w:color w:val="auto"/>
        </w:rPr>
        <w:t>Imputed Interest</w:t>
      </w:r>
      <w:r>
        <w:rPr>
          <w:rFonts w:ascii="Arial" w:cs="Arial" w:eastAsia="Arial" w:hAnsi="Arial"/>
          <w:sz w:val="14"/>
          <w:szCs w:val="14"/>
          <w:color w:val="auto"/>
        </w:rPr>
        <w:t>”). Any Exchange-Related Tax Detriment Payments made by a Founding Member under Section 3.01(a) of this Agreement in respect of an NCM Inc. Tax Basis Schedule, as well as any payments made by a Founding Member under Section 3.01(b) of this Agreement with respect to an Amended NCM Inc. Tax Basis Schedule, will be treated as downward purchase price adjustments that reduce both the amount previously realized by such Founding Member and the amount of any prior Basis Adjustments for NCM Inc.</w:t>
      </w:r>
    </w:p>
    <w:p>
      <w:pPr>
        <w:spacing w:after="0" w:line="111" w:lineRule="exact"/>
        <w:rPr>
          <w:sz w:val="20"/>
          <w:szCs w:val="20"/>
          <w:color w:val="auto"/>
        </w:rPr>
      </w:pPr>
    </w:p>
    <w:p>
      <w:pPr>
        <w:ind w:firstLine="1496"/>
        <w:spacing w:after="0" w:line="286" w:lineRule="auto"/>
        <w:tabs>
          <w:tab w:leader="none" w:pos="1690"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ESA-Related Payments</w:t>
      </w:r>
      <w:r>
        <w:rPr>
          <w:rFonts w:ascii="Arial" w:cs="Arial" w:eastAsia="Arial" w:hAnsi="Arial"/>
          <w:sz w:val="13"/>
          <w:szCs w:val="13"/>
          <w:color w:val="auto"/>
        </w:rPr>
        <w:t>. Any ESA-Related Tax Benefit Payments made by NCM LLC under Section 3.02(a) of this Agreement with respect to an NCM Inc. Tax Benefit Schedule, as well as any payments made by NCM LLC under Section 3.02(b) of this Agreement with respect to an Amended NCM Inc. Tax Benefit Schedule, will be treated as additional Initial ESA Modification Payments, to the extent attributable to an Initial ESA Modification Payment, or as additional Positive Theatre Access Adjustments, to the extent attributable to a Positive Theatre Access Adjustment. The Parties recognize and agree that the treatment described in the preceding sentence will have the effect of creating additional amortization deductions within NCM LLC in the year of payment and, as a result, such additional amortization deductions will be incorporated into the current year calculation and into future year calculations, as appropriate, with any circularity created in the current year continuing until any incremental current year benefits equal an immaterial amount. Any ESA-Related Tax Detriment Payments made by an ESA Party under Section 3.02(a) of this Agreement with respect to an NCM Inc. Tax Benefit Schedule, as well as any payments made by an ESA Party under Section 3.02(b) of this Agreement with respect to an Amended NCM Inc. Tax Benefit Schedule, will be treated as downward adjustments that reduce both the amount previously realized by such ESA Party and the amount of (x) any ESA-Related Payments previously made by NCM LLC to the ESA Parties under this Agreement, and then (y) any Positive Theatre Access Adjustments or Initial ESA Modification Payments, as appropriate.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2.02. </w:t>
      </w:r>
      <w:r>
        <w:rPr>
          <w:rFonts w:ascii="Arial" w:cs="Arial" w:eastAsia="Arial" w:hAnsi="Arial"/>
          <w:sz w:val="14"/>
          <w:szCs w:val="14"/>
          <w:u w:val="single" w:color="auto"/>
          <w:color w:val="auto"/>
        </w:rPr>
        <w:t>Basis Schedules</w:t>
      </w:r>
      <w:r>
        <w:rPr>
          <w:rFonts w:ascii="Arial" w:cs="Arial" w:eastAsia="Arial" w:hAnsi="Arial"/>
          <w:sz w:val="14"/>
          <w:szCs w:val="14"/>
          <w:color w:val="auto"/>
        </w:rPr>
        <w:t>.</w:t>
      </w:r>
    </w:p>
    <w:p>
      <w:pPr>
        <w:spacing w:after="0" w:line="79" w:lineRule="exact"/>
        <w:rPr>
          <w:sz w:val="20"/>
          <w:szCs w:val="20"/>
          <w:color w:val="auto"/>
        </w:rPr>
      </w:pPr>
    </w:p>
    <w:p>
      <w:pPr>
        <w:ind w:left="1120" w:hanging="196"/>
        <w:spacing w:after="0"/>
        <w:tabs>
          <w:tab w:leader="none" w:pos="1120" w:val="left"/>
        </w:tabs>
        <w:numPr>
          <w:ilvl w:val="0"/>
          <w:numId w:val="156"/>
        </w:numPr>
        <w:rPr>
          <w:rFonts w:ascii="Arial" w:cs="Arial" w:eastAsia="Arial" w:hAnsi="Arial"/>
          <w:sz w:val="14"/>
          <w:szCs w:val="14"/>
          <w:color w:val="auto"/>
        </w:rPr>
      </w:pPr>
      <w:r>
        <w:rPr>
          <w:rFonts w:ascii="Arial" w:cs="Arial" w:eastAsia="Arial" w:hAnsi="Arial"/>
          <w:sz w:val="14"/>
          <w:szCs w:val="14"/>
          <w:u w:val="single" w:color="auto"/>
          <w:color w:val="auto"/>
        </w:rPr>
        <w:t>Initial Deemed Exchange</w:t>
      </w:r>
      <w:r>
        <w:rPr>
          <w:rFonts w:ascii="Arial" w:cs="Arial" w:eastAsia="Arial" w:hAnsi="Arial"/>
          <w:sz w:val="14"/>
          <w:szCs w:val="14"/>
          <w:color w:val="auto"/>
        </w:rPr>
        <w:t>.</w:t>
      </w:r>
    </w:p>
    <w:p>
      <w:pPr>
        <w:spacing w:after="0" w:line="79" w:lineRule="exact"/>
        <w:rPr>
          <w:rFonts w:ascii="Arial" w:cs="Arial" w:eastAsia="Arial" w:hAnsi="Arial"/>
          <w:sz w:val="14"/>
          <w:szCs w:val="14"/>
          <w:color w:val="auto"/>
        </w:rPr>
      </w:pPr>
    </w:p>
    <w:p>
      <w:pPr>
        <w:ind w:firstLine="1496"/>
        <w:spacing w:after="0" w:line="275" w:lineRule="auto"/>
        <w:tabs>
          <w:tab w:leader="none" w:pos="1690" w:val="left"/>
        </w:tabs>
        <w:numPr>
          <w:ilvl w:val="1"/>
          <w:numId w:val="156"/>
        </w:numPr>
        <w:rPr>
          <w:rFonts w:ascii="Arial" w:cs="Arial" w:eastAsia="Arial" w:hAnsi="Arial"/>
          <w:sz w:val="14"/>
          <w:szCs w:val="14"/>
          <w:color w:val="auto"/>
        </w:rPr>
      </w:pPr>
      <w:r>
        <w:rPr>
          <w:rFonts w:ascii="Arial" w:cs="Arial" w:eastAsia="Arial" w:hAnsi="Arial"/>
          <w:sz w:val="14"/>
          <w:szCs w:val="14"/>
          <w:u w:val="single" w:color="auto"/>
          <w:color w:val="auto"/>
        </w:rPr>
        <w:t>Initial Deemed Exchange Basis Schedule</w:t>
      </w:r>
      <w:r>
        <w:rPr>
          <w:rFonts w:ascii="Arial" w:cs="Arial" w:eastAsia="Arial" w:hAnsi="Arial"/>
          <w:sz w:val="14"/>
          <w:szCs w:val="14"/>
          <w:color w:val="auto"/>
        </w:rPr>
        <w:t>. Within 180 calendar days after the date hereof, NCM LLC shall deliver to each of the Founding Members a schedule (the “</w:t>
      </w:r>
      <w:r>
        <w:rPr>
          <w:rFonts w:ascii="Arial" w:cs="Arial" w:eastAsia="Arial" w:hAnsi="Arial"/>
          <w:sz w:val="14"/>
          <w:szCs w:val="14"/>
          <w:u w:val="single" w:color="auto"/>
          <w:color w:val="auto"/>
        </w:rPr>
        <w:t>Initial</w:t>
      </w:r>
      <w:r>
        <w:rPr>
          <w:rFonts w:ascii="Arial" w:cs="Arial" w:eastAsia="Arial" w:hAnsi="Arial"/>
          <w:sz w:val="14"/>
          <w:szCs w:val="14"/>
          <w:color w:val="auto"/>
        </w:rPr>
        <w:t xml:space="preserve"> </w:t>
      </w:r>
      <w:r>
        <w:rPr>
          <w:rFonts w:ascii="Arial" w:cs="Arial" w:eastAsia="Arial" w:hAnsi="Arial"/>
          <w:sz w:val="14"/>
          <w:szCs w:val="14"/>
          <w:u w:val="single" w:color="auto"/>
          <w:color w:val="auto"/>
        </w:rPr>
        <w:t>Deemed Exchange Basis Schedule</w:t>
      </w:r>
      <w:r>
        <w:rPr>
          <w:rFonts w:ascii="Arial" w:cs="Arial" w:eastAsia="Arial" w:hAnsi="Arial"/>
          <w:sz w:val="14"/>
          <w:szCs w:val="14"/>
          <w:color w:val="auto"/>
        </w:rPr>
        <w:t>”) approved by the Audit Committee that shows, in reasonable detail, for purposes of Covered Taxes, (i) the actual tax basis as of the date hereof of the Original Assets, (ii) the Basis Adjustment with respect to the Original Assets as a result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253" w:right="219" w:bottom="1440" w:gutter="0" w:footer="0" w:header="0"/>
        </w:sectPr>
      </w:pPr>
    </w:p>
    <w:bookmarkStart w:id="279" w:name="page280"/>
    <w:bookmarkEnd w:id="279"/>
    <w:p>
      <w:pPr>
        <w:spacing w:after="0" w:line="28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Initial Deemed Exchanges and (iii) the period or periods, if any, over which the Original Assets are amortizable or depreciable for purposes of Covered Taxes. At the time NCM LLC delivers the Initial Deemed Exchange Basis Schedule to the Founding Members, NCM LLC shall (x) deliver to the Founding Members schedules and work papers providing reasonable detail regarding the preparation of the Initial Deemed Exchange Basis Schedule and an Advisory Firm Letter supporting such Initial Deemed Exchange Basis Schedule and (y) allow the Founding Members reasonable access to the appropriate representatives at NCM Inc., NCM LLC, and the Advisory Firm in connection with their review of such schedule. The Initial Deemed Exchange Basis Schedule shall become final and binding on the Parties unless the Founding Members, within 30 calendar days after receiving such Initial Deemed Exchange Basis Schedule, provide NCM LLC with a written notice of a material objection to such Initial Deemed Exchange Basis Schedule made in good faith and specifying the reasons for such material objection. If the Founding Members and NCM LLC, negotiating in good faith, are unable to successfully resolve the issues raised in such written notice within 60 calendar days after such Initial Deemed Exchange Basis Schedule was delivered to the Founding Members, the Founding Members and NCM LLC shall employ the Reconciliation Procedures.</w:t>
      </w:r>
    </w:p>
    <w:p>
      <w:pPr>
        <w:spacing w:after="0" w:line="100" w:lineRule="exact"/>
        <w:rPr>
          <w:sz w:val="20"/>
          <w:szCs w:val="20"/>
          <w:color w:val="auto"/>
        </w:rPr>
      </w:pPr>
    </w:p>
    <w:p>
      <w:pPr>
        <w:ind w:firstLine="1496"/>
        <w:spacing w:after="0" w:line="285" w:lineRule="auto"/>
        <w:tabs>
          <w:tab w:leader="none" w:pos="1690" w:val="left"/>
        </w:tabs>
        <w:numPr>
          <w:ilvl w:val="1"/>
          <w:numId w:val="157"/>
        </w:numPr>
        <w:rPr>
          <w:rFonts w:ascii="Arial" w:cs="Arial" w:eastAsia="Arial" w:hAnsi="Arial"/>
          <w:sz w:val="13"/>
          <w:szCs w:val="13"/>
          <w:color w:val="auto"/>
        </w:rPr>
      </w:pPr>
      <w:r>
        <w:rPr>
          <w:rFonts w:ascii="Arial" w:cs="Arial" w:eastAsia="Arial" w:hAnsi="Arial"/>
          <w:sz w:val="13"/>
          <w:szCs w:val="13"/>
          <w:u w:val="single" w:color="auto"/>
          <w:color w:val="auto"/>
        </w:rPr>
        <w:t>Amended Initial Deemed Exchange Basis Schedule</w:t>
      </w:r>
      <w:r>
        <w:rPr>
          <w:rFonts w:ascii="Arial" w:cs="Arial" w:eastAsia="Arial" w:hAnsi="Arial"/>
          <w:sz w:val="13"/>
          <w:szCs w:val="13"/>
          <w:color w:val="auto"/>
        </w:rPr>
        <w:t>. The Initial Deemed Exchange Basis Schedule may be amended from time to time by NCM LLC with the consent of the Audit Committee (i) in connection with a Determination, (ii) to correct inaccuracies to the original Initial Deemed Exchange Basis Schedule identified after the date hereof as a result of the receipt of additional information relating to facts or circumstances on or prior to the date hereof, or (iii) to comply with the expert’s determination under the Reconciliation Procedures. At the time NCM LLC delivers such amended Initial Deemed Exchange Basis Schedule (an “</w:t>
      </w:r>
      <w:r>
        <w:rPr>
          <w:rFonts w:ascii="Arial" w:cs="Arial" w:eastAsia="Arial" w:hAnsi="Arial"/>
          <w:sz w:val="13"/>
          <w:szCs w:val="13"/>
          <w:u w:val="single" w:color="auto"/>
          <w:color w:val="auto"/>
        </w:rPr>
        <w:t>Amended Initial Deemed Exchange Basis Schedule</w:t>
      </w:r>
      <w:r>
        <w:rPr>
          <w:rFonts w:ascii="Arial" w:cs="Arial" w:eastAsia="Arial" w:hAnsi="Arial"/>
          <w:sz w:val="13"/>
          <w:szCs w:val="13"/>
          <w:color w:val="auto"/>
        </w:rPr>
        <w:t>”) to the Founding Members, NCM LLC shall (x) deliver to the Founding Members schedules and work papers providing reasonable detail regarding the preparation of the Amended Initial Deemed Exchange Basis Schedule and an Advisory Firm Letter supporting such Amended Initial Deemed Exchange Basis Schedule and (y) allow the Founding Members reasonable access to the appropriate representatives at NCM Inc., NCM LLC, and the Advisory Firm in connection with their review of such schedule. The Amended Initial Deemed Exchange Basis Schedule shall become final and binding on the Parties unless the Founding Members, within 30 calendar days after receiving such Amended Initial Deemed Exchange Basis Schedule, provide NCM LLC with a written notice of a material objection to such Amended Initial Deemed Exchange Basis Schedule made in good faith and specifying the reasons for such material objection. If the Founding Members and NCM LLC, negotiating in good faith, are unable to successfully resolve the issues raised in such written notice within 60 calendar days after such Amended Initial Deemed Exchange Basis Schedule was delivered to the Founding Members, the Founding Members and NCM LLC shall employ the Reconciliation Procedures.</w:t>
      </w:r>
    </w:p>
    <w:p>
      <w:pPr>
        <w:spacing w:after="0" w:line="167" w:lineRule="exact"/>
        <w:rPr>
          <w:rFonts w:ascii="Arial" w:cs="Arial" w:eastAsia="Arial" w:hAnsi="Arial"/>
          <w:sz w:val="13"/>
          <w:szCs w:val="13"/>
          <w:color w:val="auto"/>
        </w:rPr>
      </w:pPr>
    </w:p>
    <w:p>
      <w:pPr>
        <w:ind w:left="1120" w:hanging="196"/>
        <w:spacing w:after="0"/>
        <w:tabs>
          <w:tab w:leader="none" w:pos="1120"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Initial ESA Modification Payments</w:t>
      </w:r>
      <w:r>
        <w:rPr>
          <w:rFonts w:ascii="Arial" w:cs="Arial" w:eastAsia="Arial" w:hAnsi="Arial"/>
          <w:sz w:val="14"/>
          <w:szCs w:val="14"/>
          <w:color w:val="auto"/>
        </w:rPr>
        <w:t>.</w:t>
      </w:r>
    </w:p>
    <w:p>
      <w:pPr>
        <w:spacing w:after="0" w:line="79" w:lineRule="exact"/>
        <w:rPr>
          <w:rFonts w:ascii="Arial" w:cs="Arial" w:eastAsia="Arial" w:hAnsi="Arial"/>
          <w:sz w:val="14"/>
          <w:szCs w:val="14"/>
          <w:color w:val="auto"/>
        </w:rPr>
      </w:pPr>
    </w:p>
    <w:p>
      <w:pPr>
        <w:ind w:left="1700" w:hanging="204"/>
        <w:spacing w:after="0"/>
        <w:tabs>
          <w:tab w:leader="none" w:pos="1700" w:val="left"/>
        </w:tabs>
        <w:numPr>
          <w:ilvl w:val="1"/>
          <w:numId w:val="158"/>
        </w:numPr>
        <w:rPr>
          <w:rFonts w:ascii="Arial" w:cs="Arial" w:eastAsia="Arial" w:hAnsi="Arial"/>
          <w:sz w:val="13"/>
          <w:szCs w:val="13"/>
          <w:color w:val="auto"/>
        </w:rPr>
      </w:pPr>
      <w:r>
        <w:rPr>
          <w:rFonts w:ascii="Arial" w:cs="Arial" w:eastAsia="Arial" w:hAnsi="Arial"/>
          <w:sz w:val="13"/>
          <w:szCs w:val="13"/>
          <w:u w:val="single" w:color="auto"/>
          <w:color w:val="auto"/>
        </w:rPr>
        <w:t>Initial ESA Modification Payment Basis Schedule</w:t>
      </w:r>
      <w:r>
        <w:rPr>
          <w:rFonts w:ascii="Arial" w:cs="Arial" w:eastAsia="Arial" w:hAnsi="Arial"/>
          <w:sz w:val="13"/>
          <w:szCs w:val="13"/>
          <w:color w:val="auto"/>
        </w:rPr>
        <w:t>. Within 180 calendar days after the date hereof, NCM LLC shall deliver to each of the ESA Parties a schedule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ESA Modification Payment Basis Schedule</w:t>
      </w:r>
      <w:r>
        <w:rPr>
          <w:rFonts w:ascii="Arial" w:cs="Arial" w:eastAsia="Arial" w:hAnsi="Arial"/>
          <w:sz w:val="13"/>
          <w:szCs w:val="13"/>
          <w:color w:val="auto"/>
        </w:rPr>
        <w:t>”) approved by the Audit Committee that confirms, in reasonable detail, for purposes of Covered Taxes, (i) the tax basis as of the date hereof of the</w:t>
      </w:r>
    </w:p>
    <w:p>
      <w:pPr>
        <w:spacing w:after="0" w:line="25"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color w:val="auto"/>
        </w:rPr>
        <w:t>expected $[</w:t>
      </w:r>
      <w:r>
        <w:rPr>
          <w:sz w:val="20"/>
          <w:szCs w:val="20"/>
          <w:color w:val="auto"/>
        </w:rPr>
        <w:tab/>
      </w:r>
      <w:r>
        <w:rPr>
          <w:rFonts w:ascii="Arial" w:cs="Arial" w:eastAsia="Arial" w:hAnsi="Arial"/>
          <w:sz w:val="13"/>
          <w:szCs w:val="13"/>
          <w:color w:val="auto"/>
        </w:rPr>
        <w:t>] million intangible asset created by the Initial 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-10160</wp:posOffset>
            </wp:positionV>
            <wp:extent cx="27051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60"/>
          </w:cols>
          <w:pgMar w:left="220" w:top="252" w:right="319" w:bottom="1440" w:gutter="0" w:footer="0" w:header="0"/>
        </w:sectPr>
      </w:pPr>
    </w:p>
    <w:bookmarkStart w:id="280" w:name="page281"/>
    <w:bookmarkEnd w:id="280"/>
    <w:p>
      <w:pPr>
        <w:ind w:right="20"/>
        <w:spacing w:after="0" w:line="26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Modification Payments, and (ii) the thirty-year period over which such asset is expected to be amortizable or depreciable for purposes of Covered Taxes. At the time NCM LLC delivers the Initial ESA Modification Payment Basis Schedule to the ESA Parties, NCM LLC shall (x) deliver to the ESA Parties any schedules and work papers providing reasonable detail regarding the preparation of the Initial ESA Modification Payment Basis Schedule and an Advisory Firm Letter supporting such Initial ESA Modification Payment Basis Schedule and (y) allow the ESA Parties reasonable access to the appropriate representatives at NCM Inc., NCM LLC, and the Advisory Firm in connection with their review of such schedule. The Initial ESA Modification Payment Basis Schedule shall become final and binding on the Parties unless the ESA Parties, within 30 calendar days after receiving such Initial ESA Modification Payment Basis Schedule, provide NCM LLC with a written notice of a material objection to such Initial ESA Modification Payment Basis Schedule made in good faith and specifying the reasons for such material objection. If the ESA Parties and NCM LLC, negotiating in good faith, are unable to successfully resolve the issues raised in such written notice within 60 calendar days after such Initial ESA Modification Payment Basis Schedule was delivered to the ESA Parties, the ESA Parties and NCM LLC shall employ the Reconciliation Procedures.</w:t>
      </w:r>
    </w:p>
    <w:p>
      <w:pPr>
        <w:spacing w:after="0" w:line="113" w:lineRule="exact"/>
        <w:rPr>
          <w:sz w:val="20"/>
          <w:szCs w:val="20"/>
          <w:color w:val="auto"/>
        </w:rPr>
      </w:pPr>
    </w:p>
    <w:p>
      <w:pPr>
        <w:ind w:firstLine="1496"/>
        <w:spacing w:after="0" w:line="285" w:lineRule="auto"/>
        <w:tabs>
          <w:tab w:leader="none" w:pos="1690" w:val="left"/>
        </w:tabs>
        <w:numPr>
          <w:ilvl w:val="1"/>
          <w:numId w:val="159"/>
        </w:numPr>
        <w:rPr>
          <w:rFonts w:ascii="Arial" w:cs="Arial" w:eastAsia="Arial" w:hAnsi="Arial"/>
          <w:sz w:val="13"/>
          <w:szCs w:val="13"/>
          <w:color w:val="auto"/>
        </w:rPr>
      </w:pPr>
      <w:r>
        <w:rPr>
          <w:rFonts w:ascii="Arial" w:cs="Arial" w:eastAsia="Arial" w:hAnsi="Arial"/>
          <w:sz w:val="13"/>
          <w:szCs w:val="13"/>
          <w:u w:val="single" w:color="auto"/>
          <w:color w:val="auto"/>
        </w:rPr>
        <w:t>Amended Initial ESA Modification Payment Basis Schedule</w:t>
      </w:r>
      <w:r>
        <w:rPr>
          <w:rFonts w:ascii="Arial" w:cs="Arial" w:eastAsia="Arial" w:hAnsi="Arial"/>
          <w:sz w:val="13"/>
          <w:szCs w:val="13"/>
          <w:color w:val="auto"/>
        </w:rPr>
        <w:t>. The Initial ESA Modification Payment Basis Schedule may be amended from time to time by NCM LLC with the consent of the Audit Committee (i) in connection with a Determination, (ii) to correct inaccuracies to the original Initial ESA Modification Payment Basis Schedule identified after the date hereof as a result of the receipt of additional information relating to facts or circumstances on or prior to the date hereof, (iii) to adjust for a Negative Theatre Access Adjustment, or (iv) to comply with the expert’s determination under the Reconciliation Procedures. At the time NCM LLC delivers such amended Initial ESA Modification Payment Basis Schedule (an “</w:t>
      </w:r>
      <w:r>
        <w:rPr>
          <w:rFonts w:ascii="Arial" w:cs="Arial" w:eastAsia="Arial" w:hAnsi="Arial"/>
          <w:sz w:val="13"/>
          <w:szCs w:val="13"/>
          <w:u w:val="single" w:color="auto"/>
          <w:color w:val="auto"/>
        </w:rPr>
        <w:t>Amended Initial ESA</w:t>
      </w:r>
      <w:r>
        <w:rPr>
          <w:rFonts w:ascii="Arial" w:cs="Arial" w:eastAsia="Arial" w:hAnsi="Arial"/>
          <w:sz w:val="13"/>
          <w:szCs w:val="13"/>
          <w:color w:val="auto"/>
        </w:rPr>
        <w:t xml:space="preserve"> </w:t>
      </w:r>
      <w:r>
        <w:rPr>
          <w:rFonts w:ascii="Arial" w:cs="Arial" w:eastAsia="Arial" w:hAnsi="Arial"/>
          <w:sz w:val="13"/>
          <w:szCs w:val="13"/>
          <w:u w:val="single" w:color="auto"/>
          <w:color w:val="auto"/>
        </w:rPr>
        <w:t>Modification Payment Basis Schedule</w:t>
      </w:r>
      <w:r>
        <w:rPr>
          <w:rFonts w:ascii="Arial" w:cs="Arial" w:eastAsia="Arial" w:hAnsi="Arial"/>
          <w:sz w:val="13"/>
          <w:szCs w:val="13"/>
          <w:color w:val="auto"/>
        </w:rPr>
        <w:t>”) to the ESA Parties, NCM LLC shall (x) deliver to the ESA Parties any schedules and work papers providing reasonable detail regarding the preparation of the Amended Initial ESA Modification Payment Basis Schedule and an Advisory Firm Letter supporting such Amended Initial ESA Modification Payment Basis Schedule and (y) allow the ESA Parties reasonable access to the appropriate representatives at NCM Inc., NCM LLC, and the Advisory Firm in connection with their review of such schedule. The Amended Initial ESA Modification Payment Basis Schedule shall become final and binding on the Parties unless the ESA Parties, within 30 calendar days after receiving such Amended Initial ESA Modification Payment Basis Schedule, provide NCM LLC with a written notice of a material objection to such Amended Initial ESA Modification Payment Basis Schedule made in good faith and specifying the reasons for such material objection. If the ESA Parties and NCM LLC, negotiating in good faith, are unable to successfully resolve the issues raised in such written notice within 60 calendar days after such Amended Initial ESA Modification Payment Basis Schedule was delivered to the ESA Parties, the ESA Parties and NCM LLC shall employ the Reconciliation Procedures.</w:t>
      </w:r>
    </w:p>
    <w:p>
      <w:pPr>
        <w:spacing w:after="0" w:line="167" w:lineRule="exact"/>
        <w:rPr>
          <w:rFonts w:ascii="Arial" w:cs="Arial" w:eastAsia="Arial" w:hAnsi="Arial"/>
          <w:sz w:val="13"/>
          <w:szCs w:val="13"/>
          <w:color w:val="auto"/>
        </w:rPr>
      </w:pPr>
    </w:p>
    <w:p>
      <w:pPr>
        <w:ind w:left="1120" w:hanging="196"/>
        <w:spacing w:after="0"/>
        <w:tabs>
          <w:tab w:leader="none" w:pos="1120"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Positive Theatre Access Adjustments</w:t>
      </w:r>
      <w:r>
        <w:rPr>
          <w:rFonts w:ascii="Arial" w:cs="Arial" w:eastAsia="Arial" w:hAnsi="Arial"/>
          <w:sz w:val="14"/>
          <w:szCs w:val="14"/>
          <w:color w:val="auto"/>
        </w:rPr>
        <w:t>.</w:t>
      </w:r>
    </w:p>
    <w:p>
      <w:pPr>
        <w:spacing w:after="0" w:line="79" w:lineRule="exact"/>
        <w:rPr>
          <w:rFonts w:ascii="Arial" w:cs="Arial" w:eastAsia="Arial" w:hAnsi="Arial"/>
          <w:sz w:val="14"/>
          <w:szCs w:val="14"/>
          <w:color w:val="auto"/>
        </w:rPr>
      </w:pPr>
    </w:p>
    <w:p>
      <w:pPr>
        <w:ind w:right="60" w:firstLine="1496"/>
        <w:spacing w:after="0" w:line="330" w:lineRule="auto"/>
        <w:tabs>
          <w:tab w:leader="none" w:pos="1690" w:val="left"/>
        </w:tabs>
        <w:numPr>
          <w:ilvl w:val="1"/>
          <w:numId w:val="160"/>
        </w:numPr>
        <w:rPr>
          <w:rFonts w:ascii="Arial" w:cs="Arial" w:eastAsia="Arial" w:hAnsi="Arial"/>
          <w:sz w:val="13"/>
          <w:szCs w:val="13"/>
          <w:color w:val="auto"/>
        </w:rPr>
      </w:pPr>
      <w:r>
        <w:rPr>
          <w:rFonts w:ascii="Arial" w:cs="Arial" w:eastAsia="Arial" w:hAnsi="Arial"/>
          <w:sz w:val="13"/>
          <w:szCs w:val="13"/>
          <w:u w:val="single" w:color="auto"/>
          <w:color w:val="auto"/>
        </w:rPr>
        <w:t>Positive Theatre Access Adjustment Basis Schedules</w:t>
      </w:r>
      <w:r>
        <w:rPr>
          <w:rFonts w:ascii="Arial" w:cs="Arial" w:eastAsia="Arial" w:hAnsi="Arial"/>
          <w:sz w:val="13"/>
          <w:szCs w:val="13"/>
          <w:color w:val="auto"/>
        </w:rPr>
        <w:t>. Within 180 calendar days after the date of a Positive Theatre Access Adjustment, NCM LLC shall deliver to each of the ESA Parties a schedule (the “</w:t>
      </w:r>
      <w:r>
        <w:rPr>
          <w:rFonts w:ascii="Arial" w:cs="Arial" w:eastAsia="Arial" w:hAnsi="Arial"/>
          <w:sz w:val="13"/>
          <w:szCs w:val="13"/>
          <w:u w:val="single" w:color="auto"/>
          <w:color w:val="auto"/>
        </w:rPr>
        <w:t>Positive Theatre Access Adjustment Basis Schedule</w:t>
      </w:r>
      <w:r>
        <w:rPr>
          <w:rFonts w:ascii="Arial" w:cs="Arial" w:eastAsia="Arial" w:hAnsi="Arial"/>
          <w:sz w:val="13"/>
          <w:szCs w:val="13"/>
          <w:color w:val="auto"/>
        </w:rPr>
        <w:t>”) approved by the Audit Committee that shows, in reasonable detail, for purposes of Covered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252" w:right="219" w:bottom="1440" w:gutter="0" w:footer="0" w:header="0"/>
        </w:sectPr>
      </w:pPr>
    </w:p>
    <w:bookmarkStart w:id="281" w:name="page282"/>
    <w:bookmarkEnd w:id="281"/>
    <w:p>
      <w:pPr>
        <w:spacing w:after="0" w:line="26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Taxes, (i) the tax basis as of the date of the Positive Theatre Access Adjustment the intangible asset created by the Positive Theatre Access Adjustment, and (ii) the period over which such asset is amortizable or depreciable for purposes of Covered Taxes. At the time NCM LLC delivers the Positive Theatre Access Adjustment Basis Schedule to the ESA Parties, NCM LLC shall (x) deliver to the ESA Parties any schedules and work papers providing reasonable detail regarding the preparation of the Positive Theatre Access Adjustment Basis Schedule and an Advisory Firm Letter supporting such Positive Theatre Access Adjustment Basis Schedule and (y) allow the ESA Parties reasonable access to the appropriate representatives at NCM Inc., NCM LLC, and the Advisory Firm in connection with their review of such schedule. The Positive Theatre Access Adjustment Basis Schedule shall become final and binding on the Parties unless the ESA Parties, within 30 calendar days after receiving such Positive Theatre Access Adjustment Basis Schedule, provide NCM LLC with a written notice of a material objection to such Positive Theatre Access Adjustment Payment Basis Schedule made in good faith and specifying the reasons for such material objection. If the ESA Parties and NCM LLC, negotiating in good faith, are unable to successfully resolve the issues raised in such written notice within 60 calendar days after such Positive Theatre Access Adjustment Basis Schedule was delivered to the ESA Parties, the ESA Parties and NCM LLC shall employ the Reconciliation Procedures.</w:t>
      </w:r>
    </w:p>
    <w:p>
      <w:pPr>
        <w:spacing w:after="0" w:line="111" w:lineRule="exact"/>
        <w:rPr>
          <w:sz w:val="20"/>
          <w:szCs w:val="20"/>
          <w:color w:val="auto"/>
        </w:rPr>
      </w:pPr>
    </w:p>
    <w:p>
      <w:pPr>
        <w:ind w:right="100" w:firstLine="1496"/>
        <w:spacing w:after="0" w:line="285" w:lineRule="auto"/>
        <w:tabs>
          <w:tab w:leader="none" w:pos="1690"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Amended Positive Theatre Access Adjustment Basis Schedules</w:t>
      </w:r>
      <w:r>
        <w:rPr>
          <w:rFonts w:ascii="Arial" w:cs="Arial" w:eastAsia="Arial" w:hAnsi="Arial"/>
          <w:sz w:val="13"/>
          <w:szCs w:val="13"/>
          <w:color w:val="auto"/>
        </w:rPr>
        <w:t>. Each Positive Theatre Access Adjustment Basis Schedule may be amended from time to time by NCM LLC with the consent of the Audit Committee (i) in connection with a Determination, (ii) to correct inaccuracies to the original Positive Theatre Access Adjustment Basis Schedule identified after the date hereof as a result of the receipt of additional information relating to facts or circumstances on or prior to the date of the relevant Positive Theatre Access Adjustment, (iii) to adjust for a Negative Theatre Access Adjustment, or (iv) to comply with the expert’s determination under the Reconciliation Procedures. At the time NCM LLC delivers such amended Positive Theatre Access Adjustment Basis Schedule (an “</w:t>
      </w:r>
      <w:r>
        <w:rPr>
          <w:rFonts w:ascii="Arial" w:cs="Arial" w:eastAsia="Arial" w:hAnsi="Arial"/>
          <w:sz w:val="13"/>
          <w:szCs w:val="13"/>
          <w:u w:val="single" w:color="auto"/>
          <w:color w:val="auto"/>
        </w:rPr>
        <w:t>Amended Positive Theatre Access Adjustment Basis Schedule</w:t>
      </w:r>
      <w:r>
        <w:rPr>
          <w:rFonts w:ascii="Arial" w:cs="Arial" w:eastAsia="Arial" w:hAnsi="Arial"/>
          <w:sz w:val="13"/>
          <w:szCs w:val="13"/>
          <w:color w:val="auto"/>
        </w:rPr>
        <w:t>”) to the ESA Parties, NCM LLC shall (x) deliver to the ESA Parties any schedules and work papers providing reasonable detail regarding the preparation of the Amended Positive Theatre Access Adjustment Basis Schedule and an Advisory Firm Letter supporting such Amended Positive Theatre Access Adjustment Basis Schedule and (y) allow the ESA Parties reasonable access to the appropriate representatives at NCM Inc., NCM LLC, and the Advisory Firm in connection with their review of such schedule. Each Amended Positive Theatre Access Adjustment Basis Schedule shall become final and binding on the Parties unless the ESA Parties, within 30 calendar days after receiving such Amended Positive Theatre Access Adjustment Basis Schedule, provide NCM LLC with a written notice of a material objection to such Amended Positive Theatre Access Adjustment Basis Schedule made in good faith and specifying the reasons for such material objection. If the ESA Parties and NCM LLC, negotiating in good faith, are unable to successfully resolve the issues raised in such written notice within 60 calendar days after such Amended Positive Theatre Access Adjustment Basis Schedule was delivered to the ESA Parties, the ESA Parties and NCM LLC shall employ the Reconciliation Procedures.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40"/>
          </w:cols>
          <w:pgMar w:left="220" w:top="252" w:right="239" w:bottom="1440" w:gutter="0" w:footer="0" w:header="0"/>
        </w:sectPr>
      </w:pPr>
    </w:p>
    <w:bookmarkStart w:id="282" w:name="page283"/>
    <w:bookmarkEnd w:id="282"/>
    <w:p>
      <w:pPr>
        <w:ind w:left="1100" w:hanging="196"/>
        <w:spacing w:after="0"/>
        <w:tabs>
          <w:tab w:leader="none" w:pos="1100"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Subsequent Deemed Exchanges</w:t>
      </w:r>
      <w:r>
        <w:rPr>
          <w:rFonts w:ascii="Arial" w:cs="Arial" w:eastAsia="Arial" w:hAnsi="Arial"/>
          <w:sz w:val="14"/>
          <w:szCs w:val="14"/>
          <w:color w:val="auto"/>
        </w:rPr>
        <w:t>.</w:t>
      </w:r>
    </w:p>
    <w:p>
      <w:pPr>
        <w:spacing w:after="0" w:line="79" w:lineRule="exact"/>
        <w:rPr>
          <w:rFonts w:ascii="Arial" w:cs="Arial" w:eastAsia="Arial" w:hAnsi="Arial"/>
          <w:sz w:val="14"/>
          <w:szCs w:val="14"/>
          <w:color w:val="auto"/>
        </w:rPr>
      </w:pPr>
    </w:p>
    <w:p>
      <w:pPr>
        <w:ind w:left="-20" w:right="60" w:firstLine="1496"/>
        <w:spacing w:after="0" w:line="285" w:lineRule="auto"/>
        <w:tabs>
          <w:tab w:leader="none" w:pos="1670" w:val="left"/>
        </w:tabs>
        <w:numPr>
          <w:ilvl w:val="1"/>
          <w:numId w:val="162"/>
        </w:numPr>
        <w:rPr>
          <w:rFonts w:ascii="Arial" w:cs="Arial" w:eastAsia="Arial" w:hAnsi="Arial"/>
          <w:sz w:val="13"/>
          <w:szCs w:val="13"/>
          <w:color w:val="auto"/>
        </w:rPr>
      </w:pPr>
      <w:r>
        <w:rPr>
          <w:rFonts w:ascii="Arial" w:cs="Arial" w:eastAsia="Arial" w:hAnsi="Arial"/>
          <w:sz w:val="13"/>
          <w:szCs w:val="13"/>
          <w:u w:val="single" w:color="auto"/>
          <w:color w:val="auto"/>
        </w:rPr>
        <w:t>Subsequent Deemed Exchange Basis Schedules</w:t>
      </w:r>
      <w:r>
        <w:rPr>
          <w:rFonts w:ascii="Arial" w:cs="Arial" w:eastAsia="Arial" w:hAnsi="Arial"/>
          <w:sz w:val="13"/>
          <w:szCs w:val="13"/>
          <w:color w:val="auto"/>
        </w:rPr>
        <w:t>. Within 180 calendar days after the end of a Covered Taxable Year in which any Subsequent Deemed Exchange has been effected, NCM Inc. shall deliver to the Founding Members a schedule (the “</w:t>
      </w:r>
      <w:r>
        <w:rPr>
          <w:rFonts w:ascii="Arial" w:cs="Arial" w:eastAsia="Arial" w:hAnsi="Arial"/>
          <w:sz w:val="13"/>
          <w:szCs w:val="13"/>
          <w:u w:val="single" w:color="auto"/>
          <w:color w:val="auto"/>
        </w:rPr>
        <w:t>Subsequent Deemed Exchange Schedule</w:t>
      </w:r>
      <w:r>
        <w:rPr>
          <w:rFonts w:ascii="Arial" w:cs="Arial" w:eastAsia="Arial" w:hAnsi="Arial"/>
          <w:sz w:val="13"/>
          <w:szCs w:val="13"/>
          <w:color w:val="auto"/>
        </w:rPr>
        <w:t>”) approved by the Audit Committee that shows, in reasonable detail, for purposes of Covered Taxes, (i) the actual tax basis of the Exchange Assets as of each Subsequent Deemed Exchange Date in such Covered Taxable Year, (ii) the Basis Adjustment with respect to the Exchange Assets as a result of each Subsequent Deemed Exchange effected in such Covered Taxable Year and (iii) the period or periods, if any, over which the Exchange Assets are amortizable or depreciable as a result of each Subsequent Deemed Exchange effected in such Covered Taxable Year. At the time NCM Inc. delivers the Subsequent Deemed Exchange Basis Schedule to the Founding Members, NCM Inc. shall (x) deliver to the Founding Members schedules and work papers providing reasonable detail regarding the preparation of the Subsequent Deemed Exchange Basis Schedule and an Advisory Firm Letter supporting such Subsequent Deemed Exchange Basis Schedule and (y) allow the Founding Members reasonable access to the appropriate representatives at NCM Inc., NCM LLC, and the Advisory Firm in connection with their review of such schedule. The Subsequent Deemed Exchange Basis Schedule shall become final and binding on the Parties unless the Founding Members, within 30 calendar days after receiving such Subsequent Deemed Exchange Basis Schedule, provide NCM Inc. with notice of a material objection to such Subsequent Deemed Exchange Basis Schedule made in good faith and specifying the reasons for such material objection. If the Founding Members and NCM Inc., negotiating in good faith, are unable to successfully resolve the issues raised in such notice within 60 calendar days after such Subsequent Deemed Exchange Basis Schedule was delivered to the Founding Members, the Founding Members and NCM Inc. shall employ the Reconciliation Procedures.</w:t>
      </w:r>
    </w:p>
    <w:p>
      <w:pPr>
        <w:spacing w:after="0" w:line="99" w:lineRule="exact"/>
        <w:rPr>
          <w:rFonts w:ascii="Arial" w:cs="Arial" w:eastAsia="Arial" w:hAnsi="Arial"/>
          <w:sz w:val="13"/>
          <w:szCs w:val="13"/>
          <w:color w:val="auto"/>
        </w:rPr>
      </w:pPr>
    </w:p>
    <w:p>
      <w:pPr>
        <w:ind w:left="-20" w:firstLine="1496"/>
        <w:spacing w:after="0" w:line="286" w:lineRule="auto"/>
        <w:tabs>
          <w:tab w:leader="none" w:pos="1670" w:val="left"/>
        </w:tabs>
        <w:numPr>
          <w:ilvl w:val="1"/>
          <w:numId w:val="162"/>
        </w:numPr>
        <w:rPr>
          <w:rFonts w:ascii="Arial" w:cs="Arial" w:eastAsia="Arial" w:hAnsi="Arial"/>
          <w:sz w:val="13"/>
          <w:szCs w:val="13"/>
          <w:color w:val="auto"/>
        </w:rPr>
      </w:pPr>
      <w:r>
        <w:rPr>
          <w:rFonts w:ascii="Arial" w:cs="Arial" w:eastAsia="Arial" w:hAnsi="Arial"/>
          <w:sz w:val="13"/>
          <w:szCs w:val="13"/>
          <w:u w:val="single" w:color="auto"/>
          <w:color w:val="auto"/>
        </w:rPr>
        <w:t>Amended Subsequent Deemed Exchange Basis Schedules</w:t>
      </w:r>
      <w:r>
        <w:rPr>
          <w:rFonts w:ascii="Arial" w:cs="Arial" w:eastAsia="Arial" w:hAnsi="Arial"/>
          <w:sz w:val="13"/>
          <w:szCs w:val="13"/>
          <w:color w:val="auto"/>
        </w:rPr>
        <w:t>. Each Subsequent Deemed Exchange Basis Schedule may be amended from time to time by NCM Inc. with the consent of the Audit Committee (i) in connection with a Determination, (ii) to correct inaccuracies to the original Subsequent Deemed Exchange Basis Schedule identified after the date of the Subsequent Deemed Exchanges as a result of the receipt of additional information relating to facts or circumstances on or prior to the relevant Subsequent Deemed Exchange Dates, or (iii) to comply with the expert’s determination under the Reconciliation Procedures. At the time NCM Inc. delivers such amended Subsequent Deemed Exchange Basis Schedule (an “</w:t>
      </w:r>
      <w:r>
        <w:rPr>
          <w:rFonts w:ascii="Arial" w:cs="Arial" w:eastAsia="Arial" w:hAnsi="Arial"/>
          <w:sz w:val="13"/>
          <w:szCs w:val="13"/>
          <w:u w:val="single" w:color="auto"/>
          <w:color w:val="auto"/>
        </w:rPr>
        <w:t>Amended Subsequent Deemed</w:t>
      </w:r>
      <w:r>
        <w:rPr>
          <w:rFonts w:ascii="Arial" w:cs="Arial" w:eastAsia="Arial" w:hAnsi="Arial"/>
          <w:sz w:val="13"/>
          <w:szCs w:val="13"/>
          <w:color w:val="auto"/>
        </w:rPr>
        <w:t xml:space="preserve"> </w:t>
      </w:r>
      <w:r>
        <w:rPr>
          <w:rFonts w:ascii="Arial" w:cs="Arial" w:eastAsia="Arial" w:hAnsi="Arial"/>
          <w:sz w:val="13"/>
          <w:szCs w:val="13"/>
          <w:u w:val="single" w:color="auto"/>
          <w:color w:val="auto"/>
        </w:rPr>
        <w:t>Exchange Basis Schedule</w:t>
      </w:r>
      <w:r>
        <w:rPr>
          <w:rFonts w:ascii="Arial" w:cs="Arial" w:eastAsia="Arial" w:hAnsi="Arial"/>
          <w:sz w:val="13"/>
          <w:szCs w:val="13"/>
          <w:color w:val="auto"/>
        </w:rPr>
        <w:t>”) to the Founding Members, NCM Inc. shall (x) deliver to the Founding Members schedules and work papers providing reasonable detail regarding the preparation of the Amended Subsequent Deemed Exchange Basis Schedule and an Advisory Firm Letter supporting such Amended Subsequent Deemed Exchange Basis Schedule and (y) allow the Founding Members reasonable access to the appropriate representatives at NCM Inc., NCM LLC, and the Advisory Firm in connection with their review of such schedule. Each Amended Subsequent Deemed Exchange Basis Schedule shall become final and binding on the Parties unless the Founding Members, within 30 calendar days after receiving such Amended Subsequent Deemed Exchange Basis Schedule, provide NCM Inc. with written notice of a material objection to such Amended Subsequent Deemed Exchange Basis Schedule made in good faith and specifying the reasons for such material objection. If the Founding Members and NCM Inc., negotiating in good faith, are unable to successfully resolve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252" w:right="239" w:bottom="1440" w:gutter="0" w:footer="0" w:header="0"/>
        </w:sectPr>
      </w:pPr>
    </w:p>
    <w:bookmarkStart w:id="283" w:name="page284"/>
    <w:bookmarkEnd w:id="283"/>
    <w:p>
      <w:pPr>
        <w:ind w:right="2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issues raised in such written notice within 60 calendar days after such Amended Subsequent Deemed Exchange Basis Schedule was delivered to the Founding Members, the Founding Members and NCM Inc. shall employ the Reconciliation Procedures.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u w:val="single" w:color="auto"/>
          <w:color w:val="auto"/>
        </w:rPr>
        <w:t>Tax Benefit Schedules</w:t>
      </w:r>
      <w:r>
        <w:rPr>
          <w:rFonts w:ascii="Arial" w:cs="Arial" w:eastAsia="Arial" w:hAnsi="Arial"/>
          <w:sz w:val="14"/>
          <w:szCs w:val="14"/>
          <w:color w:val="auto"/>
        </w:rPr>
        <w:t>.</w:t>
      </w:r>
    </w:p>
    <w:p>
      <w:pPr>
        <w:spacing w:after="0" w:line="79" w:lineRule="exact"/>
        <w:rPr>
          <w:sz w:val="20"/>
          <w:szCs w:val="20"/>
          <w:color w:val="auto"/>
        </w:rPr>
      </w:pPr>
    </w:p>
    <w:p>
      <w:pPr>
        <w:ind w:firstLine="924"/>
        <w:spacing w:after="0" w:line="286" w:lineRule="auto"/>
        <w:tabs>
          <w:tab w:leader="none" w:pos="1109" w:val="left"/>
        </w:tabs>
        <w:numPr>
          <w:ilvl w:val="1"/>
          <w:numId w:val="163"/>
        </w:numPr>
        <w:rPr>
          <w:rFonts w:ascii="Arial" w:cs="Arial" w:eastAsia="Arial" w:hAnsi="Arial"/>
          <w:sz w:val="13"/>
          <w:szCs w:val="13"/>
          <w:color w:val="auto"/>
        </w:rPr>
      </w:pPr>
      <w:r>
        <w:rPr>
          <w:rFonts w:ascii="Arial" w:cs="Arial" w:eastAsia="Arial" w:hAnsi="Arial"/>
          <w:sz w:val="13"/>
          <w:szCs w:val="13"/>
          <w:u w:val="single" w:color="auto"/>
          <w:color w:val="auto"/>
        </w:rPr>
        <w:t>NCM Inc. Tax Benefit Schedules</w:t>
      </w:r>
      <w:r>
        <w:rPr>
          <w:rFonts w:ascii="Arial" w:cs="Arial" w:eastAsia="Arial" w:hAnsi="Arial"/>
          <w:sz w:val="13"/>
          <w:szCs w:val="13"/>
          <w:color w:val="auto"/>
        </w:rPr>
        <w:t>. Within 30 calendar days after filing the U.S. Federal Income Tax Returns of NCM Inc. and NCM LLC for the relevant Covered Taxable Year, NCM Inc. shall provide to the Founding Members and the ESA Parties a schedule approved by the Audit Committee showing, in reasonable detail, the calculation of NCM Inc.’s Realized Tax Benefit or Realized Tax Detriment for such Covered Taxable Year (the “</w:t>
      </w:r>
      <w:r>
        <w:rPr>
          <w:rFonts w:ascii="Arial" w:cs="Arial" w:eastAsia="Arial" w:hAnsi="Arial"/>
          <w:sz w:val="13"/>
          <w:szCs w:val="13"/>
          <w:u w:val="single" w:color="auto"/>
          <w:color w:val="auto"/>
        </w:rPr>
        <w:t>NCM Inc. Tax Benefit Schedule</w:t>
      </w:r>
      <w:r>
        <w:rPr>
          <w:rFonts w:ascii="Arial" w:cs="Arial" w:eastAsia="Arial" w:hAnsi="Arial"/>
          <w:sz w:val="13"/>
          <w:szCs w:val="13"/>
          <w:color w:val="auto"/>
        </w:rPr>
        <w:t>”). At the time NCM Inc. delivers an NCM Inc. Tax Benefit Schedule to the Founding Members and the ESA Parties, NCM Inc. shall (i) deliver to the Founding Members and the ESA Parties schedules and work papers providing reasonable detail regarding the preparation of such NCM Inc. Tax Benefit Schedule and an Advisory Firm Letter supporting such NCM Inc. Tax Benefit Schedule and (ii) allow the Founding Members and the ESA Parties reasonable access to the appropriate representatives at NCM Inc., NCM LLC, and the Advisory Firm in connection with their review of such schedules. Each NCM Inc. Tax Benefit Schedule shall become final and binding on the Parties unless the Founding Members or the ESA Parties, within 30 calendar days after receiving such Tax Benefit Schedule, provides NCM Inc. with a written notice of a material objection to such Tax Benefit Schedule made in good faith and specifying the reasons for such material objection. If the Founding Members or the ESA Parties, or both, and NCM Inc., negotiating in good faith, are unable to successfully resolve the issues raised in such written notice within 60 calendar days after such NCM Inc. Tax Benefit Schedule was delivered to the Founding Members and the ESA Parties, the Founding Members or the ESA Parties, or both, and NCM Inc. shall employ the Reconciliation Procedures.</w:t>
      </w:r>
    </w:p>
    <w:p>
      <w:pPr>
        <w:spacing w:after="0" w:line="98" w:lineRule="exact"/>
        <w:rPr>
          <w:rFonts w:ascii="Arial" w:cs="Arial" w:eastAsia="Arial" w:hAnsi="Arial"/>
          <w:sz w:val="13"/>
          <w:szCs w:val="13"/>
          <w:color w:val="auto"/>
        </w:rPr>
      </w:pPr>
    </w:p>
    <w:p>
      <w:pPr>
        <w:jc w:val="both"/>
        <w:ind w:right="60" w:firstLine="924"/>
        <w:spacing w:after="0" w:line="307" w:lineRule="auto"/>
        <w:tabs>
          <w:tab w:leader="none" w:pos="1117" w:val="left"/>
        </w:tabs>
        <w:numPr>
          <w:ilvl w:val="1"/>
          <w:numId w:val="163"/>
        </w:numPr>
        <w:rPr>
          <w:rFonts w:ascii="Arial" w:cs="Arial" w:eastAsia="Arial" w:hAnsi="Arial"/>
          <w:sz w:val="12"/>
          <w:szCs w:val="12"/>
          <w:color w:val="auto"/>
        </w:rPr>
      </w:pPr>
      <w:r>
        <w:rPr>
          <w:rFonts w:ascii="Arial" w:cs="Arial" w:eastAsia="Arial" w:hAnsi="Arial"/>
          <w:sz w:val="12"/>
          <w:szCs w:val="12"/>
          <w:u w:val="single" w:color="auto"/>
          <w:color w:val="auto"/>
        </w:rPr>
        <w:t>Amended NCM Inc. Tax Benefit Schedules</w:t>
      </w:r>
      <w:r>
        <w:rPr>
          <w:rFonts w:ascii="Arial" w:cs="Arial" w:eastAsia="Arial" w:hAnsi="Arial"/>
          <w:sz w:val="12"/>
          <w:szCs w:val="12"/>
          <w:color w:val="auto"/>
        </w:rPr>
        <w:t>. Each NCM Inc. Tax Benefit Schedule for any Covered Taxable Year may be amended from time to time by NCM Inc. with the consent of the Audit Committee (i) in connection with a Determination affecting such NCM Inc. Tax Benefit Schedule, (ii) to correct inaccuracies in the original NCM Inc. Tax Benefit Schedule identified as a result of the receipt of additional factual information relating to a Covered Taxable Year after the date the NCM Inc. Tax Benefit Schedule was provided to the Founding Members and the ESA Parties,</w:t>
      </w:r>
    </w:p>
    <w:p>
      <w:pPr>
        <w:ind w:right="60" w:firstLine="7"/>
        <w:spacing w:after="0" w:line="264" w:lineRule="auto"/>
        <w:tabs>
          <w:tab w:leader="none" w:pos="249"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to reflect a change in the Realized Tax Benefit or Realized Tax Detriment for such Covered Taxable Year attributable to a carryback or carryforward of a loss or other tax item to such Covered Taxable Year, (iv) to reflect a change in the Realized Tax Benefit or Realized Tax Detriment for such Covered Taxable Year attributable to an amended Tax Return filed for such Covered Taxable Year (provided, however, that such a change attributable to an audit of a Tax Return by an applicable Taxing Authority shall not be taken into account on an amended NCM Inc. Tax Benefit Schedule unless and until there has been a Determination with respect to such change), or (v) to comply with the expert’s determination under the Reconciliation Procedures. At the time NCM Inc. delivers such an amended NCM Inc. Tax Benefit Schedule (an “</w:t>
      </w:r>
      <w:r>
        <w:rPr>
          <w:rFonts w:ascii="Arial" w:cs="Arial" w:eastAsia="Arial" w:hAnsi="Arial"/>
          <w:sz w:val="14"/>
          <w:szCs w:val="14"/>
          <w:u w:val="single" w:color="auto"/>
          <w:color w:val="auto"/>
        </w:rPr>
        <w:t>Amended NCM Inc. Tax Benefit Schedule</w:t>
      </w:r>
      <w:r>
        <w:rPr>
          <w:rFonts w:ascii="Arial" w:cs="Arial" w:eastAsia="Arial" w:hAnsi="Arial"/>
          <w:sz w:val="14"/>
          <w:szCs w:val="14"/>
          <w:color w:val="auto"/>
        </w:rPr>
        <w:t>”) to the Founding Members and the ESA Parties it shall (x) deliver to the Founding Members and the ESA Parties schedules and work papers providing reasonable detail regarding the preparation of the Amended NCM Inc. Tax Benefit Schedule and an Advisory Firm Letter supporting such Amended NCM Inc. Tax Benefit Schedule and (y) allow the Founding Members and the ESA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40"/>
          </w:cols>
          <w:pgMar w:left="220" w:top="252" w:right="239" w:bottom="1440" w:gutter="0" w:footer="0" w:header="0"/>
        </w:sectPr>
      </w:pPr>
    </w:p>
    <w:bookmarkStart w:id="284" w:name="page285"/>
    <w:bookmarkEnd w:id="284"/>
    <w:p>
      <w:pPr>
        <w:ind w:right="220"/>
        <w:spacing w:after="0" w:line="26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Parties reasonable access to the appropriate representatives at NCM Inc., NCM LLC, and the Advisory Firm in connection with their review of such schedule. Each Amended NCM Inc. Tax Benefit Schedule shall become final and binding on the Parties unless the Founding Members or the ESA Parties, within 30 calendar days after receiving such Amended NCM Inc. Tax Benefit Schedule, provides NCM Inc. with a written notice of a material objection to such Amended NCM Inc. Tax Benefit Schedule made in good faith and specifying the reasons for such material objection. If the Founding Members or the ESA Parties, or both, and NCM Inc., negotiating in good faith, are unable to successfully resolve the issues raised in such written notice within 60 calendar days after such Amended NCM Inc. Tax Benefit Schedule was delivered to the Founding Members and the ESA Parties, the Founding Members or the ESA Parties, or both, and NCM Inc. shall employ the Reconciliation Procedures.</w:t>
      </w:r>
    </w:p>
    <w:p>
      <w:pPr>
        <w:spacing w:after="0" w:line="175" w:lineRule="exact"/>
        <w:rPr>
          <w:sz w:val="20"/>
          <w:szCs w:val="20"/>
          <w:color w:val="auto"/>
        </w:rPr>
      </w:pPr>
    </w:p>
    <w:p>
      <w:pPr>
        <w:ind w:left="1120" w:hanging="196"/>
        <w:spacing w:after="0"/>
        <w:tabs>
          <w:tab w:leader="none" w:pos="1120"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Applicable Principles</w:t>
      </w:r>
      <w:r>
        <w:rPr>
          <w:rFonts w:ascii="Arial" w:cs="Arial" w:eastAsia="Arial" w:hAnsi="Arial"/>
          <w:sz w:val="14"/>
          <w:szCs w:val="14"/>
          <w:color w:val="auto"/>
        </w:rPr>
        <w:t>.</w:t>
      </w:r>
    </w:p>
    <w:p>
      <w:pPr>
        <w:spacing w:after="0" w:line="79" w:lineRule="exact"/>
        <w:rPr>
          <w:rFonts w:ascii="Arial" w:cs="Arial" w:eastAsia="Arial" w:hAnsi="Arial"/>
          <w:sz w:val="14"/>
          <w:szCs w:val="14"/>
          <w:color w:val="auto"/>
        </w:rPr>
      </w:pPr>
    </w:p>
    <w:p>
      <w:pPr>
        <w:ind w:left="460" w:firstLine="885"/>
        <w:spacing w:after="0" w:line="265" w:lineRule="auto"/>
        <w:tabs>
          <w:tab w:leader="none" w:pos="1541"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The Realized Tax Benefit or Realized Tax Detriment for each Covered Taxable Year is intended to measure the decrease or increase in the actual Covered Tax liability of NCM Inc. for such Covered Taxable Year attributable to any Basis Adjustments, the Initial ESA Modification Payments, any Positive Theatre Access Adjustments, any Negative Theatre Access Adjustments, and Imputed Interest, determined using a “with and without” methodology and based on the Parties’ interpretation of applicable law as of the date hereof. Any subsequent change in an individual Party’s interpretation of applicable law (or potentially differing interpretation by the Advisory Firm), or actual change in applicable law, may result in a change in the procedures and methodologies utilized for purposes of this Agreement, provided that any such change in procedures and methodologies is agreed to by each Party to this Agreement and approved by the Advisory Firm for purposes of issuing the Advisory Firm Letter (subject to the Reconciliation Procedures if the Parties are unable to reach unanimous agreement with respect to such change within 60 calendar days of such change being first proposed by a Party).</w:t>
      </w:r>
    </w:p>
    <w:p>
      <w:pPr>
        <w:spacing w:after="0" w:line="45" w:lineRule="exact"/>
        <w:rPr>
          <w:rFonts w:ascii="Arial" w:cs="Arial" w:eastAsia="Arial" w:hAnsi="Arial"/>
          <w:sz w:val="14"/>
          <w:szCs w:val="14"/>
          <w:color w:val="auto"/>
        </w:rPr>
      </w:pPr>
    </w:p>
    <w:p>
      <w:pPr>
        <w:ind w:left="460" w:right="20" w:firstLine="885"/>
        <w:spacing w:after="0" w:line="287" w:lineRule="auto"/>
        <w:tabs>
          <w:tab w:leader="none" w:pos="1541" w:val="left"/>
        </w:tabs>
        <w:numPr>
          <w:ilvl w:val="1"/>
          <w:numId w:val="165"/>
        </w:numPr>
        <w:rPr>
          <w:rFonts w:ascii="Arial" w:cs="Arial" w:eastAsia="Arial" w:hAnsi="Arial"/>
          <w:sz w:val="13"/>
          <w:szCs w:val="13"/>
          <w:color w:val="auto"/>
        </w:rPr>
      </w:pPr>
      <w:r>
        <w:rPr>
          <w:rFonts w:ascii="Arial" w:cs="Arial" w:eastAsia="Arial" w:hAnsi="Arial"/>
          <w:sz w:val="13"/>
          <w:szCs w:val="13"/>
          <w:color w:val="auto"/>
        </w:rPr>
        <w:t>For purposes of this Agreement, any Tax items that may potentially reduce gross taxable income (“</w:t>
      </w:r>
      <w:r>
        <w:rPr>
          <w:rFonts w:ascii="Arial" w:cs="Arial" w:eastAsia="Arial" w:hAnsi="Arial"/>
          <w:sz w:val="13"/>
          <w:szCs w:val="13"/>
          <w:u w:val="single" w:color="auto"/>
          <w:color w:val="auto"/>
        </w:rPr>
        <w:t>Tax Reduction Items</w:t>
      </w:r>
      <w:r>
        <w:rPr>
          <w:rFonts w:ascii="Arial" w:cs="Arial" w:eastAsia="Arial" w:hAnsi="Arial"/>
          <w:sz w:val="13"/>
          <w:szCs w:val="13"/>
          <w:color w:val="auto"/>
        </w:rPr>
        <w:t>”) shall be divided as between (i) those Tax Reduction Items that are attributable to any Basis Adjustments, any Initial ESA Modification Payments, any Positive Theatre Access Adjustments, any Negative Theatre Access Adjustments, or Imputed Interest (the “</w:t>
      </w:r>
      <w:r>
        <w:rPr>
          <w:rFonts w:ascii="Arial" w:cs="Arial" w:eastAsia="Arial" w:hAnsi="Arial"/>
          <w:sz w:val="13"/>
          <w:szCs w:val="13"/>
          <w:u w:val="single" w:color="auto"/>
          <w:color w:val="auto"/>
        </w:rPr>
        <w:t>TRA Portion</w:t>
      </w:r>
      <w:r>
        <w:rPr>
          <w:rFonts w:ascii="Arial" w:cs="Arial" w:eastAsia="Arial" w:hAnsi="Arial"/>
          <w:sz w:val="13"/>
          <w:szCs w:val="13"/>
          <w:color w:val="auto"/>
        </w:rPr>
        <w:t>”), and (ii) all other Tax Reduction Items (the “</w:t>
      </w:r>
      <w:r>
        <w:rPr>
          <w:rFonts w:ascii="Arial" w:cs="Arial" w:eastAsia="Arial" w:hAnsi="Arial"/>
          <w:sz w:val="13"/>
          <w:szCs w:val="13"/>
          <w:u w:val="single" w:color="auto"/>
          <w:color w:val="auto"/>
        </w:rPr>
        <w:t>Non-TRA Portion</w:t>
      </w:r>
      <w:r>
        <w:rPr>
          <w:rFonts w:ascii="Arial" w:cs="Arial" w:eastAsia="Arial" w:hAnsi="Arial"/>
          <w:sz w:val="13"/>
          <w:szCs w:val="13"/>
          <w:color w:val="auto"/>
        </w:rPr>
        <w:t>”). With respect to any Covered Taxable Year, the use of any current Tax Reduction Items, and the use of any Tax Reduction Items attributable to any carryovers or carrybacks, will be deemed utilized in a manner that first applies the amount of any Non-TRA Portion, and then applies the amount of any TRA Portion (with the TRA Portion being applied on a proportionate basis determined by the relative amount of each Tax Reduction Item that comprises such TRA Portion); provided, however, that in the case of any carryback of a Non-TRA Portion to a prior Covered Taxable Year, such carryback shall not affect the original “with and without” calculation in such prior Covered Taxable Year to the extent that the original “with” calculation is not affected under applicable law. Carryovers or carrybacks of any TRA Portion or Non-TRA Portion shall be considered to be subject to the rules of the Code (or any successor U.S. Federal Income Tax statute) and the Treasury Regulations or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252" w:right="219" w:bottom="1440" w:gutter="0" w:footer="0" w:header="0"/>
        </w:sectPr>
      </w:pPr>
    </w:p>
    <w:bookmarkStart w:id="285" w:name="page286"/>
    <w:bookmarkEnd w:id="285"/>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appropriate provisions of U.S. state and local income and franchise Tax law, as applicable, governing the use, limitation and expiration of carryovers or carrybacks of the relevant type.</w:t>
      </w:r>
    </w:p>
    <w:p>
      <w:pPr>
        <w:spacing w:after="0" w:line="91" w:lineRule="exact"/>
        <w:rPr>
          <w:sz w:val="20"/>
          <w:szCs w:val="20"/>
          <w:color w:val="auto"/>
        </w:rPr>
      </w:pPr>
    </w:p>
    <w:p>
      <w:pPr>
        <w:ind w:right="60" w:firstLine="885"/>
        <w:spacing w:after="0" w:line="309" w:lineRule="auto"/>
        <w:tabs>
          <w:tab w:leader="none" w:pos="1081" w:val="left"/>
        </w:tabs>
        <w:numPr>
          <w:ilvl w:val="1"/>
          <w:numId w:val="166"/>
        </w:numPr>
        <w:rPr>
          <w:rFonts w:ascii="Arial" w:cs="Arial" w:eastAsia="Arial" w:hAnsi="Arial"/>
          <w:sz w:val="12"/>
          <w:szCs w:val="12"/>
          <w:color w:val="auto"/>
        </w:rPr>
      </w:pPr>
      <w:r>
        <w:rPr>
          <w:rFonts w:ascii="Arial" w:cs="Arial" w:eastAsia="Arial" w:hAnsi="Arial"/>
          <w:sz w:val="12"/>
          <w:szCs w:val="12"/>
          <w:color w:val="auto"/>
        </w:rPr>
        <w:t>As an example of the intended operation of the principles in the preceding paragraph, assume that: (i) in the first Covered Taxable Year, $250 of gross taxable income arose and was reduced by a $100 TRA Portion (which resulted in a Hypothetical Tax Liability of $100 under the “without” calculation and an actual tax liability of $60 under the “with” calculation);</w:t>
      </w:r>
    </w:p>
    <w:p>
      <w:pPr>
        <w:ind w:firstLine="5"/>
        <w:spacing w:after="0" w:line="283" w:lineRule="auto"/>
        <w:tabs>
          <w:tab w:leader="none" w:pos="209" w:val="left"/>
        </w:tabs>
        <w:numPr>
          <w:ilvl w:val="0"/>
          <w:numId w:val="167"/>
        </w:numPr>
        <w:rPr>
          <w:rFonts w:ascii="Arial" w:cs="Arial" w:eastAsia="Arial" w:hAnsi="Arial"/>
          <w:sz w:val="13"/>
          <w:szCs w:val="13"/>
          <w:color w:val="auto"/>
        </w:rPr>
      </w:pPr>
      <w:r>
        <w:rPr>
          <w:rFonts w:ascii="Arial" w:cs="Arial" w:eastAsia="Arial" w:hAnsi="Arial"/>
          <w:sz w:val="13"/>
          <w:szCs w:val="13"/>
          <w:color w:val="auto"/>
        </w:rPr>
        <w:t>in the second Covered Taxable Year, $0 of gross taxable income arose along with both a TRA Portion of $100 ($50 attributable to Basis Adjustments and $50 attributable to Initial ESA Modification Payments) and a Non-TRA Portion of $200 (attributable to general operating expenses); (iii) in the third Covered Taxable Year, $100 of gross taxable income arose along with a $100 TRA Portion; (iv) in the fourth Covered Taxable Year, $250 of gross taxable income arose along with a $100 TRA Portion; and (v) any unutilized TRA Portions and Non-TRA Portions are both able to be carried back and carried over under applicable law. Using the intended operating principles set forth in the preceding paragraph, the following results would be deemed to occur: (a) in the second Covered Taxable Year, the $100 TRA Portion and the $200 Non-TRA Portion arising in the second Covered Taxable Year would be carried back to the first Covered Taxable Year and $150 of the $200 Non-TRA Portion would be deemed utilized for purposes of modifying the original “with” and “without” calculations in such first Covered Taxable Year (resulting in a Hypothetical Tax Liability of $40 under the modified “without” calculation and an actual tax liability of $0 under the modified “with” calculation, with no net change in Realized Tax Benefits arising with respect to such first Covered Taxable Year for purposes of this Agreement); (b) also in the second Covered Taxable Year, the remaining $50 Non-TRA Portion and $100 TRA Portion unutilized after being carried back as against the first Covered Taxable Year would remain unutilized in the second Covered Taxable Year as against $0 of gross taxable income; (c) in the third Covered Taxable Year, the remaining $50 Non-TRA Portion and $100 TRA Portion carried over from the second Covered Taxable Year would be utilized in the third Covered Taxable Year by deeming the $50 Non-TRA Portion to be used first, followed by $50 of the TRA Portion with $25 attributable to Basis Adjustments and $25 attributable to Initial ESA Modification Payments (resulting in a Hypothetical Tax Liability of $20 under the “without” calculation and an actual tax liability of $0 under the “with” calculation, with Realized Tax Benefits of $20 arising in such third Covered Taxable Year for purposes of this Agreement); and (d) in the fourth Covered Taxable Year, the remaining unutilized $50 TRA Portion carried over from the second Covered Taxable Year, along with the unutilized $100 TRA Portion generated in the third Covered Taxable Year, would both be carried over into the fourth Covered Taxable Year and utilized along with the $100 TRA Portion generated in the fourth Covered Taxable Year (resulting in a Hypothetical Tax Liability of $100 under the “without” calculation and an actual tax liability of $0 under the “with” calculation, with Realized Tax Benefits of $100 arising in such fourth Covered Taxable Year for purposes of this Agreement).</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980"/>
          </w:cols>
          <w:pgMar w:left="680" w:top="252" w:right="239" w:bottom="1440" w:gutter="0" w:footer="0" w:header="0"/>
        </w:sectPr>
      </w:pPr>
    </w:p>
    <w:bookmarkStart w:id="286" w:name="page287"/>
    <w:bookmarkEnd w:id="286"/>
    <w:p>
      <w:pPr>
        <w:ind w:left="5313"/>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ARTICLE III</w:t>
      </w:r>
    </w:p>
    <w:p>
      <w:pPr>
        <w:spacing w:after="0" w:line="24" w:lineRule="exact"/>
        <w:rPr>
          <w:sz w:val="20"/>
          <w:szCs w:val="20"/>
          <w:color w:val="auto"/>
        </w:rPr>
      </w:pPr>
    </w:p>
    <w:p>
      <w:pPr>
        <w:ind w:left="5333"/>
        <w:spacing w:after="0"/>
        <w:rPr>
          <w:sz w:val="20"/>
          <w:szCs w:val="20"/>
          <w:color w:val="auto"/>
        </w:rPr>
      </w:pPr>
      <w:r>
        <w:rPr>
          <w:rFonts w:ascii="Arial" w:cs="Arial" w:eastAsia="Arial" w:hAnsi="Arial"/>
          <w:sz w:val="14"/>
          <w:szCs w:val="14"/>
          <w:b w:val="1"/>
          <w:bCs w:val="1"/>
          <w:u w:val="single" w:color="auto"/>
          <w:color w:val="auto"/>
        </w:rPr>
        <w:t>PAYMENTS</w:t>
      </w:r>
    </w:p>
    <w:p>
      <w:pPr>
        <w:spacing w:after="0" w:line="139" w:lineRule="exact"/>
        <w:rPr>
          <w:sz w:val="20"/>
          <w:szCs w:val="20"/>
          <w:color w:val="auto"/>
        </w:rPr>
      </w:pPr>
    </w:p>
    <w:p>
      <w:pPr>
        <w:ind w:left="453"/>
        <w:spacing w:after="0"/>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u w:val="single" w:color="auto"/>
          <w:color w:val="auto"/>
        </w:rPr>
        <w:t>Exchange-Related Payments</w:t>
      </w:r>
      <w:r>
        <w:rPr>
          <w:rFonts w:ascii="Arial" w:cs="Arial" w:eastAsia="Arial" w:hAnsi="Arial"/>
          <w:sz w:val="14"/>
          <w:szCs w:val="14"/>
          <w:color w:val="auto"/>
        </w:rPr>
        <w:t>.</w:t>
      </w:r>
    </w:p>
    <w:p>
      <w:pPr>
        <w:spacing w:after="0" w:line="79" w:lineRule="exact"/>
        <w:rPr>
          <w:sz w:val="20"/>
          <w:szCs w:val="20"/>
          <w:color w:val="auto"/>
        </w:rPr>
      </w:pPr>
    </w:p>
    <w:p>
      <w:pPr>
        <w:ind w:left="-7" w:right="120" w:firstLine="924"/>
        <w:spacing w:after="0" w:line="267" w:lineRule="auto"/>
        <w:tabs>
          <w:tab w:leader="none" w:pos="1102" w:val="left"/>
        </w:tabs>
        <w:numPr>
          <w:ilvl w:val="1"/>
          <w:numId w:val="168"/>
        </w:numPr>
        <w:rPr>
          <w:rFonts w:ascii="Arial" w:cs="Arial" w:eastAsia="Arial" w:hAnsi="Arial"/>
          <w:sz w:val="14"/>
          <w:szCs w:val="14"/>
          <w:color w:val="auto"/>
        </w:rPr>
      </w:pPr>
      <w:r>
        <w:rPr>
          <w:rFonts w:ascii="Arial" w:cs="Arial" w:eastAsia="Arial" w:hAnsi="Arial"/>
          <w:sz w:val="14"/>
          <w:szCs w:val="14"/>
          <w:u w:val="single" w:color="auto"/>
          <w:color w:val="auto"/>
        </w:rPr>
        <w:t>Payments In Respect of NCM Inc. Tax Benefit Schedules</w:t>
      </w:r>
      <w:r>
        <w:rPr>
          <w:rFonts w:ascii="Arial" w:cs="Arial" w:eastAsia="Arial" w:hAnsi="Arial"/>
          <w:sz w:val="14"/>
          <w:szCs w:val="14"/>
          <w:color w:val="auto"/>
        </w:rPr>
        <w:t>. Except as provided in Section 3.03 below, within 45 calendar days of the delivery of a final NCM Inc. Tax Benefit Schedule to the Founding Members for any Covered Taxable Year: (i) NCM Inc. will pay to each Founding Member an amount equal to (x) such Founding Member’s Exchange-Related Allocable Share for such Covered Taxable Year, multiplied by (y) the Exchange-Related Tax Benefit Payment for such Covered Taxable Year; or, alternatively, (ii) each Founding Member will pay to NCM Inc. an amount equal to (x) such Founding Member’s Exchange-Related Allocable Share for such Covered Taxable Year, multiplied by (y) the Exchange-Related Tax Detriment Payment for such Covered Taxable Year.</w:t>
      </w:r>
    </w:p>
    <w:p>
      <w:pPr>
        <w:spacing w:after="0" w:line="109" w:lineRule="exact"/>
        <w:rPr>
          <w:rFonts w:ascii="Arial" w:cs="Arial" w:eastAsia="Arial" w:hAnsi="Arial"/>
          <w:sz w:val="14"/>
          <w:szCs w:val="14"/>
          <w:color w:val="auto"/>
        </w:rPr>
      </w:pPr>
    </w:p>
    <w:p>
      <w:pPr>
        <w:ind w:left="-7" w:firstLine="924"/>
        <w:spacing w:after="0" w:line="305" w:lineRule="auto"/>
        <w:tabs>
          <w:tab w:leader="none" w:pos="1110" w:val="left"/>
        </w:tabs>
        <w:numPr>
          <w:ilvl w:val="1"/>
          <w:numId w:val="168"/>
        </w:numPr>
        <w:rPr>
          <w:rFonts w:ascii="Arial" w:cs="Arial" w:eastAsia="Arial" w:hAnsi="Arial"/>
          <w:sz w:val="12"/>
          <w:szCs w:val="12"/>
          <w:color w:val="auto"/>
        </w:rPr>
      </w:pPr>
      <w:r>
        <w:rPr>
          <w:rFonts w:ascii="Arial" w:cs="Arial" w:eastAsia="Arial" w:hAnsi="Arial"/>
          <w:sz w:val="12"/>
          <w:szCs w:val="12"/>
          <w:u w:val="single" w:color="auto"/>
          <w:color w:val="auto"/>
        </w:rPr>
        <w:t>Payments In Respect of Amended NCM Inc. Tax Benefit Schedules</w:t>
      </w:r>
      <w:r>
        <w:rPr>
          <w:rFonts w:ascii="Arial" w:cs="Arial" w:eastAsia="Arial" w:hAnsi="Arial"/>
          <w:sz w:val="12"/>
          <w:szCs w:val="12"/>
          <w:color w:val="auto"/>
        </w:rPr>
        <w:t>. Except as provided in Section 3.03 below, within 45 calendar days of the delivery of a final Amended NCM Inc. Tax Benefit Schedule to the Founding Members for any Covered Taxable Year: (i) NCM Inc. will pay to each Founding Member an amount equal to (x) such Founding Member’s Exchange-Related Allocable Share for such Covered Taxable Year, multiplied by (y) the sum of (1) any increase in the amount of any Exchange-Related Tax Benefit Payment for such Covered Taxable Year, plus (2) any decrease in the amount of any Exchange-Related Tax Detriment Payment for such Covered Taxable Year; or, alternatively, (ii) each Founding Member will pay to NCM Inc. an amount equal to (x) such Founding Member’s Exchange-Related Allocable Share for such Covered Taxable Year, multiplied by (y) the sum of (1) any increase in the amount of any Exchange-Related Tax Detriment Payment for such Covered Taxable Year, plus (2) any decrease in the amount of any Exchange-Related Tax Benefit Payment for such Covered Taxable Year. As an example of the intended operation of clause</w:t>
      </w:r>
    </w:p>
    <w:p>
      <w:pPr>
        <w:spacing w:after="0" w:line="2" w:lineRule="exact"/>
        <w:rPr>
          <w:rFonts w:ascii="Arial" w:cs="Arial" w:eastAsia="Arial" w:hAnsi="Arial"/>
          <w:sz w:val="12"/>
          <w:szCs w:val="12"/>
          <w:color w:val="auto"/>
        </w:rPr>
      </w:pPr>
    </w:p>
    <w:p>
      <w:pPr>
        <w:ind w:left="-7" w:right="40" w:firstLine="7"/>
        <w:spacing w:after="0" w:line="286" w:lineRule="auto"/>
        <w:tabs>
          <w:tab w:leader="none" w:pos="162" w:val="left"/>
        </w:tabs>
        <w:numPr>
          <w:ilvl w:val="0"/>
          <w:numId w:val="169"/>
        </w:numPr>
        <w:rPr>
          <w:rFonts w:ascii="Arial" w:cs="Arial" w:eastAsia="Arial" w:hAnsi="Arial"/>
          <w:sz w:val="13"/>
          <w:szCs w:val="13"/>
          <w:color w:val="auto"/>
        </w:rPr>
      </w:pPr>
      <w:r>
        <w:rPr>
          <w:rFonts w:ascii="Arial" w:cs="Arial" w:eastAsia="Arial" w:hAnsi="Arial"/>
          <w:sz w:val="13"/>
          <w:szCs w:val="13"/>
          <w:color w:val="auto"/>
        </w:rPr>
        <w:t>of the preceding sentence, if the original Exchange-Related Tax Benefit Payment paid in connection with an original NCM Inc. Tax Benefit Schedule was $100, and a subsequent change resulted in an Amended NCM Inc. Tax Benefit Schedule that gave rise to a $200 Exchange-Related Tax Benefit Payment, then NCM Inc. would pay the net increase in the Exchange-Related Tax Benefit Payment of $100 to the Founding Members based on each Founding Member’s Exchange-Related Allocable Share for the Covered Taxable Year to which the Amended NCM Inc. Tax Benefit Schedule relates. As an example of the intended operation of clause (ii) of the first sentence of this paragraph, if the original Exchange-Related Tax Benefit Payment paid in connection with an original NCM Inc. Tax Benefit Schedule was $100, and a subsequent change resulted in an Amended NCM Inc. Tax Benefit Schedule that gave rise to a $10 Exchange-Related Tax Detriment Payment (due to, for example, the imposition of interest charges in connection with a Determination), then the Founding Members would pay the total net difference of $110 (the sum of the $10 increase in the Exchange-Related Tax Detriment Payment plus the $100 decrease in the Exchange-Related Tax Benefit Payment) to NCM Inc. based on each Founding Member’s Exchange-Related Allocable Share for the Covered Taxable Year to which the Amended NCM Inc. Tax Benefit Schedule relates.</w:t>
      </w:r>
    </w:p>
    <w:p>
      <w:pPr>
        <w:spacing w:after="0" w:line="88" w:lineRule="exact"/>
        <w:rPr>
          <w:sz w:val="20"/>
          <w:szCs w:val="20"/>
          <w:color w:val="auto"/>
        </w:rPr>
      </w:pPr>
    </w:p>
    <w:p>
      <w:pPr>
        <w:jc w:val="center"/>
        <w:ind w:right="-12"/>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33"/>
          </w:cols>
          <w:pgMar w:left="227" w:top="248" w:right="239" w:bottom="1440" w:gutter="0" w:footer="0" w:header="0"/>
        </w:sectPr>
      </w:pPr>
    </w:p>
    <w:bookmarkStart w:id="287" w:name="page288"/>
    <w:bookmarkEnd w:id="287"/>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SECTION 3.02. </w:t>
      </w:r>
      <w:r>
        <w:rPr>
          <w:rFonts w:ascii="Arial" w:cs="Arial" w:eastAsia="Arial" w:hAnsi="Arial"/>
          <w:sz w:val="14"/>
          <w:szCs w:val="14"/>
          <w:u w:val="single" w:color="auto"/>
          <w:color w:val="auto"/>
        </w:rPr>
        <w:t>ESA-Related Payments</w:t>
      </w:r>
      <w:r>
        <w:rPr>
          <w:rFonts w:ascii="Arial" w:cs="Arial" w:eastAsia="Arial" w:hAnsi="Arial"/>
          <w:sz w:val="14"/>
          <w:szCs w:val="14"/>
          <w:color w:val="auto"/>
        </w:rPr>
        <w:t>.</w:t>
      </w:r>
    </w:p>
    <w:p>
      <w:pPr>
        <w:spacing w:after="0" w:line="79" w:lineRule="exact"/>
        <w:rPr>
          <w:sz w:val="20"/>
          <w:szCs w:val="20"/>
          <w:color w:val="auto"/>
        </w:rPr>
      </w:pPr>
    </w:p>
    <w:p>
      <w:pPr>
        <w:jc w:val="both"/>
        <w:ind w:left="-20" w:right="240" w:firstLine="924"/>
        <w:spacing w:after="0" w:line="293" w:lineRule="auto"/>
        <w:tabs>
          <w:tab w:leader="none" w:pos="1089"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Payments In Respect of NCM Inc. Tax Benefit Schedules</w:t>
      </w:r>
      <w:r>
        <w:rPr>
          <w:rFonts w:ascii="Arial" w:cs="Arial" w:eastAsia="Arial" w:hAnsi="Arial"/>
          <w:sz w:val="13"/>
          <w:szCs w:val="13"/>
          <w:color w:val="auto"/>
        </w:rPr>
        <w:t>. Except as provided in Section 3.03 below, and pursuant to the terms of Section 2.05(a)(ii) of the Exhibitor Services Agreements and Sections 5.1(b) and 6.4(b) of the NCM LLC Operating Agreement, within 45 calendar days of the delivery of a final NCM Inc. Tax Benefit Schedule to the ESA Parties for any Covered Taxable Year: (i) NCM LLC will pay to each ESA Party an amount equal to (x) such ESA Party’s ESA-Related Allocable Share for such Covered Taxable Year, multiplied by (y) the ESA-Related Tax Benefit Payment for such Covered Taxable Year; or, alternatively, (ii) each ESA Party will pay to NCM LLC an amount equal to (x) such ESA Party’s ESA-Related Allocable Share for such Covered Taxable Year, multiplied by (y) the ESA-Related Tax Detriment Payment for such Covered Taxable Year.</w:t>
      </w:r>
    </w:p>
    <w:p>
      <w:pPr>
        <w:spacing w:after="0" w:line="92" w:lineRule="exact"/>
        <w:rPr>
          <w:rFonts w:ascii="Arial" w:cs="Arial" w:eastAsia="Arial" w:hAnsi="Arial"/>
          <w:sz w:val="13"/>
          <w:szCs w:val="13"/>
          <w:color w:val="auto"/>
        </w:rPr>
      </w:pPr>
    </w:p>
    <w:p>
      <w:pPr>
        <w:ind w:left="-20" w:firstLine="924"/>
        <w:spacing w:after="0" w:line="289" w:lineRule="auto"/>
        <w:tabs>
          <w:tab w:leader="none" w:pos="1097"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Payments In Respect of Amended NCM Inc. Tax Benefit Schedules</w:t>
      </w:r>
      <w:r>
        <w:rPr>
          <w:rFonts w:ascii="Arial" w:cs="Arial" w:eastAsia="Arial" w:hAnsi="Arial"/>
          <w:sz w:val="13"/>
          <w:szCs w:val="13"/>
          <w:color w:val="auto"/>
        </w:rPr>
        <w:t>. Except as provided in Section 3.03 below, within 45 calendar days of the delivery of a final Amended NCM Inc. Tax Benefit Schedule to the ESA Parties for any Covered Taxable Year: (i) NCM LLC will pay to each ESA Party an amount equal to (x) such ESA Party’s ESA-Related Allocable Share for such Covered Taxable Year, multiplied by (y) the sum of (1) any increase in the amount of any ESA-Related Tax Benefit Payment for such Covered Taxable Year, plus (2) any decrease in the amount of any ESA-Related Tax Detriment Payment for such Covered Taxable Year; or, alternatively, (ii) each ESA Party will pay to NCM LLC an amount equal to (x) such ESA Party’s ESA-Related Allocable Share for such Covered Taxable Year, multiplied by (y) the sum of (1) any increase in the amount of any ESA-Related Tax Detriment Payment for such Covered Taxable Year, plus (2) any decrease in the amount of any ESA-Related Tax Benefit Payment for such Covered Taxable Year. For the avoidance of doubt, the general principles set forth in this paragraph are intended to operate in the same manner as the general principles illustrated through the two examples set forth at the end of Section 3.01(b) of this Agreement with respect to Exchange-Related Payments.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SECTION 3.03. </w:t>
      </w:r>
      <w:r>
        <w:rPr>
          <w:rFonts w:ascii="Arial" w:cs="Arial" w:eastAsia="Arial" w:hAnsi="Arial"/>
          <w:sz w:val="14"/>
          <w:szCs w:val="14"/>
          <w:u w:val="single" w:color="auto"/>
          <w:color w:val="auto"/>
        </w:rPr>
        <w:t>Suspension of Tax Benefit Payments Following Change Notice</w:t>
      </w:r>
      <w:r>
        <w:rPr>
          <w:rFonts w:ascii="Arial" w:cs="Arial" w:eastAsia="Arial" w:hAnsi="Arial"/>
          <w:sz w:val="14"/>
          <w:szCs w:val="14"/>
          <w:color w:val="auto"/>
        </w:rPr>
        <w:t>.</w:t>
      </w:r>
    </w:p>
    <w:p>
      <w:pPr>
        <w:spacing w:after="0" w:line="79" w:lineRule="exact"/>
        <w:rPr>
          <w:sz w:val="20"/>
          <w:szCs w:val="20"/>
          <w:color w:val="auto"/>
        </w:rPr>
      </w:pPr>
    </w:p>
    <w:p>
      <w:pPr>
        <w:ind w:left="-20" w:right="160" w:firstLine="924"/>
        <w:spacing w:after="0" w:line="289" w:lineRule="auto"/>
        <w:tabs>
          <w:tab w:leader="none" w:pos="1089"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Receipt of Change Notice</w:t>
      </w:r>
      <w:r>
        <w:rPr>
          <w:rFonts w:ascii="Arial" w:cs="Arial" w:eastAsia="Arial" w:hAnsi="Arial"/>
          <w:sz w:val="13"/>
          <w:szCs w:val="13"/>
          <w:color w:val="auto"/>
        </w:rPr>
        <w:t>. If any Party, or an affiliate of any Party, receives a 30-day letter, a final audit report, a statutory notice of deficiency, or similar written notice from any Taxing Authority relating to the Tax treatment of either the Initial Deemed Exchange, the Initial ESA Modification Payments, any Positive Theatre Access Adjustments, any Negative Theatre Access Adjustment, or any Subsequent Deemed Exchanges, or any other Tax matter relating to this Agreement (a “</w:t>
      </w:r>
      <w:r>
        <w:rPr>
          <w:rFonts w:ascii="Arial" w:cs="Arial" w:eastAsia="Arial" w:hAnsi="Arial"/>
          <w:sz w:val="13"/>
          <w:szCs w:val="13"/>
          <w:u w:val="single" w:color="auto"/>
          <w:color w:val="auto"/>
        </w:rPr>
        <w:t>Change Notice</w:t>
      </w:r>
      <w:r>
        <w:rPr>
          <w:rFonts w:ascii="Arial" w:cs="Arial" w:eastAsia="Arial" w:hAnsi="Arial"/>
          <w:sz w:val="13"/>
          <w:szCs w:val="13"/>
          <w:color w:val="auto"/>
        </w:rPr>
        <w:t>”), which, if sustained, would result in (i) a reduction in the amount of Realized Tax Benefit (or the increase in the amount of Realized Tax Detriment) with respect to a Covered Taxable Year preceding the Taxable Year in which the Change Notice is received or (ii) a reduction in the amount of any Exchange-Related Tax Benefit Payments or ESA-Related Tax Benefit Payments that either NCM Inc. or NCM LLC, respectively, would be required to pay to the Founding Members or the ESA Parties, respectively, for any Covered Taxable Years after and including the Taxable Year in which the Change Notice is received (collectively, the “</w:t>
      </w:r>
      <w:r>
        <w:rPr>
          <w:rFonts w:ascii="Arial" w:cs="Arial" w:eastAsia="Arial" w:hAnsi="Arial"/>
          <w:sz w:val="13"/>
          <w:szCs w:val="13"/>
          <w:u w:val="single" w:color="auto"/>
          <w:color w:val="auto"/>
        </w:rPr>
        <w:t>Potential</w:t>
      </w:r>
      <w:r>
        <w:rPr>
          <w:rFonts w:ascii="Arial" w:cs="Arial" w:eastAsia="Arial" w:hAnsi="Arial"/>
          <w:sz w:val="13"/>
          <w:szCs w:val="13"/>
          <w:color w:val="auto"/>
        </w:rPr>
        <w:t xml:space="preserve"> </w:t>
      </w:r>
      <w:r>
        <w:rPr>
          <w:rFonts w:ascii="Arial" w:cs="Arial" w:eastAsia="Arial" w:hAnsi="Arial"/>
          <w:sz w:val="13"/>
          <w:szCs w:val="13"/>
          <w:u w:val="single" w:color="auto"/>
          <w:color w:val="auto"/>
        </w:rPr>
        <w:t>Reduction</w:t>
      </w:r>
      <w:r>
        <w:rPr>
          <w:rFonts w:ascii="Arial" w:cs="Arial" w:eastAsia="Arial" w:hAnsi="Arial"/>
          <w:sz w:val="13"/>
          <w:szCs w:val="13"/>
          <w:color w:val="auto"/>
        </w:rPr>
        <w:t>”), prompt written notification (and a copy of the Change Notice) shall be delivered by the Party, or its affiliate, receiving such Change Notice to each other Party to this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252" w:right="239" w:bottom="1440" w:gutter="0" w:footer="0" w:header="0"/>
        </w:sectPr>
      </w:pPr>
    </w:p>
    <w:bookmarkStart w:id="288" w:name="page289"/>
    <w:bookmarkEnd w:id="288"/>
    <w:p>
      <w:pPr>
        <w:ind w:right="40" w:firstLine="924"/>
        <w:spacing w:after="0" w:line="270" w:lineRule="auto"/>
        <w:tabs>
          <w:tab w:leader="none" w:pos="1117"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Suspension of Payments</w:t>
      </w:r>
      <w:r>
        <w:rPr>
          <w:rFonts w:ascii="Arial" w:cs="Arial" w:eastAsia="Arial" w:hAnsi="Arial"/>
          <w:sz w:val="14"/>
          <w:szCs w:val="14"/>
          <w:color w:val="auto"/>
        </w:rPr>
        <w:t>. From and after the date such Change Notice is received, any Exchange-Related Payments required to be made by NCM Inc. or any ESA-Related Payments required to be made by NCM LLC under this Agreement, or both, as appropriate based on the adjustments proposed in the Change Notice, will instead be paid by NCM Inc. or NCM LLC, or both, as appropriate, to a national bank mutually agreeable to the affected Parties to act as escrow agent to hold such funds in escrow pursuant to an escrow agreement until a Determination is received with respect to the Change Notice.</w:t>
      </w:r>
    </w:p>
    <w:p>
      <w:pPr>
        <w:spacing w:after="0" w:line="106" w:lineRule="exact"/>
        <w:rPr>
          <w:rFonts w:ascii="Arial" w:cs="Arial" w:eastAsia="Arial" w:hAnsi="Arial"/>
          <w:sz w:val="14"/>
          <w:szCs w:val="14"/>
          <w:color w:val="auto"/>
        </w:rPr>
      </w:pPr>
    </w:p>
    <w:p>
      <w:pPr>
        <w:ind w:right="40" w:firstLine="924"/>
        <w:spacing w:after="0" w:line="264" w:lineRule="auto"/>
        <w:tabs>
          <w:tab w:leader="none" w:pos="1109"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Release of Escrowed Funds</w:t>
      </w:r>
      <w:r>
        <w:rPr>
          <w:rFonts w:ascii="Arial" w:cs="Arial" w:eastAsia="Arial" w:hAnsi="Arial"/>
          <w:sz w:val="14"/>
          <w:szCs w:val="14"/>
          <w:color w:val="auto"/>
        </w:rPr>
        <w:t>. If a Determination results in no adjustment in any Exchange-Related Payments or ESA-Related Payments under this Agreement, then the escrowed funds (along with any net interest earned on such funds, and less the out-of-pocket expenses incurred by NCM Inc. or NCM LLC in administering the escrow and in contesting the Determination) shall be distributed to the affected Founding Members or ESA Parties in accordance with their respective Exchange-Related Allocable Shares or ESA-Related Allocable Shares, respectively. If a Determination results in an adjustment in any Exchange-Related Payments or ESA-Related Payments under this Agreement, then the escrowed funds (along with any net interest earned on such funds) shall be distributed (i) to NCM Inc. or NCM LLC, as appropriate, in an amount equal to the out-of-pocket expenses incurred by NCM Inc. or NCM LLC in administering the escrow and in contesting the Determination and (ii) to the relevant Parties (which, for the avoidance of doubt and depending on the nature of the adjustments, may include NCM Inc. or NCM LLC, or both) in accordance with the recalculated Exchange-Related Payments or ESA-Related Payments determined under Sections 3.01(b) and 3.02(b) of this Agreement and set forth one or more Amended NCM Inc. Tax Benefit Schedules.</w:t>
      </w:r>
    </w:p>
    <w:p>
      <w:pPr>
        <w:spacing w:after="0" w:line="11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SECTION 3.04. </w:t>
      </w:r>
      <w:r>
        <w:rPr>
          <w:rFonts w:ascii="Arial" w:cs="Arial" w:eastAsia="Arial" w:hAnsi="Arial"/>
          <w:sz w:val="14"/>
          <w:szCs w:val="14"/>
          <w:u w:val="single" w:color="auto"/>
          <w:color w:val="auto"/>
        </w:rPr>
        <w:t>No Duplicative Payments; Other Matters</w:t>
      </w:r>
      <w:r>
        <w:rPr>
          <w:rFonts w:ascii="Arial" w:cs="Arial" w:eastAsia="Arial" w:hAnsi="Arial"/>
          <w:sz w:val="14"/>
          <w:szCs w:val="14"/>
          <w:color w:val="auto"/>
        </w:rPr>
        <w:t>. No duplicative payment of any amount (including interest) will be required under this Agreement. Any Exchange-Related Payment or ESA-Related Payment to be made by any Party under this Agreement shall be made by wire transfer of immediately available funds to the bank accounts specified by the relevant recipient (subject to, in the case of the Founding Members and the ESA Parties, the rights of offset described in Section 5.03). For the avoidance of doubt, no Exchange-Related Payments or ESA-Related Payments shall be made in respect of estimated tax payments, including, without limitation, estimated Federal Income Tax payments.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TERMINATION</w:t>
      </w:r>
    </w:p>
    <w:p>
      <w:pPr>
        <w:spacing w:after="0" w:line="139"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SECTION 4.01. Early Termination of Agreement. At any time after the date of this Agreement, NCM Inc. may terminate its obligations under this Agreement, or NCM LLC may terminate its obligations under this Agreement, or both NCM Inc. and NCM LLC may terminate their obligations under this Agreement, in whole or in part, with the consent of the Audit Committee by paying to the Founding Members or the ESA Parties, or both, as applicable, the Early Termination Payment determined as of the date of the Early Termination Notice. Upon payment of the Early Termination Payment, NCM Inc. or NCM LLC, or both, as applicable, shall have no further payment obligations under this Agreement with respect to the portion of the obligations to which the Early Termination Payment relates (which in the case of a complete termination of this Agreement by both NCM Inc. and NCM LLC, would mean that both NCM Inc. and NCM LLC would have no further obligations under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40"/>
          </w:cols>
          <w:pgMar w:left="220" w:top="252" w:right="239" w:bottom="1440" w:gutter="0" w:footer="0" w:header="0"/>
        </w:sectPr>
      </w:pPr>
    </w:p>
    <w:bookmarkStart w:id="289" w:name="page290"/>
    <w:bookmarkEnd w:id="289"/>
    <w:p>
      <w:pPr>
        <w:ind w:right="60" w:firstLine="458"/>
        <w:spacing w:after="0" w:line="28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SECTION 4.02. </w:t>
      </w:r>
      <w:r>
        <w:rPr>
          <w:rFonts w:ascii="Arial" w:cs="Arial" w:eastAsia="Arial" w:hAnsi="Arial"/>
          <w:sz w:val="13"/>
          <w:szCs w:val="13"/>
          <w:u w:val="single" w:color="auto"/>
          <w:color w:val="auto"/>
        </w:rPr>
        <w:t>Early Termination Notice</w:t>
      </w:r>
      <w:r>
        <w:rPr>
          <w:rFonts w:ascii="Arial" w:cs="Arial" w:eastAsia="Arial" w:hAnsi="Arial"/>
          <w:sz w:val="13"/>
          <w:szCs w:val="13"/>
          <w:color w:val="auto"/>
        </w:rPr>
        <w:t>. If NCM Inc. or NCM LLC, or both, choose to exercise the right of early termination under Section 4.01 above, NCM Inc. shall deliver to the Founding Members or the ESA Parties, or both, as applicable, a notice (the “</w:t>
      </w:r>
      <w:r>
        <w:rPr>
          <w:rFonts w:ascii="Arial" w:cs="Arial" w:eastAsia="Arial" w:hAnsi="Arial"/>
          <w:sz w:val="13"/>
          <w:szCs w:val="13"/>
          <w:u w:val="single" w:color="auto"/>
          <w:color w:val="auto"/>
        </w:rPr>
        <w:t>Early Termination Notice</w:t>
      </w:r>
      <w:r>
        <w:rPr>
          <w:rFonts w:ascii="Arial" w:cs="Arial" w:eastAsia="Arial" w:hAnsi="Arial"/>
          <w:sz w:val="13"/>
          <w:szCs w:val="13"/>
          <w:color w:val="auto"/>
        </w:rPr>
        <w:t>”) specifying the intention to exercise such right. At the time NCM Inc. delivers the Early Termination Notice, NCM Inc. shall also (i) deliver schedules and work papers providing reasonable detail regarding the calculation of the Early Termination Payment in a manner consistent with the guidelines set forth in Section 4.03 of this Agreement (such schedules and work papers comprising the “</w:t>
      </w:r>
      <w:r>
        <w:rPr>
          <w:rFonts w:ascii="Arial" w:cs="Arial" w:eastAsia="Arial" w:hAnsi="Arial"/>
          <w:sz w:val="13"/>
          <w:szCs w:val="13"/>
          <w:u w:val="single" w:color="auto"/>
          <w:color w:val="auto"/>
        </w:rPr>
        <w:t>Early Termination Payment Schedule</w:t>
      </w:r>
      <w:r>
        <w:rPr>
          <w:rFonts w:ascii="Arial" w:cs="Arial" w:eastAsia="Arial" w:hAnsi="Arial"/>
          <w:sz w:val="13"/>
          <w:szCs w:val="13"/>
          <w:color w:val="auto"/>
        </w:rPr>
        <w:t>”) and an Advisory Firm Letter supporting such Early Termination Payment Schedule and (b) allow the Founding Members or the ESA Parties, or both, as applicable, reasonable access to the appropriate representatives at NCM Inc., NCM LLC, and the Advisory Firm in connection with the review of such Early Termination Payment Schedule. The Early Termination Payment Schedule shall become final and binding on the relevant Parties unless a Founding Member or ESA Party, within 30 calendar days after receiving such Early Termination Schedule, provides NCM Inc. with written notice of a material objection to such Early Termination Schedule made in good faith and specifying the reasons for such material objection. If the relevant Parties, negotiating in good faith, are unable to successfully resolve the issues raised in such Early Termination Schedule within 60 calendar days after such Early Termination Schedule was delivered, the relevant Parties shall employ the Reconciliation Procedures.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u w:val="single" w:color="auto"/>
          <w:color w:val="auto"/>
        </w:rPr>
        <w:t>Payment Upon Early Termination</w:t>
      </w:r>
      <w:r>
        <w:rPr>
          <w:rFonts w:ascii="Arial" w:cs="Arial" w:eastAsia="Arial" w:hAnsi="Arial"/>
          <w:sz w:val="14"/>
          <w:szCs w:val="14"/>
          <w:color w:val="auto"/>
        </w:rPr>
        <w:t>.</w:t>
      </w:r>
    </w:p>
    <w:p>
      <w:pPr>
        <w:spacing w:after="0" w:line="79" w:lineRule="exact"/>
        <w:rPr>
          <w:sz w:val="20"/>
          <w:szCs w:val="20"/>
          <w:color w:val="auto"/>
        </w:rPr>
      </w:pPr>
    </w:p>
    <w:p>
      <w:pPr>
        <w:jc w:val="both"/>
        <w:ind w:firstLine="924"/>
        <w:spacing w:after="0" w:line="275" w:lineRule="auto"/>
        <w:tabs>
          <w:tab w:leader="none" w:pos="1109" w:val="left"/>
        </w:tabs>
        <w:numPr>
          <w:ilvl w:val="0"/>
          <w:numId w:val="173"/>
        </w:numPr>
        <w:rPr>
          <w:rFonts w:ascii="Arial" w:cs="Arial" w:eastAsia="Arial" w:hAnsi="Arial"/>
          <w:sz w:val="14"/>
          <w:szCs w:val="14"/>
          <w:color w:val="auto"/>
        </w:rPr>
      </w:pPr>
      <w:r>
        <w:rPr>
          <w:rFonts w:ascii="Arial" w:cs="Arial" w:eastAsia="Arial" w:hAnsi="Arial"/>
          <w:sz w:val="14"/>
          <w:szCs w:val="14"/>
          <w:u w:val="single" w:color="auto"/>
          <w:color w:val="auto"/>
        </w:rPr>
        <w:t>Payment</w:t>
      </w:r>
      <w:r>
        <w:rPr>
          <w:rFonts w:ascii="Arial" w:cs="Arial" w:eastAsia="Arial" w:hAnsi="Arial"/>
          <w:sz w:val="14"/>
          <w:szCs w:val="14"/>
          <w:color w:val="auto"/>
        </w:rPr>
        <w:t>. Within 3 calendar days after the Early Termination Payment Schedule becomes final, NCM Inc. or NCM LLC, or both, as applicable, shall pay to the Founding Members or the ESA Parties, or both, as applicable, an amount equal to the Early Termination Payment multiplied by their respective Adjusted Allocable Shares. Such payment shall be made by wire transfer of immediately available funds to a bank account designated by each relevant Founding Member or ESA Party entitled to receive a payment.</w:t>
      </w:r>
    </w:p>
    <w:p>
      <w:pPr>
        <w:spacing w:after="0" w:line="102" w:lineRule="exact"/>
        <w:rPr>
          <w:rFonts w:ascii="Arial" w:cs="Arial" w:eastAsia="Arial" w:hAnsi="Arial"/>
          <w:sz w:val="14"/>
          <w:szCs w:val="14"/>
          <w:color w:val="auto"/>
        </w:rPr>
      </w:pPr>
    </w:p>
    <w:p>
      <w:pPr>
        <w:ind w:firstLine="924"/>
        <w:spacing w:after="0" w:line="270" w:lineRule="auto"/>
        <w:tabs>
          <w:tab w:leader="none" w:pos="1117" w:val="left"/>
        </w:tabs>
        <w:numPr>
          <w:ilvl w:val="0"/>
          <w:numId w:val="173"/>
        </w:numPr>
        <w:rPr>
          <w:rFonts w:ascii="Arial" w:cs="Arial" w:eastAsia="Arial" w:hAnsi="Arial"/>
          <w:sz w:val="14"/>
          <w:szCs w:val="14"/>
          <w:color w:val="auto"/>
        </w:rPr>
      </w:pPr>
      <w:r>
        <w:rPr>
          <w:rFonts w:ascii="Arial" w:cs="Arial" w:eastAsia="Arial" w:hAnsi="Arial"/>
          <w:sz w:val="14"/>
          <w:szCs w:val="14"/>
          <w:u w:val="single" w:color="auto"/>
          <w:color w:val="auto"/>
        </w:rPr>
        <w:t>Determination of Early Termination Payment</w:t>
      </w:r>
      <w:r>
        <w:rPr>
          <w:rFonts w:ascii="Arial" w:cs="Arial" w:eastAsia="Arial" w:hAnsi="Arial"/>
          <w:sz w:val="14"/>
          <w:szCs w:val="14"/>
          <w:color w:val="auto"/>
        </w:rPr>
        <w:t>. The Early Termination Payment determined as of the date of the Early Termination Payment Schedule shall equal the present value, discounted at the Early Termination Rate, of all Exchange-Related Tax Benefit Payments or ESA-Related Tax Benefit Payments, or both, that would be required to be paid by NCM Inc. or NCM LLC, or both, to the Founding Members or the ESA Parties, or both, as applicable, during the period from the date of the Early Termination Notice through the Scheduled Termination Date using the Valuation Assumptions.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SECTION 4.04. </w:t>
      </w:r>
      <w:r>
        <w:rPr>
          <w:rFonts w:ascii="Arial" w:cs="Arial" w:eastAsia="Arial" w:hAnsi="Arial"/>
          <w:sz w:val="13"/>
          <w:szCs w:val="13"/>
          <w:u w:val="single" w:color="auto"/>
          <w:color w:val="auto"/>
        </w:rPr>
        <w:t>No Other Right of Early Termination</w:t>
      </w:r>
      <w:r>
        <w:rPr>
          <w:rFonts w:ascii="Arial" w:cs="Arial" w:eastAsia="Arial" w:hAnsi="Arial"/>
          <w:sz w:val="13"/>
          <w:szCs w:val="13"/>
          <w:color w:val="auto"/>
        </w:rPr>
        <w:t>. For the avoidance of doubt, a Founding Member or an ESA Party shall not be entitled to cause an early termination of this Agreement.</w:t>
      </w:r>
    </w:p>
    <w:p>
      <w:pPr>
        <w:spacing w:after="0" w:line="157"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 xml:space="preserve">SECTION 4.05. </w:t>
      </w:r>
      <w:r>
        <w:rPr>
          <w:rFonts w:ascii="Arial" w:cs="Arial" w:eastAsia="Arial" w:hAnsi="Arial"/>
          <w:sz w:val="14"/>
          <w:szCs w:val="14"/>
          <w:u w:val="single" w:color="auto"/>
          <w:color w:val="auto"/>
        </w:rPr>
        <w:t>Term of Agreement</w:t>
      </w:r>
      <w:r>
        <w:rPr>
          <w:rFonts w:ascii="Arial" w:cs="Arial" w:eastAsia="Arial" w:hAnsi="Arial"/>
          <w:sz w:val="14"/>
          <w:szCs w:val="14"/>
          <w:color w:val="auto"/>
        </w:rPr>
        <w:t>. Unless terminated at any earlier time in accordance with the provisions of this Article IV, the term of this Agreement begins as of the date hereof and will continue until 90 days following the expiration of all applicable statutes of limitations (including any waivers or extensions) with respect to any Covered Taxable Years for which Exchange-Related Payments or ESA-Related Payments are made.</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60"/>
          </w:cols>
          <w:pgMar w:left="220" w:top="252" w:right="31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ARTICLE 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SUBORDINATION AND LATE PAYMENTS</w:t>
      </w:r>
    </w:p>
    <w:p>
      <w:pPr>
        <w:spacing w:after="0" w:line="139" w:lineRule="exact"/>
        <w:rPr>
          <w:sz w:val="20"/>
          <w:szCs w:val="20"/>
          <w:color w:val="auto"/>
        </w:rPr>
      </w:pPr>
    </w:p>
    <w:p>
      <w:pPr>
        <w:ind w:right="100" w:firstLine="458"/>
        <w:spacing w:after="0" w:line="266" w:lineRule="auto"/>
        <w:rPr>
          <w:sz w:val="20"/>
          <w:szCs w:val="20"/>
          <w:color w:val="auto"/>
        </w:rPr>
      </w:pPr>
      <w:r>
        <w:rPr>
          <w:rFonts w:ascii="Arial" w:cs="Arial" w:eastAsia="Arial" w:hAnsi="Arial"/>
          <w:sz w:val="14"/>
          <w:szCs w:val="14"/>
          <w:color w:val="auto"/>
        </w:rPr>
        <w:t xml:space="preserve">SECTION 5.01. </w:t>
      </w:r>
      <w:r>
        <w:rPr>
          <w:rFonts w:ascii="Arial" w:cs="Arial" w:eastAsia="Arial" w:hAnsi="Arial"/>
          <w:sz w:val="14"/>
          <w:szCs w:val="14"/>
          <w:u w:val="single" w:color="auto"/>
          <w:color w:val="auto"/>
        </w:rPr>
        <w:t>Subordination</w:t>
      </w:r>
      <w:r>
        <w:rPr>
          <w:rFonts w:ascii="Arial" w:cs="Arial" w:eastAsia="Arial" w:hAnsi="Arial"/>
          <w:sz w:val="14"/>
          <w:szCs w:val="14"/>
          <w:color w:val="auto"/>
        </w:rPr>
        <w:t>. Notwithstanding any other provision of this Agreement to the contrary, any Exchange-Related Payment or all or any portion of any Early Termination Payment to be made by NCM Inc. to the Founding Members under this Agreement (an “</w:t>
      </w:r>
      <w:r>
        <w:rPr>
          <w:rFonts w:ascii="Arial" w:cs="Arial" w:eastAsia="Arial" w:hAnsi="Arial"/>
          <w:sz w:val="14"/>
          <w:szCs w:val="14"/>
          <w:u w:val="single" w:color="auto"/>
          <w:color w:val="auto"/>
        </w:rPr>
        <w:t>NCM Inc. Payment</w:t>
      </w:r>
      <w:r>
        <w:rPr>
          <w:rFonts w:ascii="Arial" w:cs="Arial" w:eastAsia="Arial" w:hAnsi="Arial"/>
          <w:sz w:val="14"/>
          <w:szCs w:val="14"/>
          <w:color w:val="auto"/>
        </w:rPr>
        <w:t>”) shall rank (i) subordinate and junior in right of payment to any principal, interest or other amounts due and payable in respect of any current or future secured obligations of NCM Inc. and (ii) pari passu with any current or future unsecured obligations of NCM Inc. Notwithstanding any other provision of this Agreement to the contrary, any ESA-Related Payment or all or any portion of any Early Termination Payment to be made by NCM LLC to the ESA Parties under this Agreement (an “</w:t>
      </w:r>
      <w:r>
        <w:rPr>
          <w:rFonts w:ascii="Arial" w:cs="Arial" w:eastAsia="Arial" w:hAnsi="Arial"/>
          <w:sz w:val="14"/>
          <w:szCs w:val="14"/>
          <w:u w:val="single" w:color="auto"/>
          <w:color w:val="auto"/>
        </w:rPr>
        <w:t>NCM LLC Payment</w:t>
      </w:r>
      <w:r>
        <w:rPr>
          <w:rFonts w:ascii="Arial" w:cs="Arial" w:eastAsia="Arial" w:hAnsi="Arial"/>
          <w:sz w:val="14"/>
          <w:szCs w:val="14"/>
          <w:color w:val="auto"/>
        </w:rPr>
        <w:t>”) shall rank (i) subordinate and junior in right of payment to any principal, interest or other amounts due and payable in respect of any current or future secured obligations of NCM LLC and (ii) pari passu with any current or future unsecured obligations of NCM LLC.</w:t>
      </w:r>
    </w:p>
    <w:p>
      <w:pPr>
        <w:spacing w:after="0" w:line="110" w:lineRule="exact"/>
        <w:rPr>
          <w:sz w:val="20"/>
          <w:szCs w:val="20"/>
          <w:color w:val="auto"/>
        </w:rPr>
      </w:pPr>
    </w:p>
    <w:p>
      <w:pPr>
        <w:jc w:val="both"/>
        <w:ind w:right="80" w:firstLine="458"/>
        <w:spacing w:after="0" w:line="275"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u w:val="single" w:color="auto"/>
          <w:color w:val="auto"/>
        </w:rPr>
        <w:t>Late Payments by NCM Inc. or NCM LLC</w:t>
      </w:r>
      <w:r>
        <w:rPr>
          <w:rFonts w:ascii="Arial" w:cs="Arial" w:eastAsia="Arial" w:hAnsi="Arial"/>
          <w:sz w:val="14"/>
          <w:szCs w:val="14"/>
          <w:color w:val="auto"/>
        </w:rPr>
        <w:t>. The amount of all or any portion of an NCM Inc. Payment or NCM LLC Payment not made to the Founding Members or the ESA Parties, respectively, when due under the terms of this Agreement shall be payable together with any interest thereon, computed at the Agreed Rate and commencing from the date on which such NCM Inc. Payment or NCM LLC Payment was due and payable.</w:t>
      </w:r>
    </w:p>
    <w:p>
      <w:pPr>
        <w:spacing w:after="0" w:line="102" w:lineRule="exact"/>
        <w:rPr>
          <w:sz w:val="20"/>
          <w:szCs w:val="20"/>
          <w:color w:val="auto"/>
        </w:rPr>
      </w:pPr>
    </w:p>
    <w:p>
      <w:pPr>
        <w:ind w:right="180" w:firstLine="458"/>
        <w:spacing w:after="0" w:line="297" w:lineRule="auto"/>
        <w:rPr>
          <w:sz w:val="20"/>
          <w:szCs w:val="20"/>
          <w:color w:val="auto"/>
        </w:rPr>
      </w:pPr>
      <w:r>
        <w:rPr>
          <w:rFonts w:ascii="Arial" w:cs="Arial" w:eastAsia="Arial" w:hAnsi="Arial"/>
          <w:sz w:val="13"/>
          <w:szCs w:val="13"/>
          <w:color w:val="auto"/>
        </w:rPr>
        <w:t xml:space="preserve">SECTION 5.03. </w:t>
      </w:r>
      <w:r>
        <w:rPr>
          <w:rFonts w:ascii="Arial" w:cs="Arial" w:eastAsia="Arial" w:hAnsi="Arial"/>
          <w:sz w:val="13"/>
          <w:szCs w:val="13"/>
          <w:u w:val="single" w:color="auto"/>
          <w:color w:val="auto"/>
        </w:rPr>
        <w:t>Rights of Offset</w:t>
      </w:r>
      <w:r>
        <w:rPr>
          <w:rFonts w:ascii="Arial" w:cs="Arial" w:eastAsia="Arial" w:hAnsi="Arial"/>
          <w:sz w:val="13"/>
          <w:szCs w:val="13"/>
          <w:color w:val="auto"/>
        </w:rPr>
        <w:t>. At NCM Inc.’s discretion, the amount of all or any portion of a payment payable by a Founding Member under the terms of this Agreement may be offset against such Founding Member’s distributions that would otherwise be received by such Founding Member from NCM LLC and against any payments owed to such Founding Member by NCM Inc. under this Agreement. At NCM LLC’s discretion, the amount of all or any portion of a payment payable by an ESA Party under the terms of this Agreement may be offset against such ESA Party’s Theatre Access Fee payments (and any Supplemental Theatre Access Fee payments) that would otherwise be made under the terms of such ESA Party’s Exhibitor Services Agreement.</w:t>
      </w:r>
    </w:p>
    <w:p>
      <w:pPr>
        <w:spacing w:after="0" w:line="91"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SECTION 5.04. </w:t>
      </w:r>
      <w:r>
        <w:rPr>
          <w:rFonts w:ascii="Arial" w:cs="Arial" w:eastAsia="Arial" w:hAnsi="Arial"/>
          <w:sz w:val="14"/>
          <w:szCs w:val="14"/>
          <w:u w:val="single" w:color="auto"/>
          <w:color w:val="auto"/>
        </w:rPr>
        <w:t>Late Payments by the Founding Members or ESA Parties</w:t>
      </w:r>
      <w:r>
        <w:rPr>
          <w:rFonts w:ascii="Arial" w:cs="Arial" w:eastAsia="Arial" w:hAnsi="Arial"/>
          <w:sz w:val="14"/>
          <w:szCs w:val="14"/>
          <w:color w:val="auto"/>
        </w:rPr>
        <w:t>. After applying the rights of offset described in Section 5.03 of this Agreement and after receiving any payments from a Founding Member or an ESA Party under this Agreement, in each case at the time a payment by a Founding Member or an ESA Party is first due and payable under this Agreement, the amount of any remaining unsatisfied payment obligation by such Founding Member or ESA Party shall be immediately due an payable in accordance with the provisions of Article III, and, to the extent not timely paid, subject to further offset under Section 5.03 of this Agreement together with interest thereon, computed at the Agreed Rate and commencing from the date on which such payment was due and payable.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NO DISPUTES; CONSISTENCY; COOPERATION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6.01. </w:t>
      </w:r>
      <w:r>
        <w:rPr>
          <w:rFonts w:ascii="Arial" w:cs="Arial" w:eastAsia="Arial" w:hAnsi="Arial"/>
          <w:sz w:val="14"/>
          <w:szCs w:val="14"/>
          <w:u w:val="single" w:color="auto"/>
          <w:color w:val="auto"/>
        </w:rPr>
        <w:t>Participation In NCM Group Tax Matters</w:t>
      </w:r>
      <w:r>
        <w:rPr>
          <w:rFonts w:ascii="Arial" w:cs="Arial" w:eastAsia="Arial" w:hAnsi="Arial"/>
          <w:sz w:val="14"/>
          <w:szCs w:val="14"/>
          <w:color w:val="auto"/>
        </w:rPr>
        <w:t>. Except as otherwise provided herein, and except as otherwise provided in Section 5.2(l) of the NCM Inc. Certificate</w:t>
      </w:r>
    </w:p>
    <w:p>
      <w:pPr>
        <w:spacing w:after="0" w:line="13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248" w:right="219" w:bottom="1440" w:gutter="0" w:footer="0" w:header="0"/>
        </w:sectPr>
      </w:pPr>
    </w:p>
    <w:bookmarkStart w:id="291" w:name="page292"/>
    <w:bookmarkEnd w:id="291"/>
    <w:p>
      <w:pPr>
        <w:spacing w:after="0" w:line="28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of Incorporation and Sections 4.3(a) and 4.3(b)(vii) of the NCM LLC Operating Agreement, NCM Inc. shall have full responsibility for, and sole discretion over, all Tax matters concerning any Relevant NCM Taxpayer, including, without limitation, the preparation, filing or amending of any Tax Return and defending, contesting or settling any issue pertaining to Taxes. Notwithstanding the foregoing, NCM Inc. shall notify the Founding Members and the ESA Parties of, and keep them reasonably informed with respect to, and the Founding Members and the ESA Parties shall have the right to participate in and monitor at their own expense (but, for the avoidance of doubt, not to control), the portion of any audit of the Relevant NCM Taxpayers by a Taxing Authority the outcome of which is reasonably expected to affect the Founding Members’ or the ESA Parties’ rights under this Agreement. NCM Inc. shall provide to the Founding Members and the ESA Parties reasonable opportunity to provide information and other input to NCM Inc. and its advisors concerning the conduct of any such portion of such audits. No Relevant NCM Taxpayer shall settle or otherwise resolve any audit or other challenge by a Taxing Authority relating to Realized Tax Benefits or Realized Tax Detriments that are subject of this Agreement without the consent of the Audit Committee and the Founding Members and the ESA Parties, which consent the Founding Members and the ESA Parties shall not unreasonably withhold, condition or delay.</w:t>
      </w:r>
    </w:p>
    <w:p>
      <w:pPr>
        <w:spacing w:after="0" w:line="100" w:lineRule="exact"/>
        <w:rPr>
          <w:sz w:val="20"/>
          <w:szCs w:val="20"/>
          <w:color w:val="auto"/>
        </w:rPr>
      </w:pPr>
    </w:p>
    <w:p>
      <w:pPr>
        <w:ind w:right="20" w:firstLine="458"/>
        <w:spacing w:after="0" w:line="264"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u w:val="single" w:color="auto"/>
          <w:color w:val="auto"/>
        </w:rPr>
        <w:t>Consistency</w:t>
      </w:r>
      <w:r>
        <w:rPr>
          <w:rFonts w:ascii="Arial" w:cs="Arial" w:eastAsia="Arial" w:hAnsi="Arial"/>
          <w:sz w:val="14"/>
          <w:szCs w:val="14"/>
          <w:color w:val="auto"/>
        </w:rPr>
        <w:t>. Unless there is a Determination to the contrary, the Relevant NCM Taxpayers, the Founding Members and the ESA Parties, on their own behalf and on behalf of each of their affiliates, agree to report and cause to be reported for all Tax purposes, including U.S. Federal Income, state and local income and franchise Tax purposes, all Tax-related items relating to this Agreement (including, without limitation, the Initial ESA Modification Payments, the Initial Deemed Exchange, any Positive Theatre Access Adjustments, any Negative Theatre Access Adjustments, any Subsequent Deemed Exchanges, any Basis Adjustments, any Imputed Interest, any Exchange-Related Payments, and any ESA-Related Payments) in a manner consistent with that specified in any schedule, letter or certificate required to be provided by or on behalf of the Relevant NCM Taxpayers under this Agreement. In the event that an Advisory Firm is replaced with another firm acceptable to the Audit Committee, such replacement Advisory Firm shall be required to perform its services under this Agreement using procedures and methodologies consistent with the previous Advisory Firm, unless otherwise required by law or unless NCM Inc., the Audit Committee, the Founding Members, and the ESA Parties agree to the use of other procedures and methodologies.</w:t>
      </w:r>
    </w:p>
    <w:p>
      <w:pPr>
        <w:spacing w:after="0" w:line="113"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color w:val="auto"/>
        </w:rPr>
        <w:t xml:space="preserve">SECTION 6.03. </w:t>
      </w:r>
      <w:r>
        <w:rPr>
          <w:rFonts w:ascii="Arial" w:cs="Arial" w:eastAsia="Arial" w:hAnsi="Arial"/>
          <w:sz w:val="13"/>
          <w:szCs w:val="13"/>
          <w:u w:val="single" w:color="auto"/>
          <w:color w:val="auto"/>
        </w:rPr>
        <w:t>Cooperation</w:t>
      </w:r>
      <w:r>
        <w:rPr>
          <w:rFonts w:ascii="Arial" w:cs="Arial" w:eastAsia="Arial" w:hAnsi="Arial"/>
          <w:sz w:val="13"/>
          <w:szCs w:val="13"/>
          <w:color w:val="auto"/>
        </w:rPr>
        <w:t>. The Founding Members and the ESA Parties shall (and shall cause their affiliates to) (a) furnish to the Relevant NCM Taxpayers in a timely manner such information, documents and other materials as the Relevant NCM Taxpayers may reasonably request for purposes of making any determination or computation necessary or appropriate under this Agreement, preparing any Tax Return or contesting or defending any audit, examination or controversy with any Taxing Authority, (b) make its employees available to the Relevant NCM Taxpayers and their representatives to provide explanations of documents and materials and such other information as the Relevant NCM Taxpayers or their representatives may reasonably request in connection with any of the matters described in clause (a) above, and (c) otherwise reasonably cooperate in connection with the Relevant NCM Taxpayers’ efforts to administer this Agreement.</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20" w:top="252" w:right="259" w:bottom="1440" w:gutter="0" w:footer="0" w:header="0"/>
        </w:sectPr>
      </w:pPr>
    </w:p>
    <w:bookmarkStart w:id="292" w:name="page293"/>
    <w:bookmarkEnd w:id="29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ARTICLE VII</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GENERAL PROVISIONS</w:t>
      </w:r>
    </w:p>
    <w:p>
      <w:pPr>
        <w:spacing w:after="0" w:line="139"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 xml:space="preserve">SECTION 7.01.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requests, claims, demands and other communications hereunder shall be in writing and shall be deemed duly given and received (a) on the date of delivery if delivered personally, or by facsimile upon confirmation of transmission by the sender’s fax machine if sent on a Business Day (or otherwise on the next Business Day) or (b) on the first Business Day following the date of dispatch if delivered by a recognized next-day courier service. All notices hereunder shall be delivered as set forth in Exhibit A to the NCM LLC Operating Agreement (in the case of NCM Inc. and the Founding Members), and as set forth in Section 15.01 of each of the Exhibitor Services Agreements (in the case of NCM LLC and the ESA Parties), or pursuant to such other instructions as may be designated in writing by the Party to receive such notice. Any Party may change its address or fax number by giving the other Parties written notice of its new address or fax number in the manner set forth above.</w:t>
      </w:r>
    </w:p>
    <w:p>
      <w:pPr>
        <w:spacing w:after="0" w:line="110" w:lineRule="exact"/>
        <w:rPr>
          <w:sz w:val="20"/>
          <w:szCs w:val="20"/>
          <w:color w:val="auto"/>
        </w:rPr>
      </w:pPr>
    </w:p>
    <w:p>
      <w:pPr>
        <w:ind w:right="40" w:firstLine="458"/>
        <w:spacing w:after="0" w:line="330" w:lineRule="auto"/>
        <w:rPr>
          <w:sz w:val="20"/>
          <w:szCs w:val="20"/>
          <w:color w:val="auto"/>
        </w:rPr>
      </w:pPr>
      <w:r>
        <w:rPr>
          <w:rFonts w:ascii="Arial" w:cs="Arial" w:eastAsia="Arial" w:hAnsi="Arial"/>
          <w:sz w:val="13"/>
          <w:szCs w:val="13"/>
          <w:color w:val="auto"/>
        </w:rPr>
        <w:t xml:space="preserve">SECTION 7.02.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70"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 xml:space="preserve">SECTION 7.03. </w:t>
      </w:r>
      <w:r>
        <w:rPr>
          <w:rFonts w:ascii="Arial" w:cs="Arial" w:eastAsia="Arial" w:hAnsi="Arial"/>
          <w:sz w:val="14"/>
          <w:szCs w:val="14"/>
          <w:u w:val="single" w:color="auto"/>
          <w:color w:val="auto"/>
        </w:rPr>
        <w:t>Entire Agreement; No Third Party Beneficiaries</w:t>
      </w:r>
      <w:r>
        <w:rPr>
          <w:rFonts w:ascii="Arial" w:cs="Arial" w:eastAsia="Arial" w:hAnsi="Arial"/>
          <w:sz w:val="14"/>
          <w:szCs w:val="14"/>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7.04. </w:t>
      </w:r>
      <w:r>
        <w:rPr>
          <w:rFonts w:ascii="Arial" w:cs="Arial" w:eastAsia="Arial" w:hAnsi="Arial"/>
          <w:sz w:val="14"/>
          <w:szCs w:val="14"/>
          <w:u w:val="single" w:color="auto"/>
          <w:color w:val="auto"/>
        </w:rPr>
        <w:t>Governing Law; Submission to Jurisdiction</w:t>
      </w:r>
      <w:r>
        <w:rPr>
          <w:rFonts w:ascii="Arial" w:cs="Arial" w:eastAsia="Arial" w:hAnsi="Arial"/>
          <w:sz w:val="14"/>
          <w:szCs w:val="14"/>
          <w:color w:val="auto"/>
        </w:rPr>
        <w:t>.</w:t>
      </w:r>
    </w:p>
    <w:p>
      <w:pPr>
        <w:spacing w:after="0" w:line="79" w:lineRule="exact"/>
        <w:rPr>
          <w:sz w:val="20"/>
          <w:szCs w:val="20"/>
          <w:color w:val="auto"/>
        </w:rPr>
      </w:pPr>
    </w:p>
    <w:p>
      <w:pPr>
        <w:ind w:firstLine="924"/>
        <w:spacing w:after="0" w:line="289" w:lineRule="auto"/>
        <w:tabs>
          <w:tab w:leader="none" w:pos="1109" w:val="left"/>
        </w:tabs>
        <w:numPr>
          <w:ilvl w:val="0"/>
          <w:numId w:val="17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spacing w:after="0" w:line="93" w:lineRule="exact"/>
        <w:rPr>
          <w:rFonts w:ascii="Arial" w:cs="Arial" w:eastAsia="Arial" w:hAnsi="Arial"/>
          <w:sz w:val="14"/>
          <w:szCs w:val="14"/>
          <w:color w:val="auto"/>
        </w:rPr>
      </w:pPr>
    </w:p>
    <w:p>
      <w:pPr>
        <w:ind w:right="400" w:firstLine="924"/>
        <w:spacing w:after="0" w:line="330" w:lineRule="auto"/>
        <w:tabs>
          <w:tab w:leader="none" w:pos="1117" w:val="left"/>
        </w:tabs>
        <w:numPr>
          <w:ilvl w:val="0"/>
          <w:numId w:val="174"/>
        </w:numPr>
        <w:rPr>
          <w:rFonts w:ascii="Arial" w:cs="Arial" w:eastAsia="Arial" w:hAnsi="Arial"/>
          <w:sz w:val="13"/>
          <w:szCs w:val="13"/>
          <w:color w:val="auto"/>
        </w:rPr>
      </w:pPr>
      <w:r>
        <w:rPr>
          <w:rFonts w:ascii="Arial" w:cs="Arial" w:eastAsia="Arial" w:hAnsi="Arial"/>
          <w:sz w:val="13"/>
          <w:szCs w:val="13"/>
          <w:u w:val="single" w:color="auto"/>
          <w:color w:val="auto"/>
        </w:rPr>
        <w:t>Jurisdiction</w:t>
      </w:r>
      <w:r>
        <w:rPr>
          <w:rFonts w:ascii="Arial" w:cs="Arial" w:eastAsia="Arial" w:hAnsi="Arial"/>
          <w:sz w:val="13"/>
          <w:szCs w:val="13"/>
          <w:color w:val="auto"/>
        </w:rPr>
        <w:t>. 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hereto:</w:t>
      </w:r>
    </w:p>
    <w:p>
      <w:pPr>
        <w:spacing w:after="0" w:line="4" w:lineRule="exact"/>
        <w:rPr>
          <w:rFonts w:ascii="Arial" w:cs="Arial" w:eastAsia="Arial" w:hAnsi="Arial"/>
          <w:sz w:val="13"/>
          <w:szCs w:val="13"/>
          <w:color w:val="auto"/>
        </w:rPr>
      </w:pPr>
    </w:p>
    <w:p>
      <w:pPr>
        <w:ind w:right="140" w:firstLine="1496"/>
        <w:spacing w:after="0" w:line="289" w:lineRule="auto"/>
        <w:tabs>
          <w:tab w:leader="none" w:pos="169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expressly and irrevocably consents and submits to the jurisdiction of each state and federal court located in New York, New York (and each appellate court located in the State of New York) in connection with any such legal proceeding, including to enforce any settlement, order or award;</w:t>
      </w:r>
    </w:p>
    <w:p>
      <w:pPr>
        <w:spacing w:after="0" w:line="93" w:lineRule="exact"/>
        <w:rPr>
          <w:rFonts w:ascii="Arial" w:cs="Arial" w:eastAsia="Arial" w:hAnsi="Arial"/>
          <w:sz w:val="14"/>
          <w:szCs w:val="14"/>
          <w:color w:val="auto"/>
        </w:rPr>
      </w:pPr>
    </w:p>
    <w:p>
      <w:pPr>
        <w:ind w:right="240" w:firstLine="1496"/>
        <w:spacing w:after="0" w:line="289" w:lineRule="auto"/>
        <w:tabs>
          <w:tab w:leader="none" w:pos="169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consents to service of process in any such proceeding in any manner permitted by the laws of the State of New York, and agrees that service of process by registered or certified mail, return receipt requested, at its address specified pursuant to Section 7.01 is reasonably calculated to give actual notice;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40"/>
          </w:cols>
          <w:pgMar w:left="220" w:top="248" w:right="239" w:bottom="1440" w:gutter="0" w:footer="0" w:header="0"/>
        </w:sectPr>
      </w:pPr>
    </w:p>
    <w:bookmarkStart w:id="293" w:name="page294"/>
    <w:bookmarkEnd w:id="293"/>
    <w:p>
      <w:pPr>
        <w:ind w:left="1700" w:hanging="204"/>
        <w:spacing w:after="0"/>
        <w:tabs>
          <w:tab w:leader="none" w:pos="1700" w:val="left"/>
        </w:tabs>
        <w:numPr>
          <w:ilvl w:val="1"/>
          <w:numId w:val="17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agrees that each state and federal court located in New York, New York shall be deemed to be a convenient forum;</w:t>
      </w:r>
    </w:p>
    <w:p>
      <w:pPr>
        <w:spacing w:after="0" w:line="145" w:lineRule="exact"/>
        <w:rPr>
          <w:rFonts w:ascii="Arial" w:cs="Arial" w:eastAsia="Arial" w:hAnsi="Arial"/>
          <w:sz w:val="14"/>
          <w:szCs w:val="14"/>
          <w:color w:val="auto"/>
        </w:rPr>
      </w:pPr>
    </w:p>
    <w:p>
      <w:pPr>
        <w:jc w:val="both"/>
        <w:ind w:right="80" w:firstLine="1496"/>
        <w:spacing w:after="0" w:line="275" w:lineRule="auto"/>
        <w:tabs>
          <w:tab w:leader="none" w:pos="1690" w:val="left"/>
        </w:tabs>
        <w:numPr>
          <w:ilvl w:val="1"/>
          <w:numId w:val="175"/>
        </w:numPr>
        <w:rPr>
          <w:rFonts w:ascii="Arial" w:cs="Arial" w:eastAsia="Arial" w:hAnsi="Arial"/>
          <w:sz w:val="14"/>
          <w:szCs w:val="14"/>
          <w:color w:val="auto"/>
        </w:rPr>
      </w:pPr>
      <w:r>
        <w:rPr>
          <w:rFonts w:ascii="Arial" w:cs="Arial" w:eastAsia="Arial" w:hAnsi="Arial"/>
          <w:sz w:val="14"/>
          <w:szCs w:val="14"/>
          <w:color w:val="auto"/>
        </w:rPr>
        <w:t>waives and agrees not to assert (by way of motion, as a defense or otherwise), in any such legal proceeding commenced in any state or federal court located in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spacing w:after="0" w:line="102" w:lineRule="exact"/>
        <w:rPr>
          <w:rFonts w:ascii="Arial" w:cs="Arial" w:eastAsia="Arial" w:hAnsi="Arial"/>
          <w:sz w:val="14"/>
          <w:szCs w:val="14"/>
          <w:color w:val="auto"/>
        </w:rPr>
      </w:pPr>
    </w:p>
    <w:p>
      <w:pPr>
        <w:ind w:firstLine="1496"/>
        <w:spacing w:after="0" w:line="275" w:lineRule="auto"/>
        <w:tabs>
          <w:tab w:leader="none" w:pos="1690" w:val="left"/>
        </w:tabs>
        <w:numPr>
          <w:ilvl w:val="1"/>
          <w:numId w:val="175"/>
        </w:numPr>
        <w:rPr>
          <w:rFonts w:ascii="Arial" w:cs="Arial" w:eastAsia="Arial" w:hAnsi="Arial"/>
          <w:sz w:val="14"/>
          <w:szCs w:val="14"/>
          <w:color w:val="auto"/>
        </w:rPr>
      </w:pPr>
      <w:r>
        <w:rPr>
          <w:rFonts w:ascii="Arial" w:cs="Arial" w:eastAsia="Arial" w:hAnsi="Arial"/>
          <w:sz w:val="14"/>
          <w:szCs w:val="14"/>
          <w:color w:val="auto"/>
        </w:rPr>
        <w:t>agrees to the entry of an order to enforce any resolution, settlement, order or award made pursuant to this Section by the state and federal courts located in New York, New York and in connection therewith hereby waives, and agrees not to assert by way of motion, as a defense, or otherwise, any claim that such resolution, settlement, order or award is inconsistent with or violative of the laws or public policy of the laws of the State of New York or any other jurisdiction.</w:t>
      </w:r>
    </w:p>
    <w:p>
      <w:pPr>
        <w:spacing w:after="0" w:line="102" w:lineRule="exact"/>
        <w:rPr>
          <w:rFonts w:ascii="Arial" w:cs="Arial" w:eastAsia="Arial" w:hAnsi="Arial"/>
          <w:sz w:val="14"/>
          <w:szCs w:val="14"/>
          <w:color w:val="auto"/>
        </w:rPr>
      </w:pPr>
    </w:p>
    <w:p>
      <w:pPr>
        <w:ind w:right="200" w:firstLine="924"/>
        <w:spacing w:after="0" w:line="341" w:lineRule="auto"/>
        <w:tabs>
          <w:tab w:leader="none" w:pos="1109" w:val="left"/>
        </w:tabs>
        <w:numPr>
          <w:ilvl w:val="0"/>
          <w:numId w:val="176"/>
        </w:numPr>
        <w:rPr>
          <w:rFonts w:ascii="Arial" w:cs="Arial" w:eastAsia="Arial" w:hAnsi="Arial"/>
          <w:sz w:val="12"/>
          <w:szCs w:val="12"/>
          <w:color w:val="auto"/>
        </w:rPr>
      </w:pPr>
      <w:r>
        <w:rPr>
          <w:rFonts w:ascii="Arial" w:cs="Arial" w:eastAsia="Arial" w:hAnsi="Arial"/>
          <w:sz w:val="12"/>
          <w:szCs w:val="12"/>
          <w:u w:val="single" w:color="auto"/>
          <w:color w:val="auto"/>
        </w:rPr>
        <w:t>Costs and Expenses</w:t>
      </w:r>
      <w:r>
        <w:rPr>
          <w:rFonts w:ascii="Arial" w:cs="Arial" w:eastAsia="Arial" w:hAnsi="Arial"/>
          <w:sz w:val="12"/>
          <w:szCs w:val="12"/>
          <w:color w:val="auto"/>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any state or federal court located in New York, New York.</w:t>
      </w:r>
    </w:p>
    <w:p>
      <w:pPr>
        <w:spacing w:after="0" w:line="68"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SECTION 7.05.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10"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 xml:space="preserve">SECTION 7.06. </w:t>
      </w:r>
      <w:r>
        <w:rPr>
          <w:rFonts w:ascii="Arial" w:cs="Arial" w:eastAsia="Arial" w:hAnsi="Arial"/>
          <w:sz w:val="14"/>
          <w:szCs w:val="14"/>
          <w:u w:val="single" w:color="auto"/>
          <w:color w:val="auto"/>
        </w:rPr>
        <w:t>Successors; Assignment</w:t>
      </w:r>
      <w:r>
        <w:rPr>
          <w:rFonts w:ascii="Arial" w:cs="Arial" w:eastAsia="Arial" w:hAnsi="Arial"/>
          <w:sz w:val="14"/>
          <w:szCs w:val="14"/>
          <w:color w:val="auto"/>
        </w:rPr>
        <w:t>. Each Founding Member and each ESA Party may not assign this Agreement to any Person without the prior written consent of NCM Inc., NCM LLC, and the Audit Committee. NCM Inc. and NCM LLC may not assign this Agreement to any Person without the prior written consent of the Audit Committee, the Founding Members, and the ESA Parties.</w:t>
      </w:r>
    </w:p>
    <w:p>
      <w:pPr>
        <w:spacing w:after="0" w:line="102" w:lineRule="exact"/>
        <w:rPr>
          <w:sz w:val="20"/>
          <w:szCs w:val="20"/>
          <w:color w:val="auto"/>
        </w:rPr>
      </w:pPr>
    </w:p>
    <w:p>
      <w:pPr>
        <w:ind w:right="640" w:firstLine="458"/>
        <w:spacing w:after="0" w:line="289" w:lineRule="auto"/>
        <w:rPr>
          <w:sz w:val="20"/>
          <w:szCs w:val="20"/>
          <w:color w:val="auto"/>
        </w:rPr>
      </w:pPr>
      <w:r>
        <w:rPr>
          <w:rFonts w:ascii="Arial" w:cs="Arial" w:eastAsia="Arial" w:hAnsi="Arial"/>
          <w:sz w:val="14"/>
          <w:szCs w:val="14"/>
          <w:color w:val="auto"/>
        </w:rPr>
        <w:t xml:space="preserve">SECTION 7.07. </w:t>
      </w:r>
      <w:r>
        <w:rPr>
          <w:rFonts w:ascii="Arial" w:cs="Arial" w:eastAsia="Arial" w:hAnsi="Arial"/>
          <w:sz w:val="14"/>
          <w:szCs w:val="14"/>
          <w:u w:val="single" w:color="auto"/>
          <w:color w:val="auto"/>
        </w:rPr>
        <w:t>Titles and Subtitles</w:t>
      </w:r>
      <w:r>
        <w:rPr>
          <w:rFonts w:ascii="Arial" w:cs="Arial" w:eastAsia="Arial" w:hAnsi="Arial"/>
          <w:sz w:val="14"/>
          <w:szCs w:val="14"/>
          <w:color w:val="auto"/>
        </w:rPr>
        <w:t>. The titles of the sections and subsections of this Agreement are for convenience of reference only and are not to be considered in construing this Agreement.</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20" w:top="252" w:right="259" w:bottom="1440" w:gutter="0" w:footer="0" w:header="0"/>
        </w:sectPr>
      </w:pPr>
    </w:p>
    <w:bookmarkStart w:id="294" w:name="page295"/>
    <w:bookmarkEnd w:id="294"/>
    <w:p>
      <w:pPr>
        <w:ind w:firstLine="458"/>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SECTION 7.08. </w:t>
      </w:r>
      <w:r>
        <w:rPr>
          <w:rFonts w:ascii="Arial" w:cs="Arial" w:eastAsia="Arial" w:hAnsi="Arial"/>
          <w:sz w:val="14"/>
          <w:szCs w:val="14"/>
          <w:u w:val="single" w:color="auto"/>
          <w:color w:val="auto"/>
        </w:rPr>
        <w:t>Withholding</w:t>
      </w:r>
      <w:r>
        <w:rPr>
          <w:rFonts w:ascii="Arial" w:cs="Arial" w:eastAsia="Arial" w:hAnsi="Arial"/>
          <w:sz w:val="14"/>
          <w:szCs w:val="14"/>
          <w:color w:val="auto"/>
        </w:rPr>
        <w:t>. NCM Inc. and NCM LLC and the Escrow Agent shall be entitled to deduct and withhold from any payment payable pursuant to this Agreement such amounts as NCM Inc. and NCM LLC and the Escrow Agent are required to deduct and withhold with respect to the making of such payment under the Code, or any provision of state, local or other Tax law. To the extent that amounts are so withheld and paid over to the appropriate Taxing Authority by NCM Inc. or NCM LLC or the Escrow Agent, such withheld amounts shall be treated for all purposes of this Agreement as having been paid to the relevant Founding Member or ESA Party.</w:t>
      </w:r>
    </w:p>
    <w:p>
      <w:pPr>
        <w:spacing w:after="0" w:line="106" w:lineRule="exact"/>
        <w:rPr>
          <w:sz w:val="20"/>
          <w:szCs w:val="20"/>
          <w:color w:val="auto"/>
        </w:rPr>
      </w:pPr>
    </w:p>
    <w:p>
      <w:pPr>
        <w:ind w:right="40" w:firstLine="458"/>
        <w:spacing w:after="0" w:line="264" w:lineRule="auto"/>
        <w:rPr>
          <w:sz w:val="20"/>
          <w:szCs w:val="20"/>
          <w:color w:val="auto"/>
        </w:rPr>
      </w:pPr>
      <w:r>
        <w:rPr>
          <w:rFonts w:ascii="Arial" w:cs="Arial" w:eastAsia="Arial" w:hAnsi="Arial"/>
          <w:sz w:val="14"/>
          <w:szCs w:val="14"/>
          <w:color w:val="auto"/>
        </w:rPr>
        <w:t xml:space="preserve">SECTION 7.09. </w:t>
      </w:r>
      <w:r>
        <w:rPr>
          <w:rFonts w:ascii="Arial" w:cs="Arial" w:eastAsia="Arial" w:hAnsi="Arial"/>
          <w:sz w:val="14"/>
          <w:szCs w:val="14"/>
          <w:u w:val="single" w:color="auto"/>
          <w:color w:val="auto"/>
        </w:rPr>
        <w:t>Reconciliation Procedures</w:t>
      </w:r>
      <w:r>
        <w:rPr>
          <w:rFonts w:ascii="Arial" w:cs="Arial" w:eastAsia="Arial" w:hAnsi="Arial"/>
          <w:sz w:val="14"/>
          <w:szCs w:val="14"/>
          <w:color w:val="auto"/>
        </w:rPr>
        <w:t>. In the event that one or more Parties are unable to resolve a disagreement within the relevant period designated in this Agreement, the matter shall be submitted for determination to a nationally recognized expert in the particular area of disagreement employed by a nationally recognized accounting firm or a law firm (other than the Advisory Firm), which expert is mutually acceptable to all affected Parties and the Audit Committee. After a matter has been submitted to an expert for resolution, the expert will use its reasonable best efforts to resolve the matter within 30 calendar days. If the matter is not resolved before any payment that is the subject of a disagreement is due or any Tax Return reflecting the subject of a disagreement is due, such payment shall be made on the date prescribed by this Agreement and such Tax Return may be filed as prepared by NCM Inc. or other Relevant NCM Taxpayer, subject to potential adjustment or amendment upon resolution. The costs and expenses relating to the engagement of the expert shall be borne by the Party that did not have the prevailing position, or if a compromise is reached by the expert or by the affected Parties prior to a resolution by the expert, the costs and expenses will be borne equally by the affected Parties. The determinations of the expert pursuant to this Section 7.09 shall be binding on the affected Parties absent manifest error.</w:t>
      </w:r>
    </w:p>
    <w:p>
      <w:pPr>
        <w:spacing w:after="0" w:line="113" w:lineRule="exact"/>
        <w:rPr>
          <w:sz w:val="20"/>
          <w:szCs w:val="20"/>
          <w:color w:val="auto"/>
        </w:rPr>
      </w:pPr>
    </w:p>
    <w:p>
      <w:pPr>
        <w:jc w:val="center"/>
        <w:ind w:right="1240"/>
        <w:spacing w:after="0"/>
        <w:rPr>
          <w:sz w:val="20"/>
          <w:szCs w:val="20"/>
          <w:color w:val="auto"/>
        </w:rPr>
      </w:pPr>
      <w:r>
        <w:rPr>
          <w:rFonts w:ascii="Arial" w:cs="Arial" w:eastAsia="Arial" w:hAnsi="Arial"/>
          <w:sz w:val="14"/>
          <w:szCs w:val="14"/>
          <w:color w:val="auto"/>
        </w:rPr>
        <w:t xml:space="preserve">SECTION 7.10. </w:t>
      </w:r>
      <w:r>
        <w:rPr>
          <w:rFonts w:ascii="Arial" w:cs="Arial" w:eastAsia="Arial" w:hAnsi="Arial"/>
          <w:sz w:val="14"/>
          <w:szCs w:val="14"/>
          <w:u w:val="single" w:color="auto"/>
          <w:color w:val="auto"/>
        </w:rPr>
        <w:t>Indemnification</w:t>
      </w:r>
      <w:r>
        <w:rPr>
          <w:rFonts w:ascii="Arial" w:cs="Arial" w:eastAsia="Arial" w:hAnsi="Arial"/>
          <w:sz w:val="14"/>
          <w:szCs w:val="14"/>
          <w:color w:val="auto"/>
        </w:rPr>
        <w:t>. The liabilities and obligations of the Founding Members and the ESA Parties under this Agreement shall be several and not joint.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Follows]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40"/>
          </w:cols>
          <w:pgMar w:left="220" w:top="252" w:right="239" w:bottom="1440" w:gutter="0" w:footer="0" w:header="0"/>
        </w:sectPr>
      </w:pPr>
    </w:p>
    <w:bookmarkStart w:id="295" w:name="page296"/>
    <w:bookmarkEnd w:id="295"/>
    <w:p>
      <w:pPr>
        <w:ind w:left="46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WITNESS WHEREOF</w:t>
      </w:r>
      <w:r>
        <w:rPr>
          <w:rFonts w:ascii="Arial" w:cs="Arial" w:eastAsia="Arial" w:hAnsi="Arial"/>
          <w:sz w:val="13"/>
          <w:szCs w:val="13"/>
          <w:color w:val="auto"/>
        </w:rPr>
        <w:t>, NCM Inc., NCM LLC, the Founding Members, and the ESA Parties have duly executed this Agreement as of the date first written above.</w:t>
      </w:r>
    </w:p>
    <w:p>
      <w:pPr>
        <w:sectPr>
          <w:pgSz w:w="11900" w:h="16838" w:orient="portrait"/>
          <w:cols w:equalWidth="0" w:num="1">
            <w:col w:w="10239"/>
          </w:cols>
          <w:pgMar w:left="220" w:top="248" w:right="1440"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CINEMEDIA, INC.</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REGAL CINEMEDIA HOLDINGS, LLC</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CINEMARK MEDIA, INC.</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AMERICAN MULTI-CINEMA, INC</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wp:posOffset>
            </wp:positionV>
            <wp:extent cx="298386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NATIONAL CINEMEDIA LLC</w:t>
      </w:r>
    </w:p>
    <w:p>
      <w:pPr>
        <w:spacing w:after="0" w:line="20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165"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REGAL CINEMAS, INC.</w:t>
      </w:r>
    </w:p>
    <w:p>
      <w:pPr>
        <w:spacing w:after="0" w:line="20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165"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CINEMARK USA, INC.</w:t>
      </w:r>
    </w:p>
    <w:p>
      <w:pPr>
        <w:spacing w:after="0" w:line="20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5" w:lineRule="exact"/>
        <w:rPr>
          <w:sz w:val="20"/>
          <w:szCs w:val="20"/>
          <w:color w:val="auto"/>
        </w:rPr>
      </w:pPr>
    </w:p>
    <w:p>
      <w:pPr>
        <w:jc w:val="center"/>
        <w:ind w:right="2139"/>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0</wp:posOffset>
            </wp:positionV>
            <wp:extent cx="305371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0537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79"/>
        <w:spacing w:after="0"/>
        <w:rPr>
          <w:sz w:val="20"/>
          <w:szCs w:val="20"/>
          <w:color w:val="auto"/>
        </w:rPr>
      </w:pPr>
      <w:r>
        <w:rPr>
          <w:rFonts w:ascii="Arial" w:cs="Arial" w:eastAsia="Arial" w:hAnsi="Arial"/>
          <w:sz w:val="12"/>
          <w:szCs w:val="12"/>
          <w:i w:val="1"/>
          <w:iCs w:val="1"/>
          <w:color w:val="auto"/>
        </w:rPr>
        <w:t>[Signature Page to Tax Receivable Agreement]</w:t>
      </w:r>
    </w:p>
    <w:p>
      <w:pPr>
        <w:spacing w:after="0" w:line="157" w:lineRule="exact"/>
        <w:rPr>
          <w:sz w:val="20"/>
          <w:szCs w:val="20"/>
          <w:color w:val="auto"/>
        </w:rPr>
      </w:pPr>
    </w:p>
    <w:p>
      <w:pPr>
        <w:jc w:val="center"/>
        <w:ind w:right="3179"/>
        <w:spacing w:after="0"/>
        <w:rPr>
          <w:sz w:val="20"/>
          <w:szCs w:val="20"/>
          <w:color w:val="auto"/>
        </w:rPr>
      </w:pPr>
      <w:r>
        <w:rPr>
          <w:rFonts w:ascii="Arial" w:cs="Arial" w:eastAsia="Arial" w:hAnsi="Arial"/>
          <w:sz w:val="14"/>
          <w:szCs w:val="14"/>
          <w:color w:val="auto"/>
        </w:rPr>
        <w:t>31</w:t>
      </w:r>
    </w:p>
    <w:p>
      <w:pPr>
        <w:sectPr>
          <w:pgSz w:w="11900" w:h="16838" w:orient="portrait"/>
          <w:cols w:equalWidth="0" w:num="2">
            <w:col w:w="3680" w:space="720"/>
            <w:col w:w="5839"/>
          </w:cols>
          <w:pgMar w:left="220" w:top="248" w:right="1440" w:bottom="1440" w:gutter="0" w:footer="0" w:header="0"/>
          <w:type w:val="continuous"/>
        </w:sectPr>
      </w:pPr>
    </w:p>
    <w:bookmarkStart w:id="296" w:name="page297"/>
    <w:bookmarkEnd w:id="296"/>
    <w:p>
      <w:pPr>
        <w:jc w:val="right"/>
        <w:spacing w:after="0"/>
        <w:rPr>
          <w:sz w:val="20"/>
          <w:szCs w:val="20"/>
          <w:color w:val="auto"/>
        </w:rPr>
      </w:pPr>
      <w:r>
        <w:rPr>
          <w:rFonts w:ascii="Arial" w:cs="Arial" w:eastAsia="Arial" w:hAnsi="Arial"/>
          <w:sz w:val="14"/>
          <w:szCs w:val="14"/>
          <w:b w:val="1"/>
          <w:bCs w:val="1"/>
          <w:color w:val="auto"/>
        </w:rPr>
        <w:t>Exhibit 21.1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LIST OF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ectPr>
          <w:pgSz w:w="11900" w:h="16838" w:orient="portrait"/>
          <w:cols w:equalWidth="0" w:num="1">
            <w:col w:w="11460"/>
          </w:cols>
          <w:pgMar w:left="220" w:top="128" w:right="219" w:bottom="1440" w:gutter="0" w:footer="0" w:header="0"/>
        </w:sectPr>
      </w:pPr>
    </w:p>
    <w:bookmarkStart w:id="297" w:name="page298"/>
    <w:bookmarkEnd w:id="297"/>
    <w:p>
      <w:pPr>
        <w:jc w:val="right"/>
        <w:spacing w:after="0"/>
        <w:rPr>
          <w:sz w:val="20"/>
          <w:szCs w:val="20"/>
          <w:color w:val="auto"/>
        </w:rPr>
      </w:pPr>
      <w:r>
        <w:rPr>
          <w:rFonts w:ascii="Arial" w:cs="Arial" w:eastAsia="Arial" w:hAnsi="Arial"/>
          <w:sz w:val="14"/>
          <w:szCs w:val="14"/>
          <w:b w:val="1"/>
          <w:bCs w:val="1"/>
          <w:color w:val="auto"/>
        </w:rPr>
        <w:t>Exhibit 23.1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49" w:lineRule="exact"/>
        <w:rPr>
          <w:sz w:val="20"/>
          <w:szCs w:val="20"/>
          <w:color w:val="auto"/>
        </w:rPr>
      </w:pPr>
    </w:p>
    <w:p>
      <w:pPr>
        <w:ind w:right="440" w:firstLine="458"/>
        <w:spacing w:after="0" w:line="289" w:lineRule="auto"/>
        <w:rPr>
          <w:sz w:val="20"/>
          <w:szCs w:val="20"/>
          <w:color w:val="auto"/>
        </w:rPr>
      </w:pPr>
      <w:r>
        <w:rPr>
          <w:rFonts w:ascii="Arial" w:cs="Arial" w:eastAsia="Arial" w:hAnsi="Arial"/>
          <w:sz w:val="14"/>
          <w:szCs w:val="14"/>
          <w:color w:val="auto"/>
        </w:rPr>
        <w:t>We consent to the use in this Amendment No. 3 to Registration Statement No. 333-137976 on Form S-1 of our report dated January 9, 2007 relating to the financial statement of National CineMedia, Inc., appearing in the Prospectus, which is part of this Registration Statement.</w:t>
      </w:r>
    </w:p>
    <w:p>
      <w:pPr>
        <w:spacing w:after="0" w:line="93"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We consent to the use in this Amendment No. 3 to Registration Statement No. 333-137976 on Form S-1 of our report dated December 20, 2006 relating to the financial statements of National CineMedia, LLC, appearing in the Prospectus, which is part of this Registration Statement.</w:t>
      </w:r>
    </w:p>
    <w:p>
      <w:pPr>
        <w:spacing w:after="0" w:line="93"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color w:val="auto"/>
        </w:rPr>
        <w:t>We consent to the use in this Amendment No. 3 to Registration Statement No. 333-137976 on Form S-1 of our report dated December 20, 2006 relating to the financial statements of Regal CineMedia Corporation, appearing in the Prospectus, which is part of this Registration Statement.</w:t>
      </w:r>
    </w:p>
    <w:p>
      <w:pPr>
        <w:spacing w:after="0" w:line="93"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We consent to the use in this Amendment No. 3 to Registration Statement No. 333-137976 on Form S-1 of our report dated December 20, 2006 relating to the financial statements of National Cinema Network, Inc. appearing in the Prospectus, which is part of this Registration Statement.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consent to the reference to us under the heading “Experts” in such Prospectus.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Deloitte &amp; Touche LLP</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January 9, 2007</w:t>
      </w:r>
    </w:p>
    <w:p>
      <w:pPr>
        <w:sectPr>
          <w:pgSz w:w="11900" w:h="16838" w:orient="portrait"/>
          <w:cols w:equalWidth="0" w:num="1">
            <w:col w:w="11460"/>
          </w:cols>
          <w:pgMar w:left="220" w:top="128" w:right="219" w:bottom="1440" w:gutter="0" w:footer="0" w:header="0"/>
        </w:sectPr>
      </w:pPr>
    </w:p>
    <w:bookmarkStart w:id="298" w:name="page299"/>
    <w:bookmarkEnd w:id="298"/>
    <w:p>
      <w:pPr>
        <w:jc w:val="right"/>
        <w:spacing w:after="0"/>
        <w:rPr>
          <w:sz w:val="20"/>
          <w:szCs w:val="20"/>
          <w:color w:val="auto"/>
        </w:rPr>
      </w:pPr>
      <w:r>
        <w:rPr>
          <w:rFonts w:ascii="Arial" w:cs="Arial" w:eastAsia="Arial" w:hAnsi="Arial"/>
          <w:sz w:val="14"/>
          <w:szCs w:val="14"/>
          <w:b w:val="1"/>
          <w:bCs w:val="1"/>
          <w:color w:val="auto"/>
        </w:rPr>
        <w:t>Exhibit 23.3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w:t>
      </w:r>
    </w:p>
    <w:p>
      <w:pPr>
        <w:spacing w:after="0" w:line="14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The undersigned hereby consents to being named in the registration statement on Form S-1 (Registration No. 333-137976) and in all subsequent amendments and post-effective amendments or supplements thereto and in any registration statement for the same offering that is to be effective upon filing pursuant to Rule 462(b) under the Securities Act (the “Registration Statement”) of National CineMedia, Inc., a Delaware corporation (the “Company”), as an individual to become a director of the Company and to the inclusion of his or her biographical information in the Registration Statement.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WITNESS WHEREOF, this Consent is signed and dated as of the 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January, 2007.</w:t>
      </w:r>
    </w:p>
    <w:p>
      <w:pPr>
        <w:spacing w:after="0" w:line="19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Lawrence A.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13335</wp:posOffset>
            </wp:positionV>
            <wp:extent cx="290766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Lawrence A. Goodman</w:t>
      </w:r>
    </w:p>
    <w:p>
      <w:pPr>
        <w:sectPr>
          <w:pgSz w:w="11900" w:h="16838" w:orient="portrait"/>
          <w:cols w:equalWidth="0" w:num="1">
            <w:col w:w="11460"/>
          </w:cols>
          <w:pgMar w:left="220" w:top="128" w:right="219" w:bottom="1440" w:gutter="0" w:footer="0" w:header="0"/>
        </w:sectPr>
      </w:pPr>
    </w:p>
    <w:bookmarkStart w:id="299" w:name="page300"/>
    <w:bookmarkEnd w:id="299"/>
    <w:p>
      <w:pPr>
        <w:jc w:val="right"/>
        <w:spacing w:after="0"/>
        <w:rPr>
          <w:sz w:val="20"/>
          <w:szCs w:val="20"/>
          <w:color w:val="auto"/>
        </w:rPr>
      </w:pPr>
      <w:r>
        <w:rPr>
          <w:rFonts w:ascii="Arial" w:cs="Arial" w:eastAsia="Arial" w:hAnsi="Arial"/>
          <w:sz w:val="14"/>
          <w:szCs w:val="14"/>
          <w:b w:val="1"/>
          <w:bCs w:val="1"/>
          <w:color w:val="auto"/>
        </w:rPr>
        <w:t>Exhibit 23.4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w:t>
      </w:r>
    </w:p>
    <w:p>
      <w:pPr>
        <w:spacing w:after="0" w:line="14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The undersigned hereby consents to being named in the registration statement on Form S-1 (Registration No. 333-137976) and in all subsequent amendments and post-effective amendments or supplements thereto and in any registration statement for the same offering that is to be effective upon filing pursuant to Rule 462(b) under the Securities Act (the “Registration Statement”) of National CineMedia, Inc., a Delaware corporation (the “Company”), as an individual to become a director of the Company and to the inclusion of his or her biographical information in the Registration Statement.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WITNESS WHEREOF, this Consent is signed and dated as of the 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January, 2007.</w:t>
      </w:r>
    </w:p>
    <w:p>
      <w:pPr>
        <w:spacing w:after="0" w:line="30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David R.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13335</wp:posOffset>
            </wp:positionV>
            <wp:extent cx="290766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David R. Haas</w:t>
      </w:r>
    </w:p>
    <w:p>
      <w:pPr>
        <w:sectPr>
          <w:pgSz w:w="11900" w:h="16838" w:orient="portrait"/>
          <w:cols w:equalWidth="0" w:num="1">
            <w:col w:w="11460"/>
          </w:cols>
          <w:pgMar w:left="220" w:top="128" w:right="219" w:bottom="1440" w:gutter="0" w:footer="0" w:header="0"/>
        </w:sectPr>
      </w:pPr>
    </w:p>
    <w:bookmarkStart w:id="300" w:name="page301"/>
    <w:bookmarkEnd w:id="300"/>
    <w:p>
      <w:pPr>
        <w:jc w:val="right"/>
        <w:spacing w:after="0"/>
        <w:rPr>
          <w:sz w:val="20"/>
          <w:szCs w:val="20"/>
          <w:color w:val="auto"/>
        </w:rPr>
      </w:pPr>
      <w:r>
        <w:rPr>
          <w:rFonts w:ascii="Arial" w:cs="Arial" w:eastAsia="Arial" w:hAnsi="Arial"/>
          <w:sz w:val="14"/>
          <w:szCs w:val="14"/>
          <w:b w:val="1"/>
          <w:bCs w:val="1"/>
          <w:color w:val="auto"/>
        </w:rPr>
        <w:t>Exhibit 23.5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w:t>
      </w:r>
    </w:p>
    <w:p>
      <w:pPr>
        <w:spacing w:after="0" w:line="14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The undersigned hereby consents to being named in the registration statement on Form S-1 (Registration No. 333-137976) and in all subsequent amendments and post-effective amendments or supplements thereto and in any registration statement for the same offering that is to be effective upon filing pursuant to Rule 462(b) under the Securities Act (the “Registration Statement”) of National CineMedia, Inc., a Delaware corporation (the “Company”), as an individual to become a director of the Company and to the inclusion of his or her biographical information in the Registration Statement.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WITNESS WHEREOF, this Consent is signed and dated as of the 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January, 2007.</w:t>
      </w:r>
    </w:p>
    <w:p>
      <w:pPr>
        <w:spacing w:after="0" w:line="13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James R. Holland,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13335</wp:posOffset>
            </wp:positionV>
            <wp:extent cx="290766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James R. Holland, Jr.</w:t>
      </w:r>
    </w:p>
    <w:p>
      <w:pPr>
        <w:sectPr>
          <w:pgSz w:w="11900" w:h="16838" w:orient="portrait"/>
          <w:cols w:equalWidth="0" w:num="1">
            <w:col w:w="11460"/>
          </w:cols>
          <w:pgMar w:left="220" w:top="128" w:right="219" w:bottom="1440" w:gutter="0" w:footer="0" w:header="0"/>
        </w:sectPr>
      </w:pPr>
    </w:p>
    <w:bookmarkStart w:id="301" w:name="page302"/>
    <w:bookmarkEnd w:id="301"/>
    <w:p>
      <w:pPr>
        <w:jc w:val="right"/>
        <w:spacing w:after="0"/>
        <w:rPr>
          <w:sz w:val="20"/>
          <w:szCs w:val="20"/>
          <w:color w:val="auto"/>
        </w:rPr>
      </w:pPr>
      <w:r>
        <w:rPr>
          <w:rFonts w:ascii="Arial" w:cs="Arial" w:eastAsia="Arial" w:hAnsi="Arial"/>
          <w:sz w:val="14"/>
          <w:szCs w:val="14"/>
          <w:b w:val="1"/>
          <w:bCs w:val="1"/>
          <w:color w:val="auto"/>
        </w:rPr>
        <w:t>Exhibit 23.6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w:t>
      </w:r>
    </w:p>
    <w:p>
      <w:pPr>
        <w:spacing w:after="0" w:line="14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The undersigned hereby consents to being named in the registration statement on Form S-1 (Registration No. 333-137976) and in all subsequent amendments and post-effective amendments or supplements thereto and in any registration statement for the same offering that is to be effective upon filing pursuant to Rule 462(b) under the Securities Act (the “Registration Statement”) of National CineMedia, Inc., a Delaware corporation (the “Company”), as an individual to become a director of the Company and to the inclusion of his or her biographical information in the Registration Statement.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WITNESS WHEREOF, this Consent is signed and dated as of the 10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January 2007.</w:t>
      </w:r>
    </w:p>
    <w:p>
      <w:pPr>
        <w:spacing w:after="0" w:line="30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Stephen L. 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13335</wp:posOffset>
            </wp:positionV>
            <wp:extent cx="290766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Stephen L. Lanning</w:t>
      </w:r>
    </w:p>
    <w:p>
      <w:pPr>
        <w:sectPr>
          <w:pgSz w:w="11900" w:h="16838" w:orient="portrait"/>
          <w:cols w:equalWidth="0" w:num="1">
            <w:col w:w="11460"/>
          </w:cols>
          <w:pgMar w:left="220" w:top="128" w:right="219" w:bottom="1440" w:gutter="0" w:footer="0" w:header="0"/>
        </w:sectPr>
      </w:pPr>
    </w:p>
    <w:bookmarkStart w:id="302" w:name="page303"/>
    <w:bookmarkEnd w:id="302"/>
    <w:p>
      <w:pPr>
        <w:jc w:val="right"/>
        <w:spacing w:after="0"/>
        <w:rPr>
          <w:sz w:val="20"/>
          <w:szCs w:val="20"/>
          <w:color w:val="auto"/>
        </w:rPr>
      </w:pPr>
      <w:r>
        <w:rPr>
          <w:rFonts w:ascii="Arial" w:cs="Arial" w:eastAsia="Arial" w:hAnsi="Arial"/>
          <w:sz w:val="14"/>
          <w:szCs w:val="14"/>
          <w:b w:val="1"/>
          <w:bCs w:val="1"/>
          <w:color w:val="auto"/>
        </w:rPr>
        <w:t>Exhibit 23.7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w:t>
      </w:r>
    </w:p>
    <w:p>
      <w:pPr>
        <w:spacing w:after="0" w:line="14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The undersigned hereby consents to being named in the registration statement on Form S-1 (Registration No. 333-137976) and in all subsequent amendments and post-effective amendments or supplements thereto and in any registration statement for the same offering that is to be effective upon filing pursuant to Rule 462(b) under the Securities Act (the “Registration Statement”) of National CineMedia, Inc., a Delaware corporation (the “Company”), as an individual to become a director of the Company and to the inclusion of his or her biographical information in the Registration Statement.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WITNESS WHEREOF, this Consent is signed and dated as of the 10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January, 2007.</w:t>
      </w:r>
    </w:p>
    <w:p>
      <w:pPr>
        <w:spacing w:after="0" w:line="30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Edward 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13335</wp:posOffset>
            </wp:positionV>
            <wp:extent cx="290766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Edward H. Meyer</w:t>
      </w:r>
    </w:p>
    <w:p>
      <w:pPr>
        <w:sectPr>
          <w:pgSz w:w="11900" w:h="16838" w:orient="portrait"/>
          <w:cols w:equalWidth="0" w:num="1">
            <w:col w:w="11460"/>
          </w:cols>
          <w:pgMar w:left="220" w:top="128" w:right="219" w:bottom="1440" w:gutter="0" w:footer="0" w:header="0"/>
        </w:sectPr>
      </w:pPr>
    </w:p>
    <w:bookmarkStart w:id="303" w:name="page304"/>
    <w:bookmarkEnd w:id="303"/>
    <w:p>
      <w:pPr>
        <w:jc w:val="right"/>
        <w:spacing w:after="0"/>
        <w:rPr>
          <w:sz w:val="20"/>
          <w:szCs w:val="20"/>
          <w:color w:val="auto"/>
        </w:rPr>
      </w:pPr>
      <w:r>
        <w:rPr>
          <w:rFonts w:ascii="Arial" w:cs="Arial" w:eastAsia="Arial" w:hAnsi="Arial"/>
          <w:sz w:val="14"/>
          <w:szCs w:val="14"/>
          <w:b w:val="1"/>
          <w:bCs w:val="1"/>
          <w:color w:val="auto"/>
        </w:rPr>
        <w:t>Exhibit 23.8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w:t>
      </w:r>
    </w:p>
    <w:p>
      <w:pPr>
        <w:spacing w:after="0" w:line="14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The undersigned hereby consents to being named in the registration statement on Form S-1 (Registration No. 333-137976) and in all subsequent amendments and post-effective amendments or supplements thereto and in any registration statement for the same offering that is to be effective upon filing pursuant to Rule 462(b) under the Securities Act (the “Registration Statement”) of National CineMedia, Inc., a Delaware corporation (the “Company”), as an individual to become a director of the Company and to the inclusion of his or her biographical information in the Registration Statement.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WITNESS WHEREOF, this Consent is signed and dated as of the 7</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January, 2007.</w:t>
      </w:r>
    </w:p>
    <w:p>
      <w:pPr>
        <w:spacing w:after="0" w:line="30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Scott N.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13335</wp:posOffset>
            </wp:positionV>
            <wp:extent cx="290766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Scott N. Schneider</w:t>
      </w:r>
    </w:p>
    <w:p>
      <w:pPr>
        <w:sectPr>
          <w:pgSz w:w="11900" w:h="16838" w:orient="portrait"/>
          <w:cols w:equalWidth="0" w:num="1">
            <w:col w:w="11460"/>
          </w:cols>
          <w:pgMar w:left="220" w:top="128" w:right="219" w:bottom="1440" w:gutter="0" w:footer="0" w:header="0"/>
        </w:sectPr>
      </w:pPr>
    </w:p>
    <w:bookmarkStart w:id="304" w:name="page305"/>
    <w:bookmarkEnd w:id="304"/>
    <w:p>
      <w:pPr>
        <w:jc w:val="right"/>
        <w:spacing w:after="0"/>
        <w:rPr>
          <w:sz w:val="20"/>
          <w:szCs w:val="20"/>
          <w:color w:val="auto"/>
        </w:rPr>
      </w:pPr>
      <w:r>
        <w:rPr>
          <w:rFonts w:ascii="Arial" w:cs="Arial" w:eastAsia="Arial" w:hAnsi="Arial"/>
          <w:sz w:val="14"/>
          <w:szCs w:val="14"/>
          <w:b w:val="1"/>
          <w:bCs w:val="1"/>
          <w:color w:val="auto"/>
        </w:rPr>
        <w:t>Exhibit 99.1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King, Brown &amp; Partners, Inc.</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National CineMedia,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9110 E. Nichols Ave., Suite 200</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Centennial, Colorado 80112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Members of the Board:</w:t>
      </w:r>
    </w:p>
    <w:p>
      <w:pPr>
        <w:spacing w:after="0" w:line="145"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 xml:space="preserve">We hereby consent to the citation by National CineMedia, Inc. (the “Company”) of data from our December 2004 study entitled </w:t>
      </w:r>
      <w:r>
        <w:rPr>
          <w:rFonts w:ascii="Arial" w:cs="Arial" w:eastAsia="Arial" w:hAnsi="Arial"/>
          <w:sz w:val="14"/>
          <w:szCs w:val="14"/>
          <w:i w:val="1"/>
          <w:iCs w:val="1"/>
          <w:color w:val="auto"/>
        </w:rPr>
        <w:t>Regal CineMedia Content Vignettes Study</w:t>
      </w:r>
      <w:r>
        <w:rPr>
          <w:rFonts w:ascii="Arial" w:cs="Arial" w:eastAsia="Arial" w:hAnsi="Arial"/>
          <w:sz w:val="14"/>
          <w:szCs w:val="14"/>
          <w:color w:val="auto"/>
        </w:rPr>
        <w:t xml:space="preserve"> in the Registration Statement on Form S-1 (the “Registration Statement”) filed by the Company with the Securities and Exchange Commission.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King, Brown &amp; Partners, Inc.</w:t>
      </w: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By:</w:t>
        <w:tab/>
        <w:t>/s/ Chris Grecco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13335</wp:posOffset>
            </wp:positionV>
            <wp:extent cx="269938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99385" cy="6985"/>
                    </a:xfrm>
                    <a:prstGeom prst="rect">
                      <a:avLst/>
                    </a:prstGeom>
                    <a:noFill/>
                  </pic:spPr>
                </pic:pic>
              </a:graphicData>
            </a:graphic>
          </wp:anchor>
        </w:drawing>
      </w:r>
    </w:p>
    <w:p>
      <w:pPr>
        <w:spacing w:after="0" w:line="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Name: Chris Grecco</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Title: Executive Partner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January 8, 2007</w:t>
      </w:r>
    </w:p>
    <w:p>
      <w:pPr>
        <w:sectPr>
          <w:pgSz w:w="11900" w:h="16838" w:orient="portrait"/>
          <w:cols w:equalWidth="0" w:num="1">
            <w:col w:w="11460"/>
          </w:cols>
          <w:pgMar w:left="220" w:top="128" w:right="219" w:bottom="1440" w:gutter="0" w:footer="0" w:header="0"/>
        </w:sectPr>
      </w:pPr>
    </w:p>
    <w:bookmarkStart w:id="305" w:name="page306"/>
    <w:bookmarkEnd w:id="305"/>
    <w:p>
      <w:pPr>
        <w:jc w:val="right"/>
        <w:spacing w:after="0"/>
        <w:rPr>
          <w:sz w:val="20"/>
          <w:szCs w:val="20"/>
          <w:color w:val="auto"/>
        </w:rPr>
      </w:pPr>
      <w:r>
        <w:rPr>
          <w:rFonts w:ascii="Arial" w:cs="Arial" w:eastAsia="Arial" w:hAnsi="Arial"/>
          <w:sz w:val="14"/>
          <w:szCs w:val="14"/>
          <w:b w:val="1"/>
          <w:bCs w:val="1"/>
          <w:color w:val="auto"/>
        </w:rPr>
        <w:t>Exhibit 99.2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OTX</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National CineMedia,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9110 E. Nichols Ave., Suite 200</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Centennial, Colorado 80112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Members of the Board:</w:t>
      </w:r>
    </w:p>
    <w:p>
      <w:pPr>
        <w:spacing w:after="0" w:line="145"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color w:val="auto"/>
        </w:rPr>
        <w:t xml:space="preserve">We hereby consent to the citation by National CineMedia, Inc. (the “Company”) of data from our June 2006 study entitled </w:t>
      </w:r>
      <w:r>
        <w:rPr>
          <w:rFonts w:ascii="Arial" w:cs="Arial" w:eastAsia="Arial" w:hAnsi="Arial"/>
          <w:sz w:val="14"/>
          <w:szCs w:val="14"/>
          <w:i w:val="1"/>
          <w:iCs w:val="1"/>
          <w:color w:val="auto"/>
        </w:rPr>
        <w:t>Consumer Reaction to FirstLook</w:t>
      </w:r>
      <w:r>
        <w:rPr>
          <w:rFonts w:ascii="Arial" w:cs="Arial" w:eastAsia="Arial" w:hAnsi="Arial"/>
          <w:sz w:val="14"/>
          <w:szCs w:val="14"/>
          <w:color w:val="auto"/>
        </w:rPr>
        <w:t xml:space="preserve"> in the Registration Statement on Form S-1 (the “Registration Statement”) filed by the Company with the Securities and Exchange Commission.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OTX</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By:</w:t>
        <w:tab/>
        <w:t>/s/ Shelley Zalis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13335</wp:posOffset>
            </wp:positionV>
            <wp:extent cx="269938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99385" cy="6985"/>
                    </a:xfrm>
                    <a:prstGeom prst="rect">
                      <a:avLst/>
                    </a:prstGeom>
                    <a:noFill/>
                  </pic:spPr>
                </pic:pic>
              </a:graphicData>
            </a:graphic>
          </wp:anchor>
        </w:drawing>
      </w:r>
    </w:p>
    <w:p>
      <w:pPr>
        <w:spacing w:after="0" w:line="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Name: Shelley Zalis</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Title: CEO</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January 8, 2007</w:t>
      </w:r>
    </w:p>
    <w:p>
      <w:pPr>
        <w:sectPr>
          <w:pgSz w:w="11900" w:h="16838" w:orient="portrait"/>
          <w:cols w:equalWidth="0" w:num="1">
            <w:col w:w="11460"/>
          </w:cols>
          <w:pgMar w:left="220" w:top="128" w:right="219" w:bottom="1440" w:gutter="0" w:footer="0" w:header="0"/>
        </w:sectPr>
      </w:pPr>
    </w:p>
    <w:bookmarkStart w:id="306" w:name="page307"/>
    <w:bookmarkEnd w:id="306"/>
    <w:p>
      <w:pPr>
        <w:jc w:val="right"/>
        <w:spacing w:after="0"/>
        <w:rPr>
          <w:sz w:val="20"/>
          <w:szCs w:val="20"/>
          <w:color w:val="auto"/>
        </w:rPr>
      </w:pPr>
      <w:r>
        <w:rPr>
          <w:rFonts w:ascii="Arial" w:cs="Arial" w:eastAsia="Arial" w:hAnsi="Arial"/>
          <w:sz w:val="14"/>
          <w:szCs w:val="14"/>
          <w:b w:val="1"/>
          <w:bCs w:val="1"/>
          <w:color w:val="auto"/>
        </w:rPr>
        <w:t>Exhibit 99.3</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January 8,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Use of a Bruskin Marketing study (MULTI MARKET STUDY OF LEN ADVERTISING 2005) in SEC S-1</w:t>
      </w:r>
    </w:p>
    <w:p>
      <w:pPr>
        <w:spacing w:after="0" w:line="145"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auto"/>
        </w:rPr>
        <w:t>RH. Bruskin Marketing, Inc. grants permission to National CineMedia, Inc. to cite all or parts of our LEN’s study conducted in 2005 in their S-1 filing of a Registration statement with the SEC. You have permission to use our name and/or the study name, plus details of study, in your filing.</w:t>
      </w:r>
    </w:p>
    <w:p>
      <w:pPr>
        <w:spacing w:after="0" w:line="301"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By:</w:t>
        <w:tab/>
        <w:t>/s/ Richard Bruskin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13335</wp:posOffset>
            </wp:positionV>
            <wp:extent cx="269938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99385" cy="6985"/>
                    </a:xfrm>
                    <a:prstGeom prst="rect">
                      <a:avLst/>
                    </a:prstGeom>
                    <a:noFill/>
                  </pic:spPr>
                </pic:pic>
              </a:graphicData>
            </a:graphic>
          </wp:anchor>
        </w:drawing>
      </w:r>
    </w:p>
    <w:p>
      <w:pPr>
        <w:spacing w:after="0" w:line="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Name: Richard Bruskin</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Title: President</w:t>
      </w:r>
    </w:p>
    <w:p>
      <w:pPr>
        <w:sectPr>
          <w:pgSz w:w="11900" w:h="16838" w:orient="portrait"/>
          <w:cols w:equalWidth="0" w:num="1">
            <w:col w:w="11460"/>
          </w:cols>
          <w:pgMar w:left="220" w:top="128" w:right="219" w:bottom="1440" w:gutter="0" w:footer="0" w:header="0"/>
        </w:sectPr>
      </w:pPr>
    </w:p>
    <w:bookmarkStart w:id="307" w:name="page308"/>
    <w:bookmarkEnd w:id="307"/>
    <w:p>
      <w:pPr>
        <w:jc w:val="right"/>
        <w:spacing w:after="0"/>
        <w:rPr>
          <w:sz w:val="20"/>
          <w:szCs w:val="20"/>
          <w:color w:val="auto"/>
        </w:rPr>
      </w:pPr>
      <w:r>
        <w:rPr>
          <w:rFonts w:ascii="Arial" w:cs="Arial" w:eastAsia="Arial" w:hAnsi="Arial"/>
          <w:sz w:val="14"/>
          <w:szCs w:val="14"/>
          <w:b w:val="1"/>
          <w:bCs w:val="1"/>
          <w:color w:val="auto"/>
        </w:rPr>
        <w:t>Exhibit 99.4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Roper Public Affairs and Media</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National CineMedia,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9110 E. Nichols Ave., Suite 200</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Centennial, Colorado 80112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Members of the Board:</w:t>
      </w:r>
    </w:p>
    <w:p>
      <w:pPr>
        <w:spacing w:after="0" w:line="145" w:lineRule="exact"/>
        <w:rPr>
          <w:sz w:val="20"/>
          <w:szCs w:val="20"/>
          <w:color w:val="auto"/>
        </w:rPr>
      </w:pPr>
    </w:p>
    <w:p>
      <w:pPr>
        <w:ind w:right="480"/>
        <w:spacing w:after="0" w:line="289" w:lineRule="auto"/>
        <w:rPr>
          <w:sz w:val="20"/>
          <w:szCs w:val="20"/>
          <w:color w:val="auto"/>
        </w:rPr>
      </w:pPr>
      <w:r>
        <w:rPr>
          <w:rFonts w:ascii="Arial" w:cs="Arial" w:eastAsia="Arial" w:hAnsi="Arial"/>
          <w:sz w:val="14"/>
          <w:szCs w:val="14"/>
          <w:color w:val="auto"/>
        </w:rPr>
        <w:t xml:space="preserve">We hereby consent to the citation by National CineMedia, Inc. (the “Company”) of data from our March 2005 study entitled </w:t>
      </w:r>
      <w:r>
        <w:rPr>
          <w:rFonts w:ascii="Arial" w:cs="Arial" w:eastAsia="Arial" w:hAnsi="Arial"/>
          <w:sz w:val="14"/>
          <w:szCs w:val="14"/>
          <w:i w:val="1"/>
          <w:iCs w:val="1"/>
          <w:color w:val="auto"/>
        </w:rPr>
        <w:t>Life Cereal Ad Study</w:t>
      </w:r>
      <w:r>
        <w:rPr>
          <w:rFonts w:ascii="Arial" w:cs="Arial" w:eastAsia="Arial" w:hAnsi="Arial"/>
          <w:sz w:val="14"/>
          <w:szCs w:val="14"/>
          <w:color w:val="auto"/>
        </w:rPr>
        <w:t xml:space="preserve"> in the Registration Statement on Form S-1 (the “Registration Statement”) filed by the Company with the Securities and Exchange Commission.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Roper Public Affairs and Media</w:t>
      </w: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By:</w:t>
        <w:tab/>
        <w:t>/s/ Annie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13335</wp:posOffset>
            </wp:positionV>
            <wp:extent cx="269938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99385" cy="6985"/>
                    </a:xfrm>
                    <a:prstGeom prst="rect">
                      <a:avLst/>
                    </a:prstGeom>
                    <a:noFill/>
                  </pic:spPr>
                </pic:pic>
              </a:graphicData>
            </a:graphic>
          </wp:anchor>
        </w:drawing>
      </w:r>
    </w:p>
    <w:p>
      <w:pPr>
        <w:spacing w:after="0" w:line="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Name: Annie Weber</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Title: SVP GFK Roper Public Affairs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January 10, 2007</w:t>
      </w:r>
    </w:p>
    <w:sectPr>
      <w:pgSz w:w="11900" w:h="16838" w:orient="portrait"/>
      <w:cols w:equalWidth="0" w:num="1">
        <w:col w:w="11460"/>
      </w:cols>
      <w:pgMar w:left="22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1)"/>
      <w:numFmt w:val="decimal"/>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1"/>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1"/>
      <w:numFmt w:val="bullet"/>
      <w:start w:val="1"/>
    </w:lvl>
  </w:abstractNum>
  <w:abstractNum w:abstractNumId="7">
    <w:nsid w:val="39EE015C"/>
    <w:multiLevelType w:val="hybridMultilevel"/>
    <w:lvl w:ilvl="0">
      <w:lvlJc w:val="left"/>
      <w:lvlText w:val="2"/>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1."/>
      <w:numFmt w:val="decimal"/>
      <w:start w:val="1"/>
    </w:lvl>
  </w:abstractNum>
  <w:abstractNum w:abstractNumId="12">
    <w:nsid w:val="26F324BA"/>
    <w:multiLevelType w:val="hybridMultilevel"/>
    <w:lvl w:ilvl="0">
      <w:lvlJc w:val="left"/>
      <w:lvlText w:val="*"/>
      <w:numFmt w:val="bullet"/>
      <w:start w:val="1"/>
    </w:lvl>
    <w:lvl w:ilvl="1">
      <w:lvlJc w:val="left"/>
      <w:lvlText w:val="%2."/>
      <w:numFmt w:val="decimal"/>
      <w:start w:val="2"/>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1)"/>
      <w:numFmt w:val="lowerRoman"/>
      <w:start w:val="1"/>
    </w:lvl>
  </w:abstractNum>
  <w:abstractNum w:abstractNumId="24">
    <w:nsid w:val="7D5E18F8"/>
    <w:multiLevelType w:val="hybridMultilevel"/>
    <w:lvl w:ilvl="0">
      <w:lvlJc w:val="left"/>
      <w:lvlText w:val="(%1)"/>
      <w:numFmt w:val="decimal"/>
      <w:start w:val="1"/>
    </w:lvl>
  </w:abstractNum>
  <w:abstractNum w:abstractNumId="25">
    <w:nsid w:val="5F3534A4"/>
    <w:multiLevelType w:val="hybridMultilevel"/>
    <w:lvl w:ilvl="0">
      <w:lvlJc w:val="left"/>
      <w:lvlText w:val="1"/>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lvl w:ilvl="1">
      <w:lvlJc w:val="left"/>
      <w:lvlText w:val="(%2)"/>
      <w:numFmt w:val="lowerRoman"/>
      <w:start w:val="2"/>
    </w:lvl>
  </w:abstractNum>
  <w:abstractNum w:abstractNumId="29">
    <w:nsid w:val="3FA62ACA"/>
    <w:multiLevelType w:val="hybridMultilevel"/>
    <w:lvl w:ilvl="0">
      <w:lvlJc w:val="left"/>
      <w:lvlText w:val="•"/>
      <w:numFmt w:val="bullet"/>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1."/>
      <w:numFmt w:val="decimal"/>
      <w:start w:val="1"/>
    </w:lvl>
  </w:abstractNum>
  <w:abstractNum w:abstractNumId="34">
    <w:nsid w:val="53299938"/>
    <w:multiLevelType w:val="hybridMultilevel"/>
    <w:lvl w:ilvl="0">
      <w:lvlJc w:val="left"/>
      <w:lvlText w:val="%1."/>
      <w:numFmt w:val="decimal"/>
      <w:start w:val="8"/>
    </w:lvl>
  </w:abstractNum>
  <w:abstractNum w:abstractNumId="35">
    <w:nsid w:val="1FBFE8E0"/>
    <w:multiLevelType w:val="hybridMultilevel"/>
    <w:lvl w:ilvl="0">
      <w:lvlJc w:val="left"/>
      <w:lvlText w:val="%1."/>
      <w:numFmt w:val="decimal"/>
      <w:start w:val="1"/>
    </w:lvl>
  </w:abstractNum>
  <w:abstractNum w:abstractNumId="36">
    <w:nsid w:val="5092CA79"/>
    <w:multiLevelType w:val="hybridMultilevel"/>
    <w:lvl w:ilvl="0">
      <w:lvlJc w:val="left"/>
      <w:lvlText w:val="%1."/>
      <w:numFmt w:val="decimal"/>
      <w:start w:val="9"/>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
      <w:numFmt w:val="bullet"/>
      <w:start w:val="1"/>
    </w:lvl>
  </w:abstractNum>
  <w:abstractNum w:abstractNumId="39">
    <w:nsid w:val="288F1A34"/>
    <w:multiLevelType w:val="hybridMultilevel"/>
    <w:lvl w:ilvl="0">
      <w:lvlJc w:val="left"/>
      <w:lvlText w:val="%1."/>
      <w:numFmt w:val="decimal"/>
      <w:start w:val="1"/>
    </w:lvl>
  </w:abstractNum>
  <w:abstractNum w:abstractNumId="40">
    <w:nsid w:val="2A155DBC"/>
    <w:multiLevelType w:val="hybridMultilevel"/>
    <w:lvl w:ilvl="0">
      <w:lvlJc w:val="left"/>
      <w:lvlText w:val="*"/>
      <w:numFmt w:val="bullet"/>
      <w:start w:val="1"/>
    </w:lvl>
    <w:lvl w:ilvl="1">
      <w:lvlJc w:val="left"/>
      <w:lvlText w:val="%2."/>
      <w:numFmt w:val="decimal"/>
      <w:start w:val="2"/>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
      <w:numFmt w:val="bullet"/>
      <w:start w:val="1"/>
    </w:lvl>
  </w:abstractNum>
  <w:abstractNum w:abstractNumId="48">
    <w:nsid w:val="23D86AAC"/>
    <w:multiLevelType w:val="hybridMultilevel"/>
    <w:lvl w:ilvl="0">
      <w:lvlJc w:val="left"/>
      <w:lvlText w:val="•"/>
      <w:numFmt w:val="bullet"/>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1"/>
      <w:numFmt w:val="bullet"/>
      <w:start w:val="1"/>
    </w:lvl>
  </w:abstractNum>
  <w:abstractNum w:abstractNumId="51">
    <w:nsid w:val="E7FFA2B"/>
    <w:multiLevelType w:val="hybridMultilevel"/>
    <w:lvl w:ilvl="0">
      <w:lvlJc w:val="left"/>
      <w:lvlText w:val="•"/>
      <w:numFmt w:val="bullet"/>
      <w:start w:val="1"/>
    </w:lvl>
  </w:abstractNum>
  <w:abstractNum w:abstractNumId="52">
    <w:nsid w:val="3C5991AA"/>
    <w:multiLevelType w:val="hybridMultilevel"/>
    <w:lvl w:ilvl="0">
      <w:lvlJc w:val="left"/>
      <w:lvlText w:val="•"/>
      <w:numFmt w:val="bullet"/>
      <w:start w:val="1"/>
    </w:lvl>
  </w:abstractNum>
  <w:abstractNum w:abstractNumId="53">
    <w:nsid w:val="4BD8591A"/>
    <w:multiLevelType w:val="hybridMultilevel"/>
    <w:lvl w:ilvl="0">
      <w:lvlJc w:val="left"/>
      <w:lvlText w:val="•"/>
      <w:numFmt w:val="bullet"/>
      <w:start w:val="1"/>
    </w:lvl>
  </w:abstractNum>
  <w:abstractNum w:abstractNumId="54">
    <w:nsid w:val="78DF6A55"/>
    <w:multiLevelType w:val="hybridMultilevel"/>
    <w:lvl w:ilvl="0">
      <w:lvlJc w:val="left"/>
      <w:lvlText w:val="1"/>
      <w:numFmt w:val="bullet"/>
      <w:start w:val="1"/>
    </w:lvl>
  </w:abstractNum>
  <w:abstractNum w:abstractNumId="55">
    <w:nsid w:val="39B7AAA2"/>
    <w:multiLevelType w:val="hybridMultilevel"/>
    <w:lvl w:ilvl="0">
      <w:lvlJc w:val="left"/>
      <w:lvlText w:val="•"/>
      <w:numFmt w:val="bullet"/>
      <w:start w:val="1"/>
    </w:lvl>
  </w:abstractNum>
  <w:abstractNum w:abstractNumId="56">
    <w:nsid w:val="2B0D8DBE"/>
    <w:multiLevelType w:val="hybridMultilevel"/>
    <w:lvl w:ilvl="0">
      <w:lvlJc w:val="left"/>
      <w:lvlText w:val="•"/>
      <w:numFmt w:val="bullet"/>
      <w:start w:val="1"/>
    </w:lvl>
  </w:abstractNum>
  <w:abstractNum w:abstractNumId="57">
    <w:nsid w:val="6C80EC70"/>
    <w:multiLevelType w:val="hybridMultilevel"/>
    <w:lvl w:ilvl="0">
      <w:lvlJc w:val="left"/>
      <w:lvlText w:val="•"/>
      <w:numFmt w:val="bullet"/>
      <w:start w:val="1"/>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
      <w:numFmt w:val="bullet"/>
      <w:start w:val="1"/>
    </w:lvl>
  </w:abstractNum>
  <w:abstractNum w:abstractNumId="62">
    <w:nsid w:val="6AA7B75C"/>
    <w:multiLevelType w:val="hybridMultilevel"/>
    <w:lvl w:ilvl="0">
      <w:lvlJc w:val="left"/>
      <w:lvlText w:val="•"/>
      <w:numFmt w:val="bullet"/>
      <w:start w:val="1"/>
    </w:lvl>
  </w:abstractNum>
  <w:abstractNum w:abstractNumId="63">
    <w:nsid w:val="1DF029D3"/>
    <w:multiLevelType w:val="hybridMultilevel"/>
    <w:lvl w:ilvl="0">
      <w:lvlJc w:val="left"/>
      <w:lvlText w:val="•"/>
      <w:numFmt w:val="bullet"/>
      <w:start w:val="1"/>
    </w:lvl>
  </w:abstractNum>
  <w:abstractNum w:abstractNumId="64">
    <w:nsid w:val="5675FF36"/>
    <w:multiLevelType w:val="hybridMultilevel"/>
    <w:lvl w:ilvl="0">
      <w:lvlJc w:val="left"/>
      <w:lvlText w:val="•"/>
      <w:numFmt w:val="bullet"/>
      <w:start w:val="1"/>
    </w:lvl>
  </w:abstractNum>
  <w:abstractNum w:abstractNumId="65">
    <w:nsid w:val="3DD15094"/>
    <w:multiLevelType w:val="hybridMultilevel"/>
    <w:lvl w:ilvl="0">
      <w:lvlJc w:val="left"/>
      <w:lvlText w:val="•"/>
      <w:numFmt w:val="bullet"/>
      <w:start w:val="1"/>
    </w:lvl>
  </w:abstractNum>
  <w:abstractNum w:abstractNumId="66">
    <w:nsid w:val="3DB012B3"/>
    <w:multiLevelType w:val="hybridMultilevel"/>
    <w:lvl w:ilvl="0">
      <w:lvlJc w:val="left"/>
      <w:lvlText w:val="•"/>
      <w:numFmt w:val="bullet"/>
      <w:start w:val="1"/>
    </w:lvl>
  </w:abstractNum>
  <w:abstractNum w:abstractNumId="67">
    <w:nsid w:val="2708C9AF"/>
    <w:multiLevelType w:val="hybridMultilevel"/>
    <w:lvl w:ilvl="0">
      <w:lvlJc w:val="left"/>
      <w:lvlText w:val="•"/>
      <w:numFmt w:val="bullet"/>
      <w:start w:val="1"/>
    </w:lvl>
    <w:lvl w:ilvl="1">
      <w:lvlJc w:val="left"/>
      <w:lvlText w:val="\emdash "/>
      <w:numFmt w:val="bullet"/>
      <w:start w:val="1"/>
    </w:lvl>
  </w:abstractNum>
  <w:abstractNum w:abstractNumId="68">
    <w:nsid w:val="5B25ACE2"/>
    <w:multiLevelType w:val="hybridMultilevel"/>
    <w:lvl w:ilvl="0">
      <w:lvlJc w:val="left"/>
      <w:lvlText w:val="(%1)"/>
      <w:numFmt w:val="decimal"/>
      <w:start w:val="1"/>
    </w:lvl>
  </w:abstractNum>
  <w:abstractNum w:abstractNumId="69">
    <w:nsid w:val="175DFCF0"/>
    <w:multiLevelType w:val="hybridMultilevel"/>
    <w:lvl w:ilvl="0">
      <w:lvlJc w:val="left"/>
      <w:lvlText w:val="(%1)"/>
      <w:numFmt w:val="decimal"/>
      <w:start w:val="1"/>
    </w:lvl>
  </w:abstractNum>
  <w:abstractNum w:abstractNumId="70">
    <w:nsid w:val="4F97E3E4"/>
    <w:multiLevelType w:val="hybridMultilevel"/>
    <w:lvl w:ilvl="0">
      <w:lvlJc w:val="left"/>
      <w:lvlText w:val="(%1)"/>
      <w:numFmt w:val="decimal"/>
      <w:start w:val="1"/>
    </w:lvl>
  </w:abstractNum>
  <w:abstractNum w:abstractNumId="71">
    <w:nsid w:val="53B0A9E"/>
    <w:multiLevelType w:val="hybridMultilevel"/>
    <w:lvl w:ilvl="0">
      <w:lvlJc w:val="left"/>
      <w:lvlText w:val="(%1)"/>
      <w:numFmt w:val="decimal"/>
      <w:start w:val="2"/>
    </w:lvl>
  </w:abstractNum>
  <w:abstractNum w:abstractNumId="72">
    <w:nsid w:val="34FD6B4F"/>
    <w:multiLevelType w:val="hybridMultilevel"/>
    <w:lvl w:ilvl="0">
      <w:lvlJc w:val="left"/>
      <w:lvlText w:val="(%1)"/>
      <w:numFmt w:val="decimal"/>
      <w:start w:val="1"/>
    </w:lvl>
  </w:abstractNum>
  <w:abstractNum w:abstractNumId="73">
    <w:nsid w:val="5915FF32"/>
    <w:multiLevelType w:val="hybridMultilevel"/>
    <w:lvl w:ilvl="0">
      <w:lvlJc w:val="left"/>
      <w:lvlText w:val="(%1)"/>
      <w:numFmt w:val="decimal"/>
      <w:start w:val="4"/>
    </w:lvl>
  </w:abstractNum>
  <w:abstractNum w:abstractNumId="74">
    <w:nsid w:val="56438D15"/>
    <w:multiLevelType w:val="hybridMultilevel"/>
    <w:lvl w:ilvl="0">
      <w:lvlJc w:val="left"/>
      <w:lvlText w:val="(%1)"/>
      <w:numFmt w:val="decimal"/>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1)"/>
      <w:numFmt w:val="lowerRoman"/>
      <w:start w:val="2"/>
    </w:lvl>
  </w:abstractNum>
  <w:abstractNum w:abstractNumId="77">
    <w:nsid w:val="17A1B582"/>
    <w:multiLevelType w:val="hybridMultilevel"/>
    <w:lvl w:ilvl="0">
      <w:lvlJc w:val="left"/>
      <w:lvlText w:val="•"/>
      <w:numFmt w:val="bullet"/>
      <w:start w:val="1"/>
    </w:lvl>
  </w:abstractNum>
  <w:abstractNum w:abstractNumId="78">
    <w:nsid w:val="4DF72E4E"/>
    <w:multiLevelType w:val="hybridMultilevel"/>
    <w:lvl w:ilvl="0">
      <w:lvlJc w:val="left"/>
      <w:lvlText w:val="•"/>
      <w:numFmt w:val="bullet"/>
      <w:start w:val="1"/>
    </w:lvl>
  </w:abstractNum>
  <w:abstractNum w:abstractNumId="79">
    <w:nsid w:val="5046B5A9"/>
    <w:multiLevelType w:val="hybridMultilevel"/>
    <w:lvl w:ilvl="0">
      <w:lvlJc w:val="left"/>
      <w:lvlText w:val="•"/>
      <w:numFmt w:val="bullet"/>
      <w:start w:val="1"/>
    </w:lvl>
  </w:abstractNum>
  <w:abstractNum w:abstractNumId="80">
    <w:nsid w:val="5D888A08"/>
    <w:multiLevelType w:val="hybridMultilevel"/>
    <w:lvl w:ilvl="0">
      <w:lvlJc w:val="left"/>
      <w:lvlText w:val="•"/>
      <w:numFmt w:val="bullet"/>
      <w:start w:val="1"/>
    </w:lvl>
  </w:abstractNum>
  <w:abstractNum w:abstractNumId="81">
    <w:nsid w:val="2A082C70"/>
    <w:multiLevelType w:val="hybridMultilevel"/>
    <w:lvl w:ilvl="0">
      <w:lvlJc w:val="left"/>
      <w:lvlText w:val="1"/>
      <w:numFmt w:val="bullet"/>
      <w:start w:val="1"/>
    </w:lvl>
  </w:abstractNum>
  <w:abstractNum w:abstractNumId="82">
    <w:nsid w:val="5EC6AFD4"/>
    <w:multiLevelType w:val="hybridMultilevel"/>
    <w:lvl w:ilvl="0">
      <w:lvlJc w:val="left"/>
      <w:lvlText w:val="•"/>
      <w:numFmt w:val="bullet"/>
      <w:start w:val="1"/>
    </w:lvl>
  </w:abstractNum>
  <w:abstractNum w:abstractNumId="83">
    <w:nsid w:val="19E21BB2"/>
    <w:multiLevelType w:val="hybridMultilevel"/>
    <w:lvl w:ilvl="0">
      <w:lvlJc w:val="left"/>
      <w:lvlText w:val="•"/>
      <w:numFmt w:val="bullet"/>
      <w:start w:val="1"/>
    </w:lvl>
  </w:abstractNum>
  <w:abstractNum w:abstractNumId="84">
    <w:nsid w:val="75E0858A"/>
    <w:multiLevelType w:val="hybridMultilevel"/>
    <w:lvl w:ilvl="0">
      <w:lvlJc w:val="left"/>
      <w:lvlText w:val="•"/>
      <w:numFmt w:val="bullet"/>
      <w:start w:val="1"/>
    </w:lvl>
  </w:abstractNum>
  <w:abstractNum w:abstractNumId="85">
    <w:nsid w:val="57A61A29"/>
    <w:multiLevelType w:val="hybridMultilevel"/>
    <w:lvl w:ilvl="0">
      <w:lvlJc w:val="left"/>
      <w:lvlText w:val="•"/>
      <w:numFmt w:val="bullet"/>
      <w:start w:val="1"/>
    </w:lvl>
  </w:abstractNum>
  <w:abstractNum w:abstractNumId="86">
    <w:nsid w:val="5399C654"/>
    <w:multiLevelType w:val="hybridMultilevel"/>
    <w:lvl w:ilvl="0">
      <w:lvlJc w:val="left"/>
      <w:lvlText w:val="•"/>
      <w:numFmt w:val="bullet"/>
      <w:start w:val="1"/>
    </w:lvl>
  </w:abstractNum>
  <w:abstractNum w:abstractNumId="87">
    <w:nsid w:val="20EE1348"/>
    <w:multiLevelType w:val="hybridMultilevel"/>
    <w:lvl w:ilvl="0">
      <w:lvlJc w:val="left"/>
      <w:lvlText w:val="•"/>
      <w:numFmt w:val="bullet"/>
      <w:start w:val="1"/>
    </w:lvl>
  </w:abstractNum>
  <w:abstractNum w:abstractNumId="88">
    <w:nsid w:val="4427069A"/>
    <w:multiLevelType w:val="hybridMultilevel"/>
    <w:lvl w:ilvl="0">
      <w:lvlJc w:val="left"/>
      <w:lvlText w:val="•"/>
      <w:numFmt w:val="bullet"/>
      <w:start w:val="1"/>
    </w:lvl>
  </w:abstractNum>
  <w:abstractNum w:abstractNumId="89">
    <w:nsid w:val="B37E80A"/>
    <w:multiLevelType w:val="hybridMultilevel"/>
    <w:lvl w:ilvl="0">
      <w:lvlJc w:val="left"/>
      <w:lvlText w:val="•"/>
      <w:numFmt w:val="bullet"/>
      <w:start w:val="1"/>
    </w:lvl>
  </w:abstractNum>
  <w:abstractNum w:abstractNumId="90">
    <w:nsid w:val="2157F6BC"/>
    <w:multiLevelType w:val="hybridMultilevel"/>
    <w:lvl w:ilvl="0">
      <w:lvlJc w:val="left"/>
      <w:lvlText w:val="•"/>
      <w:numFmt w:val="bullet"/>
      <w:start w:val="1"/>
    </w:lvl>
  </w:abstractNum>
  <w:abstractNum w:abstractNumId="91">
    <w:nsid w:val="704E1DD5"/>
    <w:multiLevelType w:val="hybridMultilevel"/>
    <w:lvl w:ilvl="0">
      <w:lvlJc w:val="left"/>
      <w:lvlText w:val="•"/>
      <w:numFmt w:val="bullet"/>
      <w:start w:val="1"/>
    </w:lvl>
  </w:abstractNum>
  <w:abstractNum w:abstractNumId="92">
    <w:nsid w:val="57D2F10E"/>
    <w:multiLevelType w:val="hybridMultilevel"/>
    <w:lvl w:ilvl="0">
      <w:lvlJc w:val="left"/>
      <w:lvlText w:val="(%1)"/>
      <w:numFmt w:val="decimal"/>
      <w:start w:val="1"/>
    </w:lvl>
  </w:abstractNum>
  <w:abstractNum w:abstractNumId="93">
    <w:nsid w:val="BFFAE18"/>
    <w:multiLevelType w:val="hybridMultilevel"/>
    <w:lvl w:ilvl="0">
      <w:lvlJc w:val="left"/>
      <w:lvlText w:val="•"/>
      <w:numFmt w:val="bullet"/>
      <w:start w:val="1"/>
    </w:lvl>
  </w:abstractNum>
  <w:abstractNum w:abstractNumId="94">
    <w:nsid w:val="E3E47A8"/>
    <w:multiLevelType w:val="hybridMultilevel"/>
    <w:lvl w:ilvl="0">
      <w:lvlJc w:val="left"/>
      <w:lvlText w:val="•"/>
      <w:numFmt w:val="bullet"/>
      <w:start w:val="1"/>
    </w:lvl>
  </w:abstractNum>
  <w:abstractNum w:abstractNumId="95">
    <w:nsid w:val="2E48F044"/>
    <w:multiLevelType w:val="hybridMultilevel"/>
    <w:lvl w:ilvl="0">
      <w:lvlJc w:val="left"/>
      <w:lvlText w:val="•"/>
      <w:numFmt w:val="bullet"/>
      <w:start w:val="1"/>
    </w:lvl>
  </w:abstractNum>
  <w:abstractNum w:abstractNumId="96">
    <w:nsid w:val="49D0FEAC"/>
    <w:multiLevelType w:val="hybridMultilevel"/>
    <w:lvl w:ilvl="0">
      <w:lvlJc w:val="left"/>
      <w:lvlText w:val="•"/>
      <w:numFmt w:val="bullet"/>
      <w:start w:val="1"/>
    </w:lvl>
  </w:abstractNum>
  <w:abstractNum w:abstractNumId="97">
    <w:nsid w:val="4BEE5A5B"/>
    <w:multiLevelType w:val="hybridMultilevel"/>
    <w:lvl w:ilvl="0">
      <w:lvlJc w:val="left"/>
      <w:lvlText w:val="•"/>
      <w:numFmt w:val="bullet"/>
      <w:start w:val="1"/>
    </w:lvl>
  </w:abstractNum>
  <w:abstractNum w:abstractNumId="98">
    <w:nsid w:val="5551B9F3"/>
    <w:multiLevelType w:val="hybridMultilevel"/>
    <w:lvl w:ilvl="0">
      <w:lvlJc w:val="left"/>
      <w:lvlText w:val="1"/>
      <w:numFmt w:val="bullet"/>
      <w:start w:val="1"/>
    </w:lvl>
  </w:abstractNum>
  <w:abstractNum w:abstractNumId="99">
    <w:nsid w:val="24F6AB8E"/>
    <w:multiLevelType w:val="hybridMultilevel"/>
    <w:lvl w:ilvl="0">
      <w:lvlJc w:val="left"/>
      <w:lvlText w:val="•"/>
      <w:numFmt w:val="bullet"/>
      <w:start w:val="1"/>
    </w:lvl>
  </w:abstractNum>
  <w:abstractNum w:abstractNumId="100">
    <w:nsid w:val="634C574C"/>
    <w:multiLevelType w:val="hybridMultilevel"/>
    <w:lvl w:ilvl="0">
      <w:lvlJc w:val="left"/>
      <w:lvlText w:val="•"/>
      <w:numFmt w:val="bullet"/>
      <w:start w:val="1"/>
    </w:lvl>
  </w:abstractNum>
  <w:abstractNum w:abstractNumId="101">
    <w:nsid w:val="24E99DD7"/>
    <w:multiLevelType w:val="hybridMultilevel"/>
    <w:lvl w:ilvl="0">
      <w:lvlJc w:val="left"/>
      <w:lvlText w:val="(%1)"/>
      <w:numFmt w:val="lowerRoman"/>
      <w:start w:val="1"/>
    </w:lvl>
  </w:abstractNum>
  <w:abstractNum w:abstractNumId="102">
    <w:nsid w:val="2A31B62D"/>
    <w:multiLevelType w:val="hybridMultilevel"/>
    <w:lvl w:ilvl="0">
      <w:lvlJc w:val="left"/>
      <w:lvlText w:val="•"/>
      <w:numFmt w:val="bullet"/>
      <w:start w:val="1"/>
    </w:lvl>
  </w:abstractNum>
  <w:abstractNum w:abstractNumId="103">
    <w:nsid w:val="1849C29B"/>
    <w:multiLevelType w:val="hybridMultilevel"/>
    <w:lvl w:ilvl="0">
      <w:lvlJc w:val="left"/>
      <w:lvlText w:val="•"/>
      <w:numFmt w:val="bullet"/>
      <w:start w:val="1"/>
    </w:lvl>
  </w:abstractNum>
  <w:abstractNum w:abstractNumId="104">
    <w:nsid w:val="7DFF9D09"/>
    <w:multiLevelType w:val="hybridMultilevel"/>
    <w:lvl w:ilvl="0">
      <w:lvlJc w:val="left"/>
      <w:lvlText w:val="•"/>
      <w:numFmt w:val="bullet"/>
      <w:start w:val="1"/>
    </w:lvl>
  </w:abstractNum>
  <w:abstractNum w:abstractNumId="105">
    <w:nsid w:val="754342"/>
    <w:multiLevelType w:val="hybridMultilevel"/>
    <w:lvl w:ilvl="0">
      <w:lvlJc w:val="left"/>
      <w:lvlText w:val="•"/>
      <w:numFmt w:val="bullet"/>
      <w:start w:val="1"/>
    </w:lvl>
  </w:abstractNum>
  <w:abstractNum w:abstractNumId="106">
    <w:nsid w:val="69E7F3E5"/>
    <w:multiLevelType w:val="hybridMultilevel"/>
    <w:lvl w:ilvl="0">
      <w:lvlJc w:val="left"/>
      <w:lvlText w:val="(%1)"/>
      <w:numFmt w:val="lowerLetter"/>
      <w:start w:val="1"/>
    </w:lvl>
  </w:abstractNum>
  <w:abstractNum w:abstractNumId="107">
    <w:nsid w:val="2A6DE806"/>
    <w:multiLevelType w:val="hybridMultilevel"/>
    <w:lvl w:ilvl="0">
      <w:lvlJc w:val="left"/>
      <w:lvlText w:val="(%1)"/>
      <w:numFmt w:val="lowerLetter"/>
      <w:start w:val="2"/>
    </w:lvl>
  </w:abstractNum>
  <w:abstractNum w:abstractNumId="108">
    <w:nsid w:val="1816F8C4"/>
    <w:multiLevelType w:val="hybridMultilevel"/>
    <w:lvl w:ilvl="0">
      <w:lvlJc w:val="left"/>
      <w:lvlText w:val="(%1)"/>
      <w:numFmt w:val="lowerLetter"/>
      <w:start w:val="1"/>
    </w:lvl>
  </w:abstractNum>
  <w:abstractNum w:abstractNumId="109">
    <w:nsid w:val="37DF2233"/>
    <w:multiLevelType w:val="hybridMultilevel"/>
    <w:lvl w:ilvl="0">
      <w:lvlJc w:val="left"/>
      <w:lvlText w:val="$"/>
      <w:numFmt w:val="bullet"/>
      <w:start w:val="1"/>
    </w:lvl>
  </w:abstractNum>
  <w:abstractNum w:abstractNumId="110">
    <w:nsid w:val="7AB49DAF"/>
    <w:multiLevelType w:val="hybridMultilevel"/>
    <w:lvl w:ilvl="0">
      <w:lvlJc w:val="left"/>
      <w:lvlText w:val="$"/>
      <w:numFmt w:val="bullet"/>
      <w:start w:val="1"/>
    </w:lvl>
  </w:abstractNum>
  <w:abstractNum w:abstractNumId="111">
    <w:nsid w:val="759F82CD"/>
    <w:multiLevelType w:val="hybridMultilevel"/>
    <w:lvl w:ilvl="0">
      <w:lvlJc w:val="left"/>
      <w:lvlText w:val="•"/>
      <w:numFmt w:val="bullet"/>
      <w:start w:val="1"/>
    </w:lvl>
  </w:abstractNum>
  <w:abstractNum w:abstractNumId="112">
    <w:nsid w:val="61E74EA3"/>
    <w:multiLevelType w:val="hybridMultilevel"/>
    <w:lvl w:ilvl="0">
      <w:lvlJc w:val="left"/>
      <w:lvlText w:val="•"/>
      <w:numFmt w:val="bullet"/>
      <w:start w:val="1"/>
    </w:lvl>
  </w:abstractNum>
  <w:abstractNum w:abstractNumId="113">
    <w:nsid w:val="597B4D84"/>
    <w:multiLevelType w:val="hybridMultilevel"/>
    <w:lvl w:ilvl="0">
      <w:lvlJc w:val="left"/>
      <w:lvlText w:val="$"/>
      <w:numFmt w:val="bullet"/>
      <w:start w:val="1"/>
    </w:lvl>
  </w:abstractNum>
  <w:abstractNum w:abstractNumId="114">
    <w:nsid w:val="F819E7F"/>
    <w:multiLevelType w:val="hybridMultilevel"/>
    <w:lvl w:ilvl="0">
      <w:lvlJc w:val="left"/>
      <w:lvlText w:val="$"/>
      <w:numFmt w:val="bullet"/>
      <w:start w:val="1"/>
    </w:lvl>
  </w:abstractNum>
  <w:abstractNum w:abstractNumId="115">
    <w:nsid w:val="57C7D42D"/>
    <w:multiLevelType w:val="hybridMultilevel"/>
    <w:lvl w:ilvl="0">
      <w:lvlJc w:val="left"/>
      <w:lvlText w:val="*"/>
      <w:numFmt w:val="bullet"/>
      <w:start w:val="1"/>
    </w:lvl>
  </w:abstractNum>
  <w:abstractNum w:abstractNumId="116">
    <w:nsid w:val="312167AD"/>
    <w:multiLevelType w:val="hybridMultilevel"/>
    <w:lvl w:ilvl="0">
      <w:lvlJc w:val="left"/>
      <w:lvlText w:val="**"/>
      <w:numFmt w:val="bullet"/>
      <w:start w:val="1"/>
    </w:lvl>
  </w:abstractNum>
  <w:abstractNum w:abstractNumId="117">
    <w:nsid w:val="631B64D4"/>
    <w:multiLevelType w:val="hybridMultilevel"/>
    <w:lvl w:ilvl="0">
      <w:lvlJc w:val="left"/>
      <w:lvlText w:val="***"/>
      <w:numFmt w:val="bullet"/>
      <w:start w:val="1"/>
    </w:lvl>
  </w:abstractNum>
  <w:abstractNum w:abstractNumId="118">
    <w:nsid w:val="78B5E776"/>
    <w:multiLevelType w:val="hybridMultilevel"/>
    <w:lvl w:ilvl="0">
      <w:lvlJc w:val="left"/>
      <w:lvlText w:val="+"/>
      <w:numFmt w:val="bullet"/>
      <w:start w:val="1"/>
    </w:lvl>
  </w:abstractNum>
  <w:abstractNum w:abstractNumId="119">
    <w:nsid w:val="75486E47"/>
    <w:multiLevelType w:val="hybridMultilevel"/>
    <w:lvl w:ilvl="0">
      <w:lvlJc w:val="left"/>
      <w:lvlText w:val="(%1)"/>
      <w:numFmt w:val="lowerLetter"/>
      <w:start w:val="1"/>
    </w:lvl>
    <w:lvl w:ilvl="1">
      <w:lvlJc w:val="left"/>
      <w:lvlText w:val="(%2)"/>
      <w:numFmt w:val="decimal"/>
      <w:start w:val="1"/>
    </w:lvl>
  </w:abstractNum>
  <w:abstractNum w:abstractNumId="120">
    <w:nsid w:val="6E534CDE"/>
    <w:multiLevelType w:val="hybridMultilevel"/>
    <w:lvl w:ilvl="0">
      <w:lvlJc w:val="left"/>
      <w:lvlText w:val="["/>
      <w:numFmt w:val="bullet"/>
      <w:start w:val="1"/>
    </w:lvl>
  </w:abstractNum>
  <w:abstractNum w:abstractNumId="121">
    <w:nsid w:val="1A0DDE32"/>
    <w:multiLevelType w:val="hybridMultilevel"/>
    <w:lvl w:ilvl="0">
      <w:lvlJc w:val="left"/>
      <w:lvlText w:val="(%1)"/>
      <w:numFmt w:val="lowerLetter"/>
      <w:start w:val="1"/>
    </w:lvl>
  </w:abstractNum>
  <w:abstractNum w:abstractNumId="122">
    <w:nsid w:val="65968C1C"/>
    <w:multiLevelType w:val="hybridMultilevel"/>
    <w:lvl w:ilvl="0">
      <w:lvlJc w:val="left"/>
      <w:lvlText w:val="(%1)"/>
      <w:numFmt w:val="lowerLetter"/>
      <w:start w:val="4"/>
    </w:lvl>
  </w:abstractNum>
  <w:abstractNum w:abstractNumId="123">
    <w:nsid w:val="46263DEC"/>
    <w:multiLevelType w:val="hybridMultilevel"/>
    <w:lvl w:ilvl="0">
      <w:lvlJc w:val="left"/>
      <w:lvlText w:val="(%1)"/>
      <w:numFmt w:val="lowerLetter"/>
      <w:start w:val="6"/>
    </w:lvl>
  </w:abstractNum>
  <w:abstractNum w:abstractNumId="124">
    <w:nsid w:val="260D8C4A"/>
    <w:multiLevelType w:val="hybridMultilevel"/>
    <w:lvl w:ilvl="0">
      <w:lvlJc w:val="left"/>
      <w:lvlText w:val="(%1)"/>
      <w:numFmt w:val="lowerLetter"/>
      <w:start w:val="9"/>
    </w:lvl>
  </w:abstractNum>
  <w:abstractNum w:abstractNumId="125">
    <w:nsid w:val="73D4D3C4"/>
    <w:multiLevelType w:val="hybridMultilevel"/>
    <w:lvl w:ilvl="0">
      <w:lvlJc w:val="left"/>
      <w:lvlText w:val="(%1)"/>
      <w:numFmt w:val="lowerLetter"/>
      <w:start w:val="15"/>
    </w:lvl>
  </w:abstractNum>
  <w:abstractNum w:abstractNumId="126">
    <w:nsid w:val="746F2E30"/>
    <w:multiLevelType w:val="hybridMultilevel"/>
    <w:lvl w:ilvl="0">
      <w:lvlJc w:val="left"/>
      <w:lvlText w:val="(%1)"/>
      <w:numFmt w:val="lowerLetter"/>
      <w:start w:val="20"/>
    </w:lvl>
  </w:abstractNum>
  <w:abstractNum w:abstractNumId="127">
    <w:nsid w:val="6FDE8AF6"/>
    <w:multiLevelType w:val="hybridMultilevel"/>
    <w:lvl w:ilvl="0">
      <w:lvlJc w:val="left"/>
      <w:lvlText w:val="(%1)"/>
      <w:numFmt w:val="lowerLetter"/>
      <w:start w:val="24"/>
    </w:lvl>
  </w:abstractNum>
  <w:abstractNum w:abstractNumId="128">
    <w:nsid w:val="3FC32E20"/>
    <w:multiLevelType w:val="hybridMultilevel"/>
    <w:lvl w:ilvl="0">
      <w:lvlJc w:val="left"/>
      <w:lvlText w:val="(%1)"/>
      <w:numFmt w:val="lowerLetter"/>
      <w:start w:val="27"/>
    </w:lvl>
  </w:abstractNum>
  <w:abstractNum w:abstractNumId="129">
    <w:nsid w:val="49C0E823"/>
    <w:multiLevelType w:val="hybridMultilevel"/>
    <w:lvl w:ilvl="0">
      <w:lvlJc w:val="left"/>
      <w:lvlText w:val="(%1)"/>
      <w:numFmt w:val="lowerLetter"/>
      <w:start w:val="28"/>
    </w:lvl>
  </w:abstractNum>
  <w:abstractNum w:abstractNumId="130">
    <w:nsid w:val="14D53685"/>
    <w:multiLevelType w:val="hybridMultilevel"/>
    <w:lvl w:ilvl="0">
      <w:lvlJc w:val="left"/>
      <w:lvlText w:val="(%1)"/>
      <w:numFmt w:val="lowerLetter"/>
      <w:start w:val="32"/>
    </w:lvl>
  </w:abstractNum>
  <w:abstractNum w:abstractNumId="131">
    <w:nsid w:val="230F856C"/>
    <w:multiLevelType w:val="hybridMultilevel"/>
    <w:lvl w:ilvl="0">
      <w:lvlJc w:val="left"/>
      <w:lvlText w:val="%1."/>
      <w:numFmt w:val="decimal"/>
      <w:start w:val="3"/>
    </w:lvl>
  </w:abstractNum>
  <w:abstractNum w:abstractNumId="132">
    <w:nsid w:val="6EAA85FB"/>
    <w:multiLevelType w:val="hybridMultilevel"/>
    <w:lvl w:ilvl="0">
      <w:lvlJc w:val="left"/>
      <w:lvlText w:val="%1."/>
      <w:numFmt w:val="decimal"/>
      <w:start w:val="5"/>
    </w:lvl>
    <w:lvl w:ilvl="1">
      <w:lvlJc w:val="left"/>
      <w:lvlText w:val="(%2)"/>
      <w:numFmt w:val="lowerLetter"/>
      <w:start w:val="1"/>
    </w:lvl>
  </w:abstractNum>
  <w:abstractNum w:abstractNumId="133">
    <w:nsid w:val="3F06ECB2"/>
    <w:multiLevelType w:val="hybridMultilevel"/>
    <w:lvl w:ilvl="0">
      <w:lvlJc w:val="left"/>
      <w:lvlText w:val="(%1)"/>
      <w:numFmt w:val="lowerLetter"/>
      <w:start w:val="2"/>
    </w:lvl>
  </w:abstractNum>
  <w:abstractNum w:abstractNumId="134">
    <w:nsid w:val="3B594807"/>
    <w:multiLevelType w:val="hybridMultilevel"/>
    <w:lvl w:ilvl="0">
      <w:lvlJc w:val="left"/>
      <w:lvlText w:val="(%1)"/>
      <w:numFmt w:val="lowerLetter"/>
      <w:start w:val="6"/>
    </w:lvl>
  </w:abstractNum>
  <w:abstractNum w:abstractNumId="135">
    <w:nsid w:val="6CAA2304"/>
    <w:multiLevelType w:val="hybridMultilevel"/>
    <w:lvl w:ilvl="0">
      <w:lvlJc w:val="left"/>
      <w:lvlText w:val="(%1)"/>
      <w:numFmt w:val="lowerLetter"/>
      <w:start w:val="9"/>
    </w:lvl>
  </w:abstractNum>
  <w:abstractNum w:abstractNumId="136">
    <w:nsid w:val="3F7C2FF4"/>
    <w:multiLevelType w:val="hybridMultilevel"/>
    <w:lvl w:ilvl="0">
      <w:lvlJc w:val="left"/>
      <w:lvlText w:val="%1."/>
      <w:numFmt w:val="decimal"/>
      <w:start w:val="6"/>
    </w:lvl>
  </w:abstractNum>
  <w:abstractNum w:abstractNumId="137">
    <w:nsid w:val="25413B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8">
    <w:nsid w:val="17180B0B"/>
    <w:multiLevelType w:val="hybridMultilevel"/>
    <w:lvl w:ilvl="0">
      <w:lvlJc w:val="left"/>
      <w:lvlText w:val="(%1)"/>
      <w:numFmt w:val="upperLetter"/>
      <w:start w:val="3"/>
    </w:lvl>
  </w:abstractNum>
  <w:abstractNum w:abstractNumId="139">
    <w:nsid w:val="579328B9"/>
    <w:multiLevelType w:val="hybridMultilevel"/>
    <w:lvl w:ilvl="0">
      <w:lvlJc w:val="left"/>
      <w:lvlText w:val="(%1)"/>
      <w:numFmt w:val="lowerRoman"/>
      <w:start w:val="4"/>
    </w:lvl>
  </w:abstractNum>
  <w:abstractNum w:abstractNumId="140">
    <w:nsid w:val="5D205E20"/>
    <w:multiLevelType w:val="hybridMultilevel"/>
    <w:lvl w:ilvl="0">
      <w:lvlJc w:val="left"/>
      <w:lvlText w:val="(%1)"/>
      <w:numFmt w:val="lowerLetter"/>
      <w:start w:val="2"/>
    </w:lvl>
  </w:abstractNum>
  <w:abstractNum w:abstractNumId="141">
    <w:nsid w:val="11CCA8BA"/>
    <w:multiLevelType w:val="hybridMultilevel"/>
    <w:lvl w:ilvl="0">
      <w:lvlJc w:val="left"/>
      <w:lvlText w:val="(%1)"/>
      <w:numFmt w:val="lowerLetter"/>
      <w:start w:val="3"/>
    </w:lvl>
  </w:abstractNum>
  <w:abstractNum w:abstractNumId="142">
    <w:nsid w:val="4D32AB86"/>
    <w:multiLevelType w:val="hybridMultilevel"/>
    <w:lvl w:ilvl="0">
      <w:lvlJc w:val="left"/>
      <w:lvlText w:val="(%1)"/>
      <w:numFmt w:val="lowerLetter"/>
      <w:start w:val="8"/>
    </w:lvl>
  </w:abstractNum>
  <w:abstractNum w:abstractNumId="143">
    <w:nsid w:val="3F07ACC3"/>
    <w:multiLevelType w:val="hybridMultilevel"/>
    <w:lvl w:ilvl="0">
      <w:lvlJc w:val="left"/>
      <w:lvlText w:val="%1."/>
      <w:numFmt w:val="decimal"/>
      <w:start w:val="8"/>
    </w:lvl>
  </w:abstractNum>
  <w:abstractNum w:abstractNumId="144">
    <w:nsid w:val="6B47F63E"/>
    <w:multiLevelType w:val="hybridMultilevel"/>
    <w:lvl w:ilvl="0">
      <w:lvlJc w:val="left"/>
      <w:lvlText w:val="(%1)"/>
      <w:numFmt w:val="lowerLetter"/>
      <w:start w:val="35"/>
    </w:lvl>
    <w:lvl w:ilvl="1">
      <w:lvlJc w:val="left"/>
      <w:lvlText w:val="(%2)"/>
      <w:numFmt w:val="lowerLetter"/>
      <w:start w:val="2"/>
    </w:lvl>
  </w:abstractNum>
  <w:abstractNum w:abstractNumId="145">
    <w:nsid w:val="5CB44A05"/>
    <w:multiLevelType w:val="hybridMultilevel"/>
    <w:lvl w:ilvl="0">
      <w:lvlJc w:val="left"/>
      <w:lvlText w:val="(%1)"/>
      <w:numFmt w:val="lowerLetter"/>
      <w:start w:val="3"/>
    </w:lvl>
  </w:abstractNum>
  <w:abstractNum w:abstractNumId="146">
    <w:nsid w:val="16CF80F1"/>
    <w:multiLevelType w:val="hybridMultilevel"/>
    <w:lvl w:ilvl="0">
      <w:lvlJc w:val="left"/>
      <w:lvlText w:val="%1"/>
      <w:numFmt w:val="decimal"/>
      <w:start w:val="1"/>
    </w:lvl>
    <w:lvl w:ilvl="1">
      <w:lvlJc w:val="left"/>
      <w:lvlText w:val="(%2)"/>
      <w:numFmt w:val="lowerLetter"/>
      <w:start w:val="5"/>
    </w:lvl>
  </w:abstractNum>
  <w:abstractNum w:abstractNumId="147">
    <w:nsid w:val="1C695DEC"/>
    <w:multiLevelType w:val="hybridMultilevel"/>
    <w:lvl w:ilvl="0">
      <w:lvlJc w:val="left"/>
      <w:lvlText w:val="%1."/>
      <w:numFmt w:val="decimal"/>
      <w:start w:val="9"/>
    </w:lvl>
    <w:lvl w:ilvl="1">
      <w:lvlJc w:val="left"/>
      <w:lvlText w:val="%2"/>
      <w:numFmt w:val="lowerLetter"/>
      <w:start w:val="1"/>
    </w:lvl>
  </w:abstractNum>
  <w:abstractNum w:abstractNumId="148">
    <w:nsid w:val="3FCFAED9"/>
    <w:multiLevelType w:val="hybridMultilevel"/>
    <w:lvl w:ilvl="0">
      <w:lvlJc w:val="left"/>
      <w:lvlText w:val="%1."/>
      <w:numFmt w:val="decimal"/>
      <w:start w:val="10"/>
    </w:lvl>
  </w:abstractNum>
  <w:abstractNum w:abstractNumId="149">
    <w:nsid w:val="F856867"/>
    <w:multiLevelType w:val="hybridMultilevel"/>
    <w:lvl w:ilvl="0">
      <w:lvlJc w:val="left"/>
      <w:lvlText w:val="%1."/>
      <w:numFmt w:val="decimal"/>
      <w:start w:val="14"/>
    </w:lvl>
    <w:lvl w:ilvl="1">
      <w:lvlJc w:val="left"/>
      <w:lvlText w:val="(%2)"/>
      <w:numFmt w:val="lowerLetter"/>
      <w:start w:val="1"/>
    </w:lvl>
  </w:abstractNum>
  <w:abstractNum w:abstractNumId="150">
    <w:nsid w:val="11B1CC33"/>
    <w:multiLevelType w:val="hybridMultilevel"/>
    <w:lvl w:ilvl="0">
      <w:lvlJc w:val="left"/>
      <w:lvlText w:val="%1."/>
      <w:numFmt w:val="decimal"/>
      <w:start w:val="1"/>
    </w:lvl>
  </w:abstractNum>
  <w:abstractNum w:abstractNumId="151">
    <w:nsid w:val="2E22FBB7"/>
    <w:multiLevelType w:val="hybridMultilevel"/>
    <w:lvl w:ilvl="0">
      <w:lvlJc w:val="left"/>
      <w:lvlText w:val="(%1)"/>
      <w:numFmt w:val="lowerLetter"/>
      <w:start w:val="1"/>
    </w:lvl>
  </w:abstractNum>
  <w:abstractNum w:abstractNumId="152">
    <w:nsid w:val="29934699"/>
    <w:multiLevelType w:val="hybridMultilevel"/>
    <w:lvl w:ilvl="0">
      <w:lvlJc w:val="left"/>
      <w:lvlText w:val="(%1)"/>
      <w:numFmt w:val="lowerLetter"/>
      <w:start w:val="3"/>
    </w:lvl>
  </w:abstractNum>
  <w:abstractNum w:abstractNumId="153">
    <w:nsid w:val="77485850"/>
    <w:multiLevelType w:val="hybridMultilevel"/>
    <w:lvl w:ilvl="0">
      <w:lvlJc w:val="left"/>
      <w:lvlText w:val="(%1)"/>
      <w:numFmt w:val="lowerLetter"/>
      <w:start w:val="5"/>
    </w:lvl>
    <w:lvl w:ilvl="1">
      <w:lvlJc w:val="left"/>
      <w:lvlText w:val="(%2)"/>
      <w:numFmt w:val="decimal"/>
      <w:start w:val="1"/>
    </w:lvl>
  </w:abstractNum>
  <w:abstractNum w:abstractNumId="154">
    <w:nsid w:val="744939A3"/>
    <w:multiLevelType w:val="hybridMultilevel"/>
    <w:lvl w:ilvl="0">
      <w:lvlJc w:val="left"/>
      <w:lvlText w:val="(%1)"/>
      <w:numFmt w:val="decimal"/>
      <w:start w:val="2"/>
    </w:lvl>
  </w:abstractNum>
  <w:abstractNum w:abstractNumId="155">
    <w:nsid w:val="4FA0D2E3"/>
    <w:multiLevelType w:val="hybridMultilevel"/>
    <w:lvl w:ilvl="0">
      <w:lvlJc w:val="left"/>
      <w:lvlText w:val="(%1)"/>
      <w:numFmt w:val="lowerLetter"/>
      <w:start w:val="1"/>
    </w:lvl>
    <w:lvl w:ilvl="1">
      <w:lvlJc w:val="left"/>
      <w:lvlText w:val="(%2)"/>
      <w:numFmt w:val="decimal"/>
      <w:start w:val="1"/>
    </w:lvl>
  </w:abstractNum>
  <w:abstractNum w:abstractNumId="156">
    <w:nsid w:val="6B1D2C14"/>
    <w:multiLevelType w:val="hybridMultilevel"/>
    <w:lvl w:ilvl="0">
      <w:lvlJc w:val="left"/>
      <w:lvlText w:val="%1"/>
      <w:numFmt w:val="lowerLetter"/>
      <w:start w:val="1"/>
    </w:lvl>
    <w:lvl w:ilvl="1">
      <w:lvlJc w:val="left"/>
      <w:lvlText w:val="(%2)"/>
      <w:numFmt w:val="decimal"/>
      <w:start w:val="2"/>
    </w:lvl>
  </w:abstractNum>
  <w:abstractNum w:abstractNumId="157">
    <w:nsid w:val="68B867D3"/>
    <w:multiLevelType w:val="hybridMultilevel"/>
    <w:lvl w:ilvl="0">
      <w:lvlJc w:val="left"/>
      <w:lvlText w:val="(%1)"/>
      <w:numFmt w:val="lowerLetter"/>
      <w:start w:val="2"/>
    </w:lvl>
    <w:lvl w:ilvl="1">
      <w:lvlJc w:val="left"/>
      <w:lvlText w:val="(%2)"/>
      <w:numFmt w:val="decimal"/>
      <w:start w:val="1"/>
    </w:lvl>
  </w:abstractNum>
  <w:abstractNum w:abstractNumId="158">
    <w:nsid w:val="3F7F5DD9"/>
    <w:multiLevelType w:val="hybridMultilevel"/>
    <w:lvl w:ilvl="0">
      <w:lvlJc w:val="left"/>
      <w:lvlText w:val="%1"/>
      <w:numFmt w:val="lowerLetter"/>
      <w:start w:val="1"/>
    </w:lvl>
    <w:lvl w:ilvl="1">
      <w:lvlJc w:val="left"/>
      <w:lvlText w:val="(%2)"/>
      <w:numFmt w:val="decimal"/>
      <w:start w:val="2"/>
    </w:lvl>
  </w:abstractNum>
  <w:abstractNum w:abstractNumId="159">
    <w:nsid w:val="2AE05A34"/>
    <w:multiLevelType w:val="hybridMultilevel"/>
    <w:lvl w:ilvl="0">
      <w:lvlJc w:val="left"/>
      <w:lvlText w:val="(%1)"/>
      <w:numFmt w:val="lowerLetter"/>
      <w:start w:val="3"/>
    </w:lvl>
    <w:lvl w:ilvl="1">
      <w:lvlJc w:val="left"/>
      <w:lvlText w:val="(%2)"/>
      <w:numFmt w:val="decimal"/>
      <w:start w:val="1"/>
    </w:lvl>
  </w:abstractNum>
  <w:abstractNum w:abstractNumId="160">
    <w:nsid w:val="32794FF7"/>
    <w:multiLevelType w:val="hybridMultilevel"/>
    <w:lvl w:ilvl="0">
      <w:lvlJc w:val="left"/>
      <w:lvlText w:val="(%1)"/>
      <w:numFmt w:val="decimal"/>
      <w:start w:val="2"/>
    </w:lvl>
  </w:abstractNum>
  <w:abstractNum w:abstractNumId="161">
    <w:nsid w:val="5454945E"/>
    <w:multiLevelType w:val="hybridMultilevel"/>
    <w:lvl w:ilvl="0">
      <w:lvlJc w:val="left"/>
      <w:lvlText w:val="(%1)"/>
      <w:numFmt w:val="lowerLetter"/>
      <w:start w:val="4"/>
    </w:lvl>
    <w:lvl w:ilvl="1">
      <w:lvlJc w:val="left"/>
      <w:lvlText w:val="(%2)"/>
      <w:numFmt w:val="decimal"/>
      <w:start w:val="1"/>
    </w:lvl>
  </w:abstractNum>
  <w:abstractNum w:abstractNumId="162">
    <w:nsid w:val="4DEFDFA0"/>
    <w:multiLevelType w:val="hybridMultilevel"/>
    <w:lvl w:ilvl="0">
      <w:lvlJc w:val="left"/>
      <w:lvlText w:val="%1"/>
      <w:numFmt w:val="lowerLetter"/>
      <w:start w:val="1"/>
    </w:lvl>
    <w:lvl w:ilvl="1">
      <w:lvlJc w:val="left"/>
      <w:lvlText w:val="(%2)"/>
      <w:numFmt w:val="lowerLetter"/>
      <w:start w:val="1"/>
    </w:lvl>
  </w:abstractNum>
  <w:abstractNum w:abstractNumId="163">
    <w:nsid w:val="2123D5F2"/>
    <w:multiLevelType w:val="hybridMultilevel"/>
    <w:lvl w:ilvl="0">
      <w:lvlJc w:val="left"/>
      <w:lvlText w:val="(%1)"/>
      <w:numFmt w:val="lowerLetter"/>
      <w:start w:val="61"/>
    </w:lvl>
    <w:lvl w:ilvl="1">
      <w:lvlJc w:val="left"/>
      <w:lvlText w:val="%2"/>
      <w:numFmt w:val="lowerLetter"/>
      <w:start w:val="1"/>
    </w:lvl>
  </w:abstractNum>
  <w:abstractNum w:abstractNumId="164">
    <w:nsid w:val="135B8110"/>
    <w:multiLevelType w:val="hybridMultilevel"/>
    <w:lvl w:ilvl="0">
      <w:lvlJc w:val="left"/>
      <w:lvlText w:val="(%1)"/>
      <w:numFmt w:val="lowerLetter"/>
      <w:start w:val="3"/>
    </w:lvl>
    <w:lvl w:ilvl="1">
      <w:lvlJc w:val="left"/>
      <w:lvlText w:val="(%2)"/>
      <w:numFmt w:val="decimal"/>
      <w:start w:val="1"/>
    </w:lvl>
  </w:abstractNum>
  <w:abstractNum w:abstractNumId="165">
    <w:nsid w:val="94927A8"/>
    <w:multiLevelType w:val="hybridMultilevel"/>
    <w:lvl w:ilvl="0">
      <w:lvlJc w:val="left"/>
      <w:lvlText w:val="%1"/>
      <w:numFmt w:val="lowerRoman"/>
      <w:start w:val="1"/>
    </w:lvl>
    <w:lvl w:ilvl="1">
      <w:lvlJc w:val="left"/>
      <w:lvlText w:val="(%2)"/>
      <w:numFmt w:val="decimal"/>
      <w:start w:val="3"/>
    </w:lvl>
  </w:abstractNum>
  <w:abstractNum w:abstractNumId="166">
    <w:nsid w:val="DCDF8F6"/>
    <w:multiLevelType w:val="hybridMultilevel"/>
    <w:lvl w:ilvl="0">
      <w:lvlJc w:val="left"/>
      <w:lvlText w:val="(%1)"/>
      <w:numFmt w:val="lowerRoman"/>
      <w:start w:val="2"/>
    </w:lvl>
    <w:lvl w:ilvl="1">
      <w:lvlJc w:val="left"/>
      <w:lvlText w:val="%2"/>
      <w:numFmt w:val="decimal"/>
      <w:start w:val="1"/>
    </w:lvl>
  </w:abstractNum>
  <w:abstractNum w:abstractNumId="167">
    <w:nsid w:val="52D7B105"/>
    <w:multiLevelType w:val="hybridMultilevel"/>
    <w:lvl w:ilvl="0">
      <w:lvlJc w:val="left"/>
      <w:lvlText w:val="%1"/>
      <w:numFmt w:val="lowerLetter"/>
      <w:start w:val="1"/>
    </w:lvl>
    <w:lvl w:ilvl="1">
      <w:lvlJc w:val="left"/>
      <w:lvlText w:val="(%2)"/>
      <w:numFmt w:val="lowerLetter"/>
      <w:start w:val="1"/>
    </w:lvl>
  </w:abstractNum>
  <w:abstractNum w:abstractNumId="168">
    <w:nsid w:val="2E8A6394"/>
    <w:multiLevelType w:val="hybridMultilevel"/>
    <w:lvl w:ilvl="0">
      <w:lvlJc w:val="left"/>
      <w:lvlText w:val="(%1)"/>
      <w:numFmt w:val="lowerLetter"/>
      <w:start w:val="9"/>
    </w:lvl>
    <w:lvl w:ilvl="1">
      <w:lvlJc w:val="left"/>
      <w:lvlText w:val="%2"/>
      <w:numFmt w:val="lowerLetter"/>
      <w:start w:val="1"/>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lowerLetter"/>
      <w:start w:val="1"/>
    </w:lvl>
  </w:abstractNum>
  <w:abstractNum w:abstractNumId="171">
    <w:nsid w:val="BAAC1B4"/>
    <w:multiLevelType w:val="hybridMultilevel"/>
    <w:lvl w:ilvl="0">
      <w:lvlJc w:val="left"/>
      <w:lvlText w:val="(%1)"/>
      <w:numFmt w:val="lowerLetter"/>
      <w:start w:val="2"/>
    </w:lvl>
  </w:abstractNum>
  <w:abstractNum w:abstractNumId="172">
    <w:nsid w:val="36B2ACBC"/>
    <w:multiLevelType w:val="hybridMultilevel"/>
    <w:lvl w:ilvl="0">
      <w:lvlJc w:val="left"/>
      <w:lvlText w:val="(%1)"/>
      <w:numFmt w:val="lowerLetter"/>
      <w:start w:val="1"/>
    </w:lvl>
  </w:abstractNum>
  <w:abstractNum w:abstractNumId="173">
    <w:nsid w:val="779D8544"/>
    <w:multiLevelType w:val="hybridMultilevel"/>
    <w:lvl w:ilvl="0">
      <w:lvlJc w:val="left"/>
      <w:lvlText w:val="(%1)"/>
      <w:numFmt w:val="lowerLetter"/>
      <w:start w:val="1"/>
    </w:lvl>
    <w:lvl w:ilvl="1">
      <w:lvlJc w:val="left"/>
      <w:lvlText w:val="(%2)"/>
      <w:numFmt w:val="decimal"/>
      <w:start w:val="1"/>
    </w:lvl>
  </w:abstractNum>
  <w:abstractNum w:abstractNumId="174">
    <w:nsid w:val="4AB26E78"/>
    <w:multiLevelType w:val="hybridMultilevel"/>
    <w:lvl w:ilvl="0">
      <w:lvlJc w:val="left"/>
      <w:lvlText w:val="%1"/>
      <w:numFmt w:val="lowerLetter"/>
      <w:start w:val="1"/>
    </w:lvl>
    <w:lvl w:ilvl="1">
      <w:lvlJc w:val="left"/>
      <w:lvlText w:val="(%2)"/>
      <w:numFmt w:val="decimal"/>
      <w:start w:val="3"/>
    </w:lvl>
  </w:abstractNum>
  <w:abstractNum w:abstractNumId="175">
    <w:nsid w:val="21FAA2FA"/>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2019-12-15T14:43:54Z</dcterms:created>
  <dcterms:modified xsi:type="dcterms:W3CDTF">2019-12-15T14:43:54Z</dcterms:modified>
</cp:coreProperties>
</file>