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27,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20-2632505</w:t>
            </w:r>
          </w:p>
        </w:tc>
      </w:tr>
      <w:tr>
        <w:trPr>
          <w:trHeight w:val="149"/>
        </w:trPr>
        <w:tc>
          <w:tcPr>
            <w:tcW w:w="466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40" w:type="dxa"/>
            <w:vAlign w:val="bottom"/>
          </w:tcPr>
          <w:p>
            <w:pPr>
              <w:spacing w:after="0"/>
              <w:rPr>
                <w:sz w:val="24"/>
                <w:szCs w:val="24"/>
                <w:color w:val="auto"/>
              </w:rPr>
            </w:pPr>
          </w:p>
        </w:tc>
      </w:tr>
      <w:tr>
        <w:trPr>
          <w:trHeight w:val="225"/>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Centennial, Colorado</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5, 2014, the registrant had 128,259,925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6"/>
            <w:vMerge w:val="restart"/>
          </w:tcPr>
          <w:p>
            <w:pPr>
              <w:jc w:val="center"/>
              <w:ind w:right="47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6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Borders>
              <w:top w:val="single" w:sz="8" w:color="0000EE"/>
            </w:tcBorders>
            <w:gridSpan w:val="2"/>
          </w:tcPr>
          <w:p>
            <w:pPr>
              <w:spacing w:after="0"/>
              <w:rPr>
                <w:sz w:val="24"/>
                <w:szCs w:val="24"/>
                <w:color w:val="auto"/>
              </w:rPr>
            </w:pPr>
          </w:p>
        </w:tc>
        <w:tc>
          <w:tcPr>
            <w:tcW w:w="474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Condensed Balance Sheets</w:t>
              </w:r>
            </w:hyperlink>
          </w:p>
        </w:tc>
        <w:tc>
          <w:tcPr>
            <w:tcW w:w="69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Income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Statements of Comprehensive Income</w:t>
              </w:r>
            </w:hyperlink>
          </w:p>
        </w:tc>
        <w:tc>
          <w:tcPr>
            <w:tcW w:w="53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Statements of Cash Flows</w:t>
              </w:r>
            </w:hyperlink>
          </w:p>
        </w:tc>
        <w:tc>
          <w:tcPr>
            <w:tcW w:w="61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Financial Statements</w:t>
              </w:r>
            </w:hyperlink>
          </w:p>
        </w:tc>
        <w:tc>
          <w:tcPr>
            <w:tcW w:w="60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 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500" w:type="dxa"/>
            <w:vAlign w:val="bottom"/>
            <w:tcBorders>
              <w:top w:val="single" w:sz="8" w:color="0000EE"/>
            </w:tcBorders>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5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47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85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55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5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2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96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PART I</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960" w:type="dxa"/>
            <w:vAlign w:val="bottom"/>
          </w:tcPr>
          <w:p>
            <w:pPr>
              <w:jc w:val="center"/>
              <w:ind w:left="650"/>
              <w:spacing w:after="0"/>
              <w:rPr>
                <w:sz w:val="20"/>
                <w:szCs w:val="20"/>
                <w:color w:val="auto"/>
              </w:rPr>
            </w:pPr>
            <w:r>
              <w:rPr>
                <w:rFonts w:ascii="Arial" w:cs="Arial" w:eastAsia="Arial" w:hAnsi="Arial"/>
                <w:sz w:val="18"/>
                <w:szCs w:val="18"/>
                <w:b w:val="1"/>
                <w:bCs w:val="1"/>
                <w:color w:val="auto"/>
              </w:rPr>
              <w:t>NATIONAL CINEMEDIA, LLC</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96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96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(In millions)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960" w:type="dxa"/>
            <w:vAlign w:val="bottom"/>
          </w:tcPr>
          <w:p>
            <w:pPr>
              <w:jc w:val="center"/>
              <w:ind w:left="65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27,</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660" w:type="dxa"/>
            <w:vAlign w:val="bottom"/>
            <w:shd w:val="clear" w:color="auto" w:fill="CCEEFF"/>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Receivables, net of allowance of $5.4 and $5.7, respectively</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(including $0.2 and $0.0 to founding members, respectively)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Prepaid administrative fees to managing member</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notes receivable - founding members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Other current assets - related parties</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Property and equipment, net of accumulated depreciation of $70.9 and $69.5, respectively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Intangible assets, net of accumulated amortization of $53.4 and $48.7, respectively</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503.7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Debt issuance costs, net of accumulated amortization of $15.7 and $15.0, respectively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investments - related parties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23"/>
        </w:trPr>
        <w:tc>
          <w:tcPr>
            <w:tcW w:w="932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Amounts due to founding members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Amounts due to managing member</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Accrued payroll and related expenses</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 (including $0.7 and $0.8 to related party affiliates, respectively)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893.0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MEMBERS’ DEFICIT (including accumulated other comprehensive loss of $9.1 and $11.6, respectively)</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(292.9)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9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Advertising (including revenue from founding members of $9.5 and 8.9, respectively)</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70.2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7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Advertising operating costs (including $0.5 and $0.6 to related parties,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 operating costs (including $0.0 and $0.9 to founding members, respectively)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Selling and marketing costs (including $0.2 and $0.2 to founding members,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7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borrowings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Interest income (including $0.3 and $0.0 from founding members,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Other non-operating expense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30"/>
        </w:trPr>
        <w:tc>
          <w:tcPr>
            <w:tcW w:w="20" w:type="dxa"/>
            <w:vAlign w:val="bottom"/>
          </w:tcPr>
          <w:p>
            <w:pPr>
              <w:spacing w:after="0"/>
              <w:rPr>
                <w:sz w:val="20"/>
                <w:szCs w:val="20"/>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(LOSS) INCOME BEFORE INCOME TAXES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9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28,</w:t>
            </w:r>
          </w:p>
        </w:tc>
        <w:tc>
          <w:tcPr>
            <w:tcW w:w="60" w:type="dxa"/>
            <w:vAlign w:val="bottom"/>
          </w:tcPr>
          <w:p>
            <w:pPr>
              <w:spacing w:after="0"/>
              <w:rPr>
                <w:sz w:val="10"/>
                <w:szCs w:val="10"/>
                <w:color w:val="auto"/>
              </w:rPr>
            </w:pPr>
          </w:p>
        </w:tc>
      </w:tr>
      <w:tr>
        <w:trPr>
          <w:trHeight w:val="171"/>
        </w:trPr>
        <w:tc>
          <w:tcPr>
            <w:tcW w:w="9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 net of tax of $0 and $0,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0"/>
        </w:trPr>
        <w:tc>
          <w:tcPr>
            <w:tcW w:w="9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share-based compensation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060"/>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Amounts due to founding members and managing member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10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Payment from founding members for intangible assets</w:t>
            </w:r>
          </w:p>
        </w:tc>
        <w:tc>
          <w:tcPr>
            <w:tcW w:w="14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intangible assets from affiliate circuits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Proceeds from borrowings</w:t>
            </w: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borrowings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Founding member integration payments</w:t>
            </w: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to founding members and managing member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Unit settlement for share-based compensation</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r>
      <w:tr>
        <w:trPr>
          <w:trHeight w:val="119"/>
        </w:trPr>
        <w:tc>
          <w:tcPr>
            <w:tcW w:w="954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Pr>
          <w:p>
            <w:pPr>
              <w:spacing w:after="0"/>
              <w:rPr>
                <w:sz w:val="10"/>
                <w:szCs w:val="10"/>
                <w:color w:val="auto"/>
              </w:rPr>
            </w:pPr>
          </w:p>
        </w:tc>
      </w:tr>
      <w:tr>
        <w:trPr>
          <w:trHeight w:val="171"/>
        </w:trPr>
        <w:tc>
          <w:tcPr>
            <w:tcW w:w="9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Purchase of an intangible asset with managing member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NCM LLC operates the largest digital in-theatre network in North America, allowing NCM LLC to sell advertising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9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27, 2014, NCM LLC had 128,259,925 common membership units outstanding, of which 58,716,346 (45.8%) were owned by NCM, Inc., 25,792,942 (20.1%) were owned by Regal, 24,556,136 (19.1%) were owned by Cinemark and 19,194,501 (15.0%) were owned by AMC. The membership units held by the founding members are exchangeable into NCM, Inc. common stock on a one-for-one basis.</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as described further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26, 2013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26, 2013.</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3—Related Party Transactions, the operating results as presented are not necessarily indicative of the results that might have occurred if all agreements were with non-related third parties.</w:t>
      </w:r>
    </w:p>
    <w:p>
      <w:pPr>
        <w:spacing w:after="0" w:line="17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December 26, 2013 contain a complete discussion of the Company’s significant accounting policies.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—Advertising is the principal business activity of the Company and is the Company’s reportable segment under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Until its sale, Fathom Events was an operating segment under ASC 280, but did not meet the annual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unaudited condensed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16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—Bad debts are provided for using the allowance for doubtful accounts method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As of March 27, 2014 and December 26, 2013, there were no advertising agency groups or individual customers through which the Company sources national advertising revenue representing more than 10% of the Company’s outstanding gross receivable balance. During the three months ended March 27, 2014, revenue related to our founding members’ beverage supplier accounted for 13.3% of total revenue. During the three months ended March 28, 2013, there were no customers that accounted for more than 10% of revenue.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Equity Incentive Plan. NCM, Inc. has issued stock options, restricted stock and restricted stock units under the NCM, Inc. Equity Incentive Plan. In 2014 and 2013, the Company did not grant stock options. Restricted stock and restricted stock units granted prior to 2013 vest upon the achievement of NCM, Inc. performance measures and service conditions. In 2013, NCM, Inc. granted restricted stock and restricted stock units that vest upon the achievement of NCM, Inc. performance measures and service conditions, or only service conditions. In 2014, restricted stock grants for NCM, Inc. officers vest upon the achievement of NCM, Inc. performance measures and service conditions, or only service conditions, while non-officers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NCM, Inc.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During the three months ended March 27, 2014, NCM, Inc. acquired 197,209 units due to the vesting of restricted stock and restricted stock units and exercise of stock options and contributed $0.5 million to NCM LLC for the three months ended March 27, 2014.</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NCM, Inc.’s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—The Company has considered all recently issued accounting pronouncements and does not believe the adoption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accordance with NCM LLC’s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2014 and 2013, we issued 1,087,911 and 4,536,014 common membership units to our founding members, respectively, for the rights to exclusive access to net new theatre screens and attendees added by the founding members to NCM LLC’s network during the previous year. The Company recorded a net intangible asset of $16.4 million and $69.0 million during the first quarter of 2014 and 2013, respectively, as a result of the Common Unit Adjustments.</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they are required to make payments on a quarterly basis in arrears in accordance with certain run-out provisions pursuant to the ESAs (“integration payments”). During the three months ended March 27, 2014, the Company recorded a reduction to net intangible assets of $0.2 million related to integration payments due from AMC and Cinemark related to their acquisitions of theatres from Rave Cinemas that are encumbered by an existing on-screen advertising agreement with an alternative provider. During the three months ended March 27, 2014 and March 28, 2013, AMC and Cinemark paid a total of $0.7 million and $0.0 million, respectively, in integration payments.</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Founding Member and Managing Member Transactions</w:t>
      </w:r>
      <w:r>
        <w:rPr>
          <w:rFonts w:ascii="Arial" w:cs="Arial" w:eastAsia="Arial" w:hAnsi="Arial"/>
          <w:sz w:val="18"/>
          <w:szCs w:val="18"/>
          <w:color w:val="auto"/>
        </w:rPr>
        <w:t>—Following is a summary of the transactions between the Company and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its managing member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Included in the Condensed Statements of Income:</w:t>
            </w: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82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Revenue:</w:t>
            </w:r>
          </w:p>
        </w:tc>
        <w:tc>
          <w:tcPr>
            <w:tcW w:w="47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Beverage concessionaire revenue (included in advertising</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4"/>
          </w:tcPr>
          <w:p>
            <w:pPr>
              <w:ind w:left="54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(1)</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Advertising inventory revenue (included in advertising revenue)</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(2)</w:t>
            </w:r>
          </w:p>
        </w:tc>
        <w:tc>
          <w:tcPr>
            <w:tcW w:w="34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400" w:type="dxa"/>
            <w:vAlign w:val="bottom"/>
            <w:gridSpan w:val="4"/>
          </w:tcPr>
          <w:p>
            <w:pPr>
              <w:spacing w:after="0" w:line="176"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7"/>
              </w:rPr>
              <w:t>Revenue share from Fathom Events (included in Fathom Events</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4"/>
          </w:tcPr>
          <w:p>
            <w:pPr>
              <w:ind w:left="540"/>
              <w:spacing w:after="0"/>
              <w:rPr>
                <w:sz w:val="20"/>
                <w:szCs w:val="20"/>
                <w:color w:val="auto"/>
              </w:rPr>
            </w:pPr>
            <w:r>
              <w:rPr>
                <w:rFonts w:ascii="Arial" w:cs="Arial" w:eastAsia="Arial" w:hAnsi="Arial"/>
                <w:sz w:val="18"/>
                <w:szCs w:val="18"/>
                <w:color w:val="auto"/>
              </w:rPr>
              <w:t>operating costs) (4</w:t>
            </w:r>
            <w:r>
              <w:rPr>
                <w:rFonts w:ascii="Arial" w:cs="Arial" w:eastAsia="Arial" w:hAnsi="Arial"/>
                <w:sz w:val="18"/>
                <w:szCs w:val="18"/>
                <w:i w:val="1"/>
                <w:iCs w:val="1"/>
                <w:color w:val="auto"/>
              </w:rPr>
              <w: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Purchase of movie tickets and concession products (included in</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(5)</w:t>
            </w: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4"/>
          </w:tcPr>
          <w:p>
            <w:pPr>
              <w:ind w:left="360"/>
              <w:spacing w:after="0"/>
              <w:rPr>
                <w:sz w:val="20"/>
                <w:szCs w:val="20"/>
                <w:color w:val="auto"/>
              </w:rPr>
            </w:pPr>
            <w:r>
              <w:rPr>
                <w:rFonts w:ascii="Arial" w:cs="Arial" w:eastAsia="Arial" w:hAnsi="Arial"/>
                <w:sz w:val="18"/>
                <w:szCs w:val="18"/>
                <w:color w:val="auto"/>
              </w:rPr>
              <w:t xml:space="preserve">Administrative fee—managing member </w:t>
            </w:r>
            <w:r>
              <w:rPr>
                <w:rFonts w:ascii="Arial" w:cs="Arial" w:eastAsia="Arial" w:hAnsi="Arial"/>
                <w:sz w:val="18"/>
                <w:szCs w:val="18"/>
                <w:i w:val="1"/>
                <w:iCs w:val="1"/>
                <w:color w:val="auto"/>
              </w:rPr>
              <w:t>(6)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8"/>
              </w:rPr>
              <w:t>Non-operating expenses:</w:t>
            </w:r>
          </w:p>
        </w:tc>
        <w:tc>
          <w:tcPr>
            <w:tcW w:w="36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Interest income from notes receivable (included in interest</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4"/>
          </w:tcPr>
          <w:p>
            <w:pPr>
              <w:ind w:left="54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(7)</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6"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For the three months ended March 27, 2014 and March 28, 2013,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44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right="24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payments were at rates (percentage of event revenue) included in the previous ESAs based on the nature of the event.</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460" w:right="80" w:hanging="452"/>
        <w:spacing w:after="0" w:line="295" w:lineRule="auto"/>
        <w:tabs>
          <w:tab w:leader="none" w:pos="460" w:val="left"/>
        </w:tabs>
        <w:numPr>
          <w:ilvl w:val="0"/>
          <w:numId w:val="1"/>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56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27,</w:t>
            </w:r>
          </w:p>
        </w:tc>
        <w:tc>
          <w:tcPr>
            <w:tcW w:w="1640" w:type="dxa"/>
            <w:vAlign w:val="bottom"/>
            <w:gridSpan w:val="3"/>
          </w:tcPr>
          <w:p>
            <w:pPr>
              <w:ind w:left="80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Purchase of movie tickets and concession products (included in Prepaid</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i w:val="1"/>
                <w:iCs w:val="1"/>
                <w:color w:val="auto"/>
              </w:rPr>
              <w:t>(1)</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 portion of notes receivable—founding members </w:t>
            </w:r>
            <w:r>
              <w:rPr>
                <w:rFonts w:ascii="Arial" w:cs="Arial" w:eastAsia="Arial" w:hAnsi="Arial"/>
                <w:sz w:val="18"/>
                <w:szCs w:val="18"/>
                <w:i w:val="1"/>
                <w:iCs w:val="1"/>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xml:space="preserve">Long-term portion of notes receivable—founding members </w:t>
            </w:r>
            <w:r>
              <w:rPr>
                <w:rFonts w:ascii="Arial" w:cs="Arial" w:eastAsia="Arial" w:hAnsi="Arial"/>
                <w:sz w:val="18"/>
                <w:szCs w:val="18"/>
                <w:i w:val="1"/>
                <w:iCs w:val="1"/>
                <w:color w:val="auto"/>
              </w:rPr>
              <w:t>(3)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receivable on notes receivable </w:t>
            </w:r>
            <w:r>
              <w:rPr>
                <w:rFonts w:ascii="Arial" w:cs="Arial" w:eastAsia="Arial" w:hAnsi="Arial"/>
                <w:sz w:val="18"/>
                <w:szCs w:val="18"/>
                <w:i w:val="1"/>
                <w:iCs w:val="1"/>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9"/>
              </w:rPr>
              <w:t>Common unit adjustments and integration payments, net of amortization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 xml:space="preserve">(included in intangible assets) </w:t>
            </w:r>
            <w:r>
              <w:rPr>
                <w:rFonts w:ascii="Arial" w:cs="Arial" w:eastAsia="Arial" w:hAnsi="Arial"/>
                <w:sz w:val="18"/>
                <w:szCs w:val="18"/>
                <w:i w:val="1"/>
                <w:iCs w:val="1"/>
                <w:color w:val="auto"/>
              </w:rPr>
              <w:t>(4)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474.7</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rFonts w:ascii="Arial" w:cs="Arial" w:eastAsia="Arial" w:hAnsi="Arial"/>
          <w:sz w:val="18"/>
          <w:szCs w:val="18"/>
          <w:i w:val="1"/>
          <w:iCs w:val="1"/>
          <w:color w:val="auto"/>
        </w:rPr>
      </w:pPr>
    </w:p>
    <w:p>
      <w:pPr>
        <w:ind w:left="460" w:right="40" w:hanging="452"/>
        <w:spacing w:after="0" w:line="281" w:lineRule="auto"/>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integration payments.</w:t>
      </w:r>
    </w:p>
    <w:p>
      <w:pPr>
        <w:spacing w:after="0" w:line="21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We have been granted a perpetual, royalty-free license from our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our founding members.</w:t>
      </w:r>
    </w:p>
    <w:p>
      <w:pPr>
        <w:spacing w:after="0" w:line="16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Initial Public Offering (“IPO”), NCM LLC is required to make mandatory distributions on a proportionate basis to its members of available cash, as defined in the NCM LLC Operating Agreement, on a quarterly basis in arrears. Mandatory distributions for the three months ended March 27, 2014 and March 28, 2013 are as follows (in millions):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27, 2014</w:t>
            </w:r>
          </w:p>
        </w:tc>
        <w:tc>
          <w:tcPr>
            <w:tcW w:w="1880" w:type="dxa"/>
            <w:vAlign w:val="bottom"/>
            <w:gridSpan w:val="3"/>
          </w:tcPr>
          <w:p>
            <w:pPr>
              <w:ind w:left="920"/>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w:t>
            </w:r>
          </w:p>
        </w:tc>
        <w:tc>
          <w:tcPr>
            <w:tcW w:w="2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Cinemark</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NCM, Inc.</w:t>
            </w:r>
          </w:p>
        </w:tc>
        <w:tc>
          <w:tcPr>
            <w:tcW w:w="2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mandatory distributions of available cash by NCM LLC to its founding members for the three months ended March 27, 2014 of $6.2 million is included in amounts due to founding members on the unaudited Condensed Balance Sheets as of March 27, 2014 and will be made in the second quarter of 2014. The mandatory distributions of available cash by NCM LLC to its managing member for the three months ended March 27, 2014 of $5.3 million is included in amounts due to managing member on the unaudited Condensed Balance Sheets as of March 27, 2014 and will be made in the second quarter of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March 27, 2014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ind w:left="20"/>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Regal</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$ 0.7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$ 1.2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10"/>
          </w:tcPr>
          <w:p>
            <w:pPr>
              <w:spacing w:after="0"/>
              <w:rPr>
                <w:sz w:val="20"/>
                <w:szCs w:val="20"/>
                <w:color w:val="auto"/>
              </w:rPr>
            </w:pPr>
            <w:r>
              <w:rPr>
                <w:rFonts w:ascii="Arial" w:cs="Arial" w:eastAsia="Arial" w:hAnsi="Arial"/>
                <w:sz w:val="18"/>
                <w:szCs w:val="18"/>
                <w:color w:val="auto"/>
                <w:w w:val="93"/>
              </w:rPr>
              <w:t>Amounts due to founding members as of December 26, 2013 were comprised of the following (in millions):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Regal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$ 0.6</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860" w:type="dxa"/>
            <w:vAlign w:val="bottom"/>
            <w:gridSpan w:val="7"/>
          </w:tcPr>
          <w:p>
            <w:pPr>
              <w:jc w:val="right"/>
              <w:ind w:right="1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85"/>
              <w:spacing w:after="0"/>
              <w:rPr>
                <w:sz w:val="20"/>
                <w:szCs w:val="20"/>
                <w:color w:val="auto"/>
              </w:rPr>
            </w:pPr>
            <w:r>
              <w:rPr>
                <w:rFonts w:ascii="Arial" w:cs="Arial" w:eastAsia="Arial" w:hAnsi="Arial"/>
                <w:sz w:val="18"/>
                <w:szCs w:val="18"/>
                <w:color w:val="auto"/>
              </w:rPr>
              <w:t>(0.7)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(0.6)</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5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9"/>
                <w:szCs w:val="19"/>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Amounts due to/from managing member were comprised of the following (in millions):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4"/>
                <w:szCs w:val="14"/>
                <w:b w:val="1"/>
                <w:bCs w:val="1"/>
                <w:color w:val="auto"/>
                <w:w w:val="97"/>
              </w:rPr>
              <w:t>As of</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w w:val="99"/>
              </w:rPr>
              <w:t>March 27,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60" w:type="dxa"/>
            <w:vAlign w:val="bottom"/>
            <w:gridSpan w:val="7"/>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2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gridSpan w:val="4"/>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—Following is a summary of the transactions between NCM LLC and AC JV, LLC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w w:val="91"/>
              </w:rPr>
              <w:t>Included in the Condensed Statements of Income:</w:t>
            </w:r>
          </w:p>
        </w:tc>
        <w:tc>
          <w:tcPr>
            <w:tcW w:w="164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84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Transition services (included in network costs) </w:t>
            </w:r>
            <w:r>
              <w:rPr>
                <w:rFonts w:ascii="Arial" w:cs="Arial" w:eastAsia="Arial" w:hAnsi="Arial"/>
                <w:sz w:val="18"/>
                <w:szCs w:val="18"/>
                <w:i w:val="1"/>
                <w:iCs w:val="1"/>
                <w:color w:val="auto"/>
              </w:rPr>
              <w:t>(1)</w:t>
            </w:r>
          </w:p>
        </w:tc>
        <w:tc>
          <w:tcPr>
            <w:tcW w:w="10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0.1</w:t>
            </w:r>
          </w:p>
        </w:tc>
        <w:tc>
          <w:tcPr>
            <w:tcW w:w="8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These fees received by NCM LLC are included as an offset to network costs in the unaudited Condensed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Included in the Condensed Balance Sheets:</w:t>
            </w:r>
          </w:p>
        </w:tc>
        <w:tc>
          <w:tcPr>
            <w:tcW w:w="5540" w:type="dxa"/>
            <w:vAlign w:val="bottom"/>
            <w:vMerge w:val="restart"/>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vMerge w:val="continue"/>
          </w:tcPr>
          <w:p>
            <w:pPr>
              <w:spacing w:after="0"/>
              <w:rPr>
                <w:sz w:val="12"/>
                <w:szCs w:val="12"/>
                <w:color w:val="auto"/>
              </w:rPr>
            </w:pPr>
          </w:p>
        </w:tc>
        <w:tc>
          <w:tcPr>
            <w:tcW w:w="5540" w:type="dxa"/>
            <w:vAlign w:val="bottom"/>
            <w:vMerge w:val="continue"/>
          </w:tcPr>
          <w:p>
            <w:pPr>
              <w:spacing w:after="0"/>
              <w:rPr>
                <w:sz w:val="12"/>
                <w:szCs w:val="12"/>
                <w:color w:val="auto"/>
              </w:rPr>
            </w:pPr>
          </w:p>
        </w:tc>
        <w:tc>
          <w:tcPr>
            <w:tcW w:w="11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4"/>
              </w:rPr>
              <w:t>March 27, 2014</w:t>
            </w:r>
          </w:p>
        </w:tc>
        <w:tc>
          <w:tcPr>
            <w:tcW w:w="780" w:type="dxa"/>
            <w:vAlign w:val="bottom"/>
          </w:tcPr>
          <w:p>
            <w:pPr>
              <w:spacing w:after="0"/>
              <w:rPr>
                <w:sz w:val="12"/>
                <w:szCs w:val="12"/>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December 26,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Amounts due from AC JV, LLC (included in other current assets) </w:t>
            </w:r>
            <w:r>
              <w:rPr>
                <w:rFonts w:ascii="Arial" w:cs="Arial" w:eastAsia="Arial" w:hAnsi="Arial"/>
                <w:sz w:val="18"/>
                <w:szCs w:val="18"/>
                <w:i w:val="1"/>
                <w:iCs w:val="1"/>
                <w:color w:val="auto"/>
              </w:rPr>
              <w:t>(1)</w:t>
            </w:r>
          </w:p>
        </w:tc>
        <w:tc>
          <w:tcPr>
            <w:tcW w:w="420" w:type="dxa"/>
            <w:vAlign w:val="bottom"/>
            <w:tcBorders>
              <w:top w:val="single" w:sz="8" w:color="auto"/>
            </w:tcBorders>
            <w:shd w:val="clear" w:color="auto" w:fill="CCEEFF"/>
          </w:tcPr>
          <w:p>
            <w:pPr>
              <w:jc w:val="right"/>
              <w:ind w:right="239"/>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Investment in AC JV, LLC (included in other investments) </w:t>
            </w:r>
            <w:r>
              <w:rPr>
                <w:rFonts w:ascii="Arial" w:cs="Arial" w:eastAsia="Arial" w:hAnsi="Arial"/>
                <w:sz w:val="18"/>
                <w:szCs w:val="18"/>
                <w:i w:val="1"/>
                <w:iCs w:val="1"/>
                <w:color w:val="auto"/>
              </w:rPr>
              <w:t>(2)</w:t>
            </w:r>
          </w:p>
        </w:tc>
        <w:tc>
          <w:tcPr>
            <w:tcW w:w="4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342"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As described above, NCM LLC entered into a transition services agreement with AC JV, LLC for reimbursement of certain expenses and NCM LLC continued to perform back office accounting and as such, these amounts primarily represent the settlement of AC JV, LLC’s revenue and expenses.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60" w:hanging="452"/>
        <w:spacing w:after="0" w:line="272" w:lineRule="auto"/>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 xml:space="preserve">The Company accounted for its investment in AC JV, LLC under the equity method of accounting in accordance with ASC 970-323,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Joint Ventures </w:t>
      </w:r>
      <w:r>
        <w:rPr>
          <w:rFonts w:ascii="Arial" w:cs="Arial" w:eastAsia="Arial" w:hAnsi="Arial"/>
          <w:sz w:val="17"/>
          <w:szCs w:val="17"/>
          <w:color w:val="auto"/>
        </w:rPr>
        <w:t>(“ASC 970-323”) because AC JV, LLC is a limited liability company with the characteristics of a limited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and ASC 970-323 requires the use of equity method accounting unless the Company’s interest is so minor that it would have 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 The Company’s proportional share of equity in the earnings of AC JV, LLC is recorded within other non-operating income (expense) in the unaudited Condensed Statements of Income.</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Following is a summary of advertising operating costs in the unaudited Condensed Statements of Income between the Company and its related party affiliates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Party Affiliate</w:t>
            </w:r>
          </w:p>
        </w:tc>
        <w:tc>
          <w:tcPr>
            <w:tcW w:w="2600" w:type="dxa"/>
            <w:vAlign w:val="bottom"/>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27,</w:t>
            </w:r>
          </w:p>
        </w:tc>
        <w:tc>
          <w:tcPr>
            <w:tcW w:w="13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5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unaudited Condensed Balance Sheets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Party Affiliate</w:t>
            </w:r>
          </w:p>
        </w:tc>
        <w:tc>
          <w:tcPr>
            <w:tcW w:w="24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16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46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one of NCM, Inc.’s directors.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—NCM LLC has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During the three months ended March 27, 2014 and March 28, 2013, this company generated approximately $0.1 million and $0.1 million, respectively, in revenue for NCM LLC and there was approximately $0.6 million and $0.6 million of accounts receivable due from this company as of March 27, 2014 and December 26, 2013,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March 27, 2014 and December 26, 2013 and the significant terms of its borrowing arrangements.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2"/>
              </w:rPr>
              <w:t>Outstanding Balance as of</w:t>
            </w:r>
          </w:p>
        </w:tc>
        <w:tc>
          <w:tcPr>
            <w:tcW w:w="2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Maturity</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 xml:space="preserve">Borrowings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266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52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266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26, 2017</w:t>
            </w:r>
            <w:r>
              <w:rPr>
                <w:rFonts w:ascii="Arial" w:cs="Arial" w:eastAsia="Arial" w:hAnsi="Arial"/>
                <w:sz w:val="18"/>
                <w:szCs w:val="18"/>
                <w:i w:val="1"/>
                <w:iCs w:val="1"/>
                <w:color w:val="auto"/>
                <w:w w:val="92"/>
              </w:rPr>
              <w:t>(1)</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270.0</w:t>
            </w:r>
          </w:p>
        </w:tc>
        <w:tc>
          <w:tcPr>
            <w:tcW w:w="520" w:type="dxa"/>
            <w:vAlign w:val="bottom"/>
          </w:tcPr>
          <w:p>
            <w:pPr>
              <w:spacing w:after="0"/>
              <w:rPr>
                <w:sz w:val="18"/>
                <w:szCs w:val="18"/>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November 26, 2019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July 15, 2021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7.875%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19"/>
                <w:szCs w:val="19"/>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April 15, 2022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80" w:type="dxa"/>
            <w:vAlign w:val="bottom"/>
            <w:gridSpan w:val="3"/>
          </w:tcPr>
          <w:p>
            <w:pPr>
              <w:ind w:left="360"/>
              <w:spacing w:after="0"/>
              <w:rPr>
                <w:sz w:val="20"/>
                <w:szCs w:val="20"/>
                <w:color w:val="auto"/>
              </w:rPr>
            </w:pPr>
            <w:r>
              <w:rPr>
                <w:rFonts w:ascii="Arial" w:cs="Arial" w:eastAsia="Arial" w:hAnsi="Arial"/>
                <w:sz w:val="18"/>
                <w:szCs w:val="18"/>
                <w:color w:val="auto"/>
              </w:rPr>
              <w:t>Less: current portion of long-term debt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1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i w:val="1"/>
          <w:iCs w:val="1"/>
          <w:color w:val="auto"/>
        </w:rPr>
        <w:t>—</w:t>
      </w:r>
      <w:r>
        <w:rPr>
          <w:rFonts w:ascii="Arial" w:cs="Arial" w:eastAsia="Arial" w:hAnsi="Arial"/>
          <w:sz w:val="17"/>
          <w:szCs w:val="17"/>
          <w:color w:val="auto"/>
        </w:rPr>
        <w:t>The Company’s senior secured credit facility consists of a $124.0 million revolving credit facility and a $270.0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term loan. On May 2, 2013, the Company entered into an amendment of its senior secured credit facility whereby the facility was increased from $265.0 million to $270.0 million. In connection with the amendment, the interest rates on the revolving credit facility and term loans were reduced as described further below. The obligations under the facility are secured by a lien on substantially all of the assets of the Company.</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total availability under the revolving credit facility is $124.0 million. The unused line fee is 0.50% per annum. Of the total available,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$14.0 million outstanding principal of the revolving credit facility will not be repaid in connection with any future prepayments of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This portion of the revolving credit facility will be paid in full by the Company, along with any accrued and unpaid fees and interest,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The maturity date applicable to any remaining outstanding revolving credit facility principal is November 26, 2017.</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On May 2, 2013, the Company entered into an amendment of its senior secured credit facility whereby the applicable margins on the $110.0 million portion of the revolving credit facility decreased by 25 basis points to the LIBOR index plus 2.00% or the base rate plus 1.00%. The margins on the $14.0 million portion of the revolving credit facility discussed above remained unchanged at the LIBOR index plus 1.50% or the base rate plus 0.50%. The weighted-average interest rate on the outstanding balance on the revolving credit facility as of March 27, 2014 was 2.16%.</w:t>
      </w:r>
    </w:p>
    <w:p>
      <w:pPr>
        <w:spacing w:after="0" w:line="17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In connection with the amendment of its senior secured credit facility on May 2, 2013, the interest rate on the term loans decreased by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a rate at the Company’s option of either the LIBOR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index plus 2.75% or the base rate (Prime Rate or the Federal Funds Effective Rate, as defined in the senior secured credit facility) plus 1.75%. The weighted-average interest rate on the term loans as of March 27, 2014 was 2.91%. Interest on the term loans is currently paid monthly.</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March 27, 2014,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March 27, 2014, the Company’s consolidated net senior secured leverage ratio was 3.1 times (versus the covenant of 6.5 times).</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i w:val="1"/>
          <w:iCs w:val="1"/>
          <w:color w:val="auto"/>
        </w:rPr>
        <w:t>—</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March 27, 2014.</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i w:val="1"/>
          <w:iCs w:val="1"/>
          <w:color w:val="auto"/>
        </w:rPr>
        <w:t>—</w:t>
      </w:r>
      <w:r>
        <w:rPr>
          <w:rFonts w:ascii="Arial" w:cs="Arial" w:eastAsia="Arial" w:hAnsi="Arial"/>
          <w:sz w:val="17"/>
          <w:szCs w:val="17"/>
          <w:color w:val="auto"/>
        </w:rPr>
        <w:t>On April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covenants with which the Company was in compliance as of March 27,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$40.9 million over the remaining terms of the network affiliate agreements. As of March 27, 2014 and December 26, 2013, the Company had no liabilities recorded for these obligations as such guarantees are less than the expected share of revenue paid to the affiliate.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jc w:val="right"/>
        <w:ind w:right="562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69"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Long-Lived Assets, Intangible Assets, Other Investments and Notes Receivable </w:t>
      </w:r>
      <w:r>
        <w:rPr>
          <w:rFonts w:ascii="Arial" w:cs="Arial" w:eastAsia="Arial" w:hAnsi="Arial"/>
          <w:sz w:val="16"/>
          <w:szCs w:val="16"/>
          <w:color w:val="auto"/>
        </w:rPr>
        <w:t>—The Company regularly reviews long-lived assets (primarily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54"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of March 27, 2014 and December 26, 2013, the Company had other investments of $1.1 million, which was comprised of the Company’s investment in AC JV, LLC. As of December 26, 2013, this investment was valued using comparative market multiples. As the inputs to the determination of fair value are based upon non-identical assets and use significant unobservable inputs, we have classified the assets as Level 3 in the fair value hierarchy. The fair value of the investments was not estimated as of March 27, 2014 as there were no identified events or changes in circumstances that had a significant adverse effect on the fair value of the investments, and it is not practicable to do so because the equity securities are not in a publicly traded company.</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of March 27, 2014 and December 26, 2013, the Company had notes receivable totaling $25.0 million from its founding members related to the sale of Fathom Events, as described in Note 3</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As of December 26, 2013, these notes were valued using comparative market multiples and are classified as Level 3 in the fair value hierarchy as the inputs to the determination of fair value are based upon non-identical assets and use significant unobservable inputs. The fair value of the notes was not estimated as of March 27, 2014 as there were no identified events or changes in circumstances that had a significant adverse effect on the fair value of the notes receivable.</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1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As of March 27, 2014</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26,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Carrying Value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Term Loans</w:t>
            </w:r>
          </w:p>
        </w:tc>
        <w:tc>
          <w:tcPr>
            <w:tcW w:w="23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221.4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March 27, 2014 and December 26, 2013, the Company did not have any outstanding derivative assets or liabilities.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is being amortized into earnings over the remaining life of the original interest rate swap agreement, or February 13, 2015, as long as the debt remains outstanding.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March 27, 2014, there was approximately $9.1 million outstanding related to these discontinued cash flow hedges which continues to be reported in AOCI and will be amortized into earnings in the next twelve months.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three months ended March 27, 2014 and March 28, 2013 were as follows (in millions):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280" w:hanging="359"/>
        <w:spacing w:after="0" w:line="271" w:lineRule="auto"/>
        <w:rPr>
          <w:sz w:val="20"/>
          <w:szCs w:val="20"/>
          <w:color w:val="auto"/>
        </w:rPr>
      </w:pPr>
      <w:r>
        <w:rPr>
          <w:rFonts w:ascii="Arial" w:cs="Arial" w:eastAsia="Arial" w:hAnsi="Arial"/>
          <w:sz w:val="18"/>
          <w:szCs w:val="18"/>
          <w:color w:val="auto"/>
        </w:rPr>
        <w:t>Balance at beginning of period Amounts reclassified from AOCI: Amortization on discontinued cash flow hedges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Income Statement</w:t>
            </w:r>
          </w:p>
        </w:tc>
      </w:tr>
      <w:tr>
        <w:trPr>
          <w:trHeight w:val="142"/>
        </w:trPr>
        <w:tc>
          <w:tcPr>
            <w:tcW w:w="20" w:type="dxa"/>
            <w:vAlign w:val="bottom"/>
          </w:tcPr>
          <w:p>
            <w:pPr>
              <w:spacing w:after="0"/>
              <w:rPr>
                <w:sz w:val="12"/>
                <w:szCs w:val="12"/>
                <w:color w:val="auto"/>
              </w:rPr>
            </w:pPr>
          </w:p>
        </w:tc>
        <w:tc>
          <w:tcPr>
            <w:tcW w:w="9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March 27, 2014</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620" w:type="dxa"/>
            <w:vAlign w:val="bottom"/>
          </w:tcPr>
          <w:p>
            <w:pPr>
              <w:spacing w:after="0"/>
              <w:rPr>
                <w:sz w:val="12"/>
                <w:szCs w:val="12"/>
                <w:color w:val="auto"/>
              </w:rPr>
            </w:pPr>
          </w:p>
        </w:tc>
        <w:tc>
          <w:tcPr>
            <w:tcW w:w="1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198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3"/>
              </w:rPr>
              <w:t>Amortization of terminated</w:t>
            </w: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2.5</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derivatives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-565150</wp:posOffset>
            </wp:positionV>
            <wp:extent cx="608012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-282575</wp:posOffset>
            </wp:positionV>
            <wp:extent cx="608012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620"/>
            <w:col w:w="6040"/>
          </w:cols>
          <w:pgMar w:left="240" w:top="459" w:right="279" w:bottom="1440" w:gutter="0" w:footer="0" w:header="0"/>
          <w:type w:val="continuous"/>
        </w:sectPr>
      </w:pPr>
    </w:p>
    <w:tbl>
      <w:tblPr>
        <w:tblLayout w:type="fixed"/>
        <w:tblInd w:w="920" w:type="dxa"/>
        <w:tblCellMar>
          <w:top w:w="0" w:type="dxa"/>
          <w:left w:w="0" w:type="dxa"/>
          <w:bottom w:w="0" w:type="dxa"/>
          <w:right w:w="0" w:type="dxa"/>
        </w:tblCellMar>
      </w:tblP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Total amounts reclassified from AOCI</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0" w:type="dxa"/>
            <w:vAlign w:val="bottom"/>
          </w:tcPr>
          <w:p>
            <w:pPr>
              <w:spacing w:after="0"/>
              <w:rPr>
                <w:sz w:val="20"/>
                <w:szCs w:val="20"/>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2.5</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6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Advertising revenue accounted for 100.0% and 89.7% of total revenue for the three months ended March 27, 2014 and March 28, 2013, respectively. The following tables present revenue less directly identifiable expenses to arrive at income before income taxes, net of direct expenses for the advertising reportable segment, the combined Fathom Events operating segments (disposed on December 26, 2013), and network, administrative and unallocated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9"/>
              </w:rPr>
              <w:t>Three Months Ended March 27, 2014 (in millions)</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5"/>
          </w:tcPr>
          <w:p>
            <w:pPr>
              <w:ind w:left="220"/>
              <w:spacing w:after="0" w:line="119" w:lineRule="exact"/>
              <w:rPr>
                <w:sz w:val="20"/>
                <w:szCs w:val="20"/>
                <w:color w:val="auto"/>
              </w:rPr>
            </w:pPr>
            <w:r>
              <w:rPr>
                <w:rFonts w:ascii="Arial" w:cs="Arial" w:eastAsia="Arial" w:hAnsi="Arial"/>
                <w:sz w:val="13"/>
                <w:szCs w:val="13"/>
                <w:b w:val="1"/>
                <w:bCs w:val="1"/>
                <w:color w:val="auto"/>
              </w:rPr>
              <w:t>Network,</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Fathom Events</w:t>
            </w:r>
          </w:p>
        </w:tc>
        <w:tc>
          <w:tcPr>
            <w:tcW w:w="12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Advertising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3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Operating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Administrative and other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Interest and other non-operating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74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9"/>
              </w:rPr>
              <w:t>Three Months Ended March 28, 2013 (in millions)</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rPr>
              <w:t>Network,</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Fathom Events</w:t>
            </w:r>
          </w:p>
        </w:tc>
        <w:tc>
          <w:tcPr>
            <w:tcW w:w="12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Advertising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3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Operating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Administrative and other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Interest and other non-operating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74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w:t>
            </w:r>
          </w:p>
        </w:tc>
        <w:tc>
          <w:tcPr>
            <w:tcW w:w="0" w:type="dxa"/>
            <w:vAlign w:val="bottom"/>
          </w:tcPr>
          <w:p>
            <w:pPr>
              <w:spacing w:after="0"/>
              <w:rPr>
                <w:sz w:val="1"/>
                <w:szCs w:val="1"/>
                <w:color w:val="auto"/>
              </w:rPr>
            </w:pPr>
          </w:p>
        </w:tc>
      </w:tr>
      <w:tr>
        <w:trPr>
          <w:trHeight w:val="20"/>
        </w:trPr>
        <w:tc>
          <w:tcPr>
            <w:tcW w:w="5540" w:type="dxa"/>
            <w:vAlign w:val="bottom"/>
            <w:gridSpan w:val="4"/>
            <w:vMerge w:val="restart"/>
          </w:tcPr>
          <w:p>
            <w:pPr>
              <w:ind w:left="460"/>
              <w:spacing w:after="0"/>
              <w:rPr>
                <w:sz w:val="20"/>
                <w:szCs w:val="20"/>
                <w:color w:val="auto"/>
              </w:rPr>
            </w:pPr>
            <w:r>
              <w:rPr>
                <w:rFonts w:ascii="Arial" w:cs="Arial" w:eastAsia="Arial" w:hAnsi="Arial"/>
                <w:sz w:val="18"/>
                <w:szCs w:val="18"/>
                <w:color w:val="auto"/>
                <w:w w:val="98"/>
              </w:rPr>
              <w:t>The following is a summary of revenues by category (in millions):</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w w:val="92"/>
              </w:rPr>
              <w:t>March 27, 2014</w:t>
            </w:r>
          </w:p>
        </w:tc>
        <w:tc>
          <w:tcPr>
            <w:tcW w:w="1180" w:type="dxa"/>
            <w:vAlign w:val="bottom"/>
            <w:tcBorders>
              <w:top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Founding member advertising revenue from beverage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concessionaire agreements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7"/>
              </w:rPr>
              <w:t>9.4</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 xml:space="preserve">Fathom Consumer revenue </w:t>
            </w:r>
            <w:r>
              <w:rPr>
                <w:rFonts w:ascii="Arial" w:cs="Arial" w:eastAsia="Arial" w:hAnsi="Arial"/>
                <w:sz w:val="18"/>
                <w:szCs w:val="18"/>
                <w:i w:val="1"/>
                <w:iCs w:val="1"/>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Fathom Business revenue </w:t>
            </w:r>
            <w:r>
              <w:rPr>
                <w:rFonts w:ascii="Arial" w:cs="Arial" w:eastAsia="Arial" w:hAnsi="Arial"/>
                <w:sz w:val="18"/>
                <w:szCs w:val="18"/>
                <w:i w:val="1"/>
                <w:iCs w:val="1"/>
                <w:color w:val="auto"/>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4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3500" w:hanging="5612"/>
        <w:spacing w:after="0" w:line="449" w:lineRule="auto"/>
        <w:tabs>
          <w:tab w:leader="none" w:pos="45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Fathom Events was sold on December 26, 2013 as discussed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19</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May 5, 2014, NCM, Inc. agreed to acquire Screenvision from SV Holdco, LLC through an Agreement and Plan of Merger (the “Merger Agreement”), by and among NCM, Inc., and two newly formed NCM, Inc. subsidiaries (collectively “NCM Subsidiaries”) and various Screenvision Holdco LLC subsidiaries (collectively “SV Subsidiaries”). Pursuant to the Merger Agreement, SV Subsidiaries will be acquired by NCM, Inc. as a result of the merger of SV Subsidiaries with NCM Subsidiaries (the “Merger”). As consideration for the Merger, SV Holdco will receive from NCM, Inc. $375 million, consisting of $225 million in cash and $150 million of NCM, Inc. common stock (9,900,990 shares at a fixed price of $15.15 per share). The merger consideration is subject to reduction by an amount equal to 11.8 times the amount, if any, by which SV Subsidiary’s consolidated audited Adjusted EBITDA (calculated consistent with its past practice) for the twelve months ended April 30, 2014 is less than $31.3 million. The merger consideration is also subject to an upward adjustment by the amount of Screenvision’s positive working capital at closing, up to a maximum adjustment of $10.0 million.</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Consummation of the Merger is subject to clearance under the Hart-Scott-Rodino Antitrust Improvements Act (“HSR Approval”) and other customary closing conditions, including satisfaction of representations, warranties and covenants. All necessary corporate action by NCM, Inc., SV Holdco and Screenvision to approve the Merger has occurred. NCM, Inc. intends to obtain financing in the form of a bank loan (“NCM Loan”) to finance the transaction. Following the merger, NCM, Inc. will evaluate whether to contribute the Screenvision assets to NCM LLC. Although it is under no obligation to do so, NCM, Inc. expects that it will contribute the Screenvision assets and debt incurred to finance the acquisition to NCM LLC in exchange for 9,900,990 NCM LLC membership units and that the combined operation will result in an estimated $30 million of annual operating cost synergies. It is anticipated that NCM LLC will refinance the NCM Loan with additional NCM LLC debt that could include additional senior secured bank debt or senior secured or unsecured notes. NCM, Inc. and NCM LLC expect that such a contribution would also include an agreement to indemnify each other with respect to potential tax and other liabilities in connection with the contribution. NCM LLC’s founding members and NCM, Inc. have agreed to amend the tax receivable agreement following the Merger. This amendment will provide that any favorable tax attributes effectively acquired by NCM, Inc. from Screenvision as a result of the Merger (including the amount of any net operating losses) will not reduce the amount of any payments that would have otherwise been made by NCM, Inc. to NCM LLC’s founding members under the tax receivable agreement if the Merger had not occurred.</w:t>
      </w:r>
    </w:p>
    <w:p>
      <w:pPr>
        <w:spacing w:after="0" w:line="169"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Merger Agreement requires termination payments upon termination of the Merger Agreement under specified circumstances. NCM, Inc. is required to pay SV Holdco a termination fee of $28.84 million if HSR Approval has not been obtained or NCM, Inc. has materially breached its representations or covenants such that the closing conditions in the Merger Agreement cannot be satisfied. If SV Holdco has materially breached its representations or covenants such that the closing conditions in the Merger Agreement cannot be satisfied, SV Holdco is required to pay NCM, Inc. a termination fee of $10 million and, if Screenvision is subsequently sold within one year of the termination, an additional amount equal to the amount by which the sale proceeds are greater than $385 million.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26, 2013.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26, 2013.</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operate the largest digital in-theatre network in North America, for the distribution of advertising. Our revenue is principally derived from the sale of advertising. We have long-term ESAs with our founding members (approximately 23 years remaining as of March 27, 2014) and multi-year agreements with network affiliates. The ESAs with the founding members and network affiliate agreements grant us exclusive rights, subject to limited exceptions, to sell advertising in those theatres.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lobby entertainment network (“LEN”) programming are distributed across our proprietary digital content satellite network (“DCN”). Approximately 97% of the aggregate founding member and network affiliate theatre attendance is generated by theatres connected to our DCN and 100%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projected on digital projectors (79% digital cinema projectors and 21% LCD projectors).</w:t>
      </w:r>
    </w:p>
    <w:p>
      <w:pPr>
        <w:spacing w:after="0" w:line="18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On December 26, 2013, we sold our Fathom Events business to a newly formed limited liability company (AC JV, LLC) owned 32% by each of the founding members and 4% by us. The Fathom Events business focused on the marketing and distribution of live and pre-recorded entertainment programming to theatre operators to provide additional programs to augment their feature film schedule. In consideration for the sale, we received a total of $25.0 million in promissory notes from our founding members (one-third from each founding member). The notes bear interest at a fixed rate of 5.0% per annum, compounded annually. Interest and principal payments are due annually in six equal installments commencing on the first anniversary of the closing. In connection with the sale, we entered into a transition services agreement to provide certain corporate overhead services for a fee and reimbursement for the use of facilities and certain services including creative, technical event management and event management for AC JV, LLC for nine months following closing. In addition, we entered into a services agreement with a term coinciding with the digital programming ESAs, which grants AC JV, LLC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We have also agreed to provide creative and media production services for the same fee available to the founding members related to the marketing of their core theatrical business.</w:t>
      </w:r>
    </w:p>
    <w:p>
      <w:pPr>
        <w:spacing w:after="0" w:line="18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in an effort to identify trends and changes in our business and adjust operating strategy and tactics as needed.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as well as our operating cash flow and related financial leverage and revolving credit facility availability to ensure that there is adequate cash availability to fund our working capital needs and debt obligations.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4, 2014 for the Company’s fiscal year ended December 26,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operating data and Adjusted OIBDA (dollars in millions, except share data):</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28,</w:t>
            </w:r>
          </w:p>
        </w:tc>
        <w:tc>
          <w:tcPr>
            <w:tcW w:w="7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2014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Q1 2013</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73.7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Fathom Events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020" w:type="dxa"/>
            <w:vAlign w:val="bottom"/>
          </w:tcPr>
          <w:p>
            <w:pPr>
              <w:ind w:left="72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85"/>
              </w:rPr>
              <w:t>70.2</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7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85"/>
              </w:rPr>
              <w:t>12.8</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7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income</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Adjusted OIBDA</w:t>
            </w: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ind w:left="113"/>
              <w:spacing w:after="0"/>
              <w:rPr>
                <w:sz w:val="20"/>
                <w:szCs w:val="20"/>
                <w:color w:val="auto"/>
              </w:rPr>
            </w:pPr>
            <w:r>
              <w:rPr>
                <w:rFonts w:ascii="Arial" w:cs="Arial" w:eastAsia="Arial" w:hAnsi="Arial"/>
                <w:sz w:val="18"/>
                <w:szCs w:val="18"/>
                <w:color w:val="auto"/>
                <w:w w:val="85"/>
              </w:rPr>
              <w:t>22.6</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7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Total theatre attendance </w:t>
            </w:r>
            <w:r>
              <w:rPr>
                <w:rFonts w:ascii="Arial" w:cs="Arial" w:eastAsia="Arial" w:hAnsi="Arial"/>
                <w:sz w:val="18"/>
                <w:szCs w:val="18"/>
                <w:i w:val="1"/>
                <w:iCs w:val="1"/>
                <w:color w:val="auto"/>
              </w:rPr>
              <w:t>(1) (2)</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154.6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U.S. GAAP. OIBDA represents net income plus income tax expense, interest and other costs and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(loss) to OIBDA and Adjusted OIBDA for the periods presented (dollars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9"/>
              </w:rPr>
              <w:t>March 27,</w:t>
            </w:r>
          </w:p>
        </w:tc>
        <w:tc>
          <w:tcPr>
            <w:tcW w:w="100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 margin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9"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$1.2 million and $1.1 million for the three months ended March 27, 2014 and March 28,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results of operations data for the three months ended March 27, 2014 and March 28, 2013 was derived from the unaudited condensed financial statements and accounting records of NCM LLC and should be read in conjunction with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27, 2014 and March 28, 2013</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$12.0 million, or 14.6%, from $82.2 million for the three months ended March 28, 2013 to $70.2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27, 2014. The following is a summary of revenue by category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27,</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28,</w:t>
            </w:r>
          </w:p>
        </w:tc>
        <w:tc>
          <w:tcPr>
            <w:tcW w:w="58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Q1 2014 to</w:t>
            </w: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Q1 2014 to</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Q1 2013</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Founding member advertising revenue from beverage concessionaire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vMerge w:val="restart"/>
          </w:tcPr>
          <w:p>
            <w:pPr>
              <w:jc w:val="right"/>
              <w:ind w:right="39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data on theatre attendance and revenue per attendee for the three months ended March 27, 2014 and March 28, 2013:</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08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28,</w:t>
            </w:r>
          </w:p>
        </w:tc>
        <w:tc>
          <w:tcPr>
            <w:tcW w:w="6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2014 to</w:t>
            </w:r>
          </w:p>
        </w:tc>
        <w:tc>
          <w:tcPr>
            <w:tcW w:w="260" w:type="dxa"/>
            <w:vAlign w:val="bottom"/>
          </w:tcPr>
          <w:p>
            <w:pPr>
              <w:spacing w:after="0"/>
              <w:rPr>
                <w:sz w:val="10"/>
                <w:szCs w:val="10"/>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2013</w:t>
            </w:r>
          </w:p>
        </w:tc>
        <w:tc>
          <w:tcPr>
            <w:tcW w:w="260" w:type="dxa"/>
            <w:vAlign w:val="bottom"/>
            <w:tcBorders>
              <w:bottom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0.333</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0.109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0.086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revenue (excluding founding member beverage revenue)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attendee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0.422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0.477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94"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$8.8 million, or 17.1%, decrease in national advertising revenue (excluding beverage revenue from NCM LLC’s founding members) was due primarily to a decrease in national inventory utilization which fell from 86.0% in the first quarter of 2013 to 72.6% in the first quarter of 2014. Inventory utilization is calculated based on eleven 30-second salable national advertising units in our pre-show, which can be expanded, should market demand dictate. Revenue and utilization decreased in part from lower content partner revenue which decreased $3.0 million, or 16.0%, in the first quarter of 2014, compared to the first quarter of 2013. The decrease in national advertising revenue was also due to a 10.1% decrease in national advertising CPMs (excluding beverage revenue) due primarily to the expansion of our client mix to new client categories that traditionally buy their television and other advertising at lower CPMs, the implementation of more aggressive seasonal and volume pricing strategies and increased competition from other national video networks, including several new online and mobile advertising platforms.</w:t>
      </w:r>
    </w:p>
    <w:p>
      <w:pPr>
        <w:spacing w:after="0" w:line="58"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The $4.8 million, or 36.1%, increase in local advertising revenue was driven by an increase in local advertising contract volume of 16.0% and an increase in the average contract value of 19.5% in the first quarter of 2014, compared to the first quarter of 2013. The increase in contract volume and average contract value was driven by an increase of contracts over $250,000. Revenue from contracts greater than $250,000 increased by $4.0 million, which represented growth in the number of contracts of 350% and growth in the average contract value of 18.7% during the first quarter of 2014, compared to the first quarter of 2013. The growth in these larger local contracts during the first quarter of 2014 was due in part to the growth of our network and better geographic coverage in many markets and states that increased our appeal to advertisers and attracted several large additional regional contracts in the automotive and telecommunications industries.</w:t>
      </w:r>
    </w:p>
    <w:p>
      <w:pPr>
        <w:spacing w:after="0" w:line="5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$0.5 million, or 5.6%, increase in national advertising revenue from NCM LLC’s founding members’ beverage concessionaire agreements was due primarily to an 11.8 % increase in founding member attendance in the first quarter of 2014, compared to the first quarter of 2013, partially offset by a decrease in beverage revenue CPMs, which declined because they are based on prior year realized rates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which decreased year-over-year.</w:t>
      </w:r>
    </w:p>
    <w:p>
      <w:pPr>
        <w:spacing w:after="0" w:line="7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three months ended March 27, 2014 from $8.5 million for the three months ended March 28, 2013 due to the sale of this portion of our business on December 26, 2013.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$3.2 million, or 5.3%, from $60.6 million for the three months ended March 28, 2013 to $57.4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27, 2014. The following table shows the operating expense breakout for the three months ended March 27, 2014 and March 28,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5"/>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3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28,</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Q1 2014 to</w:t>
            </w:r>
          </w:p>
        </w:tc>
        <w:tc>
          <w:tcPr>
            <w:tcW w:w="5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2014 to</w:t>
            </w:r>
          </w:p>
        </w:tc>
        <w:tc>
          <w:tcPr>
            <w:tcW w:w="260" w:type="dxa"/>
            <w:vAlign w:val="bottom"/>
          </w:tcPr>
          <w:p>
            <w:pPr>
              <w:spacing w:after="0"/>
              <w:rPr>
                <w:sz w:val="10"/>
                <w:szCs w:val="10"/>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Q1 2013</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2013</w:t>
            </w:r>
          </w:p>
        </w:tc>
        <w:tc>
          <w:tcPr>
            <w:tcW w:w="260" w:type="dxa"/>
            <w:vAlign w:val="bottom"/>
            <w:tcBorders>
              <w:bottom w:val="single" w:sz="8" w:color="CCEEFF"/>
            </w:tcBorders>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7"/>
        </w:trPr>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0"/>
        </w:trPr>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Advertising operating costs decreased $0.7 million, or 12.3%, from $5.7 million for the first quarter of 2013 to $5.0 million for the first quarter of 2014. This decrease was primarily the result of a $0.8 million decrease in affiliate advertising payments. The decrease in affiliate advertising payments was driven by lower total advertising revenue and a 12.3% decrease in the number of average affiliate screens in the first quarter of 2014, compared to the first quarter of 2013 due to the acquisition of certain affiliate screens by NCM LLC’s founding members, partially offset by the addition of 512 affiliate screens related to newly constructed, acquired and signed affiliate theatres primarily driven by the addition of seven new affiliate circuits after the first quarter of 2013 and during 2014.</w:t>
      </w:r>
    </w:p>
    <w:p>
      <w:pPr>
        <w:spacing w:after="0" w:line="7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to zero in the three months ended March 27, 2014 from $5.8 million for the three months ended March 28, 2013 due to the sale of this portion of our business on December 26, 2013.</w:t>
      </w:r>
    </w:p>
    <w:p>
      <w:pPr>
        <w:spacing w:after="0" w:line="62" w:lineRule="exact"/>
        <w:rPr>
          <w:sz w:val="20"/>
          <w:szCs w:val="20"/>
          <w:color w:val="auto"/>
        </w:rPr>
      </w:pPr>
    </w:p>
    <w:p>
      <w:pPr>
        <w:ind w:left="460" w:right="260"/>
        <w:spacing w:after="0" w:line="308"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$0.2 million, or 4.2%, from $4.8 million for the three months ended March 28, 2013 to $4.6 million for the three months ended March 27, 2014. The decrease was primarily due to a decrease of $0.2 million in personnel expense.</w:t>
      </w:r>
    </w:p>
    <w:p>
      <w:pPr>
        <w:spacing w:after="0" w:line="38"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u w:val="single" w:color="auto"/>
          <w:color w:val="auto"/>
        </w:rPr>
        <w:t>Theatre access fees.</w:t>
      </w:r>
      <w:r>
        <w:rPr>
          <w:rFonts w:ascii="Arial" w:cs="Arial" w:eastAsia="Arial" w:hAnsi="Arial"/>
          <w:sz w:val="17"/>
          <w:szCs w:val="17"/>
          <w:color w:val="auto"/>
        </w:rPr>
        <w:t xml:space="preserve"> Theatre access fees increased $1.8 million, or 11.5%, from $15.6 million for the first quarter of 2013 to $17.4 million for the first quarter of 2014. Approximately $1.1 million of the increase was due to the 11.8% increase in founding member attendance in the first quarter of 2014 compared to the first quarter of 2013. In addition, theatre access fees increased $0.7 million due to an increase in the number of digital screens, including higher quality digital cinema projectors and related equipment. The fees for digital screens and equipment increased due to an annual 5% rate increase specified in the ESAs and an increase of 6.1% in the number of NCM LLC’s founding member theatres equipped with the higher quality digital cinema equipment year-over-year due primarily to acquisitions of new theatres by the founding members.</w:t>
      </w:r>
    </w:p>
    <w:p>
      <w:pPr>
        <w:spacing w:after="0" w:line="70"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$0.4 million, or 2.6%, from $15.4 million for the first quarter of 2013 to $15.0 million for the first quarter of 2014. This decrease was primarily due to a decrease of $1.0 million in non-cash barter expense related to timing of barter transactions, partially offset by an increase of $0.8 million in commission expense due to higher local advertising revenue.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decreased $0.4 million, or 7.8%, from $5.1 million for the three months ended</w:t>
      </w:r>
    </w:p>
    <w:p>
      <w:pPr>
        <w:spacing w:after="0" w:line="35" w:lineRule="exact"/>
        <w:rPr>
          <w:sz w:val="20"/>
          <w:szCs w:val="20"/>
          <w:color w:val="auto"/>
        </w:rPr>
      </w:pPr>
    </w:p>
    <w:p>
      <w:pPr>
        <w:ind w:left="460" w:right="100"/>
        <w:spacing w:after="0" w:line="323" w:lineRule="auto"/>
        <w:rPr>
          <w:sz w:val="20"/>
          <w:szCs w:val="20"/>
          <w:color w:val="auto"/>
        </w:rPr>
      </w:pPr>
      <w:r>
        <w:rPr>
          <w:rFonts w:ascii="Arial" w:cs="Arial" w:eastAsia="Arial" w:hAnsi="Arial"/>
          <w:sz w:val="16"/>
          <w:szCs w:val="16"/>
          <w:color w:val="auto"/>
        </w:rPr>
        <w:t>March 28, 2013 to $4.7 million for the three months ended March 27, 2014. The decrease was primarily due to a decrease of $0.3 million in personnel expense from a decrease in employee benefit costs, partially offset by an increase in payroll expense from customary cost of living salary increases.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slightly from $2.8 million for the three months ended March 28, 2013 to $2.9 million for the three months ended March 27, 2014.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increased $2.4 million, or 44.4%, from $5.4 million for the first quarter of 2013 to $7.8 million for the first quarter of 2014. The increase was primarily due to higher amortization of intangible assets related to new affiliate agreements and NCM LLC founding member common unit adjustments, primarily related to founding member acquisitions.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$0.4 million, or 2.5%, from $15.8 million for the three months ended March 28, 2013</w:t>
      </w:r>
      <w:r>
        <w:rPr>
          <w:rFonts w:ascii="Arial" w:cs="Arial" w:eastAsia="Arial" w:hAnsi="Arial"/>
          <w:sz w:val="18"/>
          <w:szCs w:val="18"/>
          <w:i w:val="1"/>
          <w:iCs w:val="1"/>
          <w:color w:val="auto"/>
        </w:rPr>
        <w:t xml:space="preserve"> </w:t>
      </w:r>
      <w:r>
        <w:rPr>
          <w:rFonts w:ascii="Arial" w:cs="Arial" w:eastAsia="Arial" w:hAnsi="Arial"/>
          <w:sz w:val="18"/>
          <w:szCs w:val="18"/>
          <w:color w:val="auto"/>
        </w:rPr>
        <w:t>to $15.4 million for the three months ended March 27, 2014. The following table shows the non-operating expense breakout for the three months ended March 27, 2014 and March 28,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5"/>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86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28,</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Q1 2014 to</w:t>
            </w:r>
          </w:p>
        </w:tc>
        <w:tc>
          <w:tcPr>
            <w:tcW w:w="5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2014 to</w:t>
            </w:r>
          </w:p>
        </w:tc>
        <w:tc>
          <w:tcPr>
            <w:tcW w:w="260" w:type="dxa"/>
            <w:vAlign w:val="bottom"/>
          </w:tcPr>
          <w:p>
            <w:pPr>
              <w:spacing w:after="0"/>
              <w:rPr>
                <w:sz w:val="10"/>
                <w:szCs w:val="10"/>
                <w:color w:val="auto"/>
              </w:rPr>
            </w:pPr>
          </w:p>
        </w:tc>
      </w:tr>
      <w:tr>
        <w:trPr>
          <w:trHeight w:val="171"/>
        </w:trPr>
        <w:tc>
          <w:tcPr>
            <w:tcW w:w="5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Q1 2013</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2013</w:t>
            </w:r>
          </w:p>
        </w:tc>
        <w:tc>
          <w:tcPr>
            <w:tcW w:w="26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Interest on borrowings decreased $0.2 million due primarily to lower average interest rates in 2014, compared to 2013, as a result of the Company’s debt refinancing in the second quarter of 2013. Interest income increased by $0.3 million due to interest accrued on the notes receivable from NCM LLC’s founding members from the sale of Fathom Events.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decreased $8.4 million from $5.6 million for the three months ended March 28, 2013 to a net loss of $2.8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27, 2014. The decrease in net income was primarily due to a decrease in operating income of $8.8 million, as described further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Changes in the current macro-economic environment and changes in the national and local and regional advertising markets, including the expansion of new online and mobile advertising platforms, presents uncertainties that could impact our results of operations, including the timing and amount of spending from our advertising clients. The impact to our business associated with these issues could be mitigated somewhat over time due to factors including the expansion of our advertising network, the related increase in salable advertising impressions, growth in our advertising client base, the effectiveness of cinema advertising relative to other advertising mediums, and the technical quality of our network and upgrades to our inventory management and audience targeting systems that are in process. During 2013 and thus far in 2014, we have added seven new affiliate theatre circuits (with 303 screens) to our national network. In total, these contracted new affiliate theatres are expected to add approximately 8 million new attendees on a full-year pro-forma basis, which we expect will result in approximately 118 million new salable national advertising impressions (assuming 14 national advertising units of 30 seconds each). Our sales force integrates these additional impressions into the advertising sales process as they are added to our network and thus these additional attendees will provide the opportunity for expansion of our revenue, operating income and cash flow. We believe that the continued growth of our network will expand our national reach and geographic coverage will strengthen our selling proposition and competitive positioning versus other national and local video advertising platforms, including television, online and mobile video platforms and other advertising platforms. In addition,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late 2012 and 2013, NCM LLC’s founding members acquired 97 of our affiliate theatres (1,245 screens) making the majority of them a part of our network immediately. In addition, the founding members also acquired 14 theatres with 223 screens and annual attendance of about 10 million that had existing agreements with another cinema advertising provider. These theatres are expected to join our network in November 2018. The acquisition of existing affiliates by our founding members will increase our Adjusted OIBDA and Adjusted OIBDA margins as the theatre access fees are generally lower, as a percentage of revenue, than affiliate payments.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2013 and in the first quarter of 2014, we experienced a decline of 7.6% and 10.8%, respectively, in national advertising CPMs (excluding beverage revenue) due primarily to the expansion of our client mix to new client categories that traditionally buy their television and other advertising at lower CPMs, the implementation of more aggressive seasonal and volume pricing strategies and increased competition from other national video networks, including several new online and mobile advertising platforms. We expect this trend of decreasing CPMs to continue in 2014 as we further expand and diversify our client mix into client categories that have lower pricing expectations and the marketplace becomes more competitive due in part to the expansion of online and mobile video advertising platforms.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2013, we sold 60 seconds to our founding members. We expect to continue to sell 60 seconds of time to our founding members in 2014. During 2014, certain of founding members will be renegotiating their agreements with their beverage supplier, which could change the amount of advertising time that is bought from us to satisfy those agreements. Should the amount of time acquired as part of these beverage concessionaire arrangements decline, that time will be available for sale to other clients. Through 2011, this time was priced on a CPM basis, which changed each year as specified in the ESAs. Per the ESAs, beginning in 2012, this time is priced equal to the annual percentage change in the advertising CPM for the previous year charged to unaffiliated third parties during segment one (closest to show 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us. Due to the lower CPMs that we realized in 2013, this reduced the CPM on our beverage concessionaire revenue during the first quarter of 2014 and will reduce the CPM on our beverage concessionaire revenue during the remainder of 2014.</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consideration for NCM LLC’s access to the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March 27, 2014 and March 28, 2013, approximately 86% of our founding member network screens were showing advertising on digital cinema projectors.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2013 and 2012, we amended our senior secured credit facility to extend the maturity, expand the revolver availability and reduce the interest rate spreads, and in 2012 and 2011, we issued new Senior Unsecured Notes and Senior Secured Notes primarily to refinance outstanding bank debt. As a result of these financing transactions, we extended the average maturities of our debt by over six years. The average remaining maturity is 7.0 years as of March 27, 2014. Interest expense related to cash borrowings decreased approximately $0.3 million for the first quarter of 2014 compared to the first quarter of 2013 related to the 2013 refinancing of our senior secured credit facility. As of March 27, 2014, approximately 66% of our total borrowings bear interest at fixed rates. The remaining 34% of our borrowings bear interest at variable rates and as such, our net income and earnings per share could fluctuate with interest rate fluctuations related to our borrowings. Refer to Note 4—</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more information.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2014, NCM LLC issued 1,087,911 common membership units to its founding members for the rights to exclusive access to net new theatre screens and attendees added by the founding members to NCM LLC’s network during 2013. Of these units, 432,646 related to theatre acquisitions and 655,265 related to new theatres constructed, net of closures. NCM LLC recorded a net intangible asset of approximately $16.4 million during the first quarter of 2014 as a result of the annual Common Unit Adjustment. The common unit adjustment for the first quarter of 2014 was lower than the adjustment for the first quarter of 2013 primarily due to the fact that two special common unit adjustments were made in 2013 for large acquisitions by two founding members.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r>
      <w:tr>
        <w:trPr>
          <w:trHeight w:val="119"/>
        </w:trPr>
        <w:tc>
          <w:tcPr>
            <w:tcW w:w="3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Q1 2014 to</w:t>
            </w:r>
          </w:p>
        </w:tc>
      </w:tr>
      <w:tr>
        <w:trPr>
          <w:trHeight w:val="171"/>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Q4 2013</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6"/>
              </w:rPr>
              <w:t>(11.3)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87.0</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97"/>
              </w:rPr>
              <w:t>(17.0)</w:t>
            </w:r>
          </w:p>
        </w:tc>
      </w:tr>
      <w:tr>
        <w:trPr>
          <w:trHeight w:val="27"/>
        </w:trPr>
        <w:tc>
          <w:tcPr>
            <w:tcW w:w="3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89.0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(28.3)</w:t>
            </w:r>
          </w:p>
        </w:tc>
      </w:tr>
    </w:tbl>
    <w:p>
      <w:pPr>
        <w:spacing w:after="0" w:line="229" w:lineRule="exact"/>
        <w:rPr>
          <w:sz w:val="20"/>
          <w:szCs w:val="20"/>
          <w:color w:val="auto"/>
        </w:rPr>
      </w:pPr>
    </w:p>
    <w:p>
      <w:pPr>
        <w:ind w:left="900" w:right="60" w:hanging="446"/>
        <w:spacing w:after="0" w:line="255" w:lineRule="auto"/>
        <w:tabs>
          <w:tab w:leader="none" w:pos="90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availability under the revolving credit facility is $124.0 million. Of the total available, $14.0 million outstanding principal of the revolving credit facility will not be repaid in connection with any future prepayments of the revolving credit facility amounts, but rather that portion of the revolving credit facility will be paid in full, along with any accrued and unpaid fees and interest, on the maturity date of December 31, 2014.</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March 27, 2014</w:t>
            </w:r>
          </w:p>
        </w:tc>
        <w:tc>
          <w:tcPr>
            <w:tcW w:w="1360" w:type="dxa"/>
            <w:vAlign w:val="bottom"/>
            <w:gridSpan w:val="3"/>
          </w:tcPr>
          <w:p>
            <w:pPr>
              <w:ind w:left="400"/>
              <w:spacing w:after="0" w:line="142" w:lineRule="exact"/>
              <w:rPr>
                <w:sz w:val="20"/>
                <w:szCs w:val="20"/>
                <w:color w:val="auto"/>
              </w:rPr>
            </w:pPr>
            <w:r>
              <w:rPr>
                <w:rFonts w:ascii="Arial" w:cs="Arial" w:eastAsia="Arial" w:hAnsi="Arial"/>
                <w:sz w:val="14"/>
                <w:szCs w:val="14"/>
                <w:b w:val="1"/>
                <w:bCs w:val="1"/>
                <w:color w:val="auto"/>
                <w:w w:val="94"/>
              </w:rPr>
              <w:t>March 28, 2013</w:t>
            </w:r>
          </w:p>
        </w:tc>
        <w:tc>
          <w:tcPr>
            <w:tcW w:w="120" w:type="dxa"/>
            <w:vAlign w:val="bottom"/>
          </w:tcPr>
          <w:p>
            <w:pPr>
              <w:spacing w:after="0"/>
              <w:rPr>
                <w:sz w:val="12"/>
                <w:szCs w:val="12"/>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Investing cash flow</w:t>
            </w:r>
          </w:p>
        </w:tc>
        <w:tc>
          <w:tcPr>
            <w:tcW w:w="2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r>
    </w:tbl>
    <w:p>
      <w:pPr>
        <w:spacing w:after="0" w:line="107" w:lineRule="exact"/>
        <w:rPr>
          <w:sz w:val="20"/>
          <w:szCs w:val="20"/>
          <w:color w:val="auto"/>
        </w:rPr>
      </w:pPr>
    </w:p>
    <w:p>
      <w:pPr>
        <w:ind w:left="1480" w:right="100" w:hanging="446"/>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$13.3 million decrease in cash provided by operating activities for the three months ended March 27,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versus the three months ended March 28, 2013 was due primarily to an $8.4 million decrease in net income and an $8.1 million decrease in the change in accounts payable and accrued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hanging="446"/>
        <w:spacing w:after="0" w:line="308"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The $0.6 million decrease in cash used in investing activities for the three months ended March 27, 2014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three months ended March 28, 2013 was due to lower purchases of property and equipment of $0.6 million.</w:t>
      </w:r>
    </w:p>
    <w:p>
      <w:pPr>
        <w:spacing w:after="0" w:line="51" w:lineRule="exact"/>
        <w:rPr>
          <w:rFonts w:ascii="Arial" w:cs="Arial" w:eastAsia="Arial" w:hAnsi="Arial"/>
          <w:sz w:val="17"/>
          <w:szCs w:val="17"/>
          <w:color w:val="auto"/>
        </w:rPr>
      </w:pPr>
    </w:p>
    <w:p>
      <w:pPr>
        <w:ind w:left="1480" w:hanging="446"/>
        <w:spacing w:after="0" w:line="259"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$0.8 million decrease in cash used in financing activities during the three months ended March 27,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28, 2013was due primarily to an increase in cash proceeds from borrowings, net of payments, of $17.0 million and an increase in founding member integration payments of $0.7 million, partially offset by an increase in distributions to NCM LLC’s founding members of $16.8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NCM LLC’s primary sources of liquidity and capital resources are its cash provided by operating activities, availability under its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March 27, 2014 (which will be made during the second quarter of 2014) was $11.5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26, 2013 and incorporated by reference herein. As of March 27, 2014,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26, 2013 and incorporated by reference herein. We do not believe these arrangements are material to our current or future financial condition, results of operations, liquidity, capital resources or capital expenditures.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three months ended March 27,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First</w:t>
            </w: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Second</w:t>
            </w: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Third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70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2010</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19.8%</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29.4%</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FY 2011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16.3%</w:t>
            </w:r>
          </w:p>
        </w:tc>
        <w:tc>
          <w:tcPr>
            <w:tcW w:w="4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26.2%</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31.2%</w:t>
            </w:r>
          </w:p>
        </w:tc>
        <w:tc>
          <w:tcPr>
            <w:tcW w:w="4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26.3%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24.5%</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32.1%</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25.8%</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FY 2013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4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26.5%</w:t>
            </w:r>
          </w:p>
        </w:tc>
        <w:tc>
          <w:tcPr>
            <w:tcW w:w="4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29.2%</w:t>
            </w:r>
          </w:p>
        </w:tc>
        <w:tc>
          <w:tcPr>
            <w:tcW w:w="4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26.5%</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First</w:t>
            </w: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Second</w:t>
            </w: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Third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70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2010</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17.9%</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23.7%</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FY 2011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15.3%</w:t>
            </w:r>
          </w:p>
        </w:tc>
        <w:tc>
          <w:tcPr>
            <w:tcW w:w="4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25.5%</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32.9%</w:t>
            </w:r>
          </w:p>
        </w:tc>
        <w:tc>
          <w:tcPr>
            <w:tcW w:w="4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26.3%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24.7%</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33.7%</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FY 2013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4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27.4%</w:t>
            </w:r>
          </w:p>
        </w:tc>
        <w:tc>
          <w:tcPr>
            <w:tcW w:w="4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29.9%</w:t>
            </w:r>
          </w:p>
        </w:tc>
        <w:tc>
          <w:tcPr>
            <w:tcW w:w="4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25.4%</w:t>
            </w:r>
          </w:p>
        </w:tc>
      </w:tr>
    </w:tbl>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are at fixed rates, and therefore are not subject to market risk. As of March 27, 2014, the only interest rate risk that we are exposed to is related to our $124.0 million revolving credit facility and our $270.0 million term loan. A 100 basis point fluctuation in market interest rates underlying our term loan and revolving credit facility would have the effect of increasing or decreasing our cash interest expense by approximately $3.1 million for an annual period on the $37.0 million revolving credit balance and $270.0 million term loan outstanding as of March 27, 2014. For a discussion of market risks, see Item 7A. “Quantitative and Qualitative Disclosures About Market Risk” contained in our annual report on Form 10-K for the fiscal year ended December 26, 2013 and incorporated by reference herein.</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March 27, 2014,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March 27, 2014 were effective.</w:t>
      </w:r>
    </w:p>
    <w:p>
      <w:pPr>
        <w:spacing w:after="0" w:line="19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three months ended March 27, 2014 that have materially affected, or are reasonably likely to materially affect, the Company’s internal controls over financial reporting.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4, 2014 for the fiscal year ended December 26, 2013, except as noted below.</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On May 5, 2014, NCM, Inc., Screenvision and certain of their affiliates entered into the Merger Agreement, as described in Note 9 –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to the unaudited Condensed Financial Statements in this report.</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b w:val="1"/>
          <w:bCs w:val="1"/>
          <w:i w:val="1"/>
          <w:iCs w:val="1"/>
          <w:color w:val="auto"/>
        </w:rPr>
        <w:t>The closing and consummation of the Merger with Screenvision is subject to regulatory approval and the satisfaction of certain conditions, and we cannot predict whether the necessary conditions will be satisfied or waived and the requisite regulatory approvals received.</w:t>
      </w:r>
    </w:p>
    <w:p>
      <w:pPr>
        <w:spacing w:after="0" w:line="1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completion of the merger with Screenvision is subject to regulatory approvals, including antitrust approval, and customary conditions, including, without limitation:</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expiration or termination of the applicable waiting period under the Hart-Scott-Rodino Antitrust Improvements Act of 1976, as amended;</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in the Merger Agreement and compliance with the respective covenants of the parties, subject to certain qualifiers;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any law or injunction that prohibits the consummation of the Merger;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a material adverse effect on Screenvision or NCM, Inc.</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NCM, Inc. and Screenvision may fail to secure the requisite approvals in a timely manner or on terms desired or anticipated, and the merger with Screenvision may not close in the anticipated time frame, if at all. NCM, Inc. has no control over certain conditions in the merger agreement, and cannot predict whether such conditions will be satisfied or waived. Regulatory authorities may impose conditions on the completion of the merger or require changes to the terms of the transaction. Such conditions or changes may prevent the closing of the merger or cause the merger to be delayed, and delays may cause NCM, Inc. to incur additional, potentially burdensome transaction costs.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The pending merger and our current pre-merger integration planning efforts may divert resources from our management’s day-to-day operations and ongoing efforts related to other strategies and initiatives.</w:t>
      </w:r>
    </w:p>
    <w:p>
      <w:pPr>
        <w:spacing w:after="0" w:line="62"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The pending merger and our current pre-merger integration planning efforts may divert our management’s attention from day-to-day business operations and the execution and pursuit of strategic plans and initiatives. The diversion of management attention from ongoing business operations and strategic efforts could result in performance shortfalls, which could adversely impact NCM, Inc.’s business and operations.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The integration of the businesses of NCM LLC and Screenvision may be more difficult, costly or time consuming than expected, and the Merger may not result in any or all of the anticipated benefits, including cost synergies.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under no obligation to do so, following the Merger, NCM, Inc. expects to contribute the Screenvision business to NCM LLC. The success of combining Screenvision’s business with NCM LLC, including the realization of the anticipated benefits, will depend, in part, on the ability of the combined company to successfully integrate the two businesses. Failure to effectively integrate the businesses could adversely impact the expected benefits of the Merger, including cost synergies stemming from overlapping sales, general and administrative functions. The integration of two large independent companies will be complex, and we will be required to devote significant management attention and incur substantial costs to integrate NCM LLC’s and Screenvision’s business practices, policies, cultures and operations. The integration process could also result in the loss of key employees, and the disruption of each company’s ongoing businesses, which could materially impact the combined company’s future financial results.</w:t>
      </w:r>
    </w:p>
    <w:p>
      <w:pPr>
        <w:spacing w:after="0" w:line="167" w:lineRule="exact"/>
        <w:rPr>
          <w:sz w:val="20"/>
          <w:szCs w:val="20"/>
          <w:color w:val="auto"/>
        </w:rPr>
      </w:pPr>
    </w:p>
    <w:p>
      <w:pPr>
        <w:ind w:right="440" w:firstLine="456"/>
        <w:spacing w:after="0" w:line="297" w:lineRule="auto"/>
        <w:rPr>
          <w:sz w:val="20"/>
          <w:szCs w:val="20"/>
          <w:color w:val="auto"/>
        </w:rPr>
      </w:pPr>
      <w:r>
        <w:rPr>
          <w:rFonts w:ascii="Arial" w:cs="Arial" w:eastAsia="Arial" w:hAnsi="Arial"/>
          <w:sz w:val="16"/>
          <w:szCs w:val="16"/>
          <w:color w:val="auto"/>
        </w:rPr>
        <w:t>Furthermore, during the integration planning process and after the closing of the Merger, we may encounter additional challenges and difficulties, including those related to, without limitation, managing a larger combined company; consolidating corporate and administrative infrastructures and eliminating overlapping operations; retaining our existing advertisers and customers; unanticipated issues in integrating our networks and information technology, communications and other systems; and unforeseen and unexpected liabilities related to the merger or Screenvision’s business. Delays encountered in the integration could adversely impact the business, financial condition and operations of the combined company.</w:t>
      </w:r>
    </w:p>
    <w:p>
      <w:pPr>
        <w:spacing w:after="0" w:line="158"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b w:val="1"/>
          <w:bCs w:val="1"/>
          <w:i w:val="1"/>
          <w:iCs w:val="1"/>
          <w:color w:val="auto"/>
        </w:rPr>
        <w:t>NCM LLC may incur significant additional indebtedness if the Screenvision business is contributed to us, which could adversely impact our financial condition and may hinder our ability to obtain additional financing and pursue other business and investment opportunities.</w:t>
      </w:r>
    </w:p>
    <w:p>
      <w:pPr>
        <w:spacing w:after="0" w:line="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Merger, NCM, Inc. will obtain additional financing for the cash portion of the purchase price of $225 million plus transaction fees. If, as anticipated, NCM, Inc. contributes Screenvision to NCM LLC, it is assumed that the debt also will be transferred to NCM LLC. Incurrence of additional indebtedness could have negative consequences, including increasing our vulnerability to adverse economic and industry conditions, and limiting our ability to obtain additional financing and implement and pursue strategic initiatives and opportunities. Additionally, if we do not achieve the expected benefits and cost savings from the Merger with Screenvision, or if the financial performance of the combined company, does not meet current expectations, then our ability to service the debt may be adversely impacted. Our credit ratings may also be impacted as a result of the incurrence of additional Screenvision acquisition-related indebtedness.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6680" w:type="dxa"/>
            <w:vAlign w:val="bottom"/>
            <w:gridSpan w:val="9"/>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345"/>
        </w:trPr>
        <w:tc>
          <w:tcPr>
            <w:tcW w:w="120" w:type="dxa"/>
            <w:vAlign w:val="bottom"/>
          </w:tcPr>
          <w:p>
            <w:pPr>
              <w:spacing w:after="0"/>
              <w:rPr>
                <w:sz w:val="24"/>
                <w:szCs w:val="24"/>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2"/>
              </w:rPr>
              <w:t>None</w:t>
            </w: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540"/>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8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84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Reference</w:t>
            </w:r>
          </w:p>
        </w:tc>
        <w:tc>
          <w:tcPr>
            <w:tcW w:w="5800" w:type="dxa"/>
            <w:vAlign w:val="bottom"/>
            <w:gridSpan w:val="4"/>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w w:val="92"/>
              </w:rPr>
              <w:t>Certification of Principal Financial Officer Pursuant to 18 U.S.C. Section 1350.</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8159" w:firstLine="8"/>
        <w:spacing w:after="0" w:line="261" w:lineRule="auto"/>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 + Management contract.</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National CineMedia, Inc., its manager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gridSpan w:val="2"/>
          </w:tcPr>
          <w:p>
            <w:pPr>
              <w:spacing w:after="0"/>
              <w:rPr>
                <w:sz w:val="20"/>
                <w:szCs w:val="20"/>
                <w:color w:val="auto"/>
              </w:rPr>
            </w:pPr>
            <w:r>
              <w:rPr>
                <w:rFonts w:ascii="Arial" w:cs="Arial" w:eastAsia="Arial" w:hAnsi="Arial"/>
                <w:sz w:val="18"/>
                <w:szCs w:val="18"/>
                <w:color w:val="auto"/>
              </w:rPr>
              <w:t>May 7, 2014</w:t>
            </w:r>
          </w:p>
        </w:tc>
        <w:tc>
          <w:tcPr>
            <w:tcW w:w="5020" w:type="dxa"/>
            <w:vAlign w:val="bottom"/>
          </w:tcPr>
          <w:p>
            <w:pPr>
              <w:spacing w:after="0"/>
              <w:rPr>
                <w:sz w:val="20"/>
                <w:szCs w:val="20"/>
                <w:color w:val="auto"/>
              </w:rPr>
            </w:pPr>
            <w:r>
              <w:rPr>
                <w:rFonts w:ascii="Arial" w:cs="Arial" w:eastAsia="Arial" w:hAnsi="Arial"/>
                <w:sz w:val="18"/>
                <w:szCs w:val="18"/>
                <w:color w:val="auto"/>
              </w:rPr>
              <w:t>/s/ Kurt C. Hall</w:t>
            </w:r>
          </w:p>
        </w:tc>
      </w:tr>
      <w:tr>
        <w:trPr>
          <w:trHeight w:val="209"/>
        </w:trPr>
        <w:tc>
          <w:tcPr>
            <w:tcW w:w="580" w:type="dxa"/>
            <w:vAlign w:val="bottom"/>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Kurt C. Hall</w:t>
            </w:r>
          </w:p>
        </w:tc>
      </w:tr>
      <w:tr>
        <w:trPr>
          <w:trHeight w:val="216"/>
        </w:trPr>
        <w:tc>
          <w:tcPr>
            <w:tcW w:w="5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gridSpan w:val="2"/>
          </w:tcPr>
          <w:p>
            <w:pPr>
              <w:spacing w:after="0"/>
              <w:rPr>
                <w:sz w:val="20"/>
                <w:szCs w:val="20"/>
                <w:color w:val="auto"/>
              </w:rPr>
            </w:pPr>
            <w:r>
              <w:rPr>
                <w:rFonts w:ascii="Arial" w:cs="Arial" w:eastAsia="Arial" w:hAnsi="Arial"/>
                <w:sz w:val="18"/>
                <w:szCs w:val="18"/>
                <w:color w:val="auto"/>
              </w:rPr>
              <w:t>May 7, 2014</w:t>
            </w:r>
          </w:p>
        </w:tc>
        <w:tc>
          <w:tcPr>
            <w:tcW w:w="5020" w:type="dxa"/>
            <w:vAlign w:val="bottom"/>
          </w:tcPr>
          <w:p>
            <w:pPr>
              <w:spacing w:after="0"/>
              <w:rPr>
                <w:sz w:val="20"/>
                <w:szCs w:val="20"/>
                <w:color w:val="auto"/>
              </w:rPr>
            </w:pPr>
            <w:r>
              <w:rPr>
                <w:rFonts w:ascii="Arial" w:cs="Arial" w:eastAsia="Arial" w:hAnsi="Arial"/>
                <w:sz w:val="18"/>
                <w:szCs w:val="18"/>
                <w:color w:val="auto"/>
              </w:rPr>
              <w:t>/s/ David J. Oddo</w:t>
            </w:r>
          </w:p>
        </w:tc>
      </w:tr>
      <w:tr>
        <w:trPr>
          <w:trHeight w:val="209"/>
        </w:trPr>
        <w:tc>
          <w:tcPr>
            <w:tcW w:w="580" w:type="dxa"/>
            <w:vAlign w:val="bottom"/>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Oddo</w:t>
            </w:r>
          </w:p>
        </w:tc>
      </w:tr>
      <w:tr>
        <w:trPr>
          <w:trHeight w:val="216"/>
        </w:trPr>
        <w:tc>
          <w:tcPr>
            <w:tcW w:w="5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Senior Vice President, Finance and Interim Co-Chief Financial</w:t>
            </w:r>
          </w:p>
        </w:tc>
      </w:tr>
      <w:tr>
        <w:trPr>
          <w:trHeight w:val="230"/>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Officer (Principal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gridSpan w:val="2"/>
          </w:tcPr>
          <w:p>
            <w:pPr>
              <w:spacing w:after="0"/>
              <w:rPr>
                <w:sz w:val="20"/>
                <w:szCs w:val="20"/>
                <w:color w:val="auto"/>
              </w:rPr>
            </w:pPr>
            <w:r>
              <w:rPr>
                <w:rFonts w:ascii="Arial" w:cs="Arial" w:eastAsia="Arial" w:hAnsi="Arial"/>
                <w:sz w:val="18"/>
                <w:szCs w:val="18"/>
                <w:color w:val="auto"/>
              </w:rPr>
              <w:t>May 7, 2014</w:t>
            </w:r>
          </w:p>
        </w:tc>
        <w:tc>
          <w:tcPr>
            <w:tcW w:w="5020" w:type="dxa"/>
            <w:vAlign w:val="bottom"/>
          </w:tcPr>
          <w:p>
            <w:pPr>
              <w:spacing w:after="0"/>
              <w:rPr>
                <w:sz w:val="20"/>
                <w:szCs w:val="20"/>
                <w:color w:val="auto"/>
              </w:rPr>
            </w:pPr>
            <w:r>
              <w:rPr>
                <w:rFonts w:ascii="Arial" w:cs="Arial" w:eastAsia="Arial" w:hAnsi="Arial"/>
                <w:sz w:val="18"/>
                <w:szCs w:val="18"/>
                <w:color w:val="auto"/>
              </w:rPr>
              <w:t>/s/ Jeffrey T. Cabot</w:t>
            </w:r>
          </w:p>
        </w:tc>
      </w:tr>
      <w:tr>
        <w:trPr>
          <w:trHeight w:val="224"/>
        </w:trPr>
        <w:tc>
          <w:tcPr>
            <w:tcW w:w="580" w:type="dxa"/>
            <w:vAlign w:val="bottom"/>
          </w:tcPr>
          <w:p>
            <w:pPr>
              <w:spacing w:after="0"/>
              <w:rPr>
                <w:sz w:val="19"/>
                <w:szCs w:val="19"/>
                <w:color w:val="auto"/>
              </w:rPr>
            </w:pPr>
          </w:p>
        </w:tc>
        <w:tc>
          <w:tcPr>
            <w:tcW w:w="51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T. Cabot</w:t>
            </w:r>
          </w:p>
        </w:tc>
      </w:tr>
    </w:tbl>
    <w:p>
      <w:pPr>
        <w:ind w:left="6400"/>
        <w:spacing w:after="0"/>
        <w:rPr>
          <w:sz w:val="20"/>
          <w:szCs w:val="20"/>
          <w:color w:val="auto"/>
        </w:rPr>
      </w:pPr>
      <w:r>
        <w:rPr>
          <w:rFonts w:ascii="Arial" w:cs="Arial" w:eastAsia="Arial" w:hAnsi="Arial"/>
          <w:sz w:val="17"/>
          <w:szCs w:val="17"/>
          <w:i w:val="1"/>
          <w:iCs w:val="1"/>
          <w:color w:val="auto"/>
        </w:rPr>
        <w:t>Senior Vice President, Controller and Interim Co-Chief Financial</w:t>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Officer (Principal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1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17"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27, 2014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39" w:lineRule="exact"/>
        <w:rPr>
          <w:sz w:val="20"/>
          <w:szCs w:val="20"/>
          <w:color w:val="auto"/>
        </w:rPr>
      </w:pPr>
    </w:p>
    <w:p>
      <w:pPr>
        <w:ind w:left="1100" w:hanging="179"/>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100" w:hanging="179"/>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March 27, 2014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79" w:lineRule="exact"/>
        <w:rPr>
          <w:sz w:val="20"/>
          <w:szCs w:val="20"/>
          <w:color w:val="auto"/>
        </w:rPr>
      </w:pPr>
    </w:p>
    <w:p>
      <w:pPr>
        <w:ind w:left="1100" w:hanging="179"/>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100" w:hanging="179"/>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2019-12-08T02:29:13Z</dcterms:created>
  <dcterms:modified xsi:type="dcterms:W3CDTF">2019-12-08T02:29:13Z</dcterms:modified>
</cp:coreProperties>
</file>