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-207010</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49" w:lineRule="exact"/>
        <w:rPr>
          <w:sz w:val="24"/>
          <w:szCs w:val="24"/>
          <w:color w:val="auto"/>
        </w:rPr>
      </w:pPr>
    </w:p>
    <w:p>
      <w:pPr>
        <w:ind w:left="1460" w:hanging="1304"/>
        <w:spacing w:after="0"/>
        <w:tabs>
          <w:tab w:leader="none" w:pos="1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59" w:lineRule="exact"/>
        <w:rPr>
          <w:rFonts w:ascii="MS PGothic" w:cs="MS PGothic" w:eastAsia="MS PGothic" w:hAnsi="MS PGothic"/>
          <w:sz w:val="18"/>
          <w:szCs w:val="18"/>
          <w:color w:val="auto"/>
        </w:rPr>
      </w:pPr>
    </w:p>
    <w:p>
      <w:pPr>
        <w:ind w:left="408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fiscal year ended December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-288290</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7" w:lineRule="exact"/>
        <w:rPr>
          <w:sz w:val="24"/>
          <w:szCs w:val="24"/>
          <w:color w:val="auto"/>
        </w:rPr>
      </w:pPr>
    </w:p>
    <w:p>
      <w:pPr>
        <w:ind w:left="1260" w:hanging="1110"/>
        <w:spacing w:after="0"/>
        <w:tabs>
          <w:tab w:leader="none" w:pos="1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9" w:lineRule="exact"/>
        <w:rPr>
          <w:rFonts w:ascii="MS PGothic" w:cs="MS PGothic" w:eastAsia="MS PGothic" w:hAnsi="MS PGothic"/>
          <w:sz w:val="18"/>
          <w:szCs w:val="18"/>
          <w:color w:val="auto"/>
        </w:rPr>
      </w:pPr>
    </w:p>
    <w:p>
      <w:pPr>
        <w:ind w:left="298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transition period from __________________ to __________________</w:t>
      </w:r>
    </w:p>
    <w:p>
      <w:pPr>
        <w:spacing w:after="0" w:line="69"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Commission file number: 001-33296</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NATIONAL CINEMEDIA,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-277495</wp:posOffset>
            </wp:positionV>
            <wp:extent cx="2777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3440" w:type="dxa"/>
            <w:vAlign w:val="bottom"/>
          </w:tcPr>
          <w:p>
            <w:pPr>
              <w:jc w:val="center"/>
              <w:ind w:left="98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7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340" w:type="dxa"/>
            <w:vAlign w:val="bottom"/>
          </w:tcPr>
          <w:p>
            <w:pPr>
              <w:jc w:val="right"/>
              <w:ind w:right="686"/>
              <w:spacing w:after="0"/>
              <w:rPr>
                <w:sz w:val="20"/>
                <w:szCs w:val="20"/>
                <w:color w:val="auto"/>
              </w:rPr>
            </w:pPr>
            <w:r>
              <w:rPr>
                <w:rFonts w:ascii="Times New Roman" w:cs="Times New Roman" w:eastAsia="Times New Roman" w:hAnsi="Times New Roman"/>
                <w:sz w:val="16"/>
                <w:szCs w:val="16"/>
                <w:b w:val="1"/>
                <w:bCs w:val="1"/>
                <w:color w:val="auto"/>
              </w:rPr>
              <w:t>20-5665602</w:t>
            </w:r>
          </w:p>
        </w:tc>
      </w:tr>
      <w:tr>
        <w:trPr>
          <w:trHeight w:val="181"/>
        </w:trPr>
        <w:tc>
          <w:tcPr>
            <w:tcW w:w="4200" w:type="dxa"/>
            <w:vAlign w:val="bottom"/>
            <w:gridSpan w:val="2"/>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200" w:type="dxa"/>
            <w:vAlign w:val="bottom"/>
            <w:gridSpan w:val="2"/>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8"/>
        </w:trPr>
        <w:tc>
          <w:tcPr>
            <w:tcW w:w="4200" w:type="dxa"/>
            <w:vAlign w:val="bottom"/>
            <w:gridSpan w:val="2"/>
          </w:tcPr>
          <w:p>
            <w:pPr>
              <w:jc w:val="center"/>
              <w:ind w:left="243"/>
              <w:spacing w:after="0"/>
              <w:rPr>
                <w:sz w:val="20"/>
                <w:szCs w:val="20"/>
                <w:color w:val="auto"/>
              </w:rPr>
            </w:pPr>
            <w:r>
              <w:rPr>
                <w:rFonts w:ascii="Times New Roman" w:cs="Times New Roman" w:eastAsia="Times New Roman" w:hAnsi="Times New Roman"/>
                <w:sz w:val="16"/>
                <w:szCs w:val="16"/>
                <w:b w:val="1"/>
                <w:bCs w:val="1"/>
                <w:color w:val="auto"/>
              </w:rPr>
              <w:t>6300 S. Syracuse Way, Suite 300</w:t>
            </w:r>
          </w:p>
        </w:tc>
        <w:tc>
          <w:tcPr>
            <w:tcW w:w="114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Centennial</w:t>
            </w:r>
          </w:p>
        </w:tc>
        <w:tc>
          <w:tcPr>
            <w:tcW w:w="15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Colorado</w:t>
            </w:r>
          </w:p>
        </w:tc>
        <w:tc>
          <w:tcPr>
            <w:tcW w:w="780" w:type="dxa"/>
            <w:vAlign w:val="bottom"/>
          </w:tcPr>
          <w:p>
            <w:pPr>
              <w:spacing w:after="0"/>
              <w:rPr>
                <w:sz w:val="24"/>
                <w:szCs w:val="24"/>
                <w:color w:val="auto"/>
              </w:rPr>
            </w:pPr>
          </w:p>
        </w:tc>
        <w:tc>
          <w:tcPr>
            <w:tcW w:w="2480" w:type="dxa"/>
            <w:vAlign w:val="bottom"/>
            <w:gridSpan w:val="2"/>
          </w:tcPr>
          <w:p>
            <w:pPr>
              <w:jc w:val="right"/>
              <w:ind w:right="886"/>
              <w:spacing w:after="0"/>
              <w:rPr>
                <w:sz w:val="20"/>
                <w:szCs w:val="20"/>
                <w:color w:val="auto"/>
              </w:rPr>
            </w:pPr>
            <w:r>
              <w:rPr>
                <w:rFonts w:ascii="Times New Roman" w:cs="Times New Roman" w:eastAsia="Times New Roman" w:hAnsi="Times New Roman"/>
                <w:sz w:val="16"/>
                <w:szCs w:val="16"/>
                <w:b w:val="1"/>
                <w:bCs w:val="1"/>
                <w:color w:val="auto"/>
              </w:rPr>
              <w:t>80111</w:t>
            </w:r>
          </w:p>
        </w:tc>
      </w:tr>
      <w:tr>
        <w:trPr>
          <w:trHeight w:val="226"/>
        </w:trPr>
        <w:tc>
          <w:tcPr>
            <w:tcW w:w="4200" w:type="dxa"/>
            <w:vAlign w:val="bottom"/>
            <w:gridSpan w:val="2"/>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20"/>
        </w:trPr>
        <w:tc>
          <w:tcPr>
            <w:tcW w:w="10160" w:type="dxa"/>
            <w:vAlign w:val="bottom"/>
            <w:gridSpan w:val="7"/>
          </w:tcPr>
          <w:p>
            <w:pPr>
              <w:jc w:val="center"/>
              <w:ind w:left="1003"/>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(303) 792-3600</w:t>
            </w:r>
          </w:p>
        </w:tc>
      </w:tr>
      <w:tr>
        <w:trPr>
          <w:trHeight w:val="243"/>
        </w:trPr>
        <w:tc>
          <w:tcPr>
            <w:tcW w:w="3440" w:type="dxa"/>
            <w:vAlign w:val="bottom"/>
          </w:tcPr>
          <w:p>
            <w:pPr>
              <w:spacing w:after="0"/>
              <w:rPr>
                <w:sz w:val="21"/>
                <w:szCs w:val="21"/>
                <w:color w:val="auto"/>
              </w:rPr>
            </w:pPr>
          </w:p>
        </w:tc>
        <w:tc>
          <w:tcPr>
            <w:tcW w:w="4240" w:type="dxa"/>
            <w:vAlign w:val="bottom"/>
            <w:gridSpan w:val="4"/>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40" w:type="dxa"/>
            <w:vAlign w:val="bottom"/>
          </w:tcPr>
          <w:p>
            <w:pPr>
              <w:spacing w:after="0"/>
              <w:rPr>
                <w:sz w:val="21"/>
                <w:szCs w:val="21"/>
                <w:color w:val="auto"/>
              </w:rPr>
            </w:pPr>
          </w:p>
        </w:tc>
        <w:tc>
          <w:tcPr>
            <w:tcW w:w="2340" w:type="dxa"/>
            <w:vAlign w:val="bottom"/>
          </w:tcPr>
          <w:p>
            <w:pPr>
              <w:spacing w:after="0"/>
              <w:rPr>
                <w:sz w:val="21"/>
                <w:szCs w:val="21"/>
                <w:color w:val="auto"/>
              </w:rPr>
            </w:pPr>
          </w:p>
        </w:tc>
      </w:tr>
      <w:tr>
        <w:trPr>
          <w:trHeight w:val="266"/>
        </w:trPr>
        <w:tc>
          <w:tcPr>
            <w:tcW w:w="4200" w:type="dxa"/>
            <w:vAlign w:val="bottom"/>
            <w:gridSpan w:val="2"/>
          </w:tcPr>
          <w:p>
            <w:pPr>
              <w:jc w:val="center"/>
              <w:ind w:left="563"/>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00" w:type="dxa"/>
            <w:vAlign w:val="bottom"/>
            <w:gridSpan w:val="2"/>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260" w:type="dxa"/>
            <w:vAlign w:val="bottom"/>
            <w:gridSpan w:val="3"/>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0"/>
        </w:trPr>
        <w:tc>
          <w:tcPr>
            <w:tcW w:w="4200" w:type="dxa"/>
            <w:vAlign w:val="bottom"/>
            <w:gridSpan w:val="2"/>
          </w:tcPr>
          <w:p>
            <w:pPr>
              <w:jc w:val="center"/>
              <w:ind w:left="583"/>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tc>
        <w:tc>
          <w:tcPr>
            <w:tcW w:w="1140" w:type="dxa"/>
            <w:vAlign w:val="bottom"/>
          </w:tcPr>
          <w:p>
            <w:pPr>
              <w:spacing w:after="0"/>
              <w:rPr>
                <w:sz w:val="19"/>
                <w:szCs w:val="19"/>
                <w:color w:val="auto"/>
              </w:rPr>
            </w:pPr>
          </w:p>
        </w:tc>
        <w:tc>
          <w:tcPr>
            <w:tcW w:w="1560" w:type="dxa"/>
            <w:vAlign w:val="bottom"/>
          </w:tcPr>
          <w:p>
            <w:pPr>
              <w:jc w:val="center"/>
              <w:ind w:right="899"/>
              <w:spacing w:after="0"/>
              <w:rPr>
                <w:sz w:val="20"/>
                <w:szCs w:val="20"/>
                <w:color w:val="auto"/>
              </w:rPr>
            </w:pPr>
            <w:r>
              <w:rPr>
                <w:rFonts w:ascii="Times New Roman" w:cs="Times New Roman" w:eastAsia="Times New Roman" w:hAnsi="Times New Roman"/>
                <w:sz w:val="16"/>
                <w:szCs w:val="16"/>
                <w:b w:val="1"/>
                <w:bCs w:val="1"/>
                <w:color w:val="auto"/>
              </w:rPr>
              <w:t>NCMI</w:t>
            </w:r>
          </w:p>
        </w:tc>
        <w:tc>
          <w:tcPr>
            <w:tcW w:w="780" w:type="dxa"/>
            <w:vAlign w:val="bottom"/>
          </w:tcPr>
          <w:p>
            <w:pPr>
              <w:spacing w:after="0"/>
              <w:rPr>
                <w:sz w:val="19"/>
                <w:szCs w:val="19"/>
                <w:color w:val="auto"/>
              </w:rPr>
            </w:pPr>
          </w:p>
        </w:tc>
        <w:tc>
          <w:tcPr>
            <w:tcW w:w="2480" w:type="dxa"/>
            <w:vAlign w:val="bottom"/>
            <w:gridSpan w:val="2"/>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r>
        <w:trPr>
          <w:trHeight w:val="240"/>
        </w:trPr>
        <w:tc>
          <w:tcPr>
            <w:tcW w:w="10160" w:type="dxa"/>
            <w:vAlign w:val="bottom"/>
            <w:gridSpan w:val="7"/>
          </w:tcPr>
          <w:p>
            <w:pPr>
              <w:jc w:val="center"/>
              <w:ind w:left="1003"/>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r>
      <w:tr>
        <w:trPr>
          <w:trHeight w:val="272"/>
        </w:trPr>
        <w:tc>
          <w:tcPr>
            <w:tcW w:w="76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248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bl>
    <w:p>
      <w:pPr>
        <w:spacing w:after="0" w:line="184" w:lineRule="exact"/>
        <w:tabs>
          <w:tab w:leader="none" w:pos="7900" w:val="left"/>
          <w:tab w:leader="none" w:pos="8540" w:val="left"/>
        </w:tabs>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79"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760" w:type="dxa"/>
        <w:tblCellMar>
          <w:top w:w="0" w:type="dxa"/>
          <w:left w:w="0" w:type="dxa"/>
          <w:bottom w:w="0" w:type="dxa"/>
          <w:right w:w="0" w:type="dxa"/>
        </w:tblCellMar>
      </w:tblPr>
      <w:tr>
        <w:trPr>
          <w:trHeight w:val="256"/>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82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rPr>
              <w:t>☐</w:t>
            </w:r>
          </w:p>
        </w:tc>
        <w:tc>
          <w:tcPr>
            <w:tcW w:w="3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460" w:type="dxa"/>
            <w:vAlign w:val="bottom"/>
          </w:tcPr>
          <w:p>
            <w:pPr>
              <w:ind w:left="1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82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rPr>
              <w:t>☐</w:t>
            </w:r>
          </w:p>
        </w:tc>
        <w:tc>
          <w:tcPr>
            <w:tcW w:w="3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460" w:type="dxa"/>
            <w:vAlign w:val="bottom"/>
          </w:tcPr>
          <w:p>
            <w:pPr>
              <w:ind w:left="1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Accelerated filer</w:t>
            </w:r>
          </w:p>
        </w:tc>
        <w:tc>
          <w:tcPr>
            <w:tcW w:w="182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rPr>
              <w:t>☒</w:t>
            </w:r>
          </w:p>
        </w:tc>
        <w:tc>
          <w:tcPr>
            <w:tcW w:w="3280" w:type="dxa"/>
            <w:vAlign w:val="bottom"/>
          </w:tcPr>
          <w:p>
            <w:pPr>
              <w:spacing w:after="0"/>
              <w:rPr>
                <w:sz w:val="23"/>
                <w:szCs w:val="23"/>
                <w:color w:val="auto"/>
              </w:rPr>
            </w:pPr>
          </w:p>
        </w:tc>
        <w:tc>
          <w:tcPr>
            <w:tcW w:w="1460" w:type="dxa"/>
            <w:vAlign w:val="bottom"/>
          </w:tcPr>
          <w:p>
            <w:pPr>
              <w:spacing w:after="0"/>
              <w:rPr>
                <w:sz w:val="23"/>
                <w:szCs w:val="23"/>
                <w:color w:val="auto"/>
              </w:rPr>
            </w:pPr>
          </w:p>
        </w:tc>
      </w:tr>
    </w:tbl>
    <w:p>
      <w:pPr>
        <w:spacing w:after="0" w:line="7" w:lineRule="exact"/>
        <w:rPr>
          <w:sz w:val="24"/>
          <w:szCs w:val="24"/>
          <w:color w:val="auto"/>
        </w:rPr>
      </w:pPr>
    </w:p>
    <w:p>
      <w:pPr>
        <w:ind w:right="50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method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 w:lineRule="exact"/>
        <w:rPr>
          <w:sz w:val="24"/>
          <w:szCs w:val="24"/>
          <w:color w:val="auto"/>
        </w:rPr>
      </w:pPr>
    </w:p>
    <w:p>
      <w:pPr>
        <w:ind w:right="2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7" w:lineRule="exact"/>
        <w:rPr>
          <w:sz w:val="24"/>
          <w:szCs w:val="24"/>
          <w:color w:val="auto"/>
        </w:rPr>
      </w:pPr>
    </w:p>
    <w:p>
      <w:pPr>
        <w:ind w:right="30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1" w:lineRule="exact"/>
        <w:rPr>
          <w:sz w:val="24"/>
          <w:szCs w:val="24"/>
          <w:color w:val="auto"/>
        </w:rPr>
      </w:pPr>
    </w:p>
    <w:p>
      <w:pPr>
        <w:ind w:right="3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84" w:lineRule="exact"/>
        <w:tabs>
          <w:tab w:leader="none" w:pos="6840" w:val="left"/>
          <w:tab w:leader="none" w:pos="74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66" w:lineRule="exact"/>
        <w:rPr>
          <w:sz w:val="24"/>
          <w:szCs w:val="24"/>
          <w:color w:val="auto"/>
        </w:rPr>
      </w:pPr>
    </w:p>
    <w:p>
      <w:pPr>
        <w:ind w:right="36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520"/>
        <w:spacing w:after="0" w:line="290" w:lineRule="auto"/>
        <w:rPr>
          <w:sz w:val="20"/>
          <w:szCs w:val="20"/>
          <w:color w:val="auto"/>
        </w:rPr>
      </w:pPr>
      <w:r>
        <w:rPr>
          <w:rFonts w:ascii="Times New Roman" w:cs="Times New Roman" w:eastAsia="Times New Roman" w:hAnsi="Times New Roman"/>
          <w:sz w:val="16"/>
          <w:szCs w:val="16"/>
          <w:color w:val="auto"/>
        </w:rPr>
        <w:t>Based on the closing sales price on June 27, 2024, the aggregate market value of the voting and non-voting common stock held by non-affiliates of the registrant was $290,335,227.</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February 28, 2025, 95,209,712 shares of the registrant’s common stock (including unvested restricted stock), par value of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960" w:type="dxa"/>
            <w:vAlign w:val="bottom"/>
            <w:gridSpan w:val="2"/>
          </w:tcPr>
          <w:p>
            <w:pPr>
              <w:jc w:val="right"/>
              <w:ind w:right="455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10"/>
        </w:trPr>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320" w:type="dxa"/>
            <w:vAlign w:val="bottom"/>
            <w:vMerge w:val="restart"/>
          </w:tcPr>
          <w:p>
            <w:pPr>
              <w:jc w:val="right"/>
              <w:ind w:right="431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3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0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Business</w:t>
            </w:r>
          </w:p>
        </w:tc>
        <w:tc>
          <w:tcPr>
            <w:tcW w:w="7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20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7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1040" w:type="dxa"/>
            <w:vAlign w:val="bottom"/>
            <w:gridSpan w:val="5"/>
          </w:tcPr>
          <w:p>
            <w:pPr>
              <w:spacing w:after="0"/>
              <w:rPr>
                <w:sz w:val="24"/>
                <w:szCs w:val="24"/>
                <w:color w:val="auto"/>
              </w:rPr>
            </w:pPr>
          </w:p>
        </w:tc>
        <w:tc>
          <w:tcPr>
            <w:tcW w:w="7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24"/>
                <w:szCs w:val="24"/>
                <w:color w:val="auto"/>
              </w:rPr>
            </w:pPr>
          </w:p>
        </w:tc>
        <w:tc>
          <w:tcPr>
            <w:tcW w:w="1300" w:type="dxa"/>
            <w:vAlign w:val="bottom"/>
            <w:gridSpan w:val="7"/>
          </w:tcPr>
          <w:p>
            <w:pPr>
              <w:spacing w:after="0"/>
              <w:rPr>
                <w:sz w:val="24"/>
                <w:szCs w:val="24"/>
                <w:color w:val="auto"/>
              </w:rPr>
            </w:pPr>
          </w:p>
        </w:tc>
        <w:tc>
          <w:tcPr>
            <w:tcW w:w="7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0" w:type="dxa"/>
            <w:vAlign w:val="bottom"/>
            <w:tcBorders>
              <w:bottom w:val="single" w:sz="8" w:color="0000EE"/>
            </w:tcBorders>
          </w:tcPr>
          <w:p>
            <w:pPr>
              <w:spacing w:after="0"/>
              <w:rPr>
                <w:sz w:val="24"/>
                <w:szCs w:val="24"/>
                <w:color w:val="auto"/>
              </w:rPr>
            </w:pPr>
          </w:p>
        </w:tc>
        <w:tc>
          <w:tcPr>
            <w:tcW w:w="700" w:type="dxa"/>
            <w:vAlign w:val="bottom"/>
            <w:gridSpan w:val="3"/>
          </w:tcPr>
          <w:p>
            <w:pPr>
              <w:spacing w:after="0"/>
              <w:rPr>
                <w:sz w:val="24"/>
                <w:szCs w:val="24"/>
                <w:color w:val="auto"/>
              </w:rPr>
            </w:pPr>
          </w:p>
        </w:tc>
        <w:tc>
          <w:tcPr>
            <w:tcW w:w="7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20" w:type="dxa"/>
            <w:vAlign w:val="bottom"/>
            <w:tcBorders>
              <w:bottom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7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40" w:type="dxa"/>
            <w:vAlign w:val="bottom"/>
          </w:tcPr>
          <w:p>
            <w:pPr>
              <w:spacing w:after="0"/>
              <w:rPr>
                <w:sz w:val="20"/>
                <w:szCs w:val="20"/>
                <w:color w:val="auto"/>
              </w:rPr>
            </w:pPr>
          </w:p>
        </w:tc>
      </w:tr>
      <w:tr>
        <w:trPr>
          <w:trHeight w:val="29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8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bottom w:val="single" w:sz="8" w:color="0000EE"/>
            </w:tcBorders>
          </w:tcPr>
          <w:p>
            <w:pPr>
              <w:spacing w:after="0"/>
              <w:rPr>
                <w:sz w:val="24"/>
                <w:szCs w:val="24"/>
                <w:color w:val="auto"/>
              </w:rPr>
            </w:pPr>
          </w:p>
        </w:tc>
        <w:tc>
          <w:tcPr>
            <w:tcW w:w="8140" w:type="dxa"/>
            <w:vAlign w:val="bottom"/>
            <w:gridSpan w:val="11"/>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89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FF"/>
            </w:tcBorders>
            <w:gridSpan w:val="2"/>
          </w:tcPr>
          <w:p>
            <w:pPr>
              <w:spacing w:after="0"/>
              <w:rPr>
                <w:sz w:val="24"/>
                <w:szCs w:val="24"/>
                <w:color w:val="auto"/>
              </w:rPr>
            </w:pPr>
          </w:p>
        </w:tc>
        <w:tc>
          <w:tcPr>
            <w:tcW w:w="2500" w:type="dxa"/>
            <w:vAlign w:val="bottom"/>
            <w:gridSpan w:val="3"/>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bottom w:val="single" w:sz="8" w:color="0000EE"/>
            </w:tcBorders>
          </w:tcPr>
          <w:p>
            <w:pPr>
              <w:spacing w:after="0"/>
              <w:rPr>
                <w:sz w:val="24"/>
                <w:szCs w:val="24"/>
                <w:color w:val="auto"/>
              </w:rPr>
            </w:pPr>
          </w:p>
        </w:tc>
        <w:tc>
          <w:tcPr>
            <w:tcW w:w="5600" w:type="dxa"/>
            <w:vAlign w:val="bottom"/>
            <w:gridSpan w:val="6"/>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1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480" w:type="dxa"/>
            <w:vAlign w:val="bottom"/>
            <w:gridSpan w:val="2"/>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180" w:type="dxa"/>
            <w:vAlign w:val="bottom"/>
            <w:gridSpan w:val="8"/>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bottom w:val="single" w:sz="8" w:color="0000EE"/>
            </w:tcBorders>
          </w:tcPr>
          <w:p>
            <w:pPr>
              <w:spacing w:after="0"/>
              <w:rPr>
                <w:sz w:val="24"/>
                <w:szCs w:val="24"/>
                <w:color w:val="auto"/>
              </w:rPr>
            </w:pPr>
          </w:p>
        </w:tc>
        <w:tc>
          <w:tcPr>
            <w:tcW w:w="7620" w:type="dxa"/>
            <w:vAlign w:val="bottom"/>
            <w:gridSpan w:val="9"/>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89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12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460" w:type="dxa"/>
            <w:vAlign w:val="bottom"/>
          </w:tcPr>
          <w:p>
            <w:pPr>
              <w:spacing w:after="0"/>
              <w:rPr>
                <w:sz w:val="20"/>
                <w:szCs w:val="20"/>
                <w:color w:val="auto"/>
              </w:rPr>
            </w:pPr>
          </w:p>
        </w:tc>
      </w:tr>
      <w:tr>
        <w:trPr>
          <w:trHeight w:val="297"/>
        </w:trPr>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460" w:type="dxa"/>
            <w:vAlign w:val="bottom"/>
            <w:gridSpan w:val="3"/>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18"/>
        </w:trPr>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8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18"/>
        </w:trPr>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18"/>
        </w:trPr>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100" w:type="dxa"/>
            <w:vAlign w:val="bottom"/>
            <w:gridSpan w:val="2"/>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18"/>
        </w:trPr>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8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5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460" w:type="dxa"/>
            <w:vAlign w:val="bottom"/>
          </w:tcPr>
          <w:p>
            <w:pPr>
              <w:spacing w:after="0"/>
              <w:rPr>
                <w:sz w:val="24"/>
                <w:szCs w:val="24"/>
                <w:color w:val="auto"/>
              </w:rPr>
            </w:pPr>
          </w:p>
        </w:tc>
      </w:tr>
      <w:tr>
        <w:trPr>
          <w:trHeight w:val="297"/>
        </w:trPr>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8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18"/>
        </w:trPr>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29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660" w:type="dxa"/>
            <w:vAlign w:val="bottom"/>
            <w:gridSpan w:val="4"/>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45"/>
        </w:trPr>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15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1323"/>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ind w:left="426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document, unless the context otherwise requires:</w:t>
      </w:r>
    </w:p>
    <w:p>
      <w:pPr>
        <w:spacing w:after="0" w:line="117" w:lineRule="exact"/>
        <w:rPr>
          <w:sz w:val="20"/>
          <w:szCs w:val="20"/>
          <w:color w:val="auto"/>
        </w:rPr>
      </w:pPr>
    </w:p>
    <w:p>
      <w:pPr>
        <w:ind w:left="380" w:right="180" w:hanging="379"/>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“NCM, Inc.,” “NCM,” “the Company,” “we,” “us” or “our” refer to National CineMedia, Inc., a Delaware corporation, and its consolidated subsidiary National CineMedia, LLC.</w:t>
      </w:r>
    </w:p>
    <w:p>
      <w:pPr>
        <w:spacing w:after="0" w:line="53" w:lineRule="exact"/>
        <w:rPr>
          <w:rFonts w:ascii="Times New Roman" w:cs="Times New Roman" w:eastAsia="Times New Roman" w:hAnsi="Times New Roman"/>
          <w:sz w:val="18"/>
          <w:szCs w:val="18"/>
          <w:color w:val="auto"/>
        </w:rPr>
      </w:pPr>
    </w:p>
    <w:p>
      <w:pPr>
        <w:ind w:left="380" w:right="280" w:hanging="379"/>
        <w:spacing w:after="0" w:line="26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“NCM LLC” refers to National CineMedia, LLC, a Delaware limited liability company, the current operating company for our business, which NCM, Inc. acquired an interest in, and became a member and the sole manager of, upon completion of our initial public offering, or “IPO,” which closed on February 13, 2007.</w:t>
      </w:r>
    </w:p>
    <w:p>
      <w:pPr>
        <w:spacing w:after="0" w:line="67" w:lineRule="exact"/>
        <w:rPr>
          <w:rFonts w:ascii="Times New Roman" w:cs="Times New Roman" w:eastAsia="Times New Roman" w:hAnsi="Times New Roman"/>
          <w:sz w:val="18"/>
          <w:szCs w:val="18"/>
          <w:color w:val="auto"/>
        </w:rPr>
      </w:pPr>
    </w:p>
    <w:p>
      <w:pPr>
        <w:ind w:left="380" w:right="40" w:hanging="379"/>
        <w:spacing w:after="0" w:line="258"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“ESAs” refers to the amended and restated exhibitor services agreements entered into by NCM LLC with each of NCM LLC’s original founding members (AMC, Cinemark and Regal) upon completion of the IPO, which were further amended and restated on December 26, 2013 in connection with the sale of the Fathom Events business and, in the case of the ESAs with Cinemark and Regal, were further amended on September 17, 2019 (the “2019 ESA Amendments”) to extend the terms of the ESAs and modify the program distributed by NCM LLC through its DCN for exhibition in Cinemark and Regal theaters. On July 14, 2023, Regal terminated their ESA with NCM LLC.</w:t>
      </w:r>
    </w:p>
    <w:p>
      <w:pPr>
        <w:spacing w:after="0" w:line="75" w:lineRule="exact"/>
        <w:rPr>
          <w:rFonts w:ascii="Times New Roman" w:cs="Times New Roman" w:eastAsia="Times New Roman" w:hAnsi="Times New Roman"/>
          <w:sz w:val="18"/>
          <w:szCs w:val="18"/>
          <w:color w:val="auto"/>
        </w:rPr>
      </w:pPr>
    </w:p>
    <w:p>
      <w:pPr>
        <w:ind w:left="380" w:right="260" w:hanging="379"/>
        <w:spacing w:after="0" w:line="26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“AMC” refers to AMC Entertainment Holdings, Inc. and its subsidiaries, National Cinema Network, Inc., which contributed assets used in the operations of NCM LLC and formed NCM LLC in March 2005, AMC ShowPlace Theatres, Inc., AMC Starplex, LLC and American Multi-Cinema, Inc., which is a party to an ESA with NCM LLC.</w:t>
      </w:r>
    </w:p>
    <w:p>
      <w:pPr>
        <w:spacing w:after="0" w:line="67" w:lineRule="exact"/>
        <w:rPr>
          <w:rFonts w:ascii="Times New Roman" w:cs="Times New Roman" w:eastAsia="Times New Roman" w:hAnsi="Times New Roman"/>
          <w:sz w:val="18"/>
          <w:szCs w:val="18"/>
          <w:color w:val="auto"/>
        </w:rPr>
      </w:pPr>
    </w:p>
    <w:p>
      <w:pPr>
        <w:ind w:left="380" w:right="680" w:hanging="379"/>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“Cinemark” refers to Cinemark Holdings, Inc. and its subsidiaries, Cinemark Media, Inc., which joined NCM LLC in July 2005, and Cinemark USA, Inc., which is a party to an ESA with NCM LLC.</w:t>
      </w:r>
    </w:p>
    <w:p>
      <w:pPr>
        <w:spacing w:after="0" w:line="53" w:lineRule="exact"/>
        <w:rPr>
          <w:rFonts w:ascii="Times New Roman" w:cs="Times New Roman" w:eastAsia="Times New Roman" w:hAnsi="Times New Roman"/>
          <w:sz w:val="18"/>
          <w:szCs w:val="18"/>
          <w:color w:val="auto"/>
        </w:rPr>
      </w:pPr>
    </w:p>
    <w:p>
      <w:pPr>
        <w:ind w:left="380" w:right="100" w:hanging="379"/>
        <w:spacing w:after="0" w:line="261"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“Regal” refers to Cineworld Group plc, Regal Entertainment Group and its subsidiaries, Regal CineMedia Corporation, which contributed assets used in the operations of NCM LLC, Regal CineMedia Holdings, LLC, which formed NCM LLC in March 2005, and Regal Cinemas, Inc., which was a party to an ESA with NCM LLC until July 14, 2023, when Regal terminated their ESA. On July 14, 2023, Regal entered into a network affiliate agreement.</w:t>
      </w:r>
    </w:p>
    <w:p>
      <w:pPr>
        <w:spacing w:after="0" w:line="71" w:lineRule="exact"/>
        <w:rPr>
          <w:rFonts w:ascii="Times New Roman" w:cs="Times New Roman" w:eastAsia="Times New Roman" w:hAnsi="Times New Roman"/>
          <w:sz w:val="18"/>
          <w:szCs w:val="18"/>
          <w:color w:val="auto"/>
        </w:rPr>
      </w:pPr>
    </w:p>
    <w:p>
      <w:pPr>
        <w:ind w:left="380" w:hanging="379"/>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“ESA Parties” refers to AMC and Cinemark. It additionally refers to Regal, for activity prior to July 14, 2023.</w:t>
      </w:r>
    </w:p>
    <w:p>
      <w:pPr>
        <w:spacing w:after="0" w:line="117" w:lineRule="exact"/>
        <w:rPr>
          <w:rFonts w:ascii="Times New Roman" w:cs="Times New Roman" w:eastAsia="Times New Roman" w:hAnsi="Times New Roman"/>
          <w:sz w:val="18"/>
          <w:szCs w:val="18"/>
          <w:color w:val="auto"/>
        </w:rPr>
      </w:pPr>
    </w:p>
    <w:p>
      <w:pPr>
        <w:ind w:left="380" w:right="80" w:hanging="379"/>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affiliates” refers to certain third-party theater circuits with which NCM LLC has long-term network affiliate agreements, including with Regal after July 14, 2023.</w:t>
      </w:r>
    </w:p>
    <w:p>
      <w:pPr>
        <w:spacing w:after="0" w:line="53" w:lineRule="exact"/>
        <w:rPr>
          <w:rFonts w:ascii="Times New Roman" w:cs="Times New Roman" w:eastAsia="Times New Roman" w:hAnsi="Times New Roman"/>
          <w:sz w:val="18"/>
          <w:szCs w:val="18"/>
          <w:color w:val="auto"/>
        </w:rPr>
      </w:pPr>
    </w:p>
    <w:p>
      <w:pPr>
        <w:ind w:left="380" w:hanging="379"/>
        <w:spacing w:after="0" w:line="261"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OIBDA” refers to a non-GAAP financial measure, which management defines as operating income before depreciation and amortization expense adjusted to also exclude non-cash share-based payment costs, impairment of long-lived assets, workforce reorganization costs, termination of the Regal ESA, system optimization costs, satellite transitions costs and advisor fees related to involvement in the Cineworld Proceeding and Chapter 11 Case (each as defined herein).</w:t>
      </w:r>
    </w:p>
    <w:p>
      <w:pPr>
        <w:spacing w:after="0" w:line="71" w:lineRule="exact"/>
        <w:rPr>
          <w:rFonts w:ascii="Times New Roman" w:cs="Times New Roman" w:eastAsia="Times New Roman" w:hAnsi="Times New Roman"/>
          <w:sz w:val="18"/>
          <w:szCs w:val="18"/>
          <w:color w:val="auto"/>
        </w:rPr>
      </w:pPr>
    </w:p>
    <w:p>
      <w:pPr>
        <w:ind w:left="380" w:hanging="379"/>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OIBDA margin” is a non-GAAP financial measure calculated by dividing Adjusted OIBDA by total revenue.</w:t>
      </w:r>
    </w:p>
    <w:p>
      <w:pPr>
        <w:spacing w:after="0" w:line="117" w:lineRule="exact"/>
        <w:rPr>
          <w:rFonts w:ascii="Times New Roman" w:cs="Times New Roman" w:eastAsia="Times New Roman" w:hAnsi="Times New Roman"/>
          <w:sz w:val="18"/>
          <w:szCs w:val="18"/>
          <w:color w:val="auto"/>
        </w:rPr>
      </w:pPr>
    </w:p>
    <w:p>
      <w:pPr>
        <w:ind w:left="380" w:hanging="379"/>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 refers to NCM LLC’s Lobby Entertainment Network.</w:t>
      </w:r>
    </w:p>
    <w:p>
      <w:pPr>
        <w:spacing w:after="0" w:line="117" w:lineRule="exact"/>
        <w:rPr>
          <w:rFonts w:ascii="Times New Roman" w:cs="Times New Roman" w:eastAsia="Times New Roman" w:hAnsi="Times New Roman"/>
          <w:sz w:val="18"/>
          <w:szCs w:val="18"/>
          <w:color w:val="auto"/>
        </w:rPr>
      </w:pPr>
    </w:p>
    <w:p>
      <w:pPr>
        <w:ind w:left="380" w:hanging="379"/>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“CPM” is a basis for which advertising is sold by the cost per thousand viewers.</w:t>
      </w:r>
    </w:p>
    <w:p>
      <w:pPr>
        <w:spacing w:after="0" w:line="117" w:lineRule="exact"/>
        <w:rPr>
          <w:rFonts w:ascii="Times New Roman" w:cs="Times New Roman" w:eastAsia="Times New Roman" w:hAnsi="Times New Roman"/>
          <w:sz w:val="18"/>
          <w:szCs w:val="18"/>
          <w:color w:val="auto"/>
        </w:rPr>
      </w:pPr>
    </w:p>
    <w:p>
      <w:pPr>
        <w:ind w:left="380" w:hanging="379"/>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“DCN” refers to NCM LLC’s Digital Content Network.</w:t>
      </w:r>
    </w:p>
    <w:p>
      <w:pPr>
        <w:spacing w:after="0" w:line="117" w:lineRule="exact"/>
        <w:rPr>
          <w:rFonts w:ascii="Times New Roman" w:cs="Times New Roman" w:eastAsia="Times New Roman" w:hAnsi="Times New Roman"/>
          <w:sz w:val="18"/>
          <w:szCs w:val="18"/>
          <w:color w:val="auto"/>
        </w:rPr>
      </w:pPr>
    </w:p>
    <w:p>
      <w:pPr>
        <w:ind w:left="380" w:right="160" w:hanging="379"/>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 refers to the tax receivable agreement entered into by NCM, Inc. and the ESA Parties. Regal was a party to this agreement until July 14, 2023, when Regal terminated their tax receivable agreement with NCM LLC.</w:t>
      </w:r>
    </w:p>
    <w:p>
      <w:pPr>
        <w:spacing w:after="0" w:line="200" w:lineRule="exact"/>
        <w:rPr>
          <w:sz w:val="20"/>
          <w:szCs w:val="20"/>
          <w:color w:val="auto"/>
        </w:rPr>
      </w:pPr>
    </w:p>
    <w:p>
      <w:pPr>
        <w:spacing w:after="0" w:line="25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940" w:top="1089"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right="180" w:firstLine="614"/>
        <w:spacing w:after="0" w:line="256" w:lineRule="auto"/>
        <w:rPr>
          <w:sz w:val="20"/>
          <w:szCs w:val="20"/>
          <w:color w:val="auto"/>
        </w:rPr>
      </w:pPr>
      <w:r>
        <w:rPr>
          <w:rFonts w:ascii="Times New Roman" w:cs="Times New Roman" w:eastAsia="Times New Roman" w:hAnsi="Times New Roman"/>
          <w:sz w:val="18"/>
          <w:szCs w:val="18"/>
          <w:color w:val="auto"/>
        </w:rPr>
        <w:t>Information regarding market share, market position and industry data pertaining to our business contained in this report consists of estimates based on data and reports compiled by industry professional organizations (including, but not limited to, the Motion Picture Association of America, and the National Association of Theatre Owners) and analysts and our knowledge of our revenues and markets. Designated Market Area® is a registered trademark of Nielsen Media Research, Inc. (“Nielsen”). We take responsibility for compiling and extracting, but have not independently verified, market and industry data provided by third parties, or by industry or general publications, and take no further responsibility for such data. Similarly, while we believe our internal data is reliable, our data has not been verified by any independent sources, and we cannot assure you as to their accuracy.</w:t>
      </w:r>
    </w:p>
    <w:p>
      <w:pPr>
        <w:spacing w:after="0" w:line="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60" w:firstLine="614"/>
        <w:spacing w:after="0" w:line="255" w:lineRule="auto"/>
        <w:rPr>
          <w:sz w:val="20"/>
          <w:szCs w:val="20"/>
          <w:color w:val="auto"/>
        </w:rPr>
      </w:pPr>
      <w:r>
        <w:rPr>
          <w:rFonts w:ascii="Times New Roman" w:cs="Times New Roman" w:eastAsia="Times New Roman" w:hAnsi="Times New Roman"/>
          <w:sz w:val="18"/>
          <w:szCs w:val="18"/>
          <w:color w:val="auto"/>
        </w:rPr>
        <w:t>In addition to historical information, some of the information in this Form 10-K includes “forward-looking statements.” All statements other than statements of historical facts included in this Form 10-K, including, without limitation, certain statements under “Business,” “Risk Factors” and “Management’s Discussion and Analysis of Financial Condition and Results of Operations,” may constitute forward-looking statements. In some cases, you can identify these “forward-looking statements” by the specific words, including but not limited to “may,” “will,” “can,” “should,” “expects,” “forecasts,” “projects,” “intends,” “plans,” “anticipates,” “believes,” “estimates,” “predicts,” “potential” or “continue” or the negative of those words and other comparable words. These forward-looking statements involve known and unknown risks and uncertainties, assumptions and other factors, including, but not limited to, the following:</w:t>
      </w:r>
    </w:p>
    <w:p>
      <w:pPr>
        <w:spacing w:after="0" w:line="81" w:lineRule="exact"/>
        <w:rPr>
          <w:sz w:val="20"/>
          <w:szCs w:val="20"/>
          <w:color w:val="auto"/>
        </w:rPr>
      </w:pPr>
    </w:p>
    <w:p>
      <w:pPr>
        <w:ind w:left="1000" w:right="360" w:hanging="379"/>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to our business related to NCM LLC’s emergence from bankruptcy, including outstanding litigation, relationships with vendors, network theater circuits, ESA Parties, employees, and customers, financial results and revised corporate structure</w:t>
      </w:r>
    </w:p>
    <w:p>
      <w:pPr>
        <w:spacing w:after="0" w:line="53" w:lineRule="exact"/>
        <w:rPr>
          <w:rFonts w:ascii="Times New Roman" w:cs="Times New Roman" w:eastAsia="Times New Roman" w:hAnsi="Times New Roman"/>
          <w:sz w:val="18"/>
          <w:szCs w:val="18"/>
          <w:color w:val="auto"/>
        </w:rPr>
      </w:pPr>
    </w:p>
    <w:p>
      <w:pPr>
        <w:ind w:left="1000" w:right="40" w:hanging="379"/>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theater attendance, including as a result of pandemics, epidemics, disease outbreaks, impacts to film production, reductions in the number of theaters or general economic impacts can disrupt our business and the business of our ESA Parties and network affiliates;</w:t>
      </w:r>
    </w:p>
    <w:p>
      <w:pPr>
        <w:spacing w:after="0" w:line="51"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in theater patron behavior could result in declines in viewership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w:t>
      </w:r>
    </w:p>
    <w:p>
      <w:pPr>
        <w:spacing w:after="0" w:line="119" w:lineRule="exact"/>
        <w:rPr>
          <w:rFonts w:ascii="Times New Roman" w:cs="Times New Roman" w:eastAsia="Times New Roman" w:hAnsi="Times New Roman"/>
          <w:sz w:val="18"/>
          <w:szCs w:val="18"/>
          <w:color w:val="auto"/>
        </w:rPr>
      </w:pPr>
    </w:p>
    <w:p>
      <w:pPr>
        <w:ind w:left="1000" w:right="220" w:hanging="379"/>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ESAs or network affiliate agreements and the relationships with NCM LLC’s ESA Parties and network affiliates and NCM LLC’s ability to enforce the provisions contained in the ESAs or network affiliate agreements;</w:t>
      </w:r>
    </w:p>
    <w:p>
      <w:pPr>
        <w:spacing w:after="0" w:line="53"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increasing the number of theaters in which NCM LLC has the right to display Post-Showtime Inventory;</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developing additional digital or digital out-of-home revenue opportunities may not be implemented and may not be achieved;</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to the ESAs due to bankruptcy of or lack of support from the ESA Parties;</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failures or disruptions in our technology systems or the failure to adequately protect our systems, data or property from threats;</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manage change to our strategy or continue our growth;</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regulation and potential liability arising out of the gathering and use of user information collected through data or digital services;</w:t>
      </w:r>
    </w:p>
    <w:p>
      <w:pPr>
        <w:spacing w:after="0" w:line="128" w:lineRule="exact"/>
        <w:rPr>
          <w:rFonts w:ascii="Times New Roman" w:cs="Times New Roman" w:eastAsia="Times New Roman" w:hAnsi="Times New Roman"/>
          <w:sz w:val="17"/>
          <w:szCs w:val="17"/>
          <w:color w:val="auto"/>
        </w:rPr>
      </w:pPr>
    </w:p>
    <w:p>
      <w:pPr>
        <w:ind w:left="1000" w:hanging="379"/>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within the overall advertising industry;</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continue to upgrade our technology and that of our advertising network;</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grow our advertising revenue in line with the growth of our contractual costs;</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any major advertising client, including due to the uncertainty or perception of uncertainty in the industry;</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inability to retain or replace our senior management;</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government regulation on ESA Party and network affiliate growth;</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4" w:name="page5"/>
    <w:bookmarkEnd w:id="4"/>
    <w:p>
      <w:pPr>
        <w:ind w:left="1000" w:hanging="379"/>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infringement of our technology on intellectual property rights owned by others;</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or enforce our intellectual property rights;</w:t>
      </w:r>
    </w:p>
    <w:p>
      <w:pPr>
        <w:spacing w:after="0" w:line="117" w:lineRule="exact"/>
        <w:rPr>
          <w:rFonts w:ascii="Times New Roman" w:cs="Times New Roman" w:eastAsia="Times New Roman" w:hAnsi="Times New Roman"/>
          <w:sz w:val="18"/>
          <w:szCs w:val="18"/>
          <w:color w:val="auto"/>
        </w:rPr>
      </w:pPr>
    </w:p>
    <w:p>
      <w:pPr>
        <w:ind w:left="1000" w:hanging="379"/>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holding company with no operations of our own, and we depend on distributions and payments under the NCM LLC operating and management services agreements from NCM LLC to meet our ongoing obligations and to pay cash dividends on our common stock;</w:t>
      </w:r>
    </w:p>
    <w:p>
      <w:pPr>
        <w:spacing w:after="0" w:line="53" w:lineRule="exact"/>
        <w:rPr>
          <w:rFonts w:ascii="Times New Roman" w:cs="Times New Roman" w:eastAsia="Times New Roman" w:hAnsi="Times New Roman"/>
          <w:sz w:val="18"/>
          <w:szCs w:val="18"/>
          <w:color w:val="auto"/>
        </w:rPr>
      </w:pPr>
    </w:p>
    <w:p>
      <w:pPr>
        <w:ind w:left="1000" w:right="100" w:hanging="379"/>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NCM LLC’s other members, their affiliates or our largest stockholder may have interests that differ from those of us or our public stockholders and they may be able to influence our affairs, compete with us or benefit from corporate opportunities that might otherwise be available to us;</w:t>
      </w:r>
    </w:p>
    <w:p>
      <w:pPr>
        <w:spacing w:after="0" w:line="6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contains anti-takeover protections that may discourage a strategic transaction;</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 of membership units or preferred stock could dilute the interest of our common stockholders;</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that any amount of our tax benefits under the TRA should not have been available;</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our stock price from the substantial number of our shares eligible for sale; and</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under “Risk Factors” or elsewhere in this Annual Report on Form 10-K.</w:t>
      </w:r>
    </w:p>
    <w:p>
      <w:pPr>
        <w:spacing w:after="0" w:line="117" w:lineRule="exact"/>
        <w:rPr>
          <w:sz w:val="20"/>
          <w:szCs w:val="20"/>
          <w:color w:val="auto"/>
        </w:rPr>
      </w:pPr>
    </w:p>
    <w:p>
      <w:pPr>
        <w:ind w:right="100" w:firstLine="614"/>
        <w:spacing w:after="0" w:line="261" w:lineRule="auto"/>
        <w:rPr>
          <w:sz w:val="20"/>
          <w:szCs w:val="20"/>
          <w:color w:val="auto"/>
        </w:rPr>
      </w:pPr>
      <w:r>
        <w:rPr>
          <w:rFonts w:ascii="Times New Roman" w:cs="Times New Roman" w:eastAsia="Times New Roman" w:hAnsi="Times New Roman"/>
          <w:sz w:val="18"/>
          <w:szCs w:val="18"/>
          <w:color w:val="auto"/>
        </w:rPr>
        <w:t>This list of factors that may affect future performance and the accuracy of forward-looking statements are illustrative and not exhaustive. Our actual results, performance or achievements could differ materially from those indicated in these statements as a result of additional factors as more fully discussed in the section titled “Risk Factors,” and elsewhere in this Annual Report on Form 10-K. Given these uncertainties, readers are cautioned not to place undue reliance on our forward-looking statements.</w:t>
      </w:r>
    </w:p>
    <w:p>
      <w:pPr>
        <w:spacing w:after="0" w:line="72" w:lineRule="exact"/>
        <w:rPr>
          <w:sz w:val="20"/>
          <w:szCs w:val="20"/>
          <w:color w:val="auto"/>
        </w:rPr>
      </w:pPr>
    </w:p>
    <w:p>
      <w:pPr>
        <w:ind w:right="60" w:firstLine="614"/>
        <w:spacing w:after="0" w:line="266"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us or to persons acting on our behalf are expressly qualified in their entirety by these cautionary statements. We disclaim any intention or obligation to update publicly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01" w:right="4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ind w:right="80" w:firstLine="608"/>
        <w:spacing w:after="0" w:line="260" w:lineRule="auto"/>
        <w:rPr>
          <w:sz w:val="20"/>
          <w:szCs w:val="20"/>
          <w:color w:val="auto"/>
        </w:rPr>
      </w:pPr>
      <w:r>
        <w:rPr>
          <w:rFonts w:ascii="Times New Roman" w:cs="Times New Roman" w:eastAsia="Times New Roman" w:hAnsi="Times New Roman"/>
          <w:sz w:val="18"/>
          <w:szCs w:val="18"/>
          <w:color w:val="auto"/>
        </w:rPr>
        <w:t xml:space="preserve">National CineMedia is the largest cinema advertising platform in the US. With unparalleled reach and scale, NCM connects brands to sought-after young, diverse audiences through the power of movies and pop culture. A premium video, full-funnel marketing solution for advertisers, NCM enhances advertisers’ ability to measure and drive results. NCM’s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is presented exclusively in 42 leading national and regional theater circuits including the only three national chains, AMC, Cinemark and Regal. NCM’s cinema advertising platform consists of more than 18,000 screens in over 1,400 theaters in 196 Designated Market Areas® (“DMA</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color w:val="auto"/>
        </w:rPr>
        <w:t>”), including all of the top 50.</w:t>
      </w:r>
    </w:p>
    <w:p>
      <w:pPr>
        <w:spacing w:after="0" w:line="4" w:lineRule="exact"/>
        <w:rPr>
          <w:sz w:val="20"/>
          <w:szCs w:val="20"/>
          <w:color w:val="auto"/>
        </w:rPr>
      </w:pPr>
    </w:p>
    <w:p>
      <w:pPr>
        <w:ind w:firstLine="608"/>
        <w:spacing w:after="0" w:line="257" w:lineRule="auto"/>
        <w:rPr>
          <w:sz w:val="20"/>
          <w:szCs w:val="20"/>
          <w:color w:val="auto"/>
        </w:rPr>
      </w:pPr>
      <w:r>
        <w:rPr>
          <w:rFonts w:ascii="Times New Roman" w:cs="Times New Roman" w:eastAsia="Times New Roman" w:hAnsi="Times New Roman"/>
          <w:sz w:val="18"/>
          <w:szCs w:val="18"/>
          <w:color w:val="auto"/>
        </w:rPr>
        <w:t xml:space="preserve">We derive revenue primarily from selling advertising to national, regional and local businesses through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our cinema advertising and entertainment show seen on movie screens across the U.S. Additionally, we generate revenue from LEN, a series of strategically-placed screens located in movie theater lobbies, as well as other promotional opportunities in theater lobbies. Beyond the theater, we extend our advertising reach through NCM Boost, leveraging omnichannel retargeting across our owned digital properties, partnerships with third-party digital publishers and platforms, CTV and a variety of complementary out-of-home venues, such as restaurants, convenience stores and college campuses, to engage entertainment audiences beyond the theater.</w:t>
      </w:r>
    </w:p>
    <w:p>
      <w:pPr>
        <w:spacing w:after="0" w:line="76" w:lineRule="exact"/>
        <w:rPr>
          <w:sz w:val="20"/>
          <w:szCs w:val="20"/>
          <w:color w:val="auto"/>
        </w:rPr>
      </w:pPr>
    </w:p>
    <w:p>
      <w:pPr>
        <w:ind w:right="120" w:firstLine="608"/>
        <w:spacing w:after="0" w:line="258" w:lineRule="auto"/>
        <w:rPr>
          <w:sz w:val="20"/>
          <w:szCs w:val="20"/>
          <w:color w:val="auto"/>
        </w:rPr>
      </w:pPr>
      <w:r>
        <w:rPr>
          <w:rFonts w:ascii="Times New Roman" w:cs="Times New Roman" w:eastAsia="Times New Roman" w:hAnsi="Times New Roman"/>
          <w:sz w:val="18"/>
          <w:szCs w:val="18"/>
          <w:color w:val="auto"/>
        </w:rPr>
        <w:t>NCM LLC has long-term ESAs with the ESA Parties and multi-year agreements with our network affiliates, which grant NCM LLC exclusive rights in their respective theaters to sell advertising, subject to limited exceptions. The weighted average remaining term of the ESAs with the ESA Parties is approximately 14.1 years as of December 26, 2024. The network affiliate agreements expire at various dates between July 7, 2025 and July 13, 2033, with our largest affiliate agreement expiring on July 13, 2033. The weighted average remaining term of the ESAs and the network affiliate agreements together is 11.3 years as of December 26,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121" w:lineRule="exact"/>
        <w:rPr>
          <w:sz w:val="20"/>
          <w:szCs w:val="20"/>
          <w:color w:val="auto"/>
        </w:rPr>
      </w:pPr>
    </w:p>
    <w:p>
      <w:pPr>
        <w:ind w:right="100" w:firstLine="608"/>
        <w:spacing w:after="0" w:line="266" w:lineRule="auto"/>
        <w:rPr>
          <w:sz w:val="20"/>
          <w:szCs w:val="20"/>
          <w:color w:val="auto"/>
        </w:rPr>
      </w:pPr>
      <w:r>
        <w:rPr>
          <w:rFonts w:ascii="Times New Roman" w:cs="Times New Roman" w:eastAsia="Times New Roman" w:hAnsi="Times New Roman"/>
          <w:sz w:val="18"/>
          <w:szCs w:val="18"/>
          <w:color w:val="auto"/>
        </w:rPr>
        <w:t>NCM, Inc., a Delaware corporation, was organized on October 5, 2006 and began operations on February 13, 2007 upon completion of its IPO. NCM, Inc. is a holding company that manages its consolidated subsidiary, NCM LLC. NCM, Inc. has no business operations or material assets other than its cash and cash equivalents and ownership interest of approximately 100.0% of the common membership units in NCM LLC as of December 26, 2024.</w:t>
      </w:r>
    </w:p>
    <w:p>
      <w:pPr>
        <w:spacing w:after="0" w:line="68" w:lineRule="exact"/>
        <w:rPr>
          <w:sz w:val="20"/>
          <w:szCs w:val="20"/>
          <w:color w:val="auto"/>
        </w:rPr>
      </w:pPr>
    </w:p>
    <w:p>
      <w:pPr>
        <w:ind w:right="20" w:firstLine="608"/>
        <w:spacing w:after="0" w:line="254" w:lineRule="auto"/>
        <w:rPr>
          <w:sz w:val="20"/>
          <w:szCs w:val="20"/>
          <w:color w:val="auto"/>
        </w:rPr>
      </w:pPr>
      <w:r>
        <w:rPr>
          <w:rFonts w:ascii="Times New Roman" w:cs="Times New Roman" w:eastAsia="Times New Roman" w:hAnsi="Times New Roman"/>
          <w:sz w:val="18"/>
          <w:szCs w:val="18"/>
          <w:color w:val="auto"/>
        </w:rPr>
        <w:t>In December 2022, AMC and Regal each redeemed all of their outstanding membership units in exchange for shares of NCM, Inc. common stock, reducing AMC’s and Regal’s ownership interest in NCM LLC to 0.0%. On February 23, 2023 and March 23, 2023, Cinemark redeemed all of their outstanding membership units in exchange for shares of NCM, Inc. common stock reducing Cinemark’s ownership interest in NCM LLC to 0.0%. On April 1, 2024, in accordance with the Common Unit Adjustment Agreement, NCM LLC issued 132,096 and 3,377 common membership units to Cinemark and AMC, respectively. On April 16, 2024, the Company elected to satisfy a redemption request from Cinemark for all of their outstanding common membership units through a cash settlement as provided in NCM LLC’s Operating Agreement. This redemption reduced Cinemark’s ownership interest in NCM LLC to 0.0% as of April 16, 2024. As of December 26, 2024, AMC’s ownership interest remains de minimis. AMC and Cinemark and their affiliates are referred to in this document as “ESA Parties”.</w:t>
      </w:r>
    </w:p>
    <w:p>
      <w:pPr>
        <w:spacing w:after="0" w:line="84" w:lineRule="exact"/>
        <w:rPr>
          <w:sz w:val="20"/>
          <w:szCs w:val="20"/>
          <w:color w:val="auto"/>
        </w:rPr>
      </w:pPr>
    </w:p>
    <w:p>
      <w:pPr>
        <w:ind w:right="20" w:firstLine="608"/>
        <w:spacing w:after="0" w:line="266" w:lineRule="auto"/>
        <w:rPr>
          <w:sz w:val="20"/>
          <w:szCs w:val="20"/>
          <w:color w:val="auto"/>
        </w:rPr>
      </w:pPr>
      <w:r>
        <w:rPr>
          <w:rFonts w:ascii="Times New Roman" w:cs="Times New Roman" w:eastAsia="Times New Roman" w:hAnsi="Times New Roman"/>
          <w:sz w:val="18"/>
          <w:szCs w:val="18"/>
          <w:color w:val="auto"/>
        </w:rPr>
        <w:t>NCM, Inc.’s primary source of cash flow from operations is distributions from NCM LLC pursuant to the NCM LLC Operating Agreement. NCM, Inc. also receives management fees pursuant to a management services agreement with NCM LLC in exchange for providing specified management services to NCM LLC.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Chapter 11 Proceedings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1699895</wp:posOffset>
            </wp:positionH>
            <wp:positionV relativeFrom="page">
              <wp:posOffset>774700</wp:posOffset>
            </wp:positionV>
            <wp:extent cx="4149090" cy="2459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414909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80" w:firstLine="608"/>
        <w:spacing w:after="0" w:line="266" w:lineRule="auto"/>
        <w:rPr>
          <w:sz w:val="20"/>
          <w:szCs w:val="20"/>
          <w:color w:val="auto"/>
        </w:rPr>
      </w:pPr>
      <w:r>
        <w:rPr>
          <w:rFonts w:ascii="Times New Roman" w:cs="Times New Roman" w:eastAsia="Times New Roman" w:hAnsi="Times New Roman"/>
          <w:sz w:val="18"/>
          <w:szCs w:val="18"/>
          <w:color w:val="auto"/>
        </w:rPr>
        <w:t>On April 11, 2023, NCM LLC filed a voluntary petition for reorganization (“Chapter 11 Case”) with a prearranged Chapter 11 plan under Chapter 11 of Title 11 of the United States Code (the “Bankruptcy Code”) in the U.S. Bankruptcy Court for the Southern District of Texas (the “Bankruptcy Court”).</w:t>
      </w:r>
    </w:p>
    <w:p>
      <w:pPr>
        <w:spacing w:after="0" w:line="68" w:lineRule="exact"/>
        <w:rPr>
          <w:sz w:val="20"/>
          <w:szCs w:val="20"/>
          <w:color w:val="auto"/>
        </w:rPr>
      </w:pPr>
    </w:p>
    <w:p>
      <w:pPr>
        <w:ind w:firstLine="608"/>
        <w:spacing w:after="0" w:line="252" w:lineRule="auto"/>
        <w:rPr>
          <w:sz w:val="20"/>
          <w:szCs w:val="20"/>
          <w:color w:val="auto"/>
        </w:rPr>
      </w:pPr>
      <w:r>
        <w:rPr>
          <w:rFonts w:ascii="Times New Roman" w:cs="Times New Roman" w:eastAsia="Times New Roman" w:hAnsi="Times New Roman"/>
          <w:sz w:val="18"/>
          <w:szCs w:val="18"/>
          <w:color w:val="auto"/>
        </w:rPr>
        <w:t>On April 11, 2023, NCM, Inc. entered into a restructuring support agreement (the “Restructuring Support Agreement”) with NCM LLC and certain of NCM LLC’s (a) prepetition lenders under (i) the Term Loan Credit Agreement, dated as of June 18, 2018 among NCM LLC as borrower, JPMorgan Chase Bank, N.A. (“JPM”) in its capacity as administrative agent, and the lenders party thereto (as amended, supplemented or otherwise modified from time to time, the “Credit Agreement”); (ii) the Revolving Credit Agreement, dated as of June 20, 2018 among NCM LLC as borrower, JPM in its capacity as administrative agent, and the lenders party thereto (as amended, supplemented or otherwise modified from time to time, the “Revolving Credit Agreement 2018”); (iii) the Revolving Credit Agreement dated as of January 5, 2022 among NCM LLC as borrower, JPM in its capacity as administrative agent, and the lenders party thereto (as amended, supplemented or otherwise modified from time to time, the “Revolving Credit Agreement 2022”); and (b) prepetition noteholders under (i) the Secured Notes Indenture dated as of October 8, 2019 and Computershare Trust Company, National Association (“Computershare”) in its capacity as indenture trustee for NCM LLC’s 5.875% Senior Secured Notes due 2028 (as amended, supplemented or otherwise modified from time to time, the “Secured Notes Indenture” and together with the Term Loan Credit Agreement, Revolving Credit Facility 2018, and Revolving Credit Agreement 2022, the “Prepetition Secured Debt Documents”) and (ii) the Unsecured Notes Indenture dated as of August 19, 2016 with Computershare in its capacity as indenture trustee for NCM LLC’s 5.750% Senior Unsecured Notes due 2026 (as amended, supplemented or otherwise modified from time to time, the “Unsecured Notes Indenture”). The parties to the Restructuring Support Agreement held, in the aggregate, more than two-thirds of all claims arising under the Prepetition Secured Debt Documents.</w:t>
      </w:r>
    </w:p>
    <w:p>
      <w:pPr>
        <w:spacing w:after="0" w:line="89" w:lineRule="exact"/>
        <w:rPr>
          <w:sz w:val="20"/>
          <w:szCs w:val="20"/>
          <w:color w:val="auto"/>
        </w:rPr>
      </w:pPr>
    </w:p>
    <w:p>
      <w:pPr>
        <w:ind w:right="40" w:firstLine="608"/>
        <w:spacing w:after="0" w:line="254" w:lineRule="auto"/>
        <w:rPr>
          <w:sz w:val="20"/>
          <w:szCs w:val="20"/>
          <w:color w:val="auto"/>
        </w:rPr>
      </w:pPr>
      <w:r>
        <w:rPr>
          <w:rFonts w:ascii="Times New Roman" w:cs="Times New Roman" w:eastAsia="Times New Roman" w:hAnsi="Times New Roman"/>
          <w:sz w:val="18"/>
          <w:szCs w:val="18"/>
          <w:color w:val="auto"/>
        </w:rPr>
        <w:t>In connection with the Restructuring Support Agreement, the Company, NCM LLC, and lender parties agreed to a settlement, the “NCMI 9019 Settlement,” pursuant to which, the Company agreed to (i) affirm its obligations under NCM LLC and NCM, Inc.’s joint venture agreements (including the Tax Receivable Agreement and the Common Unit Adjustment Agreement) to preserve the Company’s Up-C corporate structure, (ii) issue equity to the lenders as provided in the Plan (as defined below), (iii) make a capital contribution of $15.0 million to NCM LLC (the “NCMI Capital Contribution”), (iv) enter into the new Director Designation Agreement and appoint the director nominees appointed by the creditors upon NCM LLC’s emergence from Chapter 11, and (v) take other specified actions needed to facilitate the completion of the transactions contemplated by the Plan (as described below) and in exchange the Company would receive approximately 13.8% of the ownership of NCM LLC’s equity upon emergence from Chapter 11 including equity issued on account of the Company’s ownership of NCM LLC’s prepetition secured notes. The Restructuring Support Agreement also set forth additional transactions that became the basis of the Plan.</w:t>
      </w:r>
    </w:p>
    <w:p>
      <w:pPr>
        <w:spacing w:after="0" w:line="80" w:lineRule="exact"/>
        <w:rPr>
          <w:sz w:val="20"/>
          <w:szCs w:val="20"/>
          <w:color w:val="auto"/>
        </w:rPr>
      </w:pPr>
    </w:p>
    <w:p>
      <w:pPr>
        <w:ind w:right="60" w:firstLine="608"/>
        <w:spacing w:after="0" w:line="258" w:lineRule="auto"/>
        <w:rPr>
          <w:sz w:val="20"/>
          <w:szCs w:val="20"/>
          <w:color w:val="auto"/>
        </w:rPr>
      </w:pPr>
      <w:r>
        <w:rPr>
          <w:rFonts w:ascii="Times New Roman" w:cs="Times New Roman" w:eastAsia="Times New Roman" w:hAnsi="Times New Roman"/>
          <w:sz w:val="18"/>
          <w:szCs w:val="18"/>
          <w:color w:val="auto"/>
        </w:rPr>
        <w:t>On May 12, 2023, NCM LLC filed the solicitation versions of the First Amended Plan of Reorganization of National CineMedia, LLC Pursuant to Chapter 11 of the Bankruptcy Code [Docket No. 249] and the Amended Disclosure Statement for First Amended Chapter 11 Plan of Reorganization of National CineMedia, LLC [Docket No. 250] (the “Disclosure Statement”). On June 25, 2023, NCM LLC filed the Modified First Amended Plan of Reorganization of National CineMedia, LLC Pursuant to Chapter 11 of the Bankruptcy Code [Docket No. 428] (as may be amended, supplemented, or otherwise modified from time to time, and including all exhibits and supplements thereto, the “Plan”).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ind w:right="300" w:firstLine="608"/>
        <w:spacing w:after="0" w:line="266" w:lineRule="auto"/>
        <w:rPr>
          <w:sz w:val="20"/>
          <w:szCs w:val="20"/>
          <w:color w:val="auto"/>
        </w:rPr>
      </w:pPr>
      <w:r>
        <w:rPr>
          <w:rFonts w:ascii="Times New Roman" w:cs="Times New Roman" w:eastAsia="Times New Roman" w:hAnsi="Times New Roman"/>
          <w:sz w:val="18"/>
          <w:szCs w:val="18"/>
          <w:color w:val="auto"/>
        </w:rPr>
        <w:t>On June 27, 2023, the Bankruptcy Court entered an order (the “Confirmation Order”) which approved the Disclosure Statement on a final basis and confirmed the Plan. Pursuant to the Plan, the following restructuring was provided for, among other things, the treatment for classes of claims and interests as follows:</w:t>
      </w:r>
    </w:p>
    <w:p>
      <w:pPr>
        <w:spacing w:after="0" w:line="68" w:lineRule="exact"/>
        <w:rPr>
          <w:sz w:val="20"/>
          <w:szCs w:val="20"/>
          <w:color w:val="auto"/>
        </w:rPr>
      </w:pPr>
    </w:p>
    <w:p>
      <w:pPr>
        <w:ind w:left="1000" w:right="20" w:hanging="379"/>
        <w:spacing w:after="0" w:line="261"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debt claims. Each holder of a secured debt claim received its pro rata share of 100% of new common membership units (the equity in reorganized NCM LLC) with the right to exchange the units and receive shares of NCM, Inc.’s common stock subject to (a) reallocation of new common membership units to NCM, Inc. pursuant to the NCMI 9019 Settlement and (b) dilution on account of new common membership units issued on account of, among other things, a post-emergence management incentive plan.</w:t>
      </w:r>
    </w:p>
    <w:p>
      <w:pPr>
        <w:spacing w:after="0" w:line="71" w:lineRule="exact"/>
        <w:rPr>
          <w:rFonts w:ascii="Times New Roman" w:cs="Times New Roman" w:eastAsia="Times New Roman" w:hAnsi="Times New Roman"/>
          <w:sz w:val="18"/>
          <w:szCs w:val="18"/>
          <w:color w:val="auto"/>
        </w:rPr>
      </w:pPr>
    </w:p>
    <w:p>
      <w:pPr>
        <w:ind w:left="1000" w:right="180" w:hanging="379"/>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unsecured claims. Each holder of a general unsecured claim, which includes, among other things, claims under the Unsecured Note Indenture, received its pro rata share of $15.0 million, with (i) $14.5 million contributed by NCM LLC and (ii) $0.5 million contributed directly from NCM, Inc. (the “General Unsecured Claim Pool”).</w:t>
      </w:r>
    </w:p>
    <w:p>
      <w:pPr>
        <w:spacing w:after="0" w:line="67" w:lineRule="exact"/>
        <w:rPr>
          <w:rFonts w:ascii="Times New Roman" w:cs="Times New Roman" w:eastAsia="Times New Roman" w:hAnsi="Times New Roman"/>
          <w:sz w:val="18"/>
          <w:szCs w:val="18"/>
          <w:color w:val="auto"/>
        </w:rPr>
      </w:pPr>
    </w:p>
    <w:p>
      <w:pPr>
        <w:ind w:left="1000" w:right="20" w:hanging="379"/>
        <w:spacing w:after="0" w:line="25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unsecured convenience claims. Each holder of a general unsecured claim in the amount of $50,000 or less received payment in full in cash on NCM LLC’s emergence from Chapter 11 or the date due in the ordinary course of business in accordance with the terms and conditions of the particular transaction giving rise to such claim; provided that any general unsecured claim (other than claims under the Unsecured Note Indenture) that was allowed in excess of $50,000 was not to be treated as a general unsecured convenience claim unless the holder of such allowed general unsecured claim opted in to such treatment, and agreed to reduce its allowed general unsecured claim to $50,000 pursuant to the procedures set forth in the Confirmation Order.</w:t>
      </w:r>
    </w:p>
    <w:p>
      <w:pPr>
        <w:spacing w:after="0" w:line="79"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NCM LLC interests. Interests in NCM LLC received no recovery and were cancelled.</w:t>
      </w:r>
    </w:p>
    <w:p>
      <w:pPr>
        <w:spacing w:after="0" w:line="117" w:lineRule="exact"/>
        <w:rPr>
          <w:sz w:val="20"/>
          <w:szCs w:val="20"/>
          <w:color w:val="auto"/>
        </w:rPr>
      </w:pPr>
    </w:p>
    <w:p>
      <w:pPr>
        <w:ind w:right="20" w:firstLine="608"/>
        <w:spacing w:after="0" w:line="258" w:lineRule="auto"/>
        <w:rPr>
          <w:sz w:val="20"/>
          <w:szCs w:val="20"/>
          <w:color w:val="auto"/>
        </w:rPr>
      </w:pPr>
      <w:r>
        <w:rPr>
          <w:rFonts w:ascii="Times New Roman" w:cs="Times New Roman" w:eastAsia="Times New Roman" w:hAnsi="Times New Roman"/>
          <w:sz w:val="18"/>
          <w:szCs w:val="18"/>
          <w:color w:val="auto"/>
        </w:rPr>
        <w:t>Pursuant to Section 1123(b)(3) of the Bankruptcy Code and Rule 9019 of the Federal Rules of Bankruptcy Procedure, the Plan contained and effected global and integrated compromises and settlements between and among NCM LLC, the Creditors’ Committee (as defined in the Plan), the Consenting Creditors (as defined in the Plan) and NCM, Inc. The NCMI 9019 Settlement continued to provide that following the Effective Date (as defined below) NCM, Inc, has an aggregate ownership interest of approximately 13.8% of NCM LLC that was reallocated to NCM, Inc. from the Secured Debt Claims.</w:t>
      </w:r>
    </w:p>
    <w:p>
      <w:pPr>
        <w:spacing w:after="0" w:line="75" w:lineRule="exact"/>
        <w:rPr>
          <w:sz w:val="20"/>
          <w:szCs w:val="20"/>
          <w:color w:val="auto"/>
        </w:rPr>
      </w:pPr>
    </w:p>
    <w:p>
      <w:pPr>
        <w:ind w:right="220" w:firstLine="608"/>
        <w:spacing w:after="0" w:line="255" w:lineRule="auto"/>
        <w:rPr>
          <w:sz w:val="20"/>
          <w:szCs w:val="20"/>
          <w:color w:val="auto"/>
        </w:rPr>
      </w:pPr>
      <w:r>
        <w:rPr>
          <w:rFonts w:ascii="Times New Roman" w:cs="Times New Roman" w:eastAsia="Times New Roman" w:hAnsi="Times New Roman"/>
          <w:sz w:val="18"/>
          <w:szCs w:val="18"/>
          <w:color w:val="auto"/>
        </w:rPr>
        <w:t>On August 7, 2023, following confirmation of the Plan, all the conditions to effectiveness of the Plan were satisfied or waived, the Restructuring Transactions (as defined in the Plan) were substantially consummated, and NCM LLC emerged from bankruptcy (the “Effective Date”). Among other things, on the Effective Date, in accordance with the Plan, NCM, Inc. transferred approximately $15.5 million to NCM LLC consistent with the NCMI 9019 Settlement, NCM LLC assumed certain unexpired Executory Contracts and Unexpired Leases (each, as defined in the Plan), including AMC’s and Cinemark’s ESAs, all Common Units of NCM LLC under the LLC Agreement were canceled and extinguished, NCM LLC commenced distributions to creditors, including the issuance of shares of NCM, Inc. Common Stock to Holders of Secured Debt Claims, and NCM LLC entered into an Exit Facility (as defined in the Plan) to support operations upon emergence.</w:t>
      </w:r>
    </w:p>
    <w:p>
      <w:pPr>
        <w:spacing w:after="0" w:line="81" w:lineRule="exact"/>
        <w:rPr>
          <w:sz w:val="20"/>
          <w:szCs w:val="20"/>
          <w:color w:val="auto"/>
        </w:rPr>
      </w:pPr>
    </w:p>
    <w:p>
      <w:pPr>
        <w:ind w:firstLine="608"/>
        <w:spacing w:after="0" w:line="254" w:lineRule="auto"/>
        <w:rPr>
          <w:sz w:val="20"/>
          <w:szCs w:val="20"/>
          <w:color w:val="auto"/>
        </w:rPr>
      </w:pPr>
      <w:r>
        <w:rPr>
          <w:rFonts w:ascii="Times New Roman" w:cs="Times New Roman" w:eastAsia="Times New Roman" w:hAnsi="Times New Roman"/>
          <w:sz w:val="18"/>
          <w:szCs w:val="18"/>
          <w:color w:val="auto"/>
        </w:rPr>
        <w:t>NCM LLC was wholly owned by NCM, Inc. prior to April 11, 2023 when NCM LLC filed the Chapter 11 Case. As a result of the Chapter 11 Case and in accordance with applicable GAAP, the Company concluded that NCM, Inc. no longer controlled NCM LLC for accounting purposes, and therefore, NCM LLC was deconsolidated from the Company’s unaudited financial statements prospectively as of April 11, 2023. Upon emergence on August 7, 2023, NCM, Inc. retained its ownership in and regained control of NCM LLC for accounting purposes. NCM LLC was again consolidated into the Company’s consolidated financial statements prospectively as of the Effective Date. Within the financial results outlined within, all activity during the Chapter 11 Case from April 11, 2023 to August 7, 2023 when NCM LLC was deconsolidated from NCM, Inc. represents activity and balances for NCM, Inc. standalone. All activity and balances prior to the deconsolidation of NCM LLC on April 11, 2023 and after the reconsolidation of NCM LLC on August 7, 2023 represent NCM, Inc. consolidated, inclusive of NCM LLC. Upon emergence, NCM LLC transferred $8.8 million of cash to a professional fees escrow account and $15.0 million to an unsecured creditor settlements escrow account for the General Unsecured Claim Pool.</w:t>
      </w:r>
    </w:p>
    <w:p>
      <w:pPr>
        <w:spacing w:after="0" w:line="80" w:lineRule="exact"/>
        <w:rPr>
          <w:sz w:val="20"/>
          <w:szCs w:val="20"/>
          <w:color w:val="auto"/>
        </w:rPr>
      </w:pPr>
    </w:p>
    <w:p>
      <w:pPr>
        <w:ind w:right="20" w:firstLine="608"/>
        <w:spacing w:after="0" w:line="261" w:lineRule="auto"/>
        <w:rPr>
          <w:sz w:val="20"/>
          <w:szCs w:val="20"/>
          <w:color w:val="auto"/>
        </w:rPr>
      </w:pPr>
      <w:r>
        <w:rPr>
          <w:rFonts w:ascii="Times New Roman" w:cs="Times New Roman" w:eastAsia="Times New Roman" w:hAnsi="Times New Roman"/>
          <w:sz w:val="18"/>
          <w:szCs w:val="18"/>
          <w:color w:val="auto"/>
        </w:rPr>
        <w:t xml:space="preserve">As of December 26, 2024, NCM LLC is still in the process of finalizing the unsecured creditors’ claims and has not completed all payments to NCM LLC’s unsecured creditors and held a total of $3.0 million within the escrow accounts and accruals, presented within ‘Restricted cash’ and ‘Accounts Payable’ on the audited Consolidated Balance Sheets as of December 26, 2024 and December 28, 2023, respectively. Please refer to Note 5— </w:t>
      </w:r>
      <w:r>
        <w:rPr>
          <w:rFonts w:ascii="Times New Roman" w:cs="Times New Roman" w:eastAsia="Times New Roman" w:hAnsi="Times New Roman"/>
          <w:sz w:val="18"/>
          <w:szCs w:val="18"/>
          <w:i w:val="1"/>
          <w:iCs w:val="1"/>
          <w:color w:val="auto"/>
        </w:rPr>
        <w:t xml:space="preserve">Reconsolidation of NCM LLC </w:t>
      </w:r>
      <w:r>
        <w:rPr>
          <w:rFonts w:ascii="Times New Roman" w:cs="Times New Roman" w:eastAsia="Times New Roman" w:hAnsi="Times New Roman"/>
          <w:sz w:val="18"/>
          <w:szCs w:val="18"/>
          <w:color w:val="auto"/>
        </w:rPr>
        <w:t>for more information regarding the reconsolidation of NCM LLC.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jc w:val="both"/>
        <w:ind w:right="620" w:firstLine="60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Regal Advertising Agreement</w:t>
      </w:r>
      <w:r>
        <w:rPr>
          <w:rFonts w:ascii="Times New Roman" w:cs="Times New Roman" w:eastAsia="Times New Roman" w:hAnsi="Times New Roman"/>
          <w:sz w:val="18"/>
          <w:szCs w:val="18"/>
          <w:color w:val="auto"/>
        </w:rPr>
        <w:t>—On September 7, 2022, Cineworld Group plc, the parent company of Regal, and certain of its subsidiaries,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Regal, Regal Cinemas, Inc., formerly a party to an ESA with NCM LLC, and Regal CineMedia Holdings, LLC, formerly a party to other agreements with NCM LLC and the Company, filed petitions for</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 w:name="page9"/>
    <w:bookmarkEnd w:id="8"/>
    <w:p>
      <w:pPr>
        <w:ind w:right="20"/>
        <w:spacing w:after="0" w:line="253" w:lineRule="auto"/>
        <w:rPr>
          <w:sz w:val="20"/>
          <w:szCs w:val="20"/>
          <w:color w:val="auto"/>
        </w:rPr>
      </w:pPr>
      <w:r>
        <w:rPr>
          <w:rFonts w:ascii="Times New Roman" w:cs="Times New Roman" w:eastAsia="Times New Roman" w:hAnsi="Times New Roman"/>
          <w:sz w:val="18"/>
          <w:szCs w:val="18"/>
          <w:color w:val="auto"/>
        </w:rPr>
        <w:t>reorganization under Chapter 11 of the United States Bankruptcy Code in the Southern District of Texas. In connection with their Chapter 11 process, Regal filed a motion to reject the ESA and NCM LLC filed an adversary proceeding against Regal. On June 3, 2023, following extensive negotiations, NCM LLC, entered into a Network Affiliate Transaction Agreement (the “Regal Advertising Agreement”) with Regal. The Regal Advertising Agreement became effective on July 14, 2023. Pursuant to a separate termination agreement (the “Regal Termination Agreement”), effective on July 14, 2023, Regal rejected and terminated its ESA. Additionally Regal and Regal’s affiliates’ waived all rights and interests as to the TRA, the Common Unit Adjustment Agreement, the Software License Agreement, the Director Designation Agreement, the Registration Rights Agreement and all the other joint venture agreements described in the NCM LLC Operating Agreement and the Company and NCM LLC, and Regal and Regal’s affiliates waived and released claims against the other party. Regal also agreed to support NCM LLC’s Plan and surrendered all shares of NCM, Inc. common stock upon the Effective Date. In connection with the Regal Advertising Agreement, NCM LLC and Regal also agreed to dismiss with prejudice the ongoing litigation between the parties related to NCM LLC’s request to enforce certain provisions of the ESA, including the exclusivity provision. As of July 14, 2023, Regal is no longer an ESA Party of NCM, Inc. or NCM LLC and is presented within network affiliate balances and metrics subsequent to July 14, 2023, including as of December 28, 2023 and December 26, 2024.</w:t>
      </w:r>
    </w:p>
    <w:p>
      <w:pPr>
        <w:spacing w:after="0" w:line="78" w:lineRule="exact"/>
        <w:rPr>
          <w:sz w:val="20"/>
          <w:szCs w:val="20"/>
          <w:color w:val="auto"/>
        </w:rPr>
      </w:pPr>
    </w:p>
    <w:p>
      <w:pPr>
        <w:ind w:right="40" w:firstLine="60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Reverse Stock Split</w:t>
      </w:r>
      <w:r>
        <w:rPr>
          <w:rFonts w:ascii="Times New Roman" w:cs="Times New Roman" w:eastAsia="Times New Roman" w:hAnsi="Times New Roman"/>
          <w:sz w:val="18"/>
          <w:szCs w:val="18"/>
          <w:color w:val="auto"/>
        </w:rPr>
        <w:t>—On August 3, 2023, the Company effected a one-for-ten (1:10) reverse stock split of its common stock, par value $0.01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The reverse stock split, which was authorized by the Company’s Board of Directors, was approved by the Company’s stockholders on August 2, 2023. The reverse stock split reduced the number of outstanding shares of the Company’s common stock from 174,112,385 shares as of August 3, 2023, to 17,411,323 shares outstanding post-split. After the cancellation of Regal’s shares on August 7, 2023, there were 13,343,065 shares outstanding. The primary purpose of the reverse stock split was to comply with the Company’s obligations under the NCMI 9019 Settlement and so that the Plan could become effective, as well as to increase the per share market price of the Company’s common stock in an effort to maintain compliance with applicable Nasdaq continued listing standards with respect to the closing price of the Company’s common stock.</w:t>
      </w:r>
    </w:p>
    <w:p>
      <w:pPr>
        <w:spacing w:after="0" w:line="75" w:lineRule="exact"/>
        <w:rPr>
          <w:sz w:val="20"/>
          <w:szCs w:val="20"/>
          <w:color w:val="auto"/>
        </w:rPr>
      </w:pPr>
    </w:p>
    <w:p>
      <w:pPr>
        <w:ind w:right="20" w:firstLine="60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Share Repurchase Program</w:t>
      </w:r>
      <w:r>
        <w:rPr>
          <w:rFonts w:ascii="Times New Roman" w:cs="Times New Roman" w:eastAsia="Times New Roman" w:hAnsi="Times New Roman"/>
          <w:sz w:val="18"/>
          <w:szCs w:val="18"/>
          <w:color w:val="auto"/>
        </w:rPr>
        <w:t>—On March 18, 2024, the Board of Directors of the Company approved a stock repurchase program under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Company is authorized to use assets of the Company to repurchase up to $100.0 million of shares of the 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 During the year ended December 26, 2024, 2,524,991 shares were repurchased on the open market. In accordance with </w:t>
      </w:r>
      <w:r>
        <w:rPr>
          <w:rFonts w:ascii="Times New Roman" w:cs="Times New Roman" w:eastAsia="Times New Roman" w:hAnsi="Times New Roman"/>
          <w:sz w:val="18"/>
          <w:szCs w:val="18"/>
          <w:i w:val="1"/>
          <w:iCs w:val="1"/>
          <w:color w:val="auto"/>
        </w:rPr>
        <w:t>Accounting Standards Codification</w:t>
      </w:r>
      <w:r>
        <w:rPr>
          <w:rFonts w:ascii="Times New Roman" w:cs="Times New Roman" w:eastAsia="Times New Roman" w:hAnsi="Times New Roman"/>
          <w:sz w:val="18"/>
          <w:szCs w:val="18"/>
          <w:color w:val="auto"/>
        </w:rPr>
        <w:t xml:space="preserve"> (“ASC”) </w:t>
      </w:r>
      <w:r>
        <w:rPr>
          <w:rFonts w:ascii="Times New Roman" w:cs="Times New Roman" w:eastAsia="Times New Roman" w:hAnsi="Times New Roman"/>
          <w:sz w:val="18"/>
          <w:szCs w:val="18"/>
          <w:i w:val="1"/>
          <w:iCs w:val="1"/>
          <w:color w:val="auto"/>
        </w:rPr>
        <w:t>505—Equity</w:t>
      </w:r>
      <w:r>
        <w:rPr>
          <w:rFonts w:ascii="Times New Roman" w:cs="Times New Roman" w:eastAsia="Times New Roman" w:hAnsi="Times New Roman"/>
          <w:sz w:val="18"/>
          <w:szCs w:val="18"/>
          <w:color w:val="auto"/>
        </w:rPr>
        <w:t>, these shares were retired and the excess over par value paid of $13.4 million was recorded as a reduction to retained earnings during the year ended December 26, 2024.</w:t>
      </w:r>
    </w:p>
    <w:p>
      <w:pPr>
        <w:spacing w:after="0" w:line="74" w:lineRule="exact"/>
        <w:rPr>
          <w:sz w:val="20"/>
          <w:szCs w:val="20"/>
          <w:color w:val="auto"/>
        </w:rPr>
      </w:pPr>
    </w:p>
    <w:p>
      <w:pPr>
        <w:ind w:firstLine="61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Debt Agreement</w:t>
      </w:r>
      <w:r>
        <w:rPr>
          <w:rFonts w:ascii="Times New Roman" w:cs="Times New Roman" w:eastAsia="Times New Roman" w:hAnsi="Times New Roman"/>
          <w:sz w:val="18"/>
          <w:szCs w:val="18"/>
          <w:color w:val="auto"/>
        </w:rPr>
        <w:t>—On January 24, 2025, NCM LLC as borrower, entered into a Loan and Security Agreement with U.S. Bank 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Association, as lender. The agreement provides for a $45.0 million senior secured revolving credit facility (the “2025 Credit Facility”) that matures on January 24, 2028. In connection with entering into the 2025 Credit Facility, NCM LLC repaid in full the $10.0 million balance outstanding as of December 26, 2024 and terminated all commitments under its prior Loan, Security and Guarantee Agreement (the "Revolving Credit Facility 2023"), dated August 7, 2023, with CIT Northbridge Credit LLC, as agent, and in connection with this termination, paid a prepayment fee equal to 1% of the total commitment. The 2025 Credit Facility is expected to result in a meaningful reduction of the Company’s overall interest expense, extends the maturity date to 2028 and is a cash flow-based revolving loan compared to the asset-based revolving loan of the 2023 Revolving Credit Facility. As of March 6, 2025, NCM LLC has not made any borrowings under the 2025 Credit Facility. Borrowings under the 2025 Credit Facility may be used for, among other things, working capital and other general corporate purposes of the Company and bear interest at a floating rate equal to term SOFR (subject to a floor of zero) plus an applicable margin of 2.00%, which is subject to increase by an additional 2.00% upon the occurrence of an event of default.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w:t>
      </w:r>
      <w:r>
        <w:rPr>
          <w:rFonts w:ascii="Times New Roman" w:cs="Times New Roman" w:eastAsia="Times New Roman" w:hAnsi="Times New Roman"/>
          <w:sz w:val="18"/>
          <w:szCs w:val="18"/>
          <w:b w:val="1"/>
          <w:bCs w:val="1"/>
          <w:i w:val="1"/>
          <w:iCs w:val="1"/>
          <w:color w:val="auto"/>
        </w:rPr>
        <w:t>Noovie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Show Advertising</w:t>
      </w:r>
    </w:p>
    <w:p>
      <w:pPr>
        <w:spacing w:after="0" w:line="117" w:lineRule="exact"/>
        <w:rPr>
          <w:sz w:val="20"/>
          <w:szCs w:val="20"/>
          <w:color w:val="auto"/>
        </w:rPr>
      </w:pPr>
    </w:p>
    <w:p>
      <w:pPr>
        <w:ind w:right="100" w:firstLine="60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w:t>
      </w:r>
      <w:r>
        <w:rPr>
          <w:rFonts w:ascii="Times New Roman" w:cs="Times New Roman" w:eastAsia="Times New Roman" w:hAnsi="Times New Roman"/>
          <w:sz w:val="18"/>
          <w:szCs w:val="18"/>
          <w:b w:val="1"/>
          <w:bCs w:val="1"/>
          <w:i w:val="1"/>
          <w:iCs w:val="1"/>
          <w:color w:val="auto"/>
        </w:rPr>
        <w:t>Noovie</w:t>
      </w:r>
      <w:r>
        <w:rPr>
          <w:rFonts w:ascii="Times New Roman" w:cs="Times New Roman" w:eastAsia="Times New Roman" w:hAnsi="Times New Roman"/>
          <w:sz w:val="18"/>
          <w:szCs w:val="18"/>
          <w:b w:val="1"/>
          <w:bCs w:val="1"/>
          <w:color w:val="auto"/>
        </w:rPr>
        <w:t xml:space="preserve"> Show</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Show provides an entertaining pre-movie experience for theater patrons while serving as an incremental revenue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source for our theater circuits.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gives movie audiences a reason to arrive at the theater early to discover what's next, with exclusive entertainment content and engaging advertising from national, regional and local brands, as well as long-form entertainment and advertising content provided to us under exclusive multi-year arrangements with leading media, entertainment, technology and other companies (“content partners”).</w:t>
      </w:r>
    </w:p>
    <w:p>
      <w:pPr>
        <w:spacing w:after="0" w:line="70" w:lineRule="exact"/>
        <w:rPr>
          <w:sz w:val="20"/>
          <w:szCs w:val="20"/>
          <w:color w:val="auto"/>
        </w:rPr>
      </w:pPr>
    </w:p>
    <w:p>
      <w:pPr>
        <w:jc w:val="both"/>
        <w:ind w:right="20" w:firstLine="608"/>
        <w:spacing w:after="0" w:line="281" w:lineRule="auto"/>
        <w:rPr>
          <w:sz w:val="20"/>
          <w:szCs w:val="20"/>
          <w:color w:val="auto"/>
        </w:rPr>
      </w:pPr>
      <w:r>
        <w:rPr>
          <w:rFonts w:ascii="Times New Roman" w:cs="Times New Roman" w:eastAsia="Times New Roman" w:hAnsi="Times New Roman"/>
          <w:sz w:val="17"/>
          <w:szCs w:val="17"/>
          <w:color w:val="auto"/>
        </w:rPr>
        <w:t xml:space="preserve">We present multiple different formats of The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depending on the theater circuit in which it runs. In Cinemark, Regal and certain other network affiliate theaters NCM offers additional post-show advertising inventory which may consist of a lights down segment that runs after the advertised showtime with trailer lighting and may consist of a Platinum Spot embedded in the trailers, as further described below (“Post-Showtime Inventory”). As of December 26, 2024, theaters presenting the updated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Show format with Post-Showtime Inventory made up 65.0% of our network. All other</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9" w:name="page10"/>
    <w:bookmarkEnd w:id="9"/>
    <w:p>
      <w:pPr>
        <w:ind w:right="340"/>
        <w:spacing w:after="0" w:line="284" w:lineRule="auto"/>
        <w:rPr>
          <w:sz w:val="20"/>
          <w:szCs w:val="20"/>
          <w:color w:val="auto"/>
        </w:rPr>
      </w:pPr>
      <w:r>
        <w:rPr>
          <w:rFonts w:ascii="Times New Roman" w:cs="Times New Roman" w:eastAsia="Times New Roman" w:hAnsi="Times New Roman"/>
          <w:sz w:val="18"/>
          <w:szCs w:val="18"/>
          <w:color w:val="auto"/>
        </w:rPr>
        <w:t xml:space="preserve">NCM network theater circuits, which make up the remaining 35.0% of our network, present the Classic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which ends approximately at the advertised movie showtime when the movie trailers begin, which are not part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w:t>
      </w:r>
    </w:p>
    <w:p>
      <w:pPr>
        <w:spacing w:after="0" w:line="50" w:lineRule="exact"/>
        <w:rPr>
          <w:sz w:val="20"/>
          <w:szCs w:val="20"/>
          <w:color w:val="auto"/>
        </w:rPr>
      </w:pPr>
    </w:p>
    <w:p>
      <w:pPr>
        <w:ind w:right="20" w:firstLine="608"/>
        <w:spacing w:after="0" w:line="267" w:lineRule="auto"/>
        <w:rPr>
          <w:sz w:val="20"/>
          <w:szCs w:val="20"/>
          <w:color w:val="auto"/>
        </w:rPr>
      </w:pPr>
      <w:r>
        <w:rPr>
          <w:rFonts w:ascii="Times New Roman" w:cs="Times New Roman" w:eastAsia="Times New Roman" w:hAnsi="Times New Roman"/>
          <w:sz w:val="18"/>
          <w:szCs w:val="18"/>
          <w:color w:val="auto"/>
        </w:rPr>
        <w:t xml:space="preserve">Because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is customized by theater circuit, theater location/market, film rating, film genre and film title, we produce and distribute many different versions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each month. This programming flexibility provides advertisers with the ability to target specific audience demographics and geographic locations and ensure that the content and advertising are age-appropriate for the movie audience.</w:t>
      </w:r>
    </w:p>
    <w:p>
      <w:pPr>
        <w:spacing w:after="0" w:line="67" w:lineRule="exact"/>
        <w:rPr>
          <w:sz w:val="20"/>
          <w:szCs w:val="20"/>
          <w:color w:val="auto"/>
        </w:rPr>
      </w:pPr>
    </w:p>
    <w:p>
      <w:pPr>
        <w:ind w:right="40" w:firstLine="608"/>
        <w:spacing w:after="0" w:line="256" w:lineRule="auto"/>
        <w:rPr>
          <w:sz w:val="20"/>
          <w:szCs w:val="20"/>
          <w:color w:val="auto"/>
        </w:rPr>
      </w:pPr>
      <w:r>
        <w:rPr>
          <w:rFonts w:ascii="Times New Roman" w:cs="Times New Roman" w:eastAsia="Times New Roman" w:hAnsi="Times New Roman"/>
          <w:sz w:val="18"/>
          <w:szCs w:val="18"/>
          <w:color w:val="auto"/>
        </w:rPr>
        <w:t>In 2024, we launched several specialty content platforms to cater to specific audiences, with topics including sustainability, fashion, celebrities and sports. These platforms directly appeal to NCM's diverse audience, including socially conscious Gen Z audiences. We also launched our Premium Format Network featuring premium cinema screens that create an elevated environment with modern screens and contemporary lobbies. These immersive cinema experiences attract moviegoers with higher disposable income, reaching an attractive demographic for advertisers. In prior years, we launched several other specialty networks, including NCM Black Cinema Network and the NCM Hispanic Cinema Network, reaching those audiences where they over index in top DMAs.</w:t>
      </w:r>
    </w:p>
    <w:p>
      <w:pPr>
        <w:spacing w:after="0" w:line="77" w:lineRule="exact"/>
        <w:rPr>
          <w:sz w:val="20"/>
          <w:szCs w:val="20"/>
          <w:color w:val="auto"/>
        </w:rPr>
      </w:pPr>
    </w:p>
    <w:p>
      <w:pPr>
        <w:ind w:right="40" w:firstLine="608"/>
        <w:spacing w:after="0" w:line="257" w:lineRule="auto"/>
        <w:rPr>
          <w:sz w:val="20"/>
          <w:szCs w:val="20"/>
          <w:color w:val="auto"/>
        </w:rPr>
      </w:pPr>
      <w:r>
        <w:rPr>
          <w:rFonts w:ascii="Times New Roman" w:cs="Times New Roman" w:eastAsia="Times New Roman" w:hAnsi="Times New Roman"/>
          <w:sz w:val="18"/>
          <w:szCs w:val="18"/>
          <w:color w:val="auto"/>
        </w:rPr>
        <w:t xml:space="preserve">All versions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are produced by our internal creative team, which is cost-effective and gives us significant flexibility while offering advertisers opportunities for sponsorship and integration into our movie and pop culture content series. Additionally, we work with several media and non-profit partners who provide NCM with pre-produced, culturally relevant editorial content for the show at no cost. Those content segments are co-branded with the partner and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messaging and can be monetized by NCM through advertising sponsorships and brand integrations. We also offer pre-and post-production advertising creative services to our clients (primarily local clients who may not have their own creative agency), as well as branded content creation for national brands for a fee.</w:t>
      </w:r>
    </w:p>
    <w:p>
      <w:pPr>
        <w:spacing w:after="0" w:line="72" w:lineRule="exact"/>
        <w:rPr>
          <w:sz w:val="20"/>
          <w:szCs w:val="20"/>
          <w:color w:val="auto"/>
        </w:rPr>
      </w:pPr>
    </w:p>
    <w:p>
      <w:pPr>
        <w:ind w:right="20" w:firstLine="60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Noovie Show Structure Including Post-Showtime Inventory</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Show with Post-Showtime Inventory format is comprised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substantially the same segments included within the Classic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approximately four to ten minutes in length, as well as two additional advertising segments after the advertised showtime as described below. The total length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plus our Post-Showtime Inventory is the same as the Classic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as the amount of time displayed prior to the advertised showtime is reduced by the sum of five minutes plus the aggregate length of time of the Platinum Spot, if any. The following graphic is for illustrative purposes and is not to exact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59055</wp:posOffset>
            </wp:positionV>
            <wp:extent cx="5288915" cy="1937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8891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00" w:hanging="379"/>
        <w:spacing w:after="0" w:line="253"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Silver Pod is the first section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which contains the entertaining content that is a core element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programming. NCM programs exclusive Noovie content at the beginning of the show that gives audiences a look at what’s happening in the movie and pop culture arenas and features long-form entertainment from our content partners. In 2024, we continued our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editorial series featuring celebrities, creators and journalists to appeal to both our moviegoing audience and to advertisers for sponsorship and integration opportunities. These series include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Trivia Show, where our Emmy-award winning host Maria Menounos quizzes celebrities about their career through the lens of movie trivia</w:t>
      </w:r>
      <w:r>
        <w:rPr>
          <w:rFonts w:ascii="Times New Roman" w:cs="Times New Roman" w:eastAsia="Times New Roman" w:hAnsi="Times New Roman"/>
          <w:sz w:val="18"/>
          <w:szCs w:val="18"/>
          <w:i w:val="1"/>
          <w:iCs w:val="1"/>
          <w:color w:val="auto"/>
        </w:rPr>
        <w:t>; Noovieverse,</w:t>
      </w:r>
      <w:r>
        <w:rPr>
          <w:rFonts w:ascii="Times New Roman" w:cs="Times New Roman" w:eastAsia="Times New Roman" w:hAnsi="Times New Roman"/>
          <w:sz w:val="18"/>
          <w:szCs w:val="18"/>
          <w:color w:val="auto"/>
        </w:rPr>
        <w:t xml:space="preserve"> which stars popular social media influencers who analyze upcoming superhero blockbuster movies; and Perri’s Picks, starring movie expert Perri Nemiroff, who shares her insider reviews on what movies to watch and why. The Silver Pod features primarily local and regional advertisements, which generally range between 15 to 90 seconds. This segment also typically includes a spot for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programming, such as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Trivia,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Cultural Celebrations (e.g. original content around Black History Month or Hispanic Heritage Month, which can also be sponsored by advertisers) and shorter segments from the editorial series mentioned above.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0" w:name="page11"/>
    <w:bookmarkEnd w:id="10"/>
    <w:p>
      <w:pPr>
        <w:ind w:left="1000" w:right="360" w:hanging="379"/>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Gold Pod runs after the Silver Pod and features primarily national advertisements, which are generally 30 or 60 seconds, as well as a long-form entertainment content segment from one of our content partners. Advertised showtime is after the Gold Pod, except in Regal, where the advertised showtime is after the Silver Pod.</w:t>
      </w:r>
    </w:p>
    <w:p>
      <w:pPr>
        <w:spacing w:after="0" w:line="67" w:lineRule="exact"/>
        <w:rPr>
          <w:rFonts w:ascii="Times New Roman" w:cs="Times New Roman" w:eastAsia="Times New Roman" w:hAnsi="Times New Roman"/>
          <w:sz w:val="18"/>
          <w:szCs w:val="18"/>
          <w:color w:val="auto"/>
        </w:rPr>
      </w:pPr>
    </w:p>
    <w:p>
      <w:pPr>
        <w:ind w:left="1000" w:right="80" w:hanging="379"/>
        <w:spacing w:after="0" w:line="261"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Pre-Trailer Pod runs after the Gold Pod and features at least 5 minutes of national advertisements which are generally between 30 or 60 seconds, at a lower lighting level than ads that play prior to the advertised showtime. After the conclusion of this pod, there is a courtesy public service announcement (“courtesy PSA”) (e.g. “Silence Your Cell Phones”) and a 30 second or a 60 second advertisement for the ESA Parties' beverage supplier.</w:t>
      </w:r>
    </w:p>
    <w:p>
      <w:pPr>
        <w:spacing w:after="0" w:line="71" w:lineRule="exact"/>
        <w:rPr>
          <w:rFonts w:ascii="Times New Roman" w:cs="Times New Roman" w:eastAsia="Times New Roman" w:hAnsi="Times New Roman"/>
          <w:sz w:val="18"/>
          <w:szCs w:val="18"/>
          <w:color w:val="auto"/>
        </w:rPr>
      </w:pPr>
    </w:p>
    <w:p>
      <w:pPr>
        <w:ind w:left="1000" w:right="160" w:hanging="379"/>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Platinum Spot features an additional single advertising unit that is either 30 or 60 seconds deeply embedded within the movie trailers at trailer level lighting and at similar volume levels, directly prior to the last one or two trailers preceding the feature film.</w:t>
      </w:r>
    </w:p>
    <w:p>
      <w:pPr>
        <w:spacing w:after="0" w:line="51"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Classic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Show's advertised showtime follows the Pre-Trailer Pod and does not contain the Platinum Spot.</w:t>
      </w:r>
    </w:p>
    <w:p>
      <w:pPr>
        <w:spacing w:after="0" w:line="117" w:lineRule="exact"/>
        <w:rPr>
          <w:sz w:val="20"/>
          <w:szCs w:val="20"/>
          <w:color w:val="auto"/>
        </w:rPr>
      </w:pPr>
    </w:p>
    <w:p>
      <w:pPr>
        <w:jc w:val="both"/>
        <w:ind w:firstLine="608"/>
        <w:spacing w:after="0" w:line="284" w:lineRule="auto"/>
        <w:rPr>
          <w:sz w:val="20"/>
          <w:szCs w:val="20"/>
          <w:color w:val="auto"/>
        </w:rPr>
      </w:pPr>
      <w:r>
        <w:rPr>
          <w:rFonts w:ascii="Times New Roman" w:cs="Times New Roman" w:eastAsia="Times New Roman" w:hAnsi="Times New Roman"/>
          <w:sz w:val="18"/>
          <w:szCs w:val="18"/>
          <w:color w:val="auto"/>
        </w:rPr>
        <w:t xml:space="preserve">References to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relate to both The Classic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and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including Post-Showtime Inventory formats, unless specified otherwise.</w:t>
      </w:r>
    </w:p>
    <w:p>
      <w:pPr>
        <w:spacing w:after="0" w:line="50" w:lineRule="exact"/>
        <w:rPr>
          <w:sz w:val="20"/>
          <w:szCs w:val="20"/>
          <w:color w:val="auto"/>
        </w:rPr>
      </w:pPr>
    </w:p>
    <w:p>
      <w:pPr>
        <w:jc w:val="both"/>
        <w:ind w:firstLine="608"/>
        <w:spacing w:after="0" w:line="258" w:lineRule="auto"/>
        <w:rPr>
          <w:sz w:val="20"/>
          <w:szCs w:val="20"/>
          <w:color w:val="auto"/>
        </w:rPr>
      </w:pPr>
      <w:r>
        <w:rPr>
          <w:rFonts w:ascii="Times New Roman" w:cs="Times New Roman" w:eastAsia="Times New Roman" w:hAnsi="Times New Roman"/>
          <w:sz w:val="18"/>
          <w:szCs w:val="18"/>
          <w:i w:val="1"/>
          <w:iCs w:val="1"/>
          <w:color w:val="auto"/>
        </w:rPr>
        <w:t>National, Regional and Local Advertising</w:t>
      </w:r>
      <w:r>
        <w:rPr>
          <w:rFonts w:ascii="Times New Roman" w:cs="Times New Roman" w:eastAsia="Times New Roman" w:hAnsi="Times New Roman"/>
          <w:sz w:val="18"/>
          <w:szCs w:val="18"/>
          <w:color w:val="auto"/>
        </w:rPr>
        <w:t>—Our cinema advertising business has a diverse customer base, consisting of national, regional and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advertisers. National and regional on-screen advertising in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is sold on a CPM basis to national and regional clients. We generally sell our national advertising units across our national network by film rating or groups of ratings, or by individual film or film genre grouping. This ability to target various groups of films offers national advertisers a way to target specific audience demographics at various price points and overall cost levels, which we believe expands the number of potential clients. Local advertising is often sold on a per-theater, per-week basis.</w:t>
      </w:r>
    </w:p>
    <w:p>
      <w:pPr>
        <w:spacing w:after="0" w:line="75" w:lineRule="exact"/>
        <w:rPr>
          <w:sz w:val="20"/>
          <w:szCs w:val="20"/>
          <w:color w:val="auto"/>
        </w:rPr>
      </w:pPr>
    </w:p>
    <w:p>
      <w:pPr>
        <w:ind w:right="140" w:firstLine="608"/>
        <w:spacing w:after="0" w:line="255" w:lineRule="auto"/>
        <w:rPr>
          <w:sz w:val="20"/>
          <w:szCs w:val="20"/>
          <w:color w:val="auto"/>
        </w:rPr>
      </w:pPr>
      <w:r>
        <w:rPr>
          <w:rFonts w:ascii="Times New Roman" w:cs="Times New Roman" w:eastAsia="Times New Roman" w:hAnsi="Times New Roman"/>
          <w:sz w:val="18"/>
          <w:szCs w:val="18"/>
          <w:color w:val="auto"/>
        </w:rPr>
        <w:t xml:space="preserve">As with other premium video mediums like linear TV and connected TV (CTV), we sell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inventory in both the upfront and scatter markets. Upfront is a term that describes the practice of buying advertising time “up front” on an annual basis for the upcoming year, purchasing inventory in advance and locking in the advertising rates (CPMs). Consistent with the television industry's upfront booking practices, a portion of our upfront commitments have cancellation options or options to reduce the amount that advertisers may purchase up until their commitment begins airing. These options could reduce what is ultimately spent by clients that have made upfront commitments. Scatter refers to the buying of advertising on a shorter-term basis closer to when the advertisements will run, which often results in a pricing premium compared to upfront rates. The mix between the upfront and scatter markets is based upon a number of advertising market factors, such as pricing, demand for advertising time and economic conditions. The demand in the scatter market impacts the pricing achieved for our remaining advertising inventory not sold upfront and can vary throughout the year.</w:t>
      </w:r>
    </w:p>
    <w:p>
      <w:pPr>
        <w:spacing w:after="0" w:line="79" w:lineRule="exact"/>
        <w:rPr>
          <w:sz w:val="20"/>
          <w:szCs w:val="20"/>
          <w:color w:val="auto"/>
        </w:rPr>
      </w:pPr>
    </w:p>
    <w:p>
      <w:pPr>
        <w:jc w:val="both"/>
        <w:ind w:right="20" w:firstLine="60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26, 2024 and December 28, 2023, NCM LLC derived 78.1% and 73.2% of its advertising revenue from national clients (including advertising agencies that represent our clients) and 16.2% and 19.7% of its advertising revenue from regional and local advertisers across the country (including advertising agencies that represent these clients).</w:t>
      </w:r>
    </w:p>
    <w:p>
      <w:pPr>
        <w:spacing w:after="0" w:line="66" w:lineRule="exact"/>
        <w:rPr>
          <w:sz w:val="20"/>
          <w:szCs w:val="20"/>
          <w:color w:val="auto"/>
        </w:rPr>
      </w:pPr>
    </w:p>
    <w:p>
      <w:pPr>
        <w:ind w:right="100" w:firstLine="60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Programmatic and Self-Serve Marketplaces. </w:t>
      </w:r>
      <w:r>
        <w:rPr>
          <w:rFonts w:ascii="Times New Roman" w:cs="Times New Roman" w:eastAsia="Times New Roman" w:hAnsi="Times New Roman"/>
          <w:sz w:val="18"/>
          <w:szCs w:val="18"/>
          <w:color w:val="auto"/>
        </w:rPr>
        <w:t>In 2024, the Company launched two new ways advertisers can purchase our advertising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programmatic and self-serve. The programmatic marketplace offers real-time data-driven trading of cinema advertising inventory, allowing bidding on available audiences during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Buyers can choose from programmatic guaranteed and private marketplace options, and programmatic buys can be customized by reach, geography, film rating, day of the week and time of day. Additionally, through NCM's fully automated self-serve solution, local and regional companies can plan, buy and schedule their own ads to run on the big screen.</w:t>
      </w:r>
    </w:p>
    <w:p>
      <w:pPr>
        <w:spacing w:after="0" w:line="75" w:lineRule="exact"/>
        <w:rPr>
          <w:sz w:val="20"/>
          <w:szCs w:val="20"/>
          <w:color w:val="auto"/>
        </w:rPr>
      </w:pPr>
    </w:p>
    <w:p>
      <w:pPr>
        <w:ind w:right="160" w:firstLine="60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Beverage Advertising. </w:t>
      </w:r>
      <w:r>
        <w:rPr>
          <w:rFonts w:ascii="Times New Roman" w:cs="Times New Roman" w:eastAsia="Times New Roman" w:hAnsi="Times New Roman"/>
          <w:sz w:val="18"/>
          <w:szCs w:val="18"/>
          <w:color w:val="auto"/>
        </w:rPr>
        <w:t>Each of the ESA Parties has a relationship with a beverage concessionaire supplier under which it is obligated to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on-screen advertising time as part of its agreement to purchase branded beverages sold in its theaters. Under the ESAs, up to 90 seconds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program can be sold to the ESA Parties to satisfy their on-screen advertising commitments under their beverage concessionaire agreements. The price for the time sold to Cinemark’s beverage supplier increases 2% each year. The time sold to AMC’s beverage supplier is priced equal to the greater of (1) the advertising CPM charged by NCM LLC in the previous year for the time sold to AMC’s beverage supplier and (2) the advertising CPM for the previous year charged by NCM LLC to unaffiliated third parties during segment one (closest to showtime)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in AMC’s theaters, limited to the highest advertising CPM being then-charged by NCM LLC pursuant to the ESAs.</w:t>
      </w:r>
    </w:p>
    <w:p>
      <w:pPr>
        <w:spacing w:after="0" w:line="77" w:lineRule="exact"/>
        <w:rPr>
          <w:sz w:val="20"/>
          <w:szCs w:val="20"/>
          <w:color w:val="auto"/>
        </w:rPr>
      </w:pPr>
    </w:p>
    <w:p>
      <w:pPr>
        <w:ind w:firstLine="608"/>
        <w:spacing w:after="0" w:line="261" w:lineRule="auto"/>
        <w:rPr>
          <w:sz w:val="20"/>
          <w:szCs w:val="20"/>
          <w:color w:val="auto"/>
        </w:rPr>
      </w:pPr>
      <w:r>
        <w:rPr>
          <w:rFonts w:ascii="Times New Roman" w:cs="Times New Roman" w:eastAsia="Times New Roman" w:hAnsi="Times New Roman"/>
          <w:sz w:val="18"/>
          <w:szCs w:val="18"/>
          <w:color w:val="auto"/>
        </w:rPr>
        <w:t>During 2024, we sold 60 seconds of on-screen advertising to one of the ESA Parties and 30 seconds of on-screen advertising to the other ESA Party for their beverage concessionaires. During 2024, the beverage concessionaire revenue from the ESA Parties’ beverage agreements was approximately 5.7% of NCM LLC’s total revenue. In the instance of certain theaters that are acquired by the ESA Parties but are not incorporated into our network because of an existing on-screen</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 w:name="page12"/>
    <w:bookmarkEnd w:id="11"/>
    <w:p>
      <w:pPr>
        <w:ind w:right="120"/>
        <w:spacing w:after="0" w:line="282" w:lineRule="auto"/>
        <w:rPr>
          <w:sz w:val="20"/>
          <w:szCs w:val="20"/>
          <w:color w:val="auto"/>
        </w:rPr>
      </w:pPr>
      <w:r>
        <w:rPr>
          <w:rFonts w:ascii="Times New Roman" w:cs="Times New Roman" w:eastAsia="Times New Roman" w:hAnsi="Times New Roman"/>
          <w:sz w:val="18"/>
          <w:szCs w:val="18"/>
          <w:color w:val="auto"/>
        </w:rPr>
        <w:t>advertising agreement with an alternative provider, we remain entitled to these encumbered theater beverage payments under the terms of the ESA which are treated as a reduction to the intangible asset and not classified as revenue.</w:t>
      </w:r>
    </w:p>
    <w:p>
      <w:pPr>
        <w:spacing w:after="0" w:line="52" w:lineRule="exact"/>
        <w:rPr>
          <w:sz w:val="20"/>
          <w:szCs w:val="20"/>
          <w:color w:val="auto"/>
        </w:rPr>
      </w:pPr>
    </w:p>
    <w:p>
      <w:pPr>
        <w:ind w:right="140" w:firstLine="60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Content. </w:t>
      </w:r>
      <w:r>
        <w:rPr>
          <w:rFonts w:ascii="Times New Roman" w:cs="Times New Roman" w:eastAsia="Times New Roman" w:hAnsi="Times New Roman"/>
          <w:sz w:val="18"/>
          <w:szCs w:val="18"/>
          <w:color w:val="auto"/>
        </w:rPr>
        <w:t>Beyond the</w:t>
      </w:r>
      <w:r>
        <w:rPr>
          <w:rFonts w:ascii="Times New Roman" w:cs="Times New Roman" w:eastAsia="Times New Roman" w:hAnsi="Times New Roman"/>
          <w:sz w:val="18"/>
          <w:szCs w:val="18"/>
          <w:i w:val="1"/>
          <w:iCs w:val="1"/>
          <w:color w:val="auto"/>
        </w:rPr>
        <w:t xml:space="preserve"> Noovie</w:t>
      </w:r>
      <w:r>
        <w:rPr>
          <w:rFonts w:ascii="Times New Roman" w:cs="Times New Roman" w:eastAsia="Times New Roman" w:hAnsi="Times New Roman"/>
          <w:sz w:val="18"/>
          <w:szCs w:val="18"/>
          <w:color w:val="auto"/>
        </w:rPr>
        <w:t>-branded content during The</w:t>
      </w:r>
      <w:r>
        <w:rPr>
          <w:rFonts w:ascii="Times New Roman" w:cs="Times New Roman" w:eastAsia="Times New Roman" w:hAnsi="Times New Roman"/>
          <w:sz w:val="18"/>
          <w:szCs w:val="18"/>
          <w:i w:val="1"/>
          <w:iCs w:val="1"/>
          <w:color w:val="auto"/>
        </w:rPr>
        <w:t xml:space="preserve"> Noovie </w:t>
      </w:r>
      <w:r>
        <w:rPr>
          <w:rFonts w:ascii="Times New Roman" w:cs="Times New Roman" w:eastAsia="Times New Roman" w:hAnsi="Times New Roman"/>
          <w:sz w:val="18"/>
          <w:szCs w:val="18"/>
          <w:color w:val="auto"/>
        </w:rPr>
        <w:t>Show, the majority of our entertainment and advertising content segments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to us by content partners. Under the terms of the contracts, our content partners create original long-form entertainment content segments and make commitments to buy a portion of our advertising inventory at a specified CPM over a one- or two-year period with options to renew, exercisable at the content partner’s option. The original content produced by these content partners typically features upcoming media programming or technology products. In 2024, the content partner segments were between 90 and 120 seconds in length.</w:t>
      </w:r>
    </w:p>
    <w:p>
      <w:pPr>
        <w:spacing w:after="0" w:line="75" w:lineRule="exact"/>
        <w:rPr>
          <w:sz w:val="20"/>
          <w:szCs w:val="20"/>
          <w:color w:val="auto"/>
        </w:rPr>
      </w:pPr>
    </w:p>
    <w:p>
      <w:pPr>
        <w:ind w:right="240" w:firstLine="608"/>
        <w:spacing w:after="0" w:line="284" w:lineRule="auto"/>
        <w:rPr>
          <w:sz w:val="20"/>
          <w:szCs w:val="20"/>
          <w:color w:val="auto"/>
        </w:rPr>
      </w:pPr>
      <w:r>
        <w:rPr>
          <w:rFonts w:ascii="Times New Roman" w:cs="Times New Roman" w:eastAsia="Times New Roman" w:hAnsi="Times New Roman"/>
          <w:sz w:val="18"/>
          <w:szCs w:val="18"/>
          <w:i w:val="1"/>
          <w:iCs w:val="1"/>
          <w:color w:val="auto"/>
        </w:rPr>
        <w:t>Courtesy PSA</w:t>
      </w:r>
      <w:r>
        <w:rPr>
          <w:rFonts w:ascii="Times New Roman" w:cs="Times New Roman" w:eastAsia="Times New Roman" w:hAnsi="Times New Roman"/>
          <w:sz w:val="18"/>
          <w:szCs w:val="18"/>
          <w:color w:val="auto"/>
        </w:rPr>
        <w:t>. In 2024, we had three agreements throughout the year to exhibit a 40-second “silence your cell phone” courtesy PSA reminding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moviegoers to silence their cell phones and refrain from texting during feature films. There are two agreements in place for 2025.</w:t>
      </w:r>
    </w:p>
    <w:p>
      <w:pPr>
        <w:spacing w:after="0" w:line="50" w:lineRule="exact"/>
        <w:rPr>
          <w:sz w:val="20"/>
          <w:szCs w:val="20"/>
          <w:color w:val="auto"/>
        </w:rPr>
      </w:pPr>
    </w:p>
    <w:p>
      <w:pPr>
        <w:ind w:right="80" w:firstLine="60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Theater Circuit Messaging.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Noovie </w:t>
      </w:r>
      <w:r>
        <w:rPr>
          <w:rFonts w:ascii="Times New Roman" w:cs="Times New Roman" w:eastAsia="Times New Roman" w:hAnsi="Times New Roman"/>
          <w:sz w:val="18"/>
          <w:szCs w:val="18"/>
          <w:color w:val="auto"/>
        </w:rPr>
        <w:t>Show also includes time slots for the ESA Parties and network affiliates to advertise various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operations of the theaters, including concessions, online ticketing partners, gift card and loyalty programs, special events presented by the theater operator and vendors of services provided to theaters, so long as such promotion is incidental to the vendor’s service or products sold in the theater. This service is provided to the theater operator at no charge.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&amp; Digital Advertising</w:t>
      </w:r>
    </w:p>
    <w:p>
      <w:pPr>
        <w:spacing w:after="0" w:line="121" w:lineRule="exact"/>
        <w:rPr>
          <w:sz w:val="20"/>
          <w:szCs w:val="20"/>
          <w:color w:val="auto"/>
        </w:rPr>
      </w:pPr>
    </w:p>
    <w:p>
      <w:pPr>
        <w:ind w:firstLine="608"/>
        <w:spacing w:after="0" w:line="254" w:lineRule="auto"/>
        <w:rPr>
          <w:sz w:val="20"/>
          <w:szCs w:val="20"/>
          <w:color w:val="auto"/>
        </w:rPr>
      </w:pPr>
      <w:r>
        <w:rPr>
          <w:rFonts w:ascii="Times New Roman" w:cs="Times New Roman" w:eastAsia="Times New Roman" w:hAnsi="Times New Roman"/>
          <w:sz w:val="18"/>
          <w:szCs w:val="18"/>
          <w:color w:val="auto"/>
        </w:rPr>
        <w:t>NCMx™. is our data, insights and analytics platform that utilizes the Company’s comprehensive knowledge and extensive data about moviegoer behavior to connect brands with custom audiences across all screens, both in theaters and beyond, before, during and after their moviegoing experience. NCM clients are able to leverage NCMx to execute advanced audience-matching against key geographic, behavioral and contextual targets on the big screen, as well as retarget moviegoers across any screen with tailored ads or exclusive brand offers. NCM provides advertisers with access to one of the largest collections of deterministic moviegoer data in the industry. With over 824.4 million unique data records as of December 26, 2024, NCMx makes 121.1 million unique data records available over a 90-day look-back period, delivering advertisers a 360-degree view of recent consumer behavior with performance metrics to refine campaign plans and generate a better return on their advertising investment. NCM is leading the cinema advertising industry as it transforms into a data-first media company that reaches audiences at scale with the most engaging content.</w:t>
      </w:r>
    </w:p>
    <w:p>
      <w:pPr>
        <w:spacing w:after="0" w:line="43" w:lineRule="exact"/>
        <w:rPr>
          <w:sz w:val="20"/>
          <w:szCs w:val="20"/>
          <w:color w:val="auto"/>
        </w:rPr>
      </w:pPr>
    </w:p>
    <w:p>
      <w:pPr>
        <w:ind w:right="40" w:firstLine="608"/>
        <w:spacing w:after="0" w:line="223" w:lineRule="exact"/>
        <w:rPr>
          <w:sz w:val="20"/>
          <w:szCs w:val="20"/>
          <w:color w:val="auto"/>
        </w:rPr>
      </w:pPr>
      <w:r>
        <w:rPr>
          <w:rFonts w:ascii="Times New Roman" w:cs="Times New Roman" w:eastAsia="Times New Roman" w:hAnsi="Times New Roman"/>
          <w:sz w:val="18"/>
          <w:szCs w:val="18"/>
          <w:i w:val="1"/>
          <w:iCs w:val="1"/>
          <w:color w:val="auto"/>
        </w:rPr>
        <w:t>NCM Boost</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2024, the Company expanded our Audience Accelerator digital product with NCM Boost which enhances cinema advertising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campaigns by extending their reach beyond the big screen. This enhancement empowers advertisers to execute comprehensive retargeting, reconnecting with the elusive moviegoer audience on the right screen at the right time to maximize campaign impact. With NCM Boost, brands reach a national level scale while also targeting moviegoers with enough precision to achieve saturation at a detailed local level. NCM Boost identifies moviegoers using first-, second- and third-party data, enabling precise targeting based on demographics, genres or additional data layers to deliver tailored client campaigns. Data-driven campaigns are executed across all platforms, connecting brands with their target audience through an all-encompassing approach. Campaigns are distributed through strategic partnerships with leading premium streaming networks, ensuring broad reach across diverse channels, allowing brands to engage moviegoers on platforms such as the internet, mobile devices, connected televisions (CTV), and over-the-top (OTT) devices. This comprehensive strategy ensures brands can effectively reach their audience wherever they consume entertainment information and content.</w:t>
      </w:r>
    </w:p>
    <w:p>
      <w:pPr>
        <w:spacing w:after="0" w:line="49" w:lineRule="exact"/>
        <w:rPr>
          <w:sz w:val="20"/>
          <w:szCs w:val="20"/>
          <w:color w:val="auto"/>
        </w:rPr>
      </w:pPr>
    </w:p>
    <w:p>
      <w:pPr>
        <w:ind w:firstLine="608"/>
        <w:spacing w:after="0" w:line="231" w:lineRule="exact"/>
        <w:rPr>
          <w:sz w:val="20"/>
          <w:szCs w:val="20"/>
          <w:color w:val="auto"/>
        </w:rPr>
      </w:pPr>
      <w:r>
        <w:rPr>
          <w:rFonts w:ascii="Times New Roman" w:cs="Times New Roman" w:eastAsia="Times New Roman" w:hAnsi="Times New Roman"/>
          <w:sz w:val="18"/>
          <w:szCs w:val="18"/>
          <w:i w:val="1"/>
          <w:iCs w:val="1"/>
          <w:color w:val="auto"/>
        </w:rPr>
        <w:t>NCM Boomerang</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Launched in 2024, NCM Boomerang is NCMx™'s retargeting solution designed to amplify post-theater engagement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reconnecting with moviegoers after their theater experience through the use of onscreen QR codes. By retargeting audiences at a predetermined interval, such as three hours after initial campaign exposure, NCM Boomerang enables advertisers to capitalize on the last-click attribution of big-screen campaigns seen in theaters, maximizing their impact and driving measurable results.</w:t>
      </w:r>
    </w:p>
    <w:p>
      <w:pPr>
        <w:spacing w:after="0" w:line="92" w:lineRule="exact"/>
        <w:rPr>
          <w:sz w:val="20"/>
          <w:szCs w:val="20"/>
          <w:color w:val="auto"/>
        </w:rPr>
      </w:pPr>
    </w:p>
    <w:p>
      <w:pPr>
        <w:ind w:right="40" w:firstLine="608"/>
        <w:spacing w:after="0" w:line="261" w:lineRule="auto"/>
        <w:rPr>
          <w:sz w:val="20"/>
          <w:szCs w:val="20"/>
          <w:color w:val="auto"/>
        </w:rPr>
      </w:pPr>
      <w:r>
        <w:rPr>
          <w:rFonts w:ascii="Times New Roman" w:cs="Times New Roman" w:eastAsia="Times New Roman" w:hAnsi="Times New Roman"/>
          <w:sz w:val="18"/>
          <w:szCs w:val="18"/>
          <w:color w:val="auto"/>
        </w:rPr>
        <w:t>We market NCM’s data platform and all-encompassing marketing solutions through our national and local sales groups to enable integrated selling. Our new and upcoming data and digital products are designed to complement in-theater advertisements, offering integrated marketing packages as discussed in “Business—Our Strategy”. We plan to continue investing in our data and digital partnerships and all-encompassing marketing solutions in 2025 and beyond.</w:t>
      </w:r>
    </w:p>
    <w:p>
      <w:pPr>
        <w:spacing w:after="0" w:line="70" w:lineRule="exact"/>
        <w:rPr>
          <w:sz w:val="20"/>
          <w:szCs w:val="20"/>
          <w:color w:val="auto"/>
        </w:rPr>
      </w:pPr>
    </w:p>
    <w:p>
      <w:pPr>
        <w:ind w:right="40" w:firstLine="60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Noovie Trivia. </w:t>
      </w:r>
      <w:r>
        <w:rPr>
          <w:rFonts w:ascii="Times New Roman" w:cs="Times New Roman" w:eastAsia="Times New Roman" w:hAnsi="Times New Roman"/>
          <w:sz w:val="18"/>
          <w:szCs w:val="18"/>
          <w:color w:val="auto"/>
        </w:rPr>
        <w:t>NCM’s consumer-facing</w:t>
      </w:r>
      <w:r>
        <w:rPr>
          <w:rFonts w:ascii="Times New Roman" w:cs="Times New Roman" w:eastAsia="Times New Roman" w:hAnsi="Times New Roman"/>
          <w:sz w:val="18"/>
          <w:szCs w:val="18"/>
          <w:i w:val="1"/>
          <w:iCs w:val="1"/>
          <w:color w:val="auto"/>
        </w:rPr>
        <w:t xml:space="preserve"> Noovie </w:t>
      </w:r>
      <w:r>
        <w:rPr>
          <w:rFonts w:ascii="Times New Roman" w:cs="Times New Roman" w:eastAsia="Times New Roman" w:hAnsi="Times New Roman"/>
          <w:sz w:val="18"/>
          <w:szCs w:val="18"/>
          <w:color w:val="auto"/>
        </w:rPr>
        <w:t>Trivia app features advertising opportunities that allow brands to continue to reach movie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audiences across multiple platforms, including sponsorships, digital ad inventory such as leaderboards, banner ads, half- and full-page ads and a variety of digital video ad inventory. Our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Trivia app is designed to not only provide digital advertising inventory to further enhance the marketability of our cinema advertising product offerings, but also to capture exclusive first-party data, which is funneled into NCMx™. As of December 26, 2024, approximately 7.4 million movie-goers have downloaded our mobile apps. These downloads and the acquisition of second-</w:t>
      </w: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12" w:name="page13"/>
    <w:bookmarkEnd w:id="12"/>
    <w:p>
      <w:pPr>
        <w:ind w:right="180"/>
        <w:spacing w:after="0" w:line="282" w:lineRule="auto"/>
        <w:rPr>
          <w:sz w:val="20"/>
          <w:szCs w:val="20"/>
          <w:color w:val="auto"/>
        </w:rPr>
      </w:pPr>
      <w:r>
        <w:rPr>
          <w:rFonts w:ascii="Times New Roman" w:cs="Times New Roman" w:eastAsia="Times New Roman" w:hAnsi="Times New Roman"/>
          <w:sz w:val="18"/>
          <w:szCs w:val="18"/>
          <w:color w:val="auto"/>
        </w:rPr>
        <w:t>and third- party data sets, including deterministic ticket transaction data from exhibitors and geo-location and micro-event data for moviegoers that enter theaters in our network, all contribute to NCMx data records.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Lobby Advertising</w:t>
      </w:r>
    </w:p>
    <w:p>
      <w:pPr>
        <w:spacing w:after="0" w:line="117" w:lineRule="exact"/>
        <w:rPr>
          <w:sz w:val="20"/>
          <w:szCs w:val="20"/>
          <w:color w:val="auto"/>
        </w:rPr>
      </w:pPr>
    </w:p>
    <w:p>
      <w:pPr>
        <w:ind w:firstLine="61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Lobby Entertainment Network</w:t>
      </w:r>
      <w:r>
        <w:rPr>
          <w:rFonts w:ascii="Times New Roman" w:cs="Times New Roman" w:eastAsia="Times New Roman" w:hAnsi="Times New Roman"/>
          <w:sz w:val="18"/>
          <w:szCs w:val="18"/>
          <w:color w:val="auto"/>
        </w:rPr>
        <w:t>—Our LEN is a network of video screens strategically located throughout the lobbies of all digitally equipped ESA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Parties’ theaters, as well as the majority of our network affiliates’ theaters. The LEN screens are placed in high-traffic locations such as concession stands, box offices and other waiting areas. Programming on our LEN consists of an approximately 30-minute loop of branded entertainment content segments created specifically for the lobby with advertisements running between each segment. We have the scheduling flexibility to send different LEN programming to each theater through our DCN, and the same program is displayed simultaneously on all LEN screens within a given theater, which we believe provides the maximum impact for our advertisers. We sell national and local advertising on the LEN individually or bundled with on-screen or other lobby promotions.</w:t>
      </w:r>
    </w:p>
    <w:p>
      <w:pPr>
        <w:spacing w:after="0" w:line="79" w:lineRule="exact"/>
        <w:rPr>
          <w:sz w:val="20"/>
          <w:szCs w:val="20"/>
          <w:color w:val="auto"/>
        </w:rPr>
      </w:pPr>
    </w:p>
    <w:p>
      <w:pPr>
        <w:ind w:right="40" w:firstLine="614"/>
        <w:spacing w:after="0" w:line="256" w:lineRule="auto"/>
        <w:rPr>
          <w:sz w:val="20"/>
          <w:szCs w:val="20"/>
          <w:color w:val="auto"/>
        </w:rPr>
      </w:pPr>
      <w:r>
        <w:rPr>
          <w:rFonts w:ascii="Times New Roman" w:cs="Times New Roman" w:eastAsia="Times New Roman" w:hAnsi="Times New Roman"/>
          <w:sz w:val="18"/>
          <w:szCs w:val="18"/>
          <w:color w:val="auto"/>
        </w:rPr>
        <w:t>The LEN programming includes up to two minutes for ESA Parties’ advertisements to promote activities associated with the operation of the theaters, including concessions, online ticketing partners, gift card and loyalty programs, special events presented by the theater operator and vendors of services provided to theaters, so long as such promotion is incidental to the vendor’s service or products sold in the theater. Additionally, subject to certain limitations, the LEN programming includes up to two minutes (one minute of which we provide to the ESA Parties at no cost and one minute of which the ESA Parties may purchase) to promote certain non-exclusive cross-marketing relationships entered into by the theater operators for the purpose of increasing theater attendance, which we call “strategic programs.”</w:t>
      </w:r>
    </w:p>
    <w:p>
      <w:pPr>
        <w:spacing w:after="0" w:line="79" w:lineRule="exact"/>
        <w:rPr>
          <w:sz w:val="20"/>
          <w:szCs w:val="20"/>
          <w:color w:val="auto"/>
        </w:rPr>
      </w:pPr>
    </w:p>
    <w:p>
      <w:pPr>
        <w:ind w:right="160" w:firstLine="614"/>
        <w:spacing w:after="0" w:line="261" w:lineRule="auto"/>
        <w:rPr>
          <w:sz w:val="20"/>
          <w:szCs w:val="20"/>
          <w:color w:val="auto"/>
        </w:rPr>
      </w:pPr>
      <w:r>
        <w:rPr>
          <w:rFonts w:ascii="Times New Roman" w:cs="Times New Roman" w:eastAsia="Times New Roman" w:hAnsi="Times New Roman"/>
          <w:sz w:val="18"/>
          <w:szCs w:val="18"/>
          <w:color w:val="auto"/>
        </w:rPr>
        <w:t>Under the terms of the ESAs, the ESA Parties also have the right to install a second network of additional screens in their theater lobbies which would not display our LEN programming, but would be used to promote strategic programs or products sold in their theater concessions, bars and dining operations, online ticketing partner promotions, gift card and loyalty programs and special events presented by the ESA Parties and vendors of services provided to theaters, so long as such promotion is incidental to the vendor’s service.</w:t>
      </w:r>
    </w:p>
    <w:p>
      <w:pPr>
        <w:spacing w:after="0" w:line="72" w:lineRule="exact"/>
        <w:rPr>
          <w:sz w:val="20"/>
          <w:szCs w:val="20"/>
          <w:color w:val="auto"/>
        </w:rPr>
      </w:pPr>
    </w:p>
    <w:p>
      <w:pPr>
        <w:jc w:val="both"/>
        <w:ind w:right="480" w:firstLine="614"/>
        <w:spacing w:after="0" w:line="261" w:lineRule="auto"/>
        <w:rPr>
          <w:sz w:val="20"/>
          <w:szCs w:val="20"/>
          <w:color w:val="auto"/>
        </w:rPr>
      </w:pPr>
      <w:r>
        <w:rPr>
          <w:rFonts w:ascii="Times New Roman" w:cs="Times New Roman" w:eastAsia="Times New Roman" w:hAnsi="Times New Roman"/>
          <w:sz w:val="18"/>
          <w:szCs w:val="18"/>
          <w:color w:val="auto"/>
        </w:rPr>
        <w:t>The LEN programmatic offering was launched in 2022 through partnership with Place Exchange, a leading supply-side platform (SSP) for programmatic out-of-home media. This automated offering allows advertisers to access and purchase available LEN programming through a partner demand-side platform (DSP). The partnership enabled advertisers to reach the largest network of lobby screens in movie theaters across the country programmatically for the first time.</w:t>
      </w:r>
    </w:p>
    <w:p>
      <w:pPr>
        <w:spacing w:after="0" w:line="68" w:lineRule="exact"/>
        <w:rPr>
          <w:sz w:val="20"/>
          <w:szCs w:val="20"/>
          <w:color w:val="auto"/>
        </w:rPr>
      </w:pPr>
    </w:p>
    <w:p>
      <w:pPr>
        <w:ind w:right="80" w:firstLine="61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Lobby Promotions and Experiential Products</w:t>
      </w:r>
      <w:r>
        <w:rPr>
          <w:rFonts w:ascii="Times New Roman" w:cs="Times New Roman" w:eastAsia="Times New Roman" w:hAnsi="Times New Roman"/>
          <w:sz w:val="18"/>
          <w:szCs w:val="18"/>
          <w:color w:val="auto"/>
        </w:rPr>
        <w:t>—We also sell a wide variety of advertising and promotional products in theater lobbies across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ESA Parties and certain network affiliates. These products can be sold individually or bundled with on-screen, LEN or digital advertising. Lobby promotions and experiential products may include:</w:t>
      </w:r>
    </w:p>
    <w:p>
      <w:pPr>
        <w:spacing w:after="0" w:line="67" w:lineRule="exact"/>
        <w:rPr>
          <w:sz w:val="20"/>
          <w:szCs w:val="20"/>
          <w:color w:val="auto"/>
        </w:rPr>
      </w:pPr>
    </w:p>
    <w:p>
      <w:pPr>
        <w:ind w:left="1000" w:hanging="379"/>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activations ranging from lounges to 3D holograms, selfie photo stations, social media, vending machines, costume displays and more;</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on concession items such as beverage cups, popcorn bags and kids’ trays;</w:t>
      </w:r>
    </w:p>
    <w:p>
      <w:pPr>
        <w:spacing w:after="0" w:line="117" w:lineRule="exact"/>
        <w:rPr>
          <w:rFonts w:ascii="Times New Roman" w:cs="Times New Roman" w:eastAsia="Times New Roman" w:hAnsi="Times New Roman"/>
          <w:sz w:val="18"/>
          <w:szCs w:val="18"/>
          <w:color w:val="auto"/>
        </w:rPr>
      </w:pPr>
    </w:p>
    <w:p>
      <w:pPr>
        <w:ind w:left="1000" w:right="220" w:hanging="379"/>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coupons and promotional materials, which are customizable by film and are distributed to ticket buyers at the box office or as they exit the theater;</w:t>
      </w:r>
    </w:p>
    <w:p>
      <w:pPr>
        <w:spacing w:after="0" w:line="53"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tabling displays, product demonstrations and sampling;</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touch-screen display units, kiosks and other interactive and creative forms of media;</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signage throughout the lobbies, including posters, banners, counter cards, danglers, floor mats, standees and window clings; and</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 sampling.</w:t>
      </w:r>
    </w:p>
    <w:p>
      <w:pPr>
        <w:spacing w:after="0" w:line="117" w:lineRule="exact"/>
        <w:rPr>
          <w:sz w:val="20"/>
          <w:szCs w:val="20"/>
          <w:color w:val="auto"/>
        </w:rPr>
      </w:pPr>
    </w:p>
    <w:p>
      <w:pPr>
        <w:ind w:right="540" w:firstLine="608"/>
        <w:spacing w:after="0" w:line="282" w:lineRule="auto"/>
        <w:rPr>
          <w:sz w:val="20"/>
          <w:szCs w:val="20"/>
          <w:color w:val="auto"/>
        </w:rPr>
      </w:pPr>
      <w:r>
        <w:rPr>
          <w:rFonts w:ascii="Times New Roman" w:cs="Times New Roman" w:eastAsia="Times New Roman" w:hAnsi="Times New Roman"/>
          <w:sz w:val="18"/>
          <w:szCs w:val="18"/>
          <w:color w:val="auto"/>
        </w:rPr>
        <w:t>Under the terms of the ESAs, the ESA Parties may conduct a limited number of lobby promotions at no charge in connection with strategic programs that promote motion pictures; however, such activities will not reduce the lobby promotions inventory available to us.</w:t>
      </w:r>
    </w:p>
    <w:p>
      <w:pPr>
        <w:spacing w:after="0" w:line="54" w:lineRule="exact"/>
        <w:rPr>
          <w:sz w:val="20"/>
          <w:szCs w:val="20"/>
          <w:color w:val="auto"/>
        </w:rPr>
      </w:pPr>
    </w:p>
    <w:p>
      <w:pPr>
        <w:jc w:val="both"/>
        <w:ind w:right="380" w:firstLine="608"/>
        <w:spacing w:after="0" w:line="266" w:lineRule="auto"/>
        <w:rPr>
          <w:sz w:val="20"/>
          <w:szCs w:val="20"/>
          <w:color w:val="auto"/>
        </w:rPr>
      </w:pPr>
      <w:r>
        <w:rPr>
          <w:rFonts w:ascii="Times New Roman" w:cs="Times New Roman" w:eastAsia="Times New Roman" w:hAnsi="Times New Roman"/>
          <w:sz w:val="18"/>
          <w:szCs w:val="18"/>
          <w:color w:val="auto"/>
        </w:rPr>
        <w:t>Our ability to provide in-lobby marketing and promotional placements in conjunction with our cinema advertising products allows us to offer integrated marketing solutions to advertisers that provide multiple touchpoints with theater patrons throughout the movie-going experience, which we believe is a competitive advantage over other national media platforms.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Out-of-Home Products</w:t>
      </w:r>
    </w:p>
    <w:p>
      <w:pPr>
        <w:spacing w:after="0" w:line="121" w:lineRule="exact"/>
        <w:rPr>
          <w:sz w:val="20"/>
          <w:szCs w:val="20"/>
          <w:color w:val="auto"/>
        </w:rPr>
      </w:pPr>
    </w:p>
    <w:p>
      <w:pPr>
        <w:ind w:right="60" w:firstLine="608"/>
        <w:spacing w:after="0" w:line="282" w:lineRule="auto"/>
        <w:rPr>
          <w:sz w:val="20"/>
          <w:szCs w:val="20"/>
          <w:color w:val="auto"/>
        </w:rPr>
      </w:pPr>
      <w:r>
        <w:rPr>
          <w:rFonts w:ascii="Times New Roman" w:cs="Times New Roman" w:eastAsia="Times New Roman" w:hAnsi="Times New Roman"/>
          <w:sz w:val="18"/>
          <w:szCs w:val="18"/>
          <w:color w:val="auto"/>
        </w:rPr>
        <w:t xml:space="preserve">NCM’s Digital Out-of-Home (“DOOH”) group is embedded as part of our national and local sales organizations and was created in October 2020 to further unite brands with the power of movies by extending movie-centric </w:t>
      </w:r>
      <w:r>
        <w:rPr>
          <w:rFonts w:ascii="Times New Roman" w:cs="Times New Roman" w:eastAsia="Times New Roman" w:hAnsi="Times New Roman"/>
          <w:sz w:val="18"/>
          <w:szCs w:val="18"/>
          <w:i w:val="1"/>
          <w:iCs w:val="1"/>
          <w:color w:val="auto"/>
        </w:rPr>
        <w:t>Noovie®</w:t>
      </w: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13" w:name="page14"/>
    <w:bookmarkEnd w:id="13"/>
    <w:p>
      <w:pPr>
        <w:ind w:right="60" w:firstLine="45"/>
        <w:spacing w:after="0" w:line="266" w:lineRule="auto"/>
        <w:rPr>
          <w:sz w:val="20"/>
          <w:szCs w:val="20"/>
          <w:color w:val="auto"/>
        </w:rPr>
      </w:pPr>
      <w:r>
        <w:rPr>
          <w:rFonts w:ascii="Times New Roman" w:cs="Times New Roman" w:eastAsia="Times New Roman" w:hAnsi="Times New Roman"/>
          <w:sz w:val="18"/>
          <w:szCs w:val="18"/>
          <w:color w:val="auto"/>
        </w:rPr>
        <w:t>entertainment content, trivia and advertising beyond movie theaters to a variety of complementary venues. In 2024, NCM sold DOOH media inventory on a national, regional, local and programmatic level in relationships with digital place-based properties including screens in convenience stores, college campuses, CTV, vehicles and various restaurants.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Network</w:t>
      </w:r>
    </w:p>
    <w:p>
      <w:pPr>
        <w:spacing w:after="0" w:line="119" w:lineRule="exact"/>
        <w:rPr>
          <w:sz w:val="20"/>
          <w:szCs w:val="20"/>
          <w:color w:val="auto"/>
        </w:rPr>
      </w:pPr>
    </w:p>
    <w:p>
      <w:pPr>
        <w:ind w:right="520" w:firstLine="608"/>
        <w:spacing w:after="0" w:line="26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is distributed across NCM LLC’s national theater network — the largest digital in-theater network in North America — through the use of our proprietary DCN and Digital Content Software (“DCS”). With the DCN and DCS, we are able to schedule, deliver, play and reconcile advertising and entertainment content for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and the LEN on a national, regional, local, theater and auditorium level.</w:t>
      </w:r>
    </w:p>
    <w:p>
      <w:pPr>
        <w:spacing w:after="0" w:line="67" w:lineRule="exact"/>
        <w:rPr>
          <w:sz w:val="20"/>
          <w:szCs w:val="20"/>
          <w:color w:val="auto"/>
        </w:rPr>
      </w:pPr>
    </w:p>
    <w:p>
      <w:pPr>
        <w:ind w:right="100" w:firstLine="608"/>
        <w:spacing w:after="0" w:line="261" w:lineRule="auto"/>
        <w:rPr>
          <w:sz w:val="20"/>
          <w:szCs w:val="20"/>
          <w:color w:val="auto"/>
        </w:rPr>
      </w:pPr>
      <w:r>
        <w:rPr>
          <w:rFonts w:ascii="Times New Roman" w:cs="Times New Roman" w:eastAsia="Times New Roman" w:hAnsi="Times New Roman"/>
          <w:sz w:val="18"/>
          <w:szCs w:val="18"/>
          <w:color w:val="auto"/>
        </w:rPr>
        <w:t>The DCN is the combination of a satellite distribution network and a terrestrial management network. The DCN is integrated with NCM’s cinema advertising management system to seamlessly schedule and distribute advertising content. NCM's integrated system dynamically controls the quality, placement, timing of playback and completeness of content within specific auditoriums, and it also allows us to monitor and initiate repairs to the equipment in our digital network of theaters.</w:t>
      </w:r>
    </w:p>
    <w:p>
      <w:pPr>
        <w:spacing w:after="0" w:line="70" w:lineRule="exact"/>
        <w:rPr>
          <w:sz w:val="20"/>
          <w:szCs w:val="20"/>
          <w:color w:val="auto"/>
        </w:rPr>
      </w:pPr>
    </w:p>
    <w:p>
      <w:pPr>
        <w:ind w:firstLine="608"/>
        <w:spacing w:after="0" w:line="258" w:lineRule="auto"/>
        <w:rPr>
          <w:sz w:val="20"/>
          <w:szCs w:val="20"/>
          <w:color w:val="auto"/>
        </w:rPr>
      </w:pPr>
      <w:r>
        <w:rPr>
          <w:rFonts w:ascii="Times New Roman" w:cs="Times New Roman" w:eastAsia="Times New Roman" w:hAnsi="Times New Roman"/>
          <w:sz w:val="18"/>
          <w:szCs w:val="18"/>
          <w:color w:val="auto"/>
        </w:rPr>
        <w:t xml:space="preserve">Advertising and entertainment content for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and LEN is uploaded to our cinema advertising management system and is delivered via multicast technology to the theaters in our network and received by our Alternative Content Engine. The Alternative Content Engine holds the content until displayed in specified theater auditoriums and lobbies according to contract terms. Each theater auditorium and lobby has hardware and/or software architecture that controls the content to be shown. After playback of content, confirmation of playback is returned to NCM and is included in “post” reports provided to our advertising clients.</w:t>
      </w:r>
    </w:p>
    <w:p>
      <w:pPr>
        <w:spacing w:after="0" w:line="75" w:lineRule="exact"/>
        <w:rPr>
          <w:sz w:val="20"/>
          <w:szCs w:val="20"/>
          <w:color w:val="auto"/>
        </w:rPr>
      </w:pPr>
    </w:p>
    <w:p>
      <w:pPr>
        <w:ind w:right="380" w:firstLine="608"/>
        <w:spacing w:after="0" w:line="284" w:lineRule="auto"/>
        <w:rPr>
          <w:sz w:val="20"/>
          <w:szCs w:val="20"/>
          <w:color w:val="auto"/>
        </w:rPr>
      </w:pPr>
      <w:r>
        <w:rPr>
          <w:rFonts w:ascii="Times New Roman" w:cs="Times New Roman" w:eastAsia="Times New Roman" w:hAnsi="Times New Roman"/>
          <w:sz w:val="18"/>
          <w:szCs w:val="18"/>
          <w:color w:val="auto"/>
        </w:rPr>
        <w:t xml:space="preserve">In 2024, more than 390 million moviegoers attended theaters that are currently under contract to present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A summary of the screens and theaters in our advertising network is set forth in the table below:</w:t>
      </w:r>
    </w:p>
    <w:p>
      <w:pPr>
        <w:spacing w:after="0" w:line="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Our Network</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of December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97155</wp:posOffset>
            </wp:positionV>
            <wp:extent cx="5760720" cy="2177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6072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80" w:firstLine="608"/>
        <w:spacing w:after="0" w:line="267" w:lineRule="auto"/>
        <w:rPr>
          <w:sz w:val="20"/>
          <w:szCs w:val="20"/>
          <w:color w:val="auto"/>
        </w:rPr>
      </w:pPr>
      <w:r>
        <w:rPr>
          <w:rFonts w:ascii="Times New Roman" w:cs="Times New Roman" w:eastAsia="Times New Roman" w:hAnsi="Times New Roman"/>
          <w:sz w:val="18"/>
          <w:szCs w:val="18"/>
          <w:color w:val="auto"/>
        </w:rPr>
        <w:t xml:space="preserve">As of December 26, 2024,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was displayed on network movie screens using digital projectors. Almost all screens within our network receive content through our DCN and are equipped with more powerful digital cinema projectors, with the remainder comprised of LCD projectors.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20" w:firstLine="608"/>
        <w:spacing w:after="0" w:line="261" w:lineRule="auto"/>
        <w:rPr>
          <w:sz w:val="20"/>
          <w:szCs w:val="20"/>
          <w:color w:val="auto"/>
        </w:rPr>
      </w:pPr>
      <w:r>
        <w:rPr>
          <w:rFonts w:ascii="Times New Roman" w:cs="Times New Roman" w:eastAsia="Times New Roman" w:hAnsi="Times New Roman"/>
          <w:sz w:val="18"/>
          <w:szCs w:val="18"/>
          <w:color w:val="auto"/>
        </w:rPr>
        <w:t>We had 254 full-time employees as of December 26, 2024. Our employees are located in our Centennial, Colorado headquarters, and in our offices in New York, Los Angeles and Chicago. We also have many major markets advertising account executives that work primarily from their homes throughout the U.S. The Company continually works to structure the organization in optimal ways to meet customer, employee and shareholder needs. None of our employees are covered by collective bargaining agreements. We believe that we have a good relationship with our employees.</w:t>
      </w:r>
    </w:p>
    <w:p>
      <w:pPr>
        <w:spacing w:after="0" w:line="68" w:lineRule="exact"/>
        <w:rPr>
          <w:sz w:val="20"/>
          <w:szCs w:val="20"/>
          <w:color w:val="auto"/>
        </w:rPr>
      </w:pPr>
    </w:p>
    <w:p>
      <w:pPr>
        <w:ind w:right="80" w:firstLine="60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Talent</w:t>
      </w:r>
      <w:r>
        <w:rPr>
          <w:rFonts w:ascii="Times New Roman" w:cs="Times New Roman" w:eastAsia="Times New Roman" w:hAnsi="Times New Roman"/>
          <w:sz w:val="18"/>
          <w:szCs w:val="18"/>
          <w:color w:val="auto"/>
        </w:rPr>
        <w:t>—We are focused on building talent at all levels of the organization by recruiting high quality talent with a broad set of backgrounds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characteristics and have taken steps to align our policies with best practices from other respected organizations. We are focused on identifying and helping to implement initiatives intended to improve areas such as recruitment, retention, brand awareness and community outreach.</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4" w:name="page15"/>
    <w:bookmarkEnd w:id="14"/>
    <w:p>
      <w:pPr>
        <w:ind w:right="100" w:firstLine="60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Organizational Development</w:t>
      </w:r>
      <w:r>
        <w:rPr>
          <w:rFonts w:ascii="Times New Roman" w:cs="Times New Roman" w:eastAsia="Times New Roman" w:hAnsi="Times New Roman"/>
          <w:sz w:val="18"/>
          <w:szCs w:val="18"/>
          <w:color w:val="auto"/>
        </w:rPr>
        <w:t>—Our Human Resources and leadership team is focused on broad management development as well as supporting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targeted training to individuals and teams based on business needs. Managers and supervisors participate in specialized training to develop management skills, encourage employee development and retention and assist the Company with succession planning by identifying top talent to be developed into future leaders. Our Human Resources department also regularly provides employees with mandatory compliance training regarding preventing harassment and discrimination, workplace diversity, our code of conduct, IT and cyber security and other related courses to help them with their daily responsibilities. Compliance with mandatory training requirements is tracked by our Human Resources department and management is notified when the requirements are not met.</w:t>
      </w:r>
    </w:p>
    <w:p>
      <w:pPr>
        <w:spacing w:after="0" w:line="79" w:lineRule="exact"/>
        <w:rPr>
          <w:sz w:val="20"/>
          <w:szCs w:val="20"/>
          <w:color w:val="auto"/>
        </w:rPr>
      </w:pPr>
    </w:p>
    <w:p>
      <w:pPr>
        <w:ind w:right="180" w:firstLine="608"/>
        <w:spacing w:after="0" w:line="261" w:lineRule="auto"/>
        <w:rPr>
          <w:sz w:val="20"/>
          <w:szCs w:val="20"/>
          <w:color w:val="auto"/>
        </w:rPr>
      </w:pPr>
      <w:r>
        <w:rPr>
          <w:rFonts w:ascii="Times New Roman" w:cs="Times New Roman" w:eastAsia="Times New Roman" w:hAnsi="Times New Roman"/>
          <w:sz w:val="18"/>
          <w:szCs w:val="18"/>
          <w:color w:val="auto"/>
        </w:rPr>
        <w:t>The Human Resources department also focuses on defining and embedding the NCM culture into all people-related practices and policies to help us recruit, develop and retain a world-class team to grow the business. The Company has implemented a number of targeted initiatives to increase employee engagement and satisfaction, including team and culture-building activities, career and succession planning and ongoing analysis and enhancements of our total rewards program.</w:t>
      </w:r>
    </w:p>
    <w:p>
      <w:pPr>
        <w:spacing w:after="0" w:line="68" w:lineRule="exact"/>
        <w:rPr>
          <w:sz w:val="20"/>
          <w:szCs w:val="20"/>
          <w:color w:val="auto"/>
        </w:rPr>
      </w:pPr>
    </w:p>
    <w:p>
      <w:pPr>
        <w:ind w:right="60" w:firstLine="60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Total Rewards</w:t>
      </w:r>
      <w:r>
        <w:rPr>
          <w:rFonts w:ascii="Times New Roman" w:cs="Times New Roman" w:eastAsia="Times New Roman" w:hAnsi="Times New Roman"/>
          <w:sz w:val="18"/>
          <w:szCs w:val="18"/>
          <w:color w:val="auto"/>
        </w:rPr>
        <w:t>—We invest in our employees by providing comprehensive benefits and compensation packages. Our benefits packages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comprehensive health insurance with a wellness program for all eligible employees, parental leave for all new parents for the birth or adoption of a child or placement of foster care, 401k plan with a comprehensive financial wellness component and voluntary benefits employees can tailor to their specific needs ranging from additional life insurance to pet insurance.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40" w:firstLine="608"/>
        <w:spacing w:after="0" w:line="254" w:lineRule="auto"/>
        <w:rPr>
          <w:sz w:val="20"/>
          <w:szCs w:val="20"/>
          <w:color w:val="auto"/>
        </w:rPr>
      </w:pPr>
      <w:r>
        <w:rPr>
          <w:rFonts w:ascii="Times New Roman" w:cs="Times New Roman" w:eastAsia="Times New Roman" w:hAnsi="Times New Roman"/>
          <w:sz w:val="18"/>
          <w:szCs w:val="18"/>
          <w:color w:val="auto"/>
        </w:rPr>
        <w:t>Our revenue and operating results are seasonal in nature, coinciding with the timing of marketing expenditures by our advertising clients and to a lesser extent the attendance patterns within the film exhibition industry. Historically, both advertising expenditures and theater attendance tend to be higher during the second, third and fourth fiscal quarters. Advertising revenue is primarily correlated with new product releases, advertising client marketing priorities and economic cycles and to a lesser extent theater attendance levels. Seasonal demand during the summer is driven by the absence of alternative attractive advertising mediums and during the winter holiday season due to high client demand across all advertising mediums.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increased inventory availability in competitive advertising mediums. There can be no assurances that seasonal variations will not materially affect our results of operations in the future.</w:t>
      </w:r>
    </w:p>
    <w:p>
      <w:pPr>
        <w:spacing w:after="0" w:line="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following table reflects the quarterly percentage of total NCM LLC revenue for the fiscal years ended 2024, 2023 and 2022: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88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First</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00" w:type="dxa"/>
            <w:vAlign w:val="bottom"/>
          </w:tcPr>
          <w:p>
            <w:pPr>
              <w:spacing w:after="0"/>
              <w:rPr>
                <w:sz w:val="13"/>
                <w:szCs w:val="13"/>
                <w:color w:val="auto"/>
              </w:rPr>
            </w:pPr>
          </w:p>
        </w:tc>
        <w:tc>
          <w:tcPr>
            <w:tcW w:w="14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80" w:type="dxa"/>
            <w:vAlign w:val="bottom"/>
          </w:tcPr>
          <w:p>
            <w:pPr>
              <w:spacing w:after="0"/>
              <w:rPr>
                <w:sz w:val="13"/>
                <w:szCs w:val="13"/>
                <w:color w:val="auto"/>
              </w:rPr>
            </w:pPr>
          </w:p>
        </w:tc>
        <w:tc>
          <w:tcPr>
            <w:tcW w:w="14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Fourth</w:t>
            </w:r>
          </w:p>
        </w:tc>
      </w:tr>
      <w:tr>
        <w:trPr>
          <w:trHeight w:val="173"/>
        </w:trPr>
        <w:tc>
          <w:tcPr>
            <w:tcW w:w="5080" w:type="dxa"/>
            <w:vAlign w:val="bottom"/>
          </w:tcPr>
          <w:p>
            <w:pPr>
              <w:spacing w:after="0"/>
              <w:rPr>
                <w:sz w:val="15"/>
                <w:szCs w:val="15"/>
                <w:color w:val="auto"/>
              </w:rPr>
            </w:pPr>
          </w:p>
        </w:tc>
        <w:tc>
          <w:tcPr>
            <w:tcW w:w="88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80" w:type="dxa"/>
            <w:vAlign w:val="bottom"/>
          </w:tcPr>
          <w:p>
            <w:pPr>
              <w:spacing w:after="0"/>
              <w:rPr>
                <w:sz w:val="15"/>
                <w:szCs w:val="15"/>
                <w:color w:val="auto"/>
              </w:rPr>
            </w:pPr>
          </w:p>
        </w:tc>
        <w:tc>
          <w:tcPr>
            <w:tcW w:w="14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Quarter</w:t>
            </w:r>
          </w:p>
        </w:tc>
      </w:tr>
      <w:tr>
        <w:trPr>
          <w:trHeight w:val="210"/>
        </w:trPr>
        <w:tc>
          <w:tcPr>
            <w:tcW w:w="59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FY 2024</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15.5 %</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35.8 %</w:t>
            </w:r>
          </w:p>
        </w:tc>
      </w:tr>
      <w:tr>
        <w:trPr>
          <w:trHeight w:val="216"/>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FY 2023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13.4 %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16"/>
        </w:trPr>
        <w:tc>
          <w:tcPr>
            <w:tcW w:w="59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FY 2022</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14.4 %</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36.8 %</w:t>
            </w: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21" w:lineRule="exact"/>
        <w:rPr>
          <w:sz w:val="20"/>
          <w:szCs w:val="20"/>
          <w:color w:val="auto"/>
        </w:rPr>
      </w:pPr>
    </w:p>
    <w:p>
      <w:pPr>
        <w:ind w:right="80" w:firstLine="608"/>
        <w:spacing w:after="0" w:line="261" w:lineRule="auto"/>
        <w:rPr>
          <w:sz w:val="20"/>
          <w:szCs w:val="20"/>
          <w:color w:val="auto"/>
        </w:rPr>
      </w:pPr>
      <w:r>
        <w:rPr>
          <w:rFonts w:ascii="Times New Roman" w:cs="Times New Roman" w:eastAsia="Times New Roman" w:hAnsi="Times New Roman"/>
          <w:sz w:val="18"/>
          <w:szCs w:val="18"/>
          <w:color w:val="auto"/>
        </w:rPr>
        <w:t>Currently, we are not subject to regulations specific to the sale and distribution of cinema advertising. We are subject to federal, state and local laws that govern businesses generally such as wage and hour, worker compensation and health and safety laws as well as privacy, information security and consumer protection-related laws and regulations. We have been and are currently in compliance with all material government mandated and environmental regulations.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0" w:firstLine="608"/>
        <w:spacing w:after="0" w:line="261" w:lineRule="auto"/>
        <w:rPr>
          <w:sz w:val="20"/>
          <w:szCs w:val="20"/>
          <w:color w:val="auto"/>
        </w:rPr>
      </w:pPr>
      <w:r>
        <w:rPr>
          <w:rFonts w:ascii="Times New Roman" w:cs="Times New Roman" w:eastAsia="Times New Roman" w:hAnsi="Times New Roman"/>
          <w:sz w:val="18"/>
          <w:szCs w:val="18"/>
          <w:color w:val="auto"/>
        </w:rPr>
        <w:t>Our advertising business competes in the estimated $425.9 billion U.S. advertising industry with many other forms of marketing media, including television, radio, print, internet, mobile and outdoor display advertising. While cinema advertising represents a small portion of the overall advertising industry today, we believe it is well-positioned to capitalize on the continuing shift of advertising spending away from traditional media, in particular linear television where consumers can skip advertisements through DVRs and other technology, to newer and more targeted forms of media.</w:t>
      </w:r>
    </w:p>
    <w:p>
      <w:pPr>
        <w:spacing w:after="0" w:line="72" w:lineRule="exact"/>
        <w:rPr>
          <w:sz w:val="20"/>
          <w:szCs w:val="20"/>
          <w:color w:val="auto"/>
        </w:rPr>
      </w:pPr>
    </w:p>
    <w:p>
      <w:pPr>
        <w:ind w:right="240" w:firstLine="608"/>
        <w:spacing w:after="0" w:line="261" w:lineRule="auto"/>
        <w:rPr>
          <w:sz w:val="20"/>
          <w:szCs w:val="20"/>
          <w:color w:val="auto"/>
        </w:rPr>
      </w:pPr>
      <w:r>
        <w:rPr>
          <w:rFonts w:ascii="Times New Roman" w:cs="Times New Roman" w:eastAsia="Times New Roman" w:hAnsi="Times New Roman"/>
          <w:sz w:val="18"/>
          <w:szCs w:val="18"/>
          <w:color w:val="auto"/>
        </w:rPr>
        <w:t>Our advertising business also competes with many other providers of cinema advertising, which vary substantially in size. As the largest cinema advertising network in the U.S., we believe that we are able to generate economies of scale, operating efficiencies and enhanced opportunities for our clients to reach an engaged movie audience on both a national and local level to allow us to better compete for premium video dollars in the larger advertising marketplace.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 w:name="page16"/>
    <w:bookmarkEnd w:id="15"/>
    <w:p>
      <w:pPr>
        <w:ind w:right="440" w:firstLine="608"/>
        <w:spacing w:after="0" w:line="266" w:lineRule="auto"/>
        <w:rPr>
          <w:sz w:val="20"/>
          <w:szCs w:val="20"/>
          <w:color w:val="auto"/>
        </w:rPr>
      </w:pPr>
      <w:r>
        <w:rPr>
          <w:rFonts w:ascii="Times New Roman" w:cs="Times New Roman" w:eastAsia="Times New Roman" w:hAnsi="Times New Roman"/>
          <w:sz w:val="18"/>
          <w:szCs w:val="18"/>
          <w:color w:val="auto"/>
        </w:rPr>
        <w:t>We believe that several strengths position us well to compete in an increasingly fragmented media landscape. We believe that our cinema advertising network is an attractive option for advertisers on a national, regional and local level and delivers measurable results for our clients that are comparable, and preferred, to the television, online and mobile or other video advertising options that we compete against in the marketplace.</w:t>
      </w:r>
    </w:p>
    <w:p>
      <w:pPr>
        <w:spacing w:after="0" w:line="64" w:lineRule="exact"/>
        <w:rPr>
          <w:sz w:val="20"/>
          <w:szCs w:val="20"/>
          <w:color w:val="auto"/>
        </w:rPr>
      </w:pPr>
    </w:p>
    <w:p>
      <w:pPr>
        <w:ind w:right="40" w:firstLine="60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Extensive national market coverage</w:t>
      </w:r>
      <w:r>
        <w:rPr>
          <w:rFonts w:ascii="Times New Roman" w:cs="Times New Roman" w:eastAsia="Times New Roman" w:hAnsi="Times New Roman"/>
          <w:sz w:val="18"/>
          <w:szCs w:val="18"/>
          <w:color w:val="auto"/>
        </w:rPr>
        <w:t>—Our contractual agreements with our ESA Parties and network affiliates provide long-term exclusive access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limited exceptions) to sell cinema advertising across the largest network of digitally-equipped theaters in the U.S. This allows us to offer advertisers the broad reach and national scale that they need to effectively reach their target audiences.</w:t>
      </w:r>
    </w:p>
    <w:p>
      <w:pPr>
        <w:spacing w:after="0" w:line="67" w:lineRule="exact"/>
        <w:rPr>
          <w:sz w:val="20"/>
          <w:szCs w:val="20"/>
          <w:color w:val="auto"/>
        </w:rPr>
      </w:pPr>
    </w:p>
    <w:p>
      <w:pPr>
        <w:ind w:left="1000" w:right="100" w:hanging="379"/>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advertising network consisted of 18,028 screens (9,455 operated by the ESA Parties) located in 1,408 theaters (688 operated by the ESA Parties) in 47 states and the District of Columbia, including each of the top 25, 50 and 100 DMAs®, and 196 DMAs® in total, as of December 26, 2024;</w:t>
      </w:r>
    </w:p>
    <w:p>
      <w:pPr>
        <w:spacing w:after="0" w:line="67" w:lineRule="exact"/>
        <w:rPr>
          <w:rFonts w:ascii="Times New Roman" w:cs="Times New Roman" w:eastAsia="Times New Roman" w:hAnsi="Times New Roman"/>
          <w:sz w:val="18"/>
          <w:szCs w:val="18"/>
          <w:color w:val="auto"/>
        </w:rPr>
      </w:pPr>
    </w:p>
    <w:p>
      <w:pPr>
        <w:ind w:left="1000" w:right="700" w:hanging="379"/>
        <w:spacing w:after="0" w:line="289" w:lineRule="auto"/>
        <w:tabs>
          <w:tab w:leader="none" w:pos="10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over 390 million people who attended theaters in our network in 2024 represented 67.6%, 62.9% and 60.2% of the total theater attendance in theaters that present cinema advertising in the top 10, 25 and 50 U.S. DMAs®, respectively, and 54.5% of all DMAs® nationally, providing an attractive platform for national advertisers who want exposure in larger markets or on a national basis;</w:t>
      </w:r>
    </w:p>
    <w:p>
      <w:pPr>
        <w:spacing w:after="0" w:line="49" w:lineRule="exact"/>
        <w:rPr>
          <w:rFonts w:ascii="Times New Roman" w:cs="Times New Roman" w:eastAsia="Times New Roman" w:hAnsi="Times New Roman"/>
          <w:sz w:val="17"/>
          <w:szCs w:val="17"/>
          <w:color w:val="auto"/>
        </w:rPr>
      </w:pPr>
    </w:p>
    <w:p>
      <w:pPr>
        <w:ind w:left="1000" w:hanging="379"/>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screens per theater in our network during 2024 was 12.8 screens; and</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annual attendance per screen of theaters included in our network during 2024 was 21,674.</w:t>
      </w:r>
    </w:p>
    <w:p>
      <w:pPr>
        <w:spacing w:after="0" w:line="113" w:lineRule="exact"/>
        <w:rPr>
          <w:sz w:val="20"/>
          <w:szCs w:val="20"/>
          <w:color w:val="auto"/>
        </w:rPr>
      </w:pPr>
    </w:p>
    <w:p>
      <w:pPr>
        <w:ind w:right="40" w:firstLine="60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Scalable, state-of-the-art digital content distribution technology</w:t>
      </w:r>
      <w:r>
        <w:rPr>
          <w:rFonts w:ascii="Times New Roman" w:cs="Times New Roman" w:eastAsia="Times New Roman" w:hAnsi="Times New Roman"/>
          <w:sz w:val="18"/>
          <w:szCs w:val="18"/>
          <w:color w:val="auto"/>
        </w:rPr>
        <w:t>—Our use of the combination of satellite and terrestrial DCN network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technology, combined with the design and functionality of our DCS and Customer Experience Center infrastructure, makes our network efficient and scalable and also allows us to target specific audiences and provide advertising scheduling flexibility and reporting. National, local and regional advertisers are generally able to run their ads in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less than 72 hours following the close of the proposal which is comparable to the lead time of television advertising, giving businesses that rely on time-sensitive promotional advertising strategies the opportunity to take advantage of the power of cinema.</w:t>
      </w:r>
    </w:p>
    <w:p>
      <w:pPr>
        <w:spacing w:after="0" w:line="78" w:lineRule="exact"/>
        <w:rPr>
          <w:sz w:val="20"/>
          <w:szCs w:val="20"/>
          <w:color w:val="auto"/>
        </w:rPr>
      </w:pPr>
    </w:p>
    <w:p>
      <w:pPr>
        <w:ind w:right="60" w:firstLine="608"/>
        <w:spacing w:after="0" w:line="266" w:lineRule="auto"/>
        <w:rPr>
          <w:sz w:val="20"/>
          <w:szCs w:val="20"/>
          <w:color w:val="auto"/>
        </w:rPr>
      </w:pPr>
      <w:r>
        <w:rPr>
          <w:rFonts w:ascii="Times New Roman" w:cs="Times New Roman" w:eastAsia="Times New Roman" w:hAnsi="Times New Roman"/>
          <w:sz w:val="18"/>
          <w:szCs w:val="18"/>
          <w:color w:val="auto"/>
        </w:rPr>
        <w:t>This scalability of our distribution technology allows us to expand our cinema advertising network with minimal additional capital expenditures or personnel, and we expect to benefit from this scalability in the event we add to the theaters from the ESA Parties, our existing network affiliate relationships and the addition of new network affiliates.</w:t>
      </w:r>
    </w:p>
    <w:p>
      <w:pPr>
        <w:spacing w:after="0" w:line="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Access to a highly attractive, engaged audience</w:t>
      </w:r>
      <w:r>
        <w:rPr>
          <w:rFonts w:ascii="Times New Roman" w:cs="Times New Roman" w:eastAsia="Times New Roman" w:hAnsi="Times New Roman"/>
          <w:sz w:val="18"/>
          <w:szCs w:val="18"/>
          <w:color w:val="auto"/>
        </w:rPr>
        <w:t>—We offer advertisers the ability to reach highly-coveted target demographics, including young,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affluent and educated “Millennial” and “Gen Z” moviegoers. According to The People Platform for 2023, 62.0% of the NCM LLC audiences were between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ages of 12-34, consistent with 2022, with a median age of 30 in 2023. Further, 47.5% of our moviegoers have a household income greater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 (versus 41.0% of the general population), with a median moviegoer household income of $92,000, and 39.0% have received a bachelor’s degree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higher (versus 35.0% of the general population) according to Transunion.</w:t>
      </w:r>
    </w:p>
    <w:p>
      <w:pPr>
        <w:spacing w:after="0" w:line="99" w:lineRule="exact"/>
        <w:rPr>
          <w:sz w:val="20"/>
          <w:szCs w:val="20"/>
          <w:color w:val="auto"/>
        </w:rPr>
      </w:pPr>
    </w:p>
    <w:p>
      <w:pPr>
        <w:ind w:right="240" w:firstLine="608"/>
        <w:spacing w:after="0" w:line="253" w:lineRule="auto"/>
        <w:rPr>
          <w:sz w:val="20"/>
          <w:szCs w:val="20"/>
          <w:color w:val="auto"/>
        </w:rPr>
      </w:pPr>
      <w:r>
        <w:rPr>
          <w:rFonts w:ascii="Times New Roman" w:cs="Times New Roman" w:eastAsia="Times New Roman" w:hAnsi="Times New Roman"/>
          <w:sz w:val="18"/>
          <w:szCs w:val="18"/>
          <w:color w:val="auto"/>
        </w:rPr>
        <w:t xml:space="preserve">Because of the impact of cinema’s state-of-the-art immersive video and audio presentation, we also believe that movie audiences are highly engaged with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advertising and entertainment content that they view in our theater environment. In a recent 2023 study performed by Lumen, a leader in attention measurement, moviegoers paid greater attention to advertisements in theaters as compared to all other premium video platforms including Linear (Live Sports), Fast Nets (Tubi, Pluto, Roku), premium AVOD, social media, digital and premium audio podcasts. Cinema’s attention advantage is 2 to 3 times that of Linear Live Sports, Fast Nets, Top Tier AVOD and podcasts and 7 to 16 times that of social media and digital. Further, based upon an average of 7 years of research studies including 323 advertisers across various categories, advertising on the big screen has generated brand lift for the critical key performance indicators of awareness (increase of 62.0%) and consideration (increase of 24.0%). Additionally, according to an intercept study conducted by eWorks, a market research company, a Platinum Spot advertiser experienced 88.0% brand recall, with significant lifts in unaided awareness (increase of 100.0%), favorable opinion (increase of 21.0%) and future consideration (increase of 19.0%) after advertising with the Company in 2022.</w:t>
      </w:r>
    </w:p>
    <w:p>
      <w:pPr>
        <w:spacing w:after="0" w:line="82" w:lineRule="exact"/>
        <w:rPr>
          <w:sz w:val="20"/>
          <w:szCs w:val="20"/>
          <w:color w:val="auto"/>
        </w:rPr>
      </w:pPr>
    </w:p>
    <w:p>
      <w:pPr>
        <w:ind w:right="160" w:firstLine="60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World-class entertainment and innovative, branded pre-feature content</w:t>
      </w:r>
      <w:r>
        <w:rPr>
          <w:rFonts w:ascii="Times New Roman" w:cs="Times New Roman" w:eastAsia="Times New Roman" w:hAnsi="Times New Roman"/>
          <w:sz w:val="18"/>
          <w:szCs w:val="18"/>
          <w:color w:val="auto"/>
        </w:rPr>
        <w:t>—The film content created by Hollywood studios is considered some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finest entertainment content in the world, which creates a highly-desirable advertising environment for brands. We believe that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program provides a high-quality entertainment experience for theater audiences and an effective marketing platform for advertisers. By partnering with leading media, entertainment, technology and other companies, we are able to provide better original content for our audience and increase the impact for the advertiser. Because we offer local and national “pods” within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(that is, groupings of ads interspersed among video content), our format is consistent with the grouping of ads on television networks, which allows advertisers to more easily integrate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into traditional sight-sound-and-motion media buys.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right="80" w:firstLine="60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Prime movie audience data, measurability and targeting</w:t>
      </w:r>
      <w:r>
        <w:rPr>
          <w:rFonts w:ascii="Times New Roman" w:cs="Times New Roman" w:eastAsia="Times New Roman" w:hAnsi="Times New Roman"/>
          <w:sz w:val="18"/>
          <w:szCs w:val="18"/>
          <w:color w:val="auto"/>
        </w:rPr>
        <w:t>—As with many other advertising mediums, we are measured by third-party research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companies. The People Platform (formerly Epicenter Experience LLC) measures our audience, including the total attendance that are in their seats during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Additionally, unlike some other advertising mediums, we also receive attendance information by film, by rating and by screen at least monthly for all of the ESA Parties’ theaters, and by location for the theaters operated by our network affiliates at least monthly, which allows us to report the actual audience size for each showing of a film where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played. We believe that the ability to provide detailed information to our clients gives us a distinct competitive advantage over traditional media platforms whose measurement is based only on extrapolations of a very small sample of the total audience.</w:t>
      </w:r>
    </w:p>
    <w:p>
      <w:pPr>
        <w:spacing w:after="0" w:line="79" w:lineRule="exact"/>
        <w:rPr>
          <w:sz w:val="20"/>
          <w:szCs w:val="20"/>
          <w:color w:val="auto"/>
        </w:rPr>
      </w:pPr>
    </w:p>
    <w:p>
      <w:pPr>
        <w:ind w:right="80" w:firstLine="608"/>
        <w:spacing w:after="0" w:line="258" w:lineRule="auto"/>
        <w:rPr>
          <w:sz w:val="20"/>
          <w:szCs w:val="20"/>
          <w:color w:val="auto"/>
        </w:rPr>
      </w:pPr>
      <w:r>
        <w:rPr>
          <w:rFonts w:ascii="Times New Roman" w:cs="Times New Roman" w:eastAsia="Times New Roman" w:hAnsi="Times New Roman"/>
          <w:sz w:val="18"/>
          <w:szCs w:val="18"/>
          <w:color w:val="auto"/>
        </w:rPr>
        <w:t>In 2024, we continued to invest in the development of our cloud-based Data Management Platform (DMP), enabling us to deliver enhanced audience insights and analytics to our clients. To strengthen the connection between brands and moviegoers, we aggregate audience data from various sources within our DMP. This data supports ad targeting and provides complete attribution reporting to evaluate campaign performance. Looking ahead to 2025, we plan to further enhance the platform’s capabilities by broadening first-party data collection through strategic initiatives and integrating additional second- and third-party data sources and audience segments.</w:t>
      </w:r>
    </w:p>
    <w:p>
      <w:pPr>
        <w:spacing w:after="0" w:line="71" w:lineRule="exact"/>
        <w:rPr>
          <w:sz w:val="20"/>
          <w:szCs w:val="20"/>
          <w:color w:val="auto"/>
        </w:rPr>
      </w:pPr>
    </w:p>
    <w:p>
      <w:pPr>
        <w:ind w:right="60" w:firstLine="60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Integrated marketing and digital products</w:t>
      </w:r>
      <w:r>
        <w:rPr>
          <w:rFonts w:ascii="Times New Roman" w:cs="Times New Roman" w:eastAsia="Times New Roman" w:hAnsi="Times New Roman"/>
          <w:sz w:val="18"/>
          <w:szCs w:val="18"/>
          <w:color w:val="auto"/>
        </w:rPr>
        <w:t>—Our ability to bundle our on-screen advertising opportunities with integrated lobby, digital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digital out-of-home products allows us to offer advertisers multiple touchpoints to reach movie audiences anytime and anywhere to execute true 360-degree marketing programs. We believe these multiple marketing impressions throughout the entire entertainment experience allow our advertisers to extend the exposure for their brands and products and create a more engaging relationship with movie audiences in every stage of their movie journey. Additionally, our NCMx™ data platform makes cinema advertising more measurable, targetable and attributable than ever before. We power the NCM Boost product with first-, second- and third-party data to better reach advertising clients’ target audiences with higher degrees of accuracy and measure a variety of business outcomes more accurately.</w:t>
      </w:r>
    </w:p>
    <w:p>
      <w:pPr>
        <w:spacing w:after="0" w:line="75" w:lineRule="exact"/>
        <w:rPr>
          <w:sz w:val="20"/>
          <w:szCs w:val="20"/>
          <w:color w:val="auto"/>
        </w:rPr>
      </w:pPr>
    </w:p>
    <w:p>
      <w:pPr>
        <w:ind w:right="20" w:firstLine="60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Contractual theater circuit and advertiser relationships</w:t>
      </w:r>
      <w:r>
        <w:rPr>
          <w:rFonts w:ascii="Times New Roman" w:cs="Times New Roman" w:eastAsia="Times New Roman" w:hAnsi="Times New Roman"/>
          <w:sz w:val="18"/>
          <w:szCs w:val="18"/>
          <w:color w:val="auto"/>
        </w:rPr>
        <w:t>—Our exclusive multi-year contractual relationships with our ESA Parties and network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affiliates allow us to offer advertisers a national network with the scale, flexibility and targeting to meet their marketing needs. Our exclusive contractual relationships with our content partners and courtesy PSA sponsors, as well as our agreements to satisfy the ESA Parties’ on-screen marketing obligations to their beverage concessionaires, provide us with a significant upfront revenue commitment, accounting for approximately 19.0% and 28.4% of our total revenue for the years ended December 26, 2024 and December 28, 2023, respectively. In addition, our participation in the annual advertising upfront marketplace has allowed us to secure significant annual upfront commitments from national advertisers looking to secure premium cinema inventory. These upfront commitments accounted for approximately 30.1% and 27.9% of our total revenue for the years ended December 26, 2024 and December 28, 2023, respectively.</w:t>
      </w:r>
    </w:p>
    <w:p>
      <w:pPr>
        <w:spacing w:after="0" w:line="77" w:lineRule="exact"/>
        <w:rPr>
          <w:sz w:val="20"/>
          <w:szCs w:val="20"/>
          <w:color w:val="auto"/>
        </w:rPr>
      </w:pPr>
    </w:p>
    <w:p>
      <w:pPr>
        <w:ind w:right="120" w:firstLine="60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Strong operating margins with limited capital requirements</w:t>
      </w:r>
      <w:r>
        <w:rPr>
          <w:rFonts w:ascii="Times New Roman" w:cs="Times New Roman" w:eastAsia="Times New Roman" w:hAnsi="Times New Roman"/>
          <w:sz w:val="18"/>
          <w:szCs w:val="18"/>
          <w:color w:val="auto"/>
        </w:rPr>
        <w:t>—Our annual operating income margin and Adjusted OIBDA margin over the five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ended December 26, 2019 were consistently strong, ranging from approximately 33.1% to 38.7% and 46.5% to 51.5%, respectively. NCM LLC’s annual operating income margin and Adjusted OIBDA margin were (8.1)% and 19.0%, and (69.6)% and 20.3%, for the years ended December 26, 2024 and December 28, 2023, respectively, due to the impact of the Chapter 11 Case, industry related strikes and the lingering impact of the COVID-19 pandemic on our operations. Adjusted OIBDA margin is a non-GAAP financial measure. Please refer to “Item 7. Management’s Discussion and Analysis of Financial Condition and Results of Operations” for a discussion of the calculation of Adjusted OIBDA margin and a reconciliation of Adjusted OIBDA margin to operating income.</w:t>
      </w:r>
    </w:p>
    <w:p>
      <w:pPr>
        <w:spacing w:after="0" w:line="79" w:lineRule="exact"/>
        <w:rPr>
          <w:sz w:val="20"/>
          <w:szCs w:val="20"/>
          <w:color w:val="auto"/>
        </w:rPr>
      </w:pPr>
    </w:p>
    <w:p>
      <w:pPr>
        <w:ind w:firstLine="608"/>
        <w:spacing w:after="0" w:line="253" w:lineRule="auto"/>
        <w:rPr>
          <w:sz w:val="20"/>
          <w:szCs w:val="20"/>
          <w:color w:val="auto"/>
        </w:rPr>
      </w:pPr>
      <w:r>
        <w:rPr>
          <w:rFonts w:ascii="Times New Roman" w:cs="Times New Roman" w:eastAsia="Times New Roman" w:hAnsi="Times New Roman"/>
          <w:sz w:val="18"/>
          <w:szCs w:val="18"/>
          <w:color w:val="auto"/>
        </w:rPr>
        <w:t>Our capital expenditures ranged from approximately 2.9% to 3.5% of revenues over the five years through December 26, 2019. NCM LLC’s capital expenditures were 2.3% and 2.0% of revenue for the years ended December 26, 2024 and December 28, 2023. For the year ended December 26, 2024, our capital expenditures and other investments were $5.6 million with $1.9 million associated with upgrades to our existing systems related to the continued upgrades of our cinema advertising management system; $1.7 million associated with leasehold improvements; $1.0 million associated with digital product development; $0.4 million associated with network affiliate additions; and $0.4 million associated with certain implementation and prepaid costs associated with cloud computing arrangements. Given the impact of the Chapter 11 Case and the COVID-19 pandemic on our operations, our focus in 2023 and 2024 was on cash containment and non-essential capital expenditures were reduced. Due to the network equipment investments made in theaters by us and in conjunction our ESA Parties under the ESA and the scalable nature of our Customer Experience Center and other infrastructure, we do not expect any necessary major capital investments to grow our operations as our network of theaters continues to expand. As we continue to move our technology to cloud-based Software as a Service (“SaaS”) platforms, we expect to continue to reduce our annual capital expenditure spending. However, operating expenses associated with the SaaS licenses will continue to increase. Certain implementation costs of our SaaS platforms were capitalized during the implementation period and are recognized within operating income over the term of the SaaS contract once the systems are fully implemented.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7" w:name="page18"/>
    <w:bookmarkEnd w:id="17"/>
    <w:p>
      <w:pPr>
        <w:ind w:right="400" w:firstLine="608"/>
        <w:spacing w:after="0" w:line="282" w:lineRule="auto"/>
        <w:rPr>
          <w:sz w:val="20"/>
          <w:szCs w:val="20"/>
          <w:color w:val="auto"/>
        </w:rPr>
      </w:pPr>
      <w:r>
        <w:rPr>
          <w:rFonts w:ascii="Times New Roman" w:cs="Times New Roman" w:eastAsia="Times New Roman" w:hAnsi="Times New Roman"/>
          <w:sz w:val="18"/>
          <w:szCs w:val="18"/>
          <w:color w:val="auto"/>
        </w:rPr>
        <w:t>We are continuing to pursue a growth strategy that we believe will create significant value following the normalization of our operations. Our strategy includes the following three key components:</w:t>
      </w:r>
    </w:p>
    <w:p>
      <w:pPr>
        <w:spacing w:after="0" w:line="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Increase the Value of Cinema Media</w:t>
      </w:r>
    </w:p>
    <w:p>
      <w:pPr>
        <w:spacing w:after="0" w:line="121" w:lineRule="exact"/>
        <w:rPr>
          <w:sz w:val="20"/>
          <w:szCs w:val="20"/>
          <w:color w:val="auto"/>
        </w:rPr>
      </w:pPr>
    </w:p>
    <w:p>
      <w:pPr>
        <w:ind w:firstLine="608"/>
        <w:spacing w:after="0" w:line="253" w:lineRule="auto"/>
        <w:rPr>
          <w:sz w:val="20"/>
          <w:szCs w:val="20"/>
          <w:color w:val="auto"/>
        </w:rPr>
      </w:pPr>
      <w:r>
        <w:rPr>
          <w:rFonts w:ascii="Times New Roman" w:cs="Times New Roman" w:eastAsia="Times New Roman" w:hAnsi="Times New Roman"/>
          <w:sz w:val="18"/>
          <w:szCs w:val="18"/>
          <w:color w:val="auto"/>
        </w:rPr>
        <w:t xml:space="preserve">We intend to drive an increase in value through innovation and optimization of our current product offering. Beginning in 2019, we achieved one of our key initiatives in this strategy by introducing inventory following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after the advertised showtime. This Post-Showtime Inventory consists of a total of five to ten minutes depending upon the ESA Party or affiliate between the lights down segment beginning just after the advertised movie showtime and including trailer lighting and the 30- or 60-second Platinum Spot deeply embedded within the movie trailers with trailer lighting and full trailer volume. We believe this inventory constitutes prized and impactful ad spots. We believe our local and regional clients also benefit from better inventory as their placement is closer to the advertised showtime. As of December 26, 2024, 65.0% of our network affiliates, based on attendance, are running our Post-Showtime Inventory. We plan to continue to work toward expanding the portion of our network including this premium inventory. Within the Regal Advertising Affiliate Agreement, effective on July 14, 2023, we began advertising for five additional minutes after the posted showtime for a total of ten minutes. We believe this higher value inventory, combined with an entertaining and engaging show that is integrated with our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digital ecosystem, provides a unique cross-platform premium video product that will stand out in the media marketplace. We also believe it will help mitigate the potential future impact of reserved seating on our business.</w:t>
      </w:r>
    </w:p>
    <w:p>
      <w:pPr>
        <w:spacing w:after="0" w:line="84" w:lineRule="exact"/>
        <w:rPr>
          <w:sz w:val="20"/>
          <w:szCs w:val="20"/>
          <w:color w:val="auto"/>
        </w:rPr>
      </w:pPr>
    </w:p>
    <w:p>
      <w:pPr>
        <w:ind w:right="80" w:firstLine="608"/>
        <w:spacing w:after="0" w:line="254" w:lineRule="auto"/>
        <w:rPr>
          <w:sz w:val="20"/>
          <w:szCs w:val="20"/>
          <w:color w:val="auto"/>
        </w:rPr>
      </w:pPr>
      <w:r>
        <w:rPr>
          <w:rFonts w:ascii="Times New Roman" w:cs="Times New Roman" w:eastAsia="Times New Roman" w:hAnsi="Times New Roman"/>
          <w:sz w:val="18"/>
          <w:szCs w:val="18"/>
          <w:color w:val="auto"/>
        </w:rPr>
        <w:t>Our relationships with our exhibitors are a key focus of our business. Our Affiliate Partnerships team is dedicated to serving the needs of our ESA Parties’ theater circuits and our 42 network affiliates nationwide as of December 26, 2024. We plan to continue to expand our affiliate network by strategically targeting priority exhibitors who are not currently part of our network and whose cinema advertising contracts will be coming up for renewal in the next several years in order to add key affiliates and screens in select markets. This will allow us to increase our revenue by increasing the number of impressions we have available to sell to advertisers, extending our reach to additional markets to further improve our national footprint for brands looking to reach those audiences and strengthening our reach in markets we are already in for greater saturation in those DMAs. In January 2024, we renewed our exhibitor agreement with Santikos Enterprises through December 31, 2028, one of the largest cinema operators in the U.S, which operates a circuit of 27 theaters with 377 screens.</w:t>
      </w:r>
    </w:p>
    <w:p>
      <w:pPr>
        <w:spacing w:after="0" w:line="84" w:lineRule="exact"/>
        <w:rPr>
          <w:sz w:val="20"/>
          <w:szCs w:val="20"/>
          <w:color w:val="auto"/>
        </w:rPr>
      </w:pPr>
    </w:p>
    <w:p>
      <w:pPr>
        <w:ind w:right="80" w:firstLine="608"/>
        <w:spacing w:after="0" w:line="261" w:lineRule="auto"/>
        <w:rPr>
          <w:sz w:val="20"/>
          <w:szCs w:val="20"/>
          <w:color w:val="auto"/>
        </w:rPr>
      </w:pPr>
      <w:r>
        <w:rPr>
          <w:rFonts w:ascii="Times New Roman" w:cs="Times New Roman" w:eastAsia="Times New Roman" w:hAnsi="Times New Roman"/>
          <w:sz w:val="18"/>
          <w:szCs w:val="18"/>
          <w:color w:val="auto"/>
        </w:rPr>
        <w:t>Under the terms of the ESAs and Common Unit Adjustment Agreement with the ESA Parties and our network affiliate agreements, all new theaters built or acquired (subject to existing advertising sales agreements) by the ESA Parties or network affiliates will become part of our network. We believe this continues to improve our geographic coverage and enhances our ability to compete with other national advertising mediums, which allows our exhibitor clients to maximize the advertising value of their audiences.</w:t>
      </w:r>
    </w:p>
    <w:p>
      <w:pPr>
        <w:spacing w:after="0" w:line="72" w:lineRule="exact"/>
        <w:rPr>
          <w:sz w:val="20"/>
          <w:szCs w:val="20"/>
          <w:color w:val="auto"/>
        </w:rPr>
      </w:pPr>
    </w:p>
    <w:p>
      <w:pPr>
        <w:jc w:val="both"/>
        <w:ind w:right="220" w:firstLine="608"/>
        <w:spacing w:after="0" w:line="266" w:lineRule="auto"/>
        <w:rPr>
          <w:sz w:val="20"/>
          <w:szCs w:val="20"/>
          <w:color w:val="auto"/>
        </w:rPr>
      </w:pPr>
      <w:r>
        <w:rPr>
          <w:rFonts w:ascii="Times New Roman" w:cs="Times New Roman" w:eastAsia="Times New Roman" w:hAnsi="Times New Roman"/>
          <w:sz w:val="18"/>
          <w:szCs w:val="18"/>
          <w:color w:val="auto"/>
        </w:rPr>
        <w:t>In 2023, we released a ground breaking study, conducted by Lumen, the leading technology company for attention measurement, that concludes cinema is the number one media platform for consumers’ attention to advertising when measured against all other video platforms, including TV, CTV, social media and digital ads. Other findings of this study included:</w:t>
      </w:r>
    </w:p>
    <w:p>
      <w:pPr>
        <w:spacing w:after="0" w:line="68" w:lineRule="exact"/>
        <w:rPr>
          <w:sz w:val="20"/>
          <w:szCs w:val="20"/>
          <w:color w:val="auto"/>
        </w:rPr>
      </w:pPr>
    </w:p>
    <w:p>
      <w:pPr>
        <w:ind w:left="1000" w:right="440" w:hanging="379"/>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Cinema attention scores were four to seven times greater than all other video channels including TV, CTV, social media and digital ads, across a variety of brands and categories;</w:t>
      </w:r>
    </w:p>
    <w:p>
      <w:pPr>
        <w:spacing w:after="0" w:line="53"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and a half times more consumers watched ads playing in a movie theater compared to TV and CTV;</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watched cinema ads for a longer duration compared to other video platforms; and</w:t>
      </w:r>
    </w:p>
    <w:p>
      <w:pPr>
        <w:spacing w:after="0" w:line="117" w:lineRule="exact"/>
        <w:rPr>
          <w:rFonts w:ascii="Times New Roman" w:cs="Times New Roman" w:eastAsia="Times New Roman" w:hAnsi="Times New Roman"/>
          <w:sz w:val="18"/>
          <w:szCs w:val="18"/>
          <w:color w:val="auto"/>
        </w:rPr>
      </w:pPr>
    </w:p>
    <w:p>
      <w:pPr>
        <w:ind w:left="1000" w:hanging="379"/>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 correlation was found between attention metrics and brand recall and brand choice, meaning higher attention metrics leads directly to enhanced performance of the advertising which can result in increased sales lift, foot traffic and app downloads.</w:t>
      </w:r>
    </w:p>
    <w:p>
      <w:pPr>
        <w:spacing w:after="0" w:line="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Diversify our Revenue Model</w:t>
      </w:r>
    </w:p>
    <w:p>
      <w:pPr>
        <w:spacing w:after="0" w:line="119" w:lineRule="exact"/>
        <w:rPr>
          <w:sz w:val="20"/>
          <w:szCs w:val="20"/>
          <w:color w:val="auto"/>
        </w:rPr>
      </w:pPr>
    </w:p>
    <w:p>
      <w:pPr>
        <w:ind w:right="220" w:firstLine="608"/>
        <w:spacing w:after="0" w:line="261" w:lineRule="auto"/>
        <w:rPr>
          <w:sz w:val="20"/>
          <w:szCs w:val="20"/>
          <w:color w:val="auto"/>
        </w:rPr>
      </w:pPr>
      <w:r>
        <w:rPr>
          <w:rFonts w:ascii="Times New Roman" w:cs="Times New Roman" w:eastAsia="Times New Roman" w:hAnsi="Times New Roman"/>
          <w:sz w:val="18"/>
          <w:szCs w:val="18"/>
          <w:color w:val="auto"/>
        </w:rPr>
        <w:t xml:space="preserve">We are also reimagining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as we strive to increase revenue and grow our advertiser base by developing branded content, sponsorships and integration opportunities which also drive moviegoer engagement. We developed and launched various new content and segments in 2024 to cater to specific audiences, with topics including sustainability, fashion, celebrities and sports. These platforms directly appeal to NCM's diverse audience, including socially-conscious Gen Z audiences.</w:t>
      </w:r>
    </w:p>
    <w:p>
      <w:pPr>
        <w:spacing w:after="0" w:line="74" w:lineRule="exact"/>
        <w:rPr>
          <w:sz w:val="20"/>
          <w:szCs w:val="20"/>
          <w:color w:val="auto"/>
        </w:rPr>
      </w:pPr>
    </w:p>
    <w:p>
      <w:pPr>
        <w:ind w:right="340" w:firstLine="608"/>
        <w:spacing w:after="0" w:line="261" w:lineRule="auto"/>
        <w:rPr>
          <w:sz w:val="20"/>
          <w:szCs w:val="20"/>
          <w:color w:val="auto"/>
        </w:rPr>
      </w:pPr>
      <w:r>
        <w:rPr>
          <w:rFonts w:ascii="Times New Roman" w:cs="Times New Roman" w:eastAsia="Times New Roman" w:hAnsi="Times New Roman"/>
          <w:sz w:val="18"/>
          <w:szCs w:val="18"/>
          <w:color w:val="auto"/>
        </w:rPr>
        <w:t xml:space="preserve">In 2024 we partnered with the TelevisaUnivision, Atmosphere TV, the Council of Fashion Designers of America (CFDA), the Wildlife Conservation Society and the Aspen Institute to bring unique pop culture content to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We also launched new original series such as "Flashback" and "Close Up with Perri Nemiroff". Our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Studios in-house creative team develops and produces original storytelling content for advertisers for a fee, with content tied to these new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segments or fully customized based on brand needs.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8" w:name="page19"/>
    <w:bookmarkEnd w:id="18"/>
    <w:p>
      <w:pPr>
        <w:ind w:firstLine="608"/>
        <w:spacing w:after="0" w:line="261" w:lineRule="auto"/>
        <w:rPr>
          <w:sz w:val="20"/>
          <w:szCs w:val="20"/>
          <w:color w:val="auto"/>
        </w:rPr>
      </w:pPr>
      <w:r>
        <w:rPr>
          <w:rFonts w:ascii="Times New Roman" w:cs="Times New Roman" w:eastAsia="Times New Roman" w:hAnsi="Times New Roman"/>
          <w:sz w:val="18"/>
          <w:szCs w:val="18"/>
          <w:color w:val="auto"/>
        </w:rPr>
        <w:t>We plan to continue expanding NCMx™, our data-platform that allows us to meet the needs of today’s modern video advertising marketplace. It is important that we accelerate the growth, scale, targeting and measurability of our theater audience data to maintain a critical mass to be able to effectively use that audience data to deliver value to our clients. We believe this strategy will make our NCM digital and data capabilities increasingly attractive to advertisers, especially to national brands who buy both our national and regional inventory.</w:t>
      </w:r>
    </w:p>
    <w:p>
      <w:pPr>
        <w:spacing w:after="0" w:line="72" w:lineRule="exact"/>
        <w:rPr>
          <w:sz w:val="20"/>
          <w:szCs w:val="20"/>
          <w:color w:val="auto"/>
        </w:rPr>
      </w:pPr>
    </w:p>
    <w:p>
      <w:pPr>
        <w:ind w:firstLine="608"/>
        <w:spacing w:after="0" w:line="261" w:lineRule="auto"/>
        <w:rPr>
          <w:sz w:val="20"/>
          <w:szCs w:val="20"/>
          <w:color w:val="auto"/>
        </w:rPr>
      </w:pPr>
      <w:r>
        <w:rPr>
          <w:rFonts w:ascii="Times New Roman" w:cs="Times New Roman" w:eastAsia="Times New Roman" w:hAnsi="Times New Roman"/>
          <w:sz w:val="18"/>
          <w:szCs w:val="18"/>
          <w:color w:val="auto"/>
        </w:rPr>
        <w:t>We also intend to enter into synergistic business opportunities. NCM's DOOH group serves to further unite brands with the power of movies by extending movie-centric entertainment content, trivia and advertising beyond theaters to a variety of complementary Digital Out-Of-Home platforms. NCM is now able to combine the strengths and effectiveness of Cinema, Digital and Place-Based media together to create innovative, integrated campaigns that engage movie fans anytime and anywhere through our partnerships with screens in convenience stores, college campuses and various restaurants.</w:t>
      </w:r>
    </w:p>
    <w:p>
      <w:pPr>
        <w:spacing w:after="0" w:line="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Optimize Operation Effectiveness and Efficiency</w:t>
      </w:r>
    </w:p>
    <w:p>
      <w:pPr>
        <w:spacing w:after="0" w:line="121" w:lineRule="exact"/>
        <w:rPr>
          <w:sz w:val="20"/>
          <w:szCs w:val="20"/>
          <w:color w:val="auto"/>
        </w:rPr>
      </w:pPr>
    </w:p>
    <w:p>
      <w:pPr>
        <w:ind w:right="20" w:firstLine="608"/>
        <w:spacing w:after="0" w:line="255" w:lineRule="auto"/>
        <w:rPr>
          <w:sz w:val="20"/>
          <w:szCs w:val="20"/>
          <w:color w:val="auto"/>
        </w:rPr>
      </w:pPr>
      <w:r>
        <w:rPr>
          <w:rFonts w:ascii="Times New Roman" w:cs="Times New Roman" w:eastAsia="Times New Roman" w:hAnsi="Times New Roman"/>
          <w:sz w:val="18"/>
          <w:szCs w:val="18"/>
          <w:color w:val="auto"/>
        </w:rPr>
        <w:t xml:space="preserve">We intend to ensure our technology infrastructure is built to support sustained revenue growth. Our first initiative in this process is to further enhance our cinema advertising management system implemented in January of 2021 to allow for self-serve programmatic purchasing for certain of our product offerings beginning with LEN. In 2024, we launched two new offerings for on-screen advertising; programmatic and self-serve. Programmatic offers real-time data-driven trading of cinema advertising inventory, allowing bidding on available audiences during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Buyers can choose from programmatic guaranteed and private marketplace options, and programmatic buys can be customized by reach, geography, film rating, day of the week and time of day. Additionally, through NCM's fully automated self-serve solution, local and regional companies can plan, buy, and schedule their ads to run on the big screen.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Rights</w:t>
      </w:r>
    </w:p>
    <w:p>
      <w:pPr>
        <w:spacing w:after="0" w:line="121" w:lineRule="exact"/>
        <w:rPr>
          <w:sz w:val="20"/>
          <w:szCs w:val="20"/>
          <w:color w:val="auto"/>
        </w:rPr>
      </w:pPr>
    </w:p>
    <w:p>
      <w:pPr>
        <w:ind w:right="520" w:firstLine="608"/>
        <w:spacing w:after="0" w:line="266" w:lineRule="auto"/>
        <w:rPr>
          <w:sz w:val="20"/>
          <w:szCs w:val="20"/>
          <w:color w:val="auto"/>
        </w:rPr>
      </w:pPr>
      <w:r>
        <w:rPr>
          <w:rFonts w:ascii="Times New Roman" w:cs="Times New Roman" w:eastAsia="Times New Roman" w:hAnsi="Times New Roman"/>
          <w:sz w:val="18"/>
          <w:szCs w:val="18"/>
          <w:color w:val="auto"/>
        </w:rPr>
        <w:t>We have been granted a perpetual, royalty-free license from the ESA Parties to use certain proprietary software for the delivery of digital advertising and other content through our DCN to screens in the U.S. We have made improvements to this software since our IPO and we own those improvements exclusively, except for improvements that were developed jointly by us and the ESA Parties.</w:t>
      </w:r>
    </w:p>
    <w:p>
      <w:pPr>
        <w:spacing w:after="0" w:line="66" w:lineRule="exact"/>
        <w:rPr>
          <w:sz w:val="20"/>
          <w:szCs w:val="20"/>
          <w:color w:val="auto"/>
        </w:rPr>
      </w:pPr>
    </w:p>
    <w:p>
      <w:pPr>
        <w:ind w:right="180" w:firstLine="608"/>
        <w:spacing w:after="0" w:line="257" w:lineRule="auto"/>
        <w:rPr>
          <w:sz w:val="20"/>
          <w:szCs w:val="20"/>
          <w:color w:val="auto"/>
        </w:rPr>
      </w:pPr>
      <w:r>
        <w:rPr>
          <w:rFonts w:ascii="Times New Roman" w:cs="Times New Roman" w:eastAsia="Times New Roman" w:hAnsi="Times New Roman"/>
          <w:sz w:val="18"/>
          <w:szCs w:val="18"/>
          <w:color w:val="auto"/>
        </w:rPr>
        <w:t>We have secured U.S. trademark registrations for NCM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National CineMedia</w:t>
      </w:r>
      <w:r>
        <w:rPr>
          <w:rFonts w:ascii="Times New Roman" w:cs="Times New Roman" w:eastAsia="Times New Roman" w:hAnsi="Times New Roman"/>
          <w:sz w:val="18"/>
          <w:szCs w:val="18"/>
          <w:i w:val="1"/>
          <w:iCs w:val="1"/>
          <w:color w:val="auto"/>
        </w:rPr>
        <w:t>®, Noovie®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NCMx™</w:t>
      </w:r>
      <w:r>
        <w:rPr>
          <w:rFonts w:ascii="Times New Roman" w:cs="Times New Roman" w:eastAsia="Times New Roman" w:hAnsi="Times New Roman"/>
          <w:sz w:val="18"/>
          <w:szCs w:val="18"/>
          <w:color w:val="auto"/>
        </w:rPr>
        <w:t>. It is our practice to defend our trademarks and other intellectual property rights, including the associated goodwill, from infringement by others. We are aware that other persons or entities may use names and marks containing variations of our registered trademarks and other marks and trade names. Potentially, claims alleging infringement of intellectual property rights, such as trademark infringement, could be brought against us by the users of those other names and marks. If any such infringement claim were to prove successful in preventing us from either using or prohibiting a competitor’s use of our registered trademarks or other marks or trade names, our ability to build brand identity could be negatively impacted.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9" w:lineRule="exact"/>
        <w:rPr>
          <w:sz w:val="20"/>
          <w:szCs w:val="20"/>
          <w:color w:val="auto"/>
        </w:rPr>
      </w:pPr>
    </w:p>
    <w:p>
      <w:pPr>
        <w:ind w:right="20" w:firstLine="608"/>
        <w:spacing w:after="0" w:line="257" w:lineRule="auto"/>
        <w:rPr>
          <w:sz w:val="20"/>
          <w:szCs w:val="20"/>
          <w:color w:val="auto"/>
        </w:rPr>
      </w:pPr>
      <w:r>
        <w:rPr>
          <w:rFonts w:ascii="Times New Roman" w:cs="Times New Roman" w:eastAsia="Times New Roman" w:hAnsi="Times New Roman"/>
          <w:sz w:val="18"/>
          <w:szCs w:val="18"/>
          <w:color w:val="auto"/>
        </w:rPr>
        <w:t xml:space="preserve">We maintain a website at </w:t>
      </w:r>
      <w:r>
        <w:rPr>
          <w:rFonts w:ascii="Times New Roman" w:cs="Times New Roman" w:eastAsia="Times New Roman" w:hAnsi="Times New Roman"/>
          <w:sz w:val="18"/>
          <w:szCs w:val="18"/>
          <w:i w:val="1"/>
          <w:iCs w:val="1"/>
          <w:color w:val="auto"/>
        </w:rPr>
        <w:t>www.ncm.com</w:t>
      </w:r>
      <w:r>
        <w:rPr>
          <w:rFonts w:ascii="Times New Roman" w:cs="Times New Roman" w:eastAsia="Times New Roman" w:hAnsi="Times New Roman"/>
          <w:sz w:val="18"/>
          <w:szCs w:val="18"/>
          <w:color w:val="auto"/>
        </w:rPr>
        <w:t xml:space="preserve">, on which we post free of charge our annual reports on Form 10-K, quarterly reports on Form 10-Q, current reports on Form 8-K and any amendments to these reports (under the heading “Investor Relations” located at the bottom of the home page) after we electronically file such material with, or furnish it to, the Securities and Exchange Commission (the “SEC”). We also regularly post information about the Company on the Investor Relations page. We do not incorporate the information on our website into this document and you should not consider any information on, or that can be accessed through, our website as part of this document. The SEC also maintains a website that contains our reports and other information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119" w:lineRule="exact"/>
        <w:rPr>
          <w:sz w:val="20"/>
          <w:szCs w:val="20"/>
          <w:color w:val="auto"/>
        </w:rPr>
      </w:pPr>
    </w:p>
    <w:p>
      <w:pPr>
        <w:ind w:firstLine="614"/>
        <w:spacing w:after="0" w:line="258" w:lineRule="auto"/>
        <w:rPr>
          <w:sz w:val="20"/>
          <w:szCs w:val="20"/>
          <w:color w:val="auto"/>
        </w:rPr>
      </w:pPr>
      <w:r>
        <w:rPr>
          <w:rFonts w:ascii="Times New Roman" w:cs="Times New Roman" w:eastAsia="Times New Roman" w:hAnsi="Times New Roman"/>
          <w:sz w:val="18"/>
          <w:szCs w:val="18"/>
          <w:i w:val="1"/>
          <w:iCs w:val="1"/>
          <w:color w:val="auto"/>
        </w:rPr>
        <w:t>Ownership of the common stock and other securities of the Company involves certain risks. You should carefully consider the following material risks and other information in this document, including our historical financial statements and related notes included herein. The material risks and uncertainties described in this document are not the only ones facing us. If any of the risks and uncertainties described in this document actually occur, our business, financial condition and results of operations could be adversely affected in a material way. This could cause the trading price of our common stock to decline, perhaps significantly, and you may lose part or all of your investment.</w:t>
      </w:r>
    </w:p>
    <w:p>
      <w:pPr>
        <w:spacing w:after="0" w:line="7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declines in theater attendance could reduce the attractiveness of cinema advertising and could reduce our revenue.</w:t>
      </w:r>
    </w:p>
    <w:p>
      <w:pPr>
        <w:spacing w:after="0" w:line="121" w:lineRule="exact"/>
        <w:rPr>
          <w:sz w:val="20"/>
          <w:szCs w:val="20"/>
          <w:color w:val="auto"/>
        </w:rPr>
      </w:pPr>
    </w:p>
    <w:p>
      <w:pPr>
        <w:ind w:right="20" w:firstLine="608"/>
        <w:spacing w:after="0" w:line="266" w:lineRule="auto"/>
        <w:rPr>
          <w:sz w:val="20"/>
          <w:szCs w:val="20"/>
          <w:color w:val="auto"/>
        </w:rPr>
      </w:pPr>
      <w:r>
        <w:rPr>
          <w:rFonts w:ascii="Times New Roman" w:cs="Times New Roman" w:eastAsia="Times New Roman" w:hAnsi="Times New Roman"/>
          <w:sz w:val="18"/>
          <w:szCs w:val="18"/>
          <w:color w:val="auto"/>
        </w:rPr>
        <w:t>Our business is affected by the level of attendance at the theaters in our advertising network that operate in a highly competitive industry and whose attendance is reliant on the presence of motion pictures that attract audiences. The value of our advertising business could be adversely affected by a decline in theater attendance or even the perception by media</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buyers that our network is no longer relevant to their marketing plan due to the decreases in attendance and geographic coverage.</w:t>
      </w:r>
    </w:p>
    <w:p>
      <w:pPr>
        <w:spacing w:after="0" w:line="117" w:lineRule="exact"/>
        <w:rPr>
          <w:sz w:val="20"/>
          <w:szCs w:val="20"/>
          <w:color w:val="auto"/>
        </w:rPr>
      </w:pPr>
    </w:p>
    <w:p>
      <w:pPr>
        <w:ind w:right="400" w:firstLine="608"/>
        <w:spacing w:after="0" w:line="266" w:lineRule="auto"/>
        <w:rPr>
          <w:sz w:val="20"/>
          <w:szCs w:val="20"/>
          <w:color w:val="auto"/>
        </w:rPr>
      </w:pPr>
      <w:r>
        <w:rPr>
          <w:rFonts w:ascii="Times New Roman" w:cs="Times New Roman" w:eastAsia="Times New Roman" w:hAnsi="Times New Roman"/>
          <w:sz w:val="18"/>
          <w:szCs w:val="18"/>
          <w:color w:val="auto"/>
        </w:rPr>
        <w:t>Theater attendance has fluctuated from year to year but on average remained relatively flat over the 10 years prior to the outbreak of the novel corona virus or COVID-19 in 2020 (the “COVID 19 Pandemic”). While consumers have largely returned to pre-COVID-19 Pandemic behavior, it is unknown how future pandemics or epidemics will influence behavior.</w:t>
      </w:r>
    </w:p>
    <w:p>
      <w:pPr>
        <w:spacing w:after="0" w:line="68" w:lineRule="exact"/>
        <w:rPr>
          <w:sz w:val="20"/>
          <w:szCs w:val="20"/>
          <w:color w:val="auto"/>
        </w:rPr>
      </w:pPr>
    </w:p>
    <w:p>
      <w:pPr>
        <w:jc w:val="both"/>
        <w:ind w:right="260" w:firstLine="608"/>
        <w:spacing w:after="0" w:line="266" w:lineRule="auto"/>
        <w:rPr>
          <w:sz w:val="20"/>
          <w:szCs w:val="20"/>
          <w:color w:val="auto"/>
        </w:rPr>
      </w:pPr>
      <w:r>
        <w:rPr>
          <w:rFonts w:ascii="Times New Roman" w:cs="Times New Roman" w:eastAsia="Times New Roman" w:hAnsi="Times New Roman"/>
          <w:sz w:val="18"/>
          <w:szCs w:val="18"/>
          <w:color w:val="auto"/>
        </w:rPr>
        <w:t>Additionally, film production was significantly impacted by production delays, due to writers’ and actors’ strikes in 2023, leading to significant impacts on theater attendance throughout 2024. Future strikes or other impacts from incidents on sets, government regulation or other factors could also limit the number of films available and reduce attendance. Additional factors that could reduce attendance at our network theaters include the following:</w:t>
      </w:r>
    </w:p>
    <w:p>
      <w:pPr>
        <w:spacing w:after="0" w:line="68" w:lineRule="exact"/>
        <w:rPr>
          <w:sz w:val="20"/>
          <w:szCs w:val="20"/>
          <w:color w:val="auto"/>
        </w:rPr>
      </w:pPr>
    </w:p>
    <w:p>
      <w:pPr>
        <w:ind w:left="1000" w:right="380" w:hanging="379"/>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NCM LLC’s network theater circuits cannot compete with other entertainment due to an increase in the use of alternative film delivery methods (and the shortening or elimination of the “release window” of major motion pictures bypassing the theater entirely), including network and online video streaming and downloads;</w:t>
      </w:r>
    </w:p>
    <w:p>
      <w:pPr>
        <w:spacing w:after="0" w:line="67" w:lineRule="exact"/>
        <w:rPr>
          <w:rFonts w:ascii="Times New Roman" w:cs="Times New Roman" w:eastAsia="Times New Roman" w:hAnsi="Times New Roman"/>
          <w:sz w:val="18"/>
          <w:szCs w:val="18"/>
          <w:color w:val="auto"/>
        </w:rPr>
      </w:pPr>
    </w:p>
    <w:p>
      <w:pPr>
        <w:ind w:left="1000" w:hanging="379"/>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theater circuits in NCM LLC’s network are expected to continue to renovate auditoriums in certain of their theaters to install new larger, more comfortable seating or adjust seating arrangements, reducing the number of seats and the audience size in a theater auditorium. These renovations have been viewed favorably by patrons and many theater circuits have noted an intent to continue such renovations;</w:t>
      </w:r>
    </w:p>
    <w:p>
      <w:pPr>
        <w:spacing w:after="0" w:line="67" w:lineRule="exact"/>
        <w:rPr>
          <w:rFonts w:ascii="Times New Roman" w:cs="Times New Roman" w:eastAsia="Times New Roman" w:hAnsi="Times New Roman"/>
          <w:sz w:val="18"/>
          <w:szCs w:val="18"/>
          <w:color w:val="auto"/>
        </w:rPr>
      </w:pPr>
    </w:p>
    <w:p>
      <w:pPr>
        <w:ind w:left="1000" w:right="80" w:hanging="379"/>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in theater operating policies, including the number and length of trailers for films that are played prior to the start of the feature film, which may result in most or all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starting further out from the actual start of the feature film;</w:t>
      </w:r>
    </w:p>
    <w:p>
      <w:pPr>
        <w:spacing w:after="0" w:line="53" w:lineRule="exact"/>
        <w:rPr>
          <w:rFonts w:ascii="Times New Roman" w:cs="Times New Roman" w:eastAsia="Times New Roman" w:hAnsi="Times New Roman"/>
          <w:sz w:val="18"/>
          <w:szCs w:val="18"/>
          <w:color w:val="auto"/>
        </w:rPr>
      </w:pPr>
    </w:p>
    <w:p>
      <w:pPr>
        <w:ind w:left="1000" w:right="240" w:hanging="379"/>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consumer confidence or disposable income in general that reduces the demand for motion pictures or adversely affects the motion picture production or exhibition industries;</w:t>
      </w:r>
    </w:p>
    <w:p>
      <w:pPr>
        <w:spacing w:after="0" w:line="53" w:lineRule="exact"/>
        <w:rPr>
          <w:rFonts w:ascii="Times New Roman" w:cs="Times New Roman" w:eastAsia="Times New Roman" w:hAnsi="Times New Roman"/>
          <w:sz w:val="18"/>
          <w:szCs w:val="18"/>
          <w:color w:val="auto"/>
        </w:rPr>
      </w:pPr>
    </w:p>
    <w:p>
      <w:pPr>
        <w:ind w:left="1000" w:right="280" w:hanging="379"/>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first-run motion pictures, which depends upon the number of films produced for theater exhibition and the production and marketing efforts of the major studios and the attractiveness and value proposition of the movies to consumers compared to other forms of entertainment;</w:t>
      </w:r>
    </w:p>
    <w:p>
      <w:pPr>
        <w:spacing w:after="0" w:line="67" w:lineRule="exact"/>
        <w:rPr>
          <w:rFonts w:ascii="Times New Roman" w:cs="Times New Roman" w:eastAsia="Times New Roman" w:hAnsi="Times New Roman"/>
          <w:sz w:val="18"/>
          <w:szCs w:val="18"/>
          <w:color w:val="auto"/>
        </w:rPr>
      </w:pPr>
    </w:p>
    <w:p>
      <w:pPr>
        <w:ind w:left="1000" w:right="680" w:hanging="379"/>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political events, such as terrorist attacks, or health-related epidemics, such as flu outbreaks, and pandemics, such as the COVID-19 Pandemic, cause consumers to avoid movie theaters or other places where large crowds are in attendance;</w:t>
      </w:r>
    </w:p>
    <w:p>
      <w:pPr>
        <w:spacing w:after="0" w:line="53" w:lineRule="exact"/>
        <w:rPr>
          <w:rFonts w:ascii="Times New Roman" w:cs="Times New Roman" w:eastAsia="Times New Roman" w:hAnsi="Times New Roman"/>
          <w:sz w:val="18"/>
          <w:szCs w:val="18"/>
          <w:color w:val="auto"/>
        </w:rPr>
      </w:pPr>
    </w:p>
    <w:p>
      <w:pPr>
        <w:ind w:left="1000" w:right="300" w:hanging="379"/>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or theater operating policies that require higher levels of social distancing, restriction of capacity or prohibition of operations;</w:t>
      </w:r>
    </w:p>
    <w:p>
      <w:pPr>
        <w:spacing w:after="0" w:line="53"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theaters in our network fail to maintain and clean their theaters and provide amenities that consumers prefer;</w:t>
      </w:r>
    </w:p>
    <w:p>
      <w:pPr>
        <w:spacing w:after="0" w:line="117" w:lineRule="exact"/>
        <w:rPr>
          <w:rFonts w:ascii="Times New Roman" w:cs="Times New Roman" w:eastAsia="Times New Roman" w:hAnsi="Times New Roman"/>
          <w:sz w:val="18"/>
          <w:szCs w:val="18"/>
          <w:color w:val="auto"/>
        </w:rPr>
      </w:pPr>
    </w:p>
    <w:p>
      <w:pPr>
        <w:ind w:left="1000" w:right="20" w:hanging="379"/>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future theater attendance declines significantly over an extended time period, one or more of NCM LLC’s network theater circuits may face financial difficulties and could be forced to sell or close theaters or reduce the number of screens it builds or upgrades or increase ticket prices; and</w:t>
      </w:r>
    </w:p>
    <w:p>
      <w:pPr>
        <w:spacing w:after="0" w:line="67" w:lineRule="exact"/>
        <w:rPr>
          <w:rFonts w:ascii="Times New Roman" w:cs="Times New Roman" w:eastAsia="Times New Roman" w:hAnsi="Times New Roman"/>
          <w:sz w:val="18"/>
          <w:szCs w:val="18"/>
          <w:color w:val="auto"/>
        </w:rPr>
      </w:pPr>
    </w:p>
    <w:p>
      <w:pPr>
        <w:ind w:left="1000" w:right="160" w:hanging="379"/>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NCM LLC’s network theater circuits also may not successfully compete for licenses to exhibit quality films and are not assured a consistent supply of motion pictures.</w:t>
      </w:r>
    </w:p>
    <w:p>
      <w:pPr>
        <w:spacing w:after="0" w:line="54" w:lineRule="exact"/>
        <w:rPr>
          <w:sz w:val="20"/>
          <w:szCs w:val="20"/>
          <w:color w:val="auto"/>
        </w:rPr>
      </w:pPr>
    </w:p>
    <w:p>
      <w:pPr>
        <w:ind w:right="20" w:firstLine="608"/>
        <w:spacing w:after="0" w:line="258" w:lineRule="auto"/>
        <w:rPr>
          <w:sz w:val="20"/>
          <w:szCs w:val="20"/>
          <w:color w:val="auto"/>
        </w:rPr>
      </w:pPr>
      <w:r>
        <w:rPr>
          <w:rFonts w:ascii="Times New Roman" w:cs="Times New Roman" w:eastAsia="Times New Roman" w:hAnsi="Times New Roman"/>
          <w:sz w:val="18"/>
          <w:szCs w:val="18"/>
          <w:color w:val="auto"/>
        </w:rPr>
        <w:t>Any of these circumstances could reduce our revenue because our national and regional advertising revenue, and local advertising revenue to a lesser extent, depends on the number of theater patrons who attend movies. Additionally, if attendance underperforms against expectations or declines significantly, the Company will be required to provide additional advertising time (makegoods) to national advertisers to reach agreed-on audience delivery thresholds. Certain of these circumstances can also lead to volatility within our utilization, which typically varies more than 10% on an annual basis and even more substantially quarter-to-quarter.</w:t>
      </w:r>
    </w:p>
    <w:p>
      <w:pPr>
        <w:spacing w:after="0" w:line="7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Pandemics, epidemics or disease outbreaks, such as the COVID-19 virus, have disrupted and could materially affect our business and the business of NCM LLC’s network theaters in the future.</w:t>
      </w:r>
    </w:p>
    <w:p>
      <w:pPr>
        <w:spacing w:after="0" w:line="51" w:lineRule="exact"/>
        <w:rPr>
          <w:sz w:val="20"/>
          <w:szCs w:val="20"/>
          <w:color w:val="auto"/>
        </w:rPr>
      </w:pPr>
    </w:p>
    <w:p>
      <w:pPr>
        <w:ind w:right="120" w:firstLine="608"/>
        <w:spacing w:after="0" w:line="261" w:lineRule="auto"/>
        <w:rPr>
          <w:sz w:val="20"/>
          <w:szCs w:val="20"/>
          <w:color w:val="auto"/>
        </w:rPr>
      </w:pPr>
      <w:r>
        <w:rPr>
          <w:rFonts w:ascii="Times New Roman" w:cs="Times New Roman" w:eastAsia="Times New Roman" w:hAnsi="Times New Roman"/>
          <w:sz w:val="18"/>
          <w:szCs w:val="18"/>
          <w:color w:val="auto"/>
        </w:rPr>
        <w:t>Pandemics or disease outbreaks such as the COVID-19 virus, including variants, have and are continuing to disrupt our business and the business of NCM LLC’s network theaters. There can be no assurance that impacts from the COVID-19 Pandemic will not return in the future, or a future pandemic will not lead to public safety restrictions or changes in consumer behavior that will negatively impact our business, advertiser sentiment or audience attendance.</w:t>
      </w:r>
    </w:p>
    <w:p>
      <w:pPr>
        <w:spacing w:after="0" w:line="72" w:lineRule="exact"/>
        <w:rPr>
          <w:sz w:val="20"/>
          <w:szCs w:val="20"/>
          <w:color w:val="auto"/>
        </w:rPr>
      </w:pPr>
    </w:p>
    <w:p>
      <w:pPr>
        <w:ind w:right="680" w:firstLine="608"/>
        <w:spacing w:after="0" w:line="282" w:lineRule="auto"/>
        <w:rPr>
          <w:sz w:val="20"/>
          <w:szCs w:val="20"/>
          <w:color w:val="auto"/>
        </w:rPr>
      </w:pPr>
      <w:r>
        <w:rPr>
          <w:rFonts w:ascii="Times New Roman" w:cs="Times New Roman" w:eastAsia="Times New Roman" w:hAnsi="Times New Roman"/>
          <w:sz w:val="18"/>
          <w:szCs w:val="18"/>
          <w:color w:val="auto"/>
        </w:rPr>
        <w:t>Due to the impacts to our operations, we were required to take drastic measures to ensure our business survived the COVID-19 Pandemic, including furloughing and terminating employees, extending payment terms on accounts payable, and</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spacing w:after="0" w:line="258" w:lineRule="auto"/>
        <w:rPr>
          <w:sz w:val="20"/>
          <w:szCs w:val="20"/>
          <w:color w:val="auto"/>
        </w:rPr>
      </w:pPr>
      <w:r>
        <w:rPr>
          <w:rFonts w:ascii="Times New Roman" w:cs="Times New Roman" w:eastAsia="Times New Roman" w:hAnsi="Times New Roman"/>
          <w:sz w:val="18"/>
          <w:szCs w:val="18"/>
          <w:color w:val="auto"/>
        </w:rPr>
        <w:t>reducing or delaying planned operating and capital expenditures. Additionally, many of our network’s theaters were also required to take significant actions during the COVID-19 Pandemic and these actions have lead to decreased attendance and caused financial distress, including the Cineworld Proceeding, described further below. Even the perception that our business or the business of network’s theaters may be impacted, could lead to decreased advertising expenditures and other significant disruption to our business. Future pandemics could require us to implement measures similar to those implemented in response to the COVID-19 Pandemic.</w:t>
      </w:r>
    </w:p>
    <w:p>
      <w:pPr>
        <w:spacing w:after="0" w:line="75" w:lineRule="exact"/>
        <w:rPr>
          <w:sz w:val="20"/>
          <w:szCs w:val="20"/>
          <w:color w:val="auto"/>
        </w:rPr>
      </w:pPr>
    </w:p>
    <w:p>
      <w:pPr>
        <w:ind w:right="140" w:firstLine="608"/>
        <w:spacing w:after="0" w:line="266" w:lineRule="auto"/>
        <w:rPr>
          <w:sz w:val="20"/>
          <w:szCs w:val="20"/>
          <w:color w:val="auto"/>
        </w:rPr>
      </w:pPr>
      <w:r>
        <w:rPr>
          <w:rFonts w:ascii="Times New Roman" w:cs="Times New Roman" w:eastAsia="Times New Roman" w:hAnsi="Times New Roman"/>
          <w:sz w:val="18"/>
          <w:szCs w:val="18"/>
          <w:color w:val="auto"/>
        </w:rPr>
        <w:t>We believe that the exhibition industry has historically fared well during periods of economic stress, and we remain optimistic, though cannot guarantee, that the theatrical business and attendance figures will continue to rebound. Future pandemics, similar to that of the COVID-19 Pandemic, may have potential impacts on our financial position, results of operations, liquidity and cash flows.</w:t>
      </w:r>
    </w:p>
    <w:p>
      <w:pPr>
        <w:spacing w:after="0" w:line="6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theater patron behavior could result in declines in the viewership of The Noovie®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b w:val="1"/>
          <w:bCs w:val="1"/>
          <w:i w:val="1"/>
          <w:iCs w:val="1"/>
          <w:color w:val="auto"/>
        </w:rPr>
        <w:t>how which could reduce the attractiveness of cinema advertising and our revenues.</w:t>
      </w:r>
    </w:p>
    <w:p>
      <w:pPr>
        <w:spacing w:after="0" w:line="51" w:lineRule="exact"/>
        <w:rPr>
          <w:sz w:val="20"/>
          <w:szCs w:val="20"/>
          <w:color w:val="auto"/>
        </w:rPr>
      </w:pPr>
    </w:p>
    <w:p>
      <w:pPr>
        <w:ind w:right="40" w:firstLine="608"/>
        <w:spacing w:after="0" w:line="266" w:lineRule="auto"/>
        <w:rPr>
          <w:sz w:val="20"/>
          <w:szCs w:val="20"/>
          <w:color w:val="auto"/>
        </w:rPr>
      </w:pPr>
      <w:r>
        <w:rPr>
          <w:rFonts w:ascii="Times New Roman" w:cs="Times New Roman" w:eastAsia="Times New Roman" w:hAnsi="Times New Roman"/>
          <w:sz w:val="18"/>
          <w:szCs w:val="18"/>
          <w:color w:val="auto"/>
        </w:rPr>
        <w:t xml:space="preserve">The value of our national and regional on-screen advertising and to a lesser extent our local advertising is based on the number of theater patrons that are in their seats and thus have the opportunity to view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Trends in patron behavior that could reduce viewership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include the following:</w:t>
      </w:r>
    </w:p>
    <w:p>
      <w:pPr>
        <w:spacing w:after="0" w:line="68" w:lineRule="exact"/>
        <w:rPr>
          <w:sz w:val="20"/>
          <w:szCs w:val="20"/>
          <w:color w:val="auto"/>
        </w:rPr>
      </w:pPr>
    </w:p>
    <w:p>
      <w:pPr>
        <w:ind w:left="1000" w:right="120" w:hanging="379"/>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theater patrons are increasingly purchasing tickets ahead of time via online ticketing mediums and when available reserving a seat in the theater (offered in a significant percentage of our network), which could affect how early patrons arrive to the theater and reduce the number of patrons that are in a theater seat to view most or all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w:t>
      </w:r>
    </w:p>
    <w:p>
      <w:pPr>
        <w:spacing w:after="0" w:line="67" w:lineRule="exact"/>
        <w:rPr>
          <w:rFonts w:ascii="Times New Roman" w:cs="Times New Roman" w:eastAsia="Times New Roman" w:hAnsi="Times New Roman"/>
          <w:sz w:val="18"/>
          <w:szCs w:val="18"/>
          <w:color w:val="auto"/>
        </w:rPr>
      </w:pPr>
    </w:p>
    <w:p>
      <w:pPr>
        <w:ind w:left="1000" w:right="160" w:hanging="379"/>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COVID-19 Pandemic, certain consumers changed their behavior in order to avoid large groups and other public indoor activities, and these behavior changes could become a long-term trend;</w:t>
      </w:r>
    </w:p>
    <w:p>
      <w:pPr>
        <w:spacing w:after="0" w:line="53" w:lineRule="exact"/>
        <w:rPr>
          <w:rFonts w:ascii="Times New Roman" w:cs="Times New Roman" w:eastAsia="Times New Roman" w:hAnsi="Times New Roman"/>
          <w:sz w:val="18"/>
          <w:szCs w:val="18"/>
          <w:color w:val="auto"/>
        </w:rPr>
      </w:pPr>
    </w:p>
    <w:p>
      <w:pPr>
        <w:ind w:left="1000" w:right="60" w:hanging="379"/>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certain theater chains have increased the number of trailers and time devoted to other programming prior to the display of the feature film, and in combination with our Post-Showtime Inventory, may cause patrons to arrive later to theaters and reduce the number of patrons that are in a theater seat to view most or all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and</w:t>
      </w:r>
    </w:p>
    <w:p>
      <w:pPr>
        <w:spacing w:after="0" w:line="6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theater patron amenities, including bars and entertainment within exhibitor lobbies causing increased dwell time of patrons.</w:t>
      </w:r>
    </w:p>
    <w:p>
      <w:pPr>
        <w:spacing w:after="0" w:line="117" w:lineRule="exact"/>
        <w:rPr>
          <w:sz w:val="20"/>
          <w:szCs w:val="20"/>
          <w:color w:val="auto"/>
        </w:rPr>
      </w:pPr>
    </w:p>
    <w:p>
      <w:pPr>
        <w:jc w:val="both"/>
        <w:ind w:right="700" w:firstLine="608"/>
        <w:spacing w:after="0" w:line="266" w:lineRule="auto"/>
        <w:rPr>
          <w:sz w:val="20"/>
          <w:szCs w:val="20"/>
          <w:color w:val="auto"/>
        </w:rPr>
      </w:pPr>
      <w:r>
        <w:rPr>
          <w:rFonts w:ascii="Times New Roman" w:cs="Times New Roman" w:eastAsia="Times New Roman" w:hAnsi="Times New Roman"/>
          <w:sz w:val="18"/>
          <w:szCs w:val="18"/>
          <w:color w:val="auto"/>
        </w:rPr>
        <w:t>National advertising sales and rates are dependent on the methodology used to measure audience impressions. If a change is made to this methodology that reflects fewer audience impressions available during the show, this could adversely affect the Company’s revenue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ESAs with, or lack of support by, the ESA Parties could adversely affect our revenue, growth and profitability.</w:t>
      </w:r>
    </w:p>
    <w:p>
      <w:pPr>
        <w:spacing w:after="0" w:line="121" w:lineRule="exact"/>
        <w:rPr>
          <w:sz w:val="20"/>
          <w:szCs w:val="20"/>
          <w:color w:val="auto"/>
        </w:rPr>
      </w:pPr>
    </w:p>
    <w:p>
      <w:pPr>
        <w:ind w:right="20" w:firstLine="608"/>
        <w:spacing w:after="0" w:line="256" w:lineRule="auto"/>
        <w:rPr>
          <w:sz w:val="20"/>
          <w:szCs w:val="20"/>
          <w:color w:val="auto"/>
        </w:rPr>
      </w:pPr>
      <w:r>
        <w:rPr>
          <w:rFonts w:ascii="Times New Roman" w:cs="Times New Roman" w:eastAsia="Times New Roman" w:hAnsi="Times New Roman"/>
          <w:sz w:val="18"/>
          <w:szCs w:val="18"/>
          <w:color w:val="auto"/>
        </w:rPr>
        <w:t>The ESAs with the ESA Parties are critical to our business. The ESA with AMC has an initial term of 30 years and the ESA with Cinemark (as amended by the 2019 ESA Amendment) has a term of 34 years, each such term beginning February 13, 2007. Each ESA provides NCM LLC with a five-year right of first refusal for the services that it provides to the ESA Parties, which begins one year prior to the end of the term of each respective ESA. The ESA Parties’ theaters represent approximately 52.4% of the screens and approximately 62.0% of the attendance in our network as of December 26, 2024. If either ESA were terminated, not renewed at its expiration, rejected in a bankruptcy proceeding, or found to be unenforceable, it could have a material negative impact on our revenue, profitability and financial condition.</w:t>
      </w:r>
    </w:p>
    <w:p>
      <w:pPr>
        <w:spacing w:after="0" w:line="79" w:lineRule="exact"/>
        <w:rPr>
          <w:sz w:val="20"/>
          <w:szCs w:val="20"/>
          <w:color w:val="auto"/>
        </w:rPr>
      </w:pPr>
    </w:p>
    <w:p>
      <w:pPr>
        <w:ind w:firstLine="608"/>
        <w:spacing w:after="0" w:line="254" w:lineRule="auto"/>
        <w:rPr>
          <w:sz w:val="20"/>
          <w:szCs w:val="20"/>
          <w:color w:val="auto"/>
        </w:rPr>
      </w:pPr>
      <w:r>
        <w:rPr>
          <w:rFonts w:ascii="Times New Roman" w:cs="Times New Roman" w:eastAsia="Times New Roman" w:hAnsi="Times New Roman"/>
          <w:sz w:val="18"/>
          <w:szCs w:val="18"/>
          <w:color w:val="auto"/>
        </w:rPr>
        <w:t xml:space="preserve">The ESAs require the continuing cooperation, investment and support of the ESA Parties, the absence of which could adversely affect us. Pursuant to the ESAs, the ESA Parties must make investments to replace network equipment within their theaters and equip newly constructed theaters with digital network equipment. If the ESA Parties do not have adequate financial resources or operational strength, and if they do not replace equipment or equip new theaters to maintain the level of operating functionality that we have today, or if such equipment becomes obsolete, we may have to make additional capital expenditures or our advertising revenue and operating margins may decline. In addition, the ESAs give the ESA Parties the right to object to certain content in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Show, including content that competes with us or the applicable ESA Party. If the ESA Parties do not agree with our decisions on what content, strategic program or partnerships are permitted under the ESAs, we may lose advertising clients and the resulting revenue, which would harm our business.</w:t>
      </w:r>
    </w:p>
    <w:p>
      <w:pPr>
        <w:spacing w:after="0" w:line="84" w:lineRule="exact"/>
        <w:rPr>
          <w:sz w:val="20"/>
          <w:szCs w:val="20"/>
          <w:color w:val="auto"/>
        </w:rPr>
      </w:pPr>
    </w:p>
    <w:p>
      <w:pPr>
        <w:ind w:right="20" w:firstLine="608"/>
        <w:spacing w:after="0" w:line="261" w:lineRule="auto"/>
        <w:rPr>
          <w:sz w:val="20"/>
          <w:szCs w:val="20"/>
          <w:color w:val="auto"/>
        </w:rPr>
      </w:pPr>
      <w:r>
        <w:rPr>
          <w:rFonts w:ascii="Times New Roman" w:cs="Times New Roman" w:eastAsia="Times New Roman" w:hAnsi="Times New Roman"/>
          <w:sz w:val="18"/>
          <w:szCs w:val="18"/>
          <w:color w:val="auto"/>
        </w:rPr>
        <w:t>AMC and Cinemark are eligible to be issued additional units pursuant to the terms of the Common Unit Adjustment Agreement and Cinemark may own shares of NCM, Inc. stock. We are uncertain how the lack of ownership interest in NCM LLC and limited ownership at NCM, Inc. may affect their cooperation with us under the ESAs or otherwise going forward. Additionally, following the approval of the bankruptcy court authorizing NCM LLC’s entry into the Regal Advertising</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right="100"/>
        <w:spacing w:after="0" w:line="254" w:lineRule="auto"/>
        <w:rPr>
          <w:sz w:val="20"/>
          <w:szCs w:val="20"/>
          <w:color w:val="auto"/>
        </w:rPr>
      </w:pPr>
      <w:r>
        <w:rPr>
          <w:rFonts w:ascii="Times New Roman" w:cs="Times New Roman" w:eastAsia="Times New Roman" w:hAnsi="Times New Roman"/>
          <w:sz w:val="18"/>
          <w:szCs w:val="18"/>
          <w:color w:val="auto"/>
        </w:rPr>
        <w:t>Agreement and the Regal Termination Agreement (the “Regal Order”) and approval of the Confirmation Order approving NCM LLC’s disclosure statement on a final basis and confirming NCM LLC’s Plan (the “Confirmation Order”), AMC and Cinemark filed notice of appeal of the Confirmation Order and the Regal Order. Subsequently, AMC and Cinemark sought a stay of the Confirmation Order and Regal Order in the Bankruptcy Court, the District Court for the Southern District of Texas and the Fifth Circuit Court of Appeals, all of which denied the request. Following AMC and Cinemark's consolidated appeal on the merits, the District Court for the Southern District of Texas confirmed the Confirmation Order and the Regal Order on August 13, 2024. The consolidated appeals of the District Court's decision on the merits are pending in the Fifth Circuit Court of Appeals. We are uncertain how this litigation will impact AMC and Cinemark’s willingness to cooperate under the ESAs, how long the litigation may last or the full scope of the negative impact if AMC and Cinemark were successful in triggering the most-favored nation clauses in their ESAs.</w:t>
      </w:r>
    </w:p>
    <w:p>
      <w:pPr>
        <w:spacing w:after="0" w:line="8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effects of NCM LLC’s Chapter 11 Case, including the risks and uncertainties associated with bankruptcy, may harm the Company’s business following emergence.</w:t>
      </w:r>
    </w:p>
    <w:p>
      <w:pPr>
        <w:spacing w:after="0" w:line="51" w:lineRule="exact"/>
        <w:rPr>
          <w:sz w:val="20"/>
          <w:szCs w:val="20"/>
          <w:color w:val="auto"/>
        </w:rPr>
      </w:pPr>
    </w:p>
    <w:p>
      <w:pPr>
        <w:ind w:right="100" w:firstLine="614"/>
        <w:spacing w:after="0" w:line="261" w:lineRule="auto"/>
        <w:rPr>
          <w:sz w:val="20"/>
          <w:szCs w:val="20"/>
          <w:color w:val="auto"/>
        </w:rPr>
      </w:pPr>
      <w:r>
        <w:rPr>
          <w:rFonts w:ascii="Times New Roman" w:cs="Times New Roman" w:eastAsia="Times New Roman" w:hAnsi="Times New Roman"/>
          <w:sz w:val="18"/>
          <w:szCs w:val="18"/>
          <w:color w:val="auto"/>
        </w:rPr>
        <w:t>NCM LLC emerged from bankruptcy on August 7, 2023 (the “Effective Date”). The Company’s senior management had been required to spend a significant amount of time and effort attending to the negotiation and execution of the Modified First Amended Plan of Reorganization of National CineMedia, LLC Pursuant to Chapter 11 of the Bankruptcy Code (as amended, modified or supplemented from time to time, the “Plan”) instead of focusing exclusively on the Company’s business operations. Risks associated with NCM LLC’s emergence from bankruptcy include the following:</w:t>
      </w:r>
    </w:p>
    <w:p>
      <w:pPr>
        <w:spacing w:after="0" w:line="72" w:lineRule="exact"/>
        <w:rPr>
          <w:sz w:val="20"/>
          <w:szCs w:val="20"/>
          <w:color w:val="auto"/>
        </w:rPr>
      </w:pPr>
    </w:p>
    <w:p>
      <w:pPr>
        <w:ind w:left="1000" w:right="760" w:hanging="379"/>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or other contract counterparties could terminate their relationship with us or require financial assurances or other enhanced performance commitments such as upfront payments;</w:t>
      </w:r>
    </w:p>
    <w:p>
      <w:pPr>
        <w:spacing w:after="0" w:line="53"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renew existing contracts and compete for new business may be adversely affected;</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more difficult to attract, motivate and retain key employees and executives;</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may have been distracted from the performance of their duties by matters related to the Chapter 11 Case;</w:t>
      </w:r>
    </w:p>
    <w:p>
      <w:pPr>
        <w:spacing w:after="0" w:line="117" w:lineRule="exact"/>
        <w:rPr>
          <w:rFonts w:ascii="Times New Roman" w:cs="Times New Roman" w:eastAsia="Times New Roman" w:hAnsi="Times New Roman"/>
          <w:sz w:val="18"/>
          <w:szCs w:val="18"/>
          <w:color w:val="auto"/>
        </w:rPr>
      </w:pPr>
    </w:p>
    <w:p>
      <w:pPr>
        <w:ind w:left="1000" w:right="180" w:hanging="379"/>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with AMC and Cinemark regarding confirmation of the Plan could impact our relationship with AMC and Cinemark or the terms of the Plan; and</w:t>
      </w:r>
    </w:p>
    <w:p>
      <w:pPr>
        <w:spacing w:after="0" w:line="53"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take business away from us, and our ability to attract and retain customers may be negatively impacted.</w:t>
      </w:r>
    </w:p>
    <w:p>
      <w:pPr>
        <w:spacing w:after="0" w:line="117" w:lineRule="exact"/>
        <w:rPr>
          <w:sz w:val="20"/>
          <w:szCs w:val="20"/>
          <w:color w:val="auto"/>
        </w:rPr>
      </w:pPr>
    </w:p>
    <w:p>
      <w:pPr>
        <w:ind w:right="720" w:firstLine="614"/>
        <w:spacing w:after="0" w:line="312" w:lineRule="auto"/>
        <w:rPr>
          <w:sz w:val="20"/>
          <w:szCs w:val="20"/>
          <w:color w:val="auto"/>
        </w:rPr>
      </w:pPr>
      <w:r>
        <w:rPr>
          <w:rFonts w:ascii="Times New Roman" w:cs="Times New Roman" w:eastAsia="Times New Roman" w:hAnsi="Times New Roman"/>
          <w:sz w:val="17"/>
          <w:szCs w:val="17"/>
          <w:color w:val="auto"/>
        </w:rPr>
        <w:t>We cannot accurately predict or quantify the impacts or adverse effects of the residual risk and uncertainties associated with NCM LLC’s emergence, or the occurrence of one or more of these risks could have on our results of operations, financial condition, business and reputation.</w:t>
      </w:r>
    </w:p>
    <w:p>
      <w:pPr>
        <w:spacing w:after="0" w:line="2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non-competition provisions of the ESAs or other advertising agreements are deemed unenforceable, the counterparties could compete against us and our business could be adversely affected.</w:t>
      </w:r>
    </w:p>
    <w:p>
      <w:pPr>
        <w:spacing w:after="0" w:line="51" w:lineRule="exact"/>
        <w:rPr>
          <w:sz w:val="20"/>
          <w:szCs w:val="20"/>
          <w:color w:val="auto"/>
        </w:rPr>
      </w:pPr>
    </w:p>
    <w:p>
      <w:pPr>
        <w:ind w:firstLine="608"/>
        <w:spacing w:after="0" w:line="256" w:lineRule="auto"/>
        <w:rPr>
          <w:sz w:val="20"/>
          <w:szCs w:val="20"/>
          <w:color w:val="auto"/>
        </w:rPr>
      </w:pPr>
      <w:r>
        <w:rPr>
          <w:rFonts w:ascii="Times New Roman" w:cs="Times New Roman" w:eastAsia="Times New Roman" w:hAnsi="Times New Roman"/>
          <w:sz w:val="18"/>
          <w:szCs w:val="18"/>
          <w:color w:val="auto"/>
        </w:rPr>
        <w:t>With certain limited exceptions, each of the ESAs and other network affiliate agreements prohibits the applicable counterparty from engaging in any of the business activities that we provide in the counterparty’s theaters under the ESAs and network affiliate agreements, and the ESAs and certain network affiliate agreements prohibit the counterparty from owning interests in other entities that compete with us. These provisions are intended to prevent the counterparties from harming our business by providing cinema advertising services directly to their theaters or by entering into agreements with other third-party cinema advertising providers. However, under state and federal law, a court may determine that a non-competition covenant is unenforceable, in whole or in part, for reasons including, but not limited to, the court’s determination that the covenant:</w:t>
      </w:r>
    </w:p>
    <w:p>
      <w:pPr>
        <w:spacing w:after="0" w:line="79" w:lineRule="exact"/>
        <w:rPr>
          <w:sz w:val="20"/>
          <w:szCs w:val="20"/>
          <w:color w:val="auto"/>
        </w:rPr>
      </w:pPr>
    </w:p>
    <w:p>
      <w:pPr>
        <w:ind w:left="1000" w:hanging="379"/>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necessary to protect a legitimate business interest of the party seeking enforcement;</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unreasonably restrains the party against whom enforcement is sought; or</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contrary to the public interest.</w:t>
      </w:r>
    </w:p>
    <w:p>
      <w:pPr>
        <w:spacing w:after="0" w:line="117" w:lineRule="exact"/>
        <w:rPr>
          <w:sz w:val="20"/>
          <w:szCs w:val="20"/>
          <w:color w:val="auto"/>
        </w:rPr>
      </w:pPr>
    </w:p>
    <w:p>
      <w:pPr>
        <w:ind w:right="140" w:firstLine="608"/>
        <w:spacing w:after="0" w:line="256" w:lineRule="auto"/>
        <w:rPr>
          <w:sz w:val="20"/>
          <w:szCs w:val="20"/>
          <w:color w:val="auto"/>
        </w:rPr>
      </w:pPr>
      <w:r>
        <w:rPr>
          <w:rFonts w:ascii="Times New Roman" w:cs="Times New Roman" w:eastAsia="Times New Roman" w:hAnsi="Times New Roman"/>
          <w:sz w:val="18"/>
          <w:szCs w:val="18"/>
          <w:color w:val="auto"/>
        </w:rPr>
        <w:t>Enforceability of a non-competition covenant is determined by a court based on all of the facts and circumstances of the specific case at the time enforcement is sought, including the type of court hearing the matter. For this reason, it is not possible for us to predict whether, or to what extent, a court would enforce the non-competition provisions contained in the ESAs and network affiliate agreements. If a court were to determine that the non-competition provisions are unenforceable, the counterparties could compete directly against us or enter into an agreement with another cinema advertising provider that competes against us. Any inability to enforce the non-competition provisions, in whole or in part, could cause our revenue to decline and could have a material negative impact on our business. If NCM seeks to enforce the non-competition provisions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ind w:right="60"/>
        <w:spacing w:after="0" w:line="282" w:lineRule="auto"/>
        <w:rPr>
          <w:sz w:val="20"/>
          <w:szCs w:val="20"/>
          <w:color w:val="auto"/>
        </w:rPr>
      </w:pPr>
      <w:r>
        <w:rPr>
          <w:rFonts w:ascii="Times New Roman" w:cs="Times New Roman" w:eastAsia="Times New Roman" w:hAnsi="Times New Roman"/>
          <w:sz w:val="18"/>
          <w:szCs w:val="18"/>
          <w:color w:val="auto"/>
        </w:rPr>
        <w:t>in connection with a counterparty’s bankruptcy, the bankruptcy court may be a less favorable venue for adjudicating the implicated provisions and result in a different outcome than would occur outside of bankruptcy.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ESA with an ESA Party that has declared bankruptcy may be rejected, renegotiated or deemed unenforceable.</w:t>
      </w:r>
    </w:p>
    <w:p>
      <w:pPr>
        <w:spacing w:after="0" w:line="121" w:lineRule="exact"/>
        <w:rPr>
          <w:sz w:val="20"/>
          <w:szCs w:val="20"/>
          <w:color w:val="auto"/>
        </w:rPr>
      </w:pPr>
    </w:p>
    <w:p>
      <w:pPr>
        <w:ind w:firstLine="608"/>
        <w:spacing w:after="0" w:line="256" w:lineRule="auto"/>
        <w:rPr>
          <w:sz w:val="20"/>
          <w:szCs w:val="20"/>
          <w:color w:val="auto"/>
        </w:rPr>
      </w:pPr>
      <w:r>
        <w:rPr>
          <w:rFonts w:ascii="Times New Roman" w:cs="Times New Roman" w:eastAsia="Times New Roman" w:hAnsi="Times New Roman"/>
          <w:sz w:val="18"/>
          <w:szCs w:val="18"/>
          <w:color w:val="auto"/>
        </w:rPr>
        <w:t>As a result of the COVID-19 Pandemic, all of the theaters in NCM LLC’s network were temporarily closed and were required to seek additional financing through various methods leading to significant levels of financial distress. On September 7, 2022, Cineworld Group plc, the parent company of Regal, and certain of its subsidiaries, including Regal, Regal Cinemas, Inc., formerly a party to an ESA, and Regal CineMedia Holdings, LLC, formerly a party to other agreements with NCM LLC and NCM, Inc., filed petitions for reorganization under Chapter 11 of the United States Bankruptcy Code in the Southern District of Texas (the “Cineworld Proceeding”). In addition, each of the other ESA Parties currently has a significant amount of indebtedness with varying maturity dates in the future.</w:t>
      </w:r>
    </w:p>
    <w:p>
      <w:pPr>
        <w:spacing w:after="0" w:line="79" w:lineRule="exact"/>
        <w:rPr>
          <w:sz w:val="20"/>
          <w:szCs w:val="20"/>
          <w:color w:val="auto"/>
        </w:rPr>
      </w:pPr>
    </w:p>
    <w:p>
      <w:pPr>
        <w:ind w:right="20" w:firstLine="608"/>
        <w:spacing w:after="0" w:line="253" w:lineRule="auto"/>
        <w:rPr>
          <w:sz w:val="20"/>
          <w:szCs w:val="20"/>
          <w:color w:val="auto"/>
        </w:rPr>
      </w:pPr>
      <w:r>
        <w:rPr>
          <w:rFonts w:ascii="Times New Roman" w:cs="Times New Roman" w:eastAsia="Times New Roman" w:hAnsi="Times New Roman"/>
          <w:sz w:val="18"/>
          <w:szCs w:val="18"/>
          <w:color w:val="auto"/>
        </w:rPr>
        <w:t>If a bankruptcy case were commenced by or against another ESA Party, it is possible that all or part of the ESA with the applicable ESA Party could be rejected by a trustee in the bankruptcy case pursuant to Section 365 or Section 1123 of the United States Bankruptcy Code, or by the ESA Party, and thus not be enforceable. On October 21, 2022, Regal filed a motion to reject its ESA without specifying an effective date for the rejection and indicated that Regal intended to negotiate with the Company regarding the ESA. NCM LLC filed a complaint against Regal seeking declaratory relief and an injunction prohibiting Regal from breaching certain exclusivity, non-compete, non-negotiate and confidentiality provisions in the ESA by entering into a new agreement with a third-party or bringing any of the services performed by NCM LLC in-house. Following negotiations, NCM LLC and Regal entered into a Network Affiliate Transaction Agreement (the “Regal Advertising Agreement”) and a separate termination agreement, pursuant to which, effective on July 14, 2023, Regal rejected and terminated its ESA and waived all rights and interests in the other agreements Regal and its affiliates were a party to with NCM LLC. In the event another ESA Party declares bankruptcy, NCM LLC may be required to litigate its rights and negotiate with the bankrupt ESA Party, which would have a negative impact on our business, operations and financial results.</w:t>
      </w:r>
    </w:p>
    <w:p>
      <w:pPr>
        <w:spacing w:after="0" w:line="86" w:lineRule="exact"/>
        <w:rPr>
          <w:sz w:val="20"/>
          <w:szCs w:val="20"/>
          <w:color w:val="auto"/>
        </w:rPr>
      </w:pPr>
    </w:p>
    <w:p>
      <w:pPr>
        <w:ind w:right="40" w:firstLine="608"/>
        <w:spacing w:after="0" w:line="258" w:lineRule="auto"/>
        <w:rPr>
          <w:sz w:val="20"/>
          <w:szCs w:val="20"/>
          <w:color w:val="auto"/>
        </w:rPr>
      </w:pPr>
      <w:r>
        <w:rPr>
          <w:rFonts w:ascii="Times New Roman" w:cs="Times New Roman" w:eastAsia="Times New Roman" w:hAnsi="Times New Roman"/>
          <w:sz w:val="18"/>
          <w:szCs w:val="18"/>
          <w:color w:val="auto"/>
        </w:rPr>
        <w:t>In addition, as a part of the Cineworld Proceeding, Regal announced plans to optimize the number of theaters it operates and announced the closures of certain theaters. Should Regal or another ESA Party liquidate or dispose of theaters or remove theaters from our network through bankruptcy or for other business reasons, and if the acquirer, if applicable, did not agree to continue to allow us to sell advertising in the acquired theaters the number of theaters in our advertising networks would be reduced which in turn would reduce the number of advertising impressions available to us and thus could reduce our advertising revenue.</w:t>
      </w:r>
    </w:p>
    <w:p>
      <w:pPr>
        <w:spacing w:after="0" w:line="7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of additional Post-Showtime inventory or be successful in increasing the number of theaters in which NCM LLC has the right to display Post-Showtime inventory.</w:t>
      </w:r>
    </w:p>
    <w:p>
      <w:pPr>
        <w:spacing w:after="0" w:line="51" w:lineRule="exact"/>
        <w:rPr>
          <w:sz w:val="20"/>
          <w:szCs w:val="20"/>
          <w:color w:val="auto"/>
        </w:rPr>
      </w:pPr>
    </w:p>
    <w:p>
      <w:pPr>
        <w:ind w:firstLine="608"/>
        <w:spacing w:after="0" w:line="255" w:lineRule="auto"/>
        <w:rPr>
          <w:sz w:val="20"/>
          <w:szCs w:val="20"/>
          <w:color w:val="auto"/>
        </w:rPr>
      </w:pPr>
      <w:r>
        <w:rPr>
          <w:rFonts w:ascii="Times New Roman" w:cs="Times New Roman" w:eastAsia="Times New Roman" w:hAnsi="Times New Roman"/>
          <w:sz w:val="18"/>
          <w:szCs w:val="18"/>
          <w:color w:val="auto"/>
        </w:rPr>
        <w:t xml:space="preserve">Beginning with the 2019 ESA Amendment with affiliates of Cinemark in 2019, NCM LLC is entitled to display up to five minutes of The </w:t>
      </w:r>
      <w:r>
        <w:rPr>
          <w:rFonts w:ascii="Times New Roman" w:cs="Times New Roman" w:eastAsia="Times New Roman" w:hAnsi="Times New Roman"/>
          <w:sz w:val="18"/>
          <w:szCs w:val="18"/>
          <w:i w:val="1"/>
          <w:iCs w:val="1"/>
          <w:color w:val="auto"/>
        </w:rPr>
        <w:t xml:space="preserve">Noovie® </w:t>
      </w:r>
      <w:r>
        <w:rPr>
          <w:rFonts w:ascii="Times New Roman" w:cs="Times New Roman" w:eastAsia="Times New Roman" w:hAnsi="Times New Roman"/>
          <w:sz w:val="18"/>
          <w:szCs w:val="18"/>
          <w:color w:val="auto"/>
        </w:rPr>
        <w:t>Show after the scheduled showtime of a feature film and a Platinum Spot that is either 30 or 60 seconds of The</w:t>
      </w:r>
      <w:r>
        <w:rPr>
          <w:rFonts w:ascii="Times New Roman" w:cs="Times New Roman" w:eastAsia="Times New Roman" w:hAnsi="Times New Roman"/>
          <w:sz w:val="18"/>
          <w:szCs w:val="18"/>
          <w:i w:val="1"/>
          <w:iCs w:val="1"/>
          <w:color w:val="auto"/>
        </w:rPr>
        <w:t xml:space="preserve"> Noovie </w:t>
      </w:r>
      <w:r>
        <w:rPr>
          <w:rFonts w:ascii="Times New Roman" w:cs="Times New Roman" w:eastAsia="Times New Roman" w:hAnsi="Times New Roman"/>
          <w:sz w:val="18"/>
          <w:szCs w:val="18"/>
          <w:color w:val="auto"/>
        </w:rPr>
        <w:t>Show in the trailer position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prior to the “attached” trailers preceding the feature film in Cinemark and certain other network affiliates’ theaters. The Regal Advertising Agreement also provides for (i) up to ten minutes immediately after the advertised showtime of a feature film, extending the time available to NCM LLC by five minutes, and (ii) the Platinum Spot that may be exhibited on-screen prior to the last two trailers, which may be either 30 or 60 seconds in length. Subject to Regal’s approval, NCM LLC may display two 30 second spots in the Platinum Spot and a Gold Spot, a 30 second spot displayed immediately prior to the fourth trailer preceding a feature film or digital programming event.</w:t>
      </w:r>
    </w:p>
    <w:p>
      <w:pPr>
        <w:spacing w:after="0" w:line="81" w:lineRule="exact"/>
        <w:rPr>
          <w:sz w:val="20"/>
          <w:szCs w:val="20"/>
          <w:color w:val="auto"/>
        </w:rPr>
      </w:pPr>
    </w:p>
    <w:p>
      <w:pPr>
        <w:ind w:right="160" w:firstLine="608"/>
        <w:spacing w:after="0" w:line="266" w:lineRule="auto"/>
        <w:rPr>
          <w:sz w:val="20"/>
          <w:szCs w:val="20"/>
          <w:color w:val="auto"/>
        </w:rPr>
      </w:pPr>
      <w:r>
        <w:rPr>
          <w:rFonts w:ascii="Times New Roman" w:cs="Times New Roman" w:eastAsia="Times New Roman" w:hAnsi="Times New Roman"/>
          <w:sz w:val="18"/>
          <w:szCs w:val="18"/>
          <w:color w:val="auto"/>
        </w:rPr>
        <w:t>We believe that Post-Showtime Inventory has resulted and will continue to result in an increase in our average CPM, revenues and Adjusted OIBDA, however we may not realize any or all such benefits. Potential difficulties and uncertainties that may impair the full realization of the anticipated benefits include, among others:</w:t>
      </w:r>
    </w:p>
    <w:p>
      <w:pPr>
        <w:spacing w:after="0" w:line="66" w:lineRule="exact"/>
        <w:rPr>
          <w:sz w:val="20"/>
          <w:szCs w:val="20"/>
          <w:color w:val="auto"/>
        </w:rPr>
      </w:pPr>
    </w:p>
    <w:p>
      <w:pPr>
        <w:ind w:left="1000" w:right="120" w:hanging="379"/>
        <w:spacing w:after="0" w:line="267"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behavior of theater patrons may change in response to the display of a portion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after the advertised showtime, or in response to the combination of advertising and trailers before the start of the feature film, resulting in a reduction to the number of patrons that are in a theater seat to view most or all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w:t>
      </w:r>
    </w:p>
    <w:p>
      <w:pPr>
        <w:spacing w:after="0" w:line="67" w:lineRule="exact"/>
        <w:rPr>
          <w:rFonts w:ascii="Times New Roman" w:cs="Times New Roman" w:eastAsia="Times New Roman" w:hAnsi="Times New Roman"/>
          <w:sz w:val="18"/>
          <w:szCs w:val="18"/>
          <w:color w:val="auto"/>
        </w:rPr>
      </w:pPr>
    </w:p>
    <w:p>
      <w:pPr>
        <w:ind w:left="1000" w:right="180" w:hanging="379"/>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potential advertisers may not view the Post-Showtime Inventory as attractive due to inability to run across our entire network or view it as a premium advertising opportunity and the average CPMs for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may not increase as much as anticipated, or at all;</w:t>
      </w:r>
    </w:p>
    <w:p>
      <w:pPr>
        <w:spacing w:after="0" w:line="53" w:lineRule="exact"/>
        <w:rPr>
          <w:rFonts w:ascii="Times New Roman" w:cs="Times New Roman" w:eastAsia="Times New Roman" w:hAnsi="Times New Roman"/>
          <w:sz w:val="18"/>
          <w:szCs w:val="18"/>
          <w:color w:val="auto"/>
        </w:rPr>
      </w:pPr>
    </w:p>
    <w:p>
      <w:pPr>
        <w:ind w:left="1000" w:right="420" w:hanging="379"/>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NCM LLC may not be able to generate sufficient revenue to satisfy any minimum guarantees required to enter into agreements for Post-Showtime inventory or sufficient minimum average CPMs required to display the Platinum Spot in Cinemark’s theaters;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left="1000" w:right="180" w:hanging="379"/>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extended length of time between the advertised showtime and the beginning of the feature film may decrease the average CPM for that portion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appearing before the advertised showtime, which may partially or fully offset any increase in average CPM for the Post-Showtime Inventory; or</w:t>
      </w:r>
    </w:p>
    <w:p>
      <w:pPr>
        <w:spacing w:after="0" w:line="67" w:lineRule="exact"/>
        <w:rPr>
          <w:rFonts w:ascii="Times New Roman" w:cs="Times New Roman" w:eastAsia="Times New Roman" w:hAnsi="Times New Roman"/>
          <w:sz w:val="18"/>
          <w:szCs w:val="18"/>
          <w:color w:val="auto"/>
        </w:rPr>
      </w:pPr>
    </w:p>
    <w:p>
      <w:pPr>
        <w:ind w:left="1000" w:right="320" w:hanging="379"/>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fees payable in connection with the Post-Showtime Inventory with certain counterparties may exceed the increase, if any, in revenue resulting from the access to the Post-Showtime inventory.</w:t>
      </w:r>
    </w:p>
    <w:p>
      <w:pPr>
        <w:spacing w:after="0" w:line="54" w:lineRule="exact"/>
        <w:rPr>
          <w:sz w:val="20"/>
          <w:szCs w:val="20"/>
          <w:color w:val="auto"/>
        </w:rPr>
      </w:pPr>
    </w:p>
    <w:p>
      <w:pPr>
        <w:ind w:right="600" w:firstLine="608"/>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be successful in increasing the number of theaters in which NCM LLC has the right to display Post-Showtime Inventory.</w:t>
      </w:r>
    </w:p>
    <w:p>
      <w:pPr>
        <w:spacing w:after="0" w:line="54" w:lineRule="exact"/>
        <w:rPr>
          <w:sz w:val="20"/>
          <w:szCs w:val="20"/>
          <w:color w:val="auto"/>
        </w:rPr>
      </w:pPr>
    </w:p>
    <w:p>
      <w:pPr>
        <w:jc w:val="both"/>
        <w:ind w:right="220" w:firstLine="608"/>
        <w:spacing w:after="0" w:line="266" w:lineRule="auto"/>
        <w:rPr>
          <w:sz w:val="20"/>
          <w:szCs w:val="20"/>
          <w:color w:val="auto"/>
        </w:rPr>
      </w:pPr>
      <w:r>
        <w:rPr>
          <w:rFonts w:ascii="Times New Roman" w:cs="Times New Roman" w:eastAsia="Times New Roman" w:hAnsi="Times New Roman"/>
          <w:sz w:val="18"/>
          <w:szCs w:val="18"/>
          <w:color w:val="auto"/>
        </w:rPr>
        <w:t>The anticipated benefits we expect to receive as a result of the Post-Showtime Inventory are subject to factors that we do not and cannot control. Failure to realize the anticipated benefits could result in decreases in revenue and Adjusted OIBDA and diversion of management’s time and energy, and could adversely affect our business, financial condition and operating results.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relies heavily on technology systems, and any failures, disruptions or cyberattacks may materially and adversely affect our operations.</w:t>
      </w:r>
    </w:p>
    <w:p>
      <w:pPr>
        <w:spacing w:after="0" w:line="121" w:lineRule="exact"/>
        <w:rPr>
          <w:sz w:val="20"/>
          <w:szCs w:val="20"/>
          <w:color w:val="auto"/>
        </w:rPr>
      </w:pPr>
    </w:p>
    <w:p>
      <w:pPr>
        <w:ind w:firstLine="614"/>
        <w:spacing w:after="0" w:line="252" w:lineRule="auto"/>
        <w:rPr>
          <w:sz w:val="20"/>
          <w:szCs w:val="20"/>
          <w:color w:val="auto"/>
        </w:rPr>
      </w:pPr>
      <w:r>
        <w:rPr>
          <w:rFonts w:ascii="Times New Roman" w:cs="Times New Roman" w:eastAsia="Times New Roman" w:hAnsi="Times New Roman"/>
          <w:sz w:val="18"/>
          <w:szCs w:val="18"/>
          <w:color w:val="auto"/>
        </w:rPr>
        <w:t>In order to conduct our business, we rely on information technology networks and systems, including those managed and owned by third parties, to process, transmit and store electronic information and manage and support business processes and activities. The temporary or permanent loss of our computer equipment, internet and satellite networks, data or software systems through ransomware, data exfiltration and other cyberattacks and other security threats, termination of a material technology license or contract, operating malfunction, software virus, human error, natural disaster, power loss, terrorist attacks or other catastrophic events could disrupt our operations and cause a material negative impact and the steps that we have taken to mitigate these risks may prove to be ineffective. Although the Company maintains robust procedures, internal policies and technological security measures to safeguard its systems, including disaster recovery systems separate from our operations, robust network security and other measures to help protect our network from unauthorized access and misuse and a cyber-security insurance policy, the Company’s information technology systems or systems of the ESA Parties, network affiliates or third-party service providers could be penetrated by internal or external parties intent on extracting information, corrupting information, stealing intellectual property or trade secrets or disrupting business processes. For example, some of our software vendors have previously announced that their systems were infected with malicious software, which might have impacted customers, including NCM. While NCM took prompt action to address the potential vulnerability and does not believe that there were any adverse consequences, there is no guarantee that future hacks and attacks on our network, including those through third parties, will be unsuccessful or resolved without damage to us or our customers. If information technology failures or cyber-attacks were to interrupt our advertising delivery systems, then NCM could be unable to deliver new advertising and would only be able to display advertising that has already been distributed to theaters in the short-term. This would limit NCM's ability to generate revenue until NCM is able to manually deliver revised advertising or the systems become available. Manually delivered advertising would also limit NCM's ability to optimize the distribution of advertising to maximize impressions and best meet client expectations.</w:t>
      </w:r>
    </w:p>
    <w:p>
      <w:pPr>
        <w:spacing w:after="0" w:line="85" w:lineRule="exact"/>
        <w:rPr>
          <w:sz w:val="20"/>
          <w:szCs w:val="20"/>
          <w:color w:val="auto"/>
        </w:rPr>
      </w:pPr>
    </w:p>
    <w:p>
      <w:pPr>
        <w:ind w:right="100" w:firstLine="614"/>
        <w:spacing w:after="0" w:line="256" w:lineRule="auto"/>
        <w:rPr>
          <w:sz w:val="20"/>
          <w:szCs w:val="20"/>
          <w:color w:val="auto"/>
        </w:rPr>
      </w:pPr>
      <w:r>
        <w:rPr>
          <w:rFonts w:ascii="Times New Roman" w:cs="Times New Roman" w:eastAsia="Times New Roman" w:hAnsi="Times New Roman"/>
          <w:sz w:val="18"/>
          <w:szCs w:val="18"/>
          <w:color w:val="auto"/>
        </w:rPr>
        <w:t>In addition to potential vulnerabilities of NCM's information technology systems, NCM and its employees are also the target of cyberattacks, including malware, phishing, social engineering and other targeted attacks, that have been, at times, successful in deceiving certain employees. While NCM’s cyber security teams were able to identify and resolve these attacks prior to any significant impact on the Company, future attacks may use methods that our cyber security team is not able to identify, or our cyber security team may not identify the attacks prior to the compromise of our systems or data. Techniques used by cyber criminals to obtain unauthorized access, disable or degrade services or sabotage systems evolve frequently and may not immediately be detected, and we may be unable to implement adequate preventative measures.</w:t>
      </w:r>
    </w:p>
    <w:p>
      <w:pPr>
        <w:spacing w:after="0" w:line="79" w:lineRule="exact"/>
        <w:rPr>
          <w:sz w:val="20"/>
          <w:szCs w:val="20"/>
          <w:color w:val="auto"/>
        </w:rPr>
      </w:pPr>
    </w:p>
    <w:p>
      <w:pPr>
        <w:ind w:right="40" w:firstLine="614"/>
        <w:spacing w:after="0" w:line="258" w:lineRule="auto"/>
        <w:rPr>
          <w:sz w:val="20"/>
          <w:szCs w:val="20"/>
          <w:color w:val="auto"/>
        </w:rPr>
      </w:pPr>
      <w:r>
        <w:rPr>
          <w:rFonts w:ascii="Times New Roman" w:cs="Times New Roman" w:eastAsia="Times New Roman" w:hAnsi="Times New Roman"/>
          <w:sz w:val="18"/>
          <w:szCs w:val="18"/>
          <w:color w:val="auto"/>
        </w:rPr>
        <w:t>Additionally, we are reliant on third parties for back-up, disaster recovery and other preventative systems that have failed in the past, may fail in the future and we are periodically required to obtain replacement services and migrate data, which may result in temporary lapses of protection and increased risk of disruption or data loss. Depending on the nature and scope of a disruption, if any technology network or systems fail and we are unable to recover in a timely manner, we may be unable to fulfill critical business functions, which could lead to a loss of clients and revenue, harm our reputation or interfere with our ability to comply with financial reporting and other regulatory requirements.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plans for developing additional digital or digital out-of-home revenue opportunities may not be implemented and may not be achieved.</w:t>
      </w:r>
    </w:p>
    <w:p>
      <w:pPr>
        <w:spacing w:after="0" w:line="121" w:lineRule="exact"/>
        <w:rPr>
          <w:sz w:val="20"/>
          <w:szCs w:val="20"/>
          <w:color w:val="auto"/>
        </w:rPr>
      </w:pPr>
    </w:p>
    <w:p>
      <w:pPr>
        <w:ind w:right="20" w:firstLine="608"/>
        <w:spacing w:after="0" w:line="258" w:lineRule="auto"/>
        <w:rPr>
          <w:sz w:val="20"/>
          <w:szCs w:val="20"/>
          <w:color w:val="auto"/>
        </w:rPr>
      </w:pPr>
      <w:r>
        <w:rPr>
          <w:rFonts w:ascii="Times New Roman" w:cs="Times New Roman" w:eastAsia="Times New Roman" w:hAnsi="Times New Roman"/>
          <w:sz w:val="18"/>
          <w:szCs w:val="18"/>
          <w:color w:val="auto"/>
        </w:rPr>
        <w:t xml:space="preserve">We have invested significant resources in pursuing potential opportunities for revenue growth, which we describe under “Business—Our Strategy.” We had 824.4 million and 703.3 million unique data records as of December 26, 2024 and December 28, 2023, respectively. These valuable data records consist of both our own NCM first-party data from our owned-and-operated digital products and a variety of key second- and third-party data addressable consumer records, including location-based data that allows us to track when our audiences go to the movie theater to see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and where</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right="40"/>
        <w:spacing w:after="0" w:line="256" w:lineRule="auto"/>
        <w:rPr>
          <w:sz w:val="20"/>
          <w:szCs w:val="20"/>
          <w:color w:val="auto"/>
        </w:rPr>
      </w:pPr>
      <w:r>
        <w:rPr>
          <w:rFonts w:ascii="Times New Roman" w:cs="Times New Roman" w:eastAsia="Times New Roman" w:hAnsi="Times New Roman"/>
          <w:sz w:val="18"/>
          <w:szCs w:val="18"/>
          <w:color w:val="auto"/>
        </w:rPr>
        <w:t>they go in the days and weeks afterwards. Our ability to increase our unique data records requires us to invest in third-party relationships, to comply with evolving privacy and data security laws, rules and regulations and to develop innovative digital properties that will increase the number of users of our digital entertainment and advertising network and mobile apps. Our ability to collect and leverage movie audience data is under increasing competitive and regulatory pressure and may be negatively impacted by changes to advertising technology, platform operator policies and privacy laws and regulation and may not deliver the future benefits that we are expecting. It is important that we maintain a critical mass of audience data to make our digital offering more attractive to advertisers, including national brands who buy both our national and regional advertising inventory.</w:t>
      </w:r>
    </w:p>
    <w:p>
      <w:pPr>
        <w:spacing w:after="0" w:line="79" w:lineRule="exact"/>
        <w:rPr>
          <w:sz w:val="20"/>
          <w:szCs w:val="20"/>
          <w:color w:val="auto"/>
        </w:rPr>
      </w:pPr>
    </w:p>
    <w:p>
      <w:pPr>
        <w:ind w:right="40" w:firstLine="608"/>
        <w:spacing w:after="0" w:line="258" w:lineRule="auto"/>
        <w:rPr>
          <w:sz w:val="20"/>
          <w:szCs w:val="20"/>
          <w:color w:val="auto"/>
        </w:rPr>
      </w:pPr>
      <w:r>
        <w:rPr>
          <w:rFonts w:ascii="Times New Roman" w:cs="Times New Roman" w:eastAsia="Times New Roman" w:hAnsi="Times New Roman"/>
          <w:sz w:val="18"/>
          <w:szCs w:val="18"/>
          <w:color w:val="auto"/>
        </w:rPr>
        <w:t>Our digital out-of-home business remains at an early stage and is under significant competitive pressure with the proliferation of available alternatives in the digital out-of-home space and may not deliver the future benefits that we are expecting. If we are unable to develop relationships and advertising that is relevant to the marketplace that can be integrated with our core on-screen advertising products, and if these offerings are not attractive to our advertisers, then the digital out-of-home business may not provide significant revenue or represent a method to help expand our cinema advertising business as it matures. As such, there can be no assurance that we will recoup our investments made pursuing this business.</w:t>
      </w:r>
    </w:p>
    <w:p>
      <w:pPr>
        <w:spacing w:after="0" w:line="75" w:lineRule="exact"/>
        <w:rPr>
          <w:sz w:val="20"/>
          <w:szCs w:val="20"/>
          <w:color w:val="auto"/>
        </w:rPr>
      </w:pPr>
    </w:p>
    <w:p>
      <w:pPr>
        <w:ind w:right="140" w:firstLine="608"/>
        <w:spacing w:after="0" w:line="258" w:lineRule="auto"/>
        <w:rPr>
          <w:sz w:val="20"/>
          <w:szCs w:val="20"/>
          <w:color w:val="auto"/>
        </w:rPr>
      </w:pPr>
      <w:r>
        <w:rPr>
          <w:rFonts w:ascii="Times New Roman" w:cs="Times New Roman" w:eastAsia="Times New Roman" w:hAnsi="Times New Roman"/>
          <w:sz w:val="18"/>
          <w:szCs w:val="18"/>
          <w:color w:val="auto"/>
        </w:rPr>
        <w:t>If we are unable to execute on products relevant to the marketplace or integrate these digital and digital out-of-home marketing products with our core on-screen and theater lobby products, or if these offerings or other data sources do not continue or are unable to provide relevant data or to grow in importance to advertising clients and agencies, they may not provide a way to help expand our advertising business as it matures and begins to compete with new or improved advertising platforms including online and mobile video services. As such, there can be no assurance that we will recoup our investments made pursuing additional revenue opportunities.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2025 Credit Facility contains restrictions and may not provide sufficient capital resources and flexibility for the Company in the future.</w:t>
      </w:r>
    </w:p>
    <w:p>
      <w:pPr>
        <w:spacing w:after="0" w:line="121" w:lineRule="exact"/>
        <w:rPr>
          <w:sz w:val="20"/>
          <w:szCs w:val="20"/>
          <w:color w:val="auto"/>
        </w:rPr>
      </w:pPr>
    </w:p>
    <w:p>
      <w:pPr>
        <w:ind w:right="40" w:firstLine="608"/>
        <w:spacing w:after="0" w:line="254" w:lineRule="auto"/>
        <w:rPr>
          <w:sz w:val="20"/>
          <w:szCs w:val="20"/>
          <w:color w:val="auto"/>
        </w:rPr>
      </w:pPr>
      <w:r>
        <w:rPr>
          <w:rFonts w:ascii="Times New Roman" w:cs="Times New Roman" w:eastAsia="Times New Roman" w:hAnsi="Times New Roman"/>
          <w:sz w:val="18"/>
          <w:szCs w:val="18"/>
          <w:color w:val="auto"/>
        </w:rPr>
        <w:t>On January 24, 2025, NCM LLC as borrower, entered into a Loan and Security Agreement with U.S. Bank National Association, as lender. The agreement provides for a $45.0 million senior secured revolving credit facility (the “2025 Credit Facility”) that matures on January 24, 2028. In connection with entering into the 2025 Credit Facility, NCM LLC repaid in full the $10.0 million balance outstanding as of December 26, 2024 and terminated all commitments under its 2023 Revolving Credit Facility. While the 2025 Credit Facility provides benefits to the Company relative to the Revolving Credit Facility 2023, the restrictions in the 2025 Credit Facility may restrict NCM LLC from taking actions, distributing cash or entering into agreements to raise additional capital, and the availability of the 2025 Credit Facility may be insufficient for NCM LLC’s needs, particularly in the event of an economic downturn. The Company’s future capital resource and flexibility needs are difficult to predict at this time and will depend on (i) NCM LLC’s ability to comply with the terms and conditions of the 2025 Credit Facility, (ii) ability to general sufficient cash flow from operations and (iii) future strategic initiatives.</w:t>
      </w:r>
    </w:p>
    <w:p>
      <w:pPr>
        <w:spacing w:after="0" w:line="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personal information we collect and maintain through our data and digital services, as well as from third-party sources, may expose us to liability or cause us to incur greater operating expenses.</w:t>
      </w:r>
    </w:p>
    <w:p>
      <w:pPr>
        <w:spacing w:after="0" w:line="51" w:lineRule="exact"/>
        <w:rPr>
          <w:sz w:val="20"/>
          <w:szCs w:val="20"/>
          <w:color w:val="auto"/>
        </w:rPr>
      </w:pPr>
    </w:p>
    <w:p>
      <w:pPr>
        <w:ind w:firstLine="608"/>
        <w:spacing w:after="0" w:line="252" w:lineRule="auto"/>
        <w:rPr>
          <w:sz w:val="20"/>
          <w:szCs w:val="20"/>
          <w:color w:val="auto"/>
        </w:rPr>
      </w:pPr>
      <w:r>
        <w:rPr>
          <w:rFonts w:ascii="Times New Roman" w:cs="Times New Roman" w:eastAsia="Times New Roman" w:hAnsi="Times New Roman"/>
          <w:sz w:val="18"/>
          <w:szCs w:val="18"/>
          <w:color w:val="auto"/>
        </w:rPr>
        <w:t>We collect personal information from users of our websites or apps, including those users who establish accounts, or users who view certain advertising displayed through our data and digital services. We receive certain personal information regarding consumers who enter the theaters in our network, including places visited before entering the theater and after leaving the theater, from third parties to supplement or enhance the information we collect and maintain about users of our data and digital services or individuals who view advertising or enter theaters. We also collect personal information relating to individuals who are job applicants, employees, stockholders, directors, officers and independent contractors of NCM, as well as emergency contact information they provide. In addition, we collect personal information relating to employees, owners, directors, officers and independent contractors of other organizations within the context of conducting due diligence regarding or providing or receiving a product or service to or from such organization. The collection and use of this information is governed by applicable privacy, information security and consumer protection laws and regulations that continue to evolve and may be inconsistent from one jurisdiction to another. Compliance with all such laws and regulations may increase our operating costs and adversely impact our ability to offer our clients advertising targeted to moviegoer demographics or to interact with users of our data and digital services, and could result in legal liability. For example, the failure, or perceived failure, to comply with applicable privacy information security or consumer protection-related laws or regulations or our posted privacy policies could result in actions against us by governmental entities or others. If an actual or perceived breach of our data occurs, we could incur significant costs notifying affected individuals and providing them with credit monitoring services. The market perception of the effectiveness of our security measures could also be harmed, and we could lose users of these services and the associated benefits from gathering such user data.</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5" w:name="page26"/>
    <w:bookmarkEnd w:id="25"/>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or rules relating to privacy, data security, the Internet or other areas of our data and digital services may result in the need to alter our business practices or incur greater operating expenses.</w:t>
      </w:r>
    </w:p>
    <w:p>
      <w:pPr>
        <w:spacing w:after="0" w:line="51" w:lineRule="exact"/>
        <w:rPr>
          <w:sz w:val="20"/>
          <w:szCs w:val="20"/>
          <w:color w:val="auto"/>
        </w:rPr>
      </w:pPr>
    </w:p>
    <w:p>
      <w:pPr>
        <w:ind w:firstLine="608"/>
        <w:spacing w:after="0" w:line="253" w:lineRule="auto"/>
        <w:rPr>
          <w:sz w:val="20"/>
          <w:szCs w:val="20"/>
          <w:color w:val="auto"/>
        </w:rPr>
      </w:pPr>
      <w:r>
        <w:rPr>
          <w:rFonts w:ascii="Times New Roman" w:cs="Times New Roman" w:eastAsia="Times New Roman" w:hAnsi="Times New Roman"/>
          <w:sz w:val="18"/>
          <w:szCs w:val="18"/>
          <w:color w:val="auto"/>
        </w:rPr>
        <w:t>A number of statutes, regulations and rules may impact our business as a result of our data and digital services and our use of personal information we receive from third parties. For example, privacy laws that have passed or are being contemplated give, or will give, individuals additional rights with regards to the collection, use, access to, correction, deletion, selling, sharing and protection of their personal information and sensitive personal information. The costs of compliance with privacy laws, regulations and rules and other regulations relating to our data and digital services or other areas of our business, may be significant. The manner in which these and other regulations may be interpreted or enforced may subject us to potential liability, which in turn could have an adverse effect on our business, results of operations or financial condition. Changes to these and other regulations may impose additional burdens on us or otherwise adversely affect our business and financial results because of, for example, increased costs relating to legal compliance, defense against claims, adverse rulings or damages, the reduction or elimination of features, functionality or content from our data or digital services or our inability to use unique data records effectively. Likewise, any failure on our part to comply with these and other regulations may subject us to additional liabilities.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markets for advertising are competitive and we may be unable to compete successfully.</w:t>
      </w:r>
    </w:p>
    <w:p>
      <w:pPr>
        <w:spacing w:after="0" w:line="121" w:lineRule="exact"/>
        <w:rPr>
          <w:sz w:val="20"/>
          <w:szCs w:val="20"/>
          <w:color w:val="auto"/>
        </w:rPr>
      </w:pPr>
    </w:p>
    <w:p>
      <w:pPr>
        <w:ind w:right="100" w:firstLine="608"/>
        <w:spacing w:after="0" w:line="253" w:lineRule="auto"/>
        <w:rPr>
          <w:sz w:val="20"/>
          <w:szCs w:val="20"/>
          <w:color w:val="auto"/>
        </w:rPr>
      </w:pPr>
      <w:r>
        <w:rPr>
          <w:rFonts w:ascii="Times New Roman" w:cs="Times New Roman" w:eastAsia="Times New Roman" w:hAnsi="Times New Roman"/>
          <w:sz w:val="18"/>
          <w:szCs w:val="18"/>
          <w:color w:val="auto"/>
        </w:rPr>
        <w:t>The market for advertising is very competitive. Cinema advertising is a small component of video advertising in the U.S. and thus, we must compete with established, larger and better known national and local media platforms such as cable, broadcast and satellite television networks, ad supported video-on-demand and other video media platforms. In addition to these video advertising platforms, we compete for advertising directly with additional media platforms, including digital advertising providers, online, digital out-of-home and mobile, radio, various local print media and billboards, and other cinema advertising companies. We expect all of these competitors to devote significant effort to maintaining and growing their business, which may be at our expense. We also expect existing competitors and new entrants to the advertising business, most notably the online, digital out-of-home and mobile advertising companies and ad supported video-on-demand platforms, to constantly revise and improve their business models to meet expectations of advertising clients. NCM's position in various categories as a premium provider of advertising could deter advertisers from utilizing our services due to the high cost. Certain ad agencies may also deem NCM to be a provider of digital-out-of-home rather than video advertising, which could limit NCM's access to advertising budgets.</w:t>
      </w:r>
    </w:p>
    <w:p>
      <w:pPr>
        <w:spacing w:after="0" w:line="86" w:lineRule="exact"/>
        <w:rPr>
          <w:sz w:val="20"/>
          <w:szCs w:val="20"/>
          <w:color w:val="auto"/>
        </w:rPr>
      </w:pPr>
    </w:p>
    <w:p>
      <w:pPr>
        <w:ind w:firstLine="608"/>
        <w:spacing w:after="0" w:line="255" w:lineRule="auto"/>
        <w:rPr>
          <w:sz w:val="20"/>
          <w:szCs w:val="20"/>
          <w:color w:val="auto"/>
        </w:rPr>
      </w:pPr>
      <w:r>
        <w:rPr>
          <w:rFonts w:ascii="Times New Roman" w:cs="Times New Roman" w:eastAsia="Times New Roman" w:hAnsi="Times New Roman"/>
          <w:sz w:val="18"/>
          <w:szCs w:val="18"/>
          <w:color w:val="auto"/>
        </w:rPr>
        <w:t>In addition, the pricing and volume of advertising may be affected by shifts in spending toward digital platforms from more traditional media, or toward new ways of purchasing advertising, such as through automated purchasing, dynamic advertising insertion, third parties selling local advertising posts and advertising exchanges, some or all of which may not be as advantageous to the Company as current advertising methods. Expenditures by advertisers tend to be cyclical, reflecting overall economic conditions, as well as budgeting and buying patterns. A decline in the economic prospects of advertisers, industries, such as retail or consumer products, or the economy in general could alter current or prospective advertisers’ spending priorities, including changes in prospects caused by inflationary pressures, pandemics or other events. If we cannot respond effectively to media marketplace changes, advertising market changes, new entrants or advances by our existing competitors, our business may be adversely affected.</w:t>
      </w:r>
    </w:p>
    <w:p>
      <w:pPr>
        <w:spacing w:after="0" w:line="81" w:lineRule="exact"/>
        <w:rPr>
          <w:sz w:val="20"/>
          <w:szCs w:val="20"/>
          <w:color w:val="auto"/>
        </w:rPr>
      </w:pPr>
    </w:p>
    <w:p>
      <w:pPr>
        <w:ind w:right="40" w:firstLine="608"/>
        <w:spacing w:after="0" w:line="266" w:lineRule="auto"/>
        <w:rPr>
          <w:sz w:val="20"/>
          <w:szCs w:val="20"/>
          <w:color w:val="auto"/>
        </w:rPr>
      </w:pPr>
      <w:r>
        <w:rPr>
          <w:rFonts w:ascii="Times New Roman" w:cs="Times New Roman" w:eastAsia="Times New Roman" w:hAnsi="Times New Roman"/>
          <w:sz w:val="18"/>
          <w:szCs w:val="18"/>
          <w:color w:val="auto"/>
        </w:rPr>
        <w:t>Additionally, the number of films and mix of film ratings of the available motion pictures, such as the proportion of G and PG rated films or a shift in the types and numbers of films being shown in theaters, could cause advertisers to reduce their spending with us as the theater patrons for the available films may not represent those advertisers’ target markets.</w:t>
      </w:r>
    </w:p>
    <w:p>
      <w:pPr>
        <w:spacing w:after="0" w:line="68" w:lineRule="exact"/>
        <w:rPr>
          <w:sz w:val="20"/>
          <w:szCs w:val="20"/>
          <w:color w:val="auto"/>
        </w:rPr>
      </w:pPr>
    </w:p>
    <w:p>
      <w:pPr>
        <w:ind w:right="160" w:firstLine="614"/>
        <w:spacing w:after="0" w:line="266" w:lineRule="auto"/>
        <w:rPr>
          <w:sz w:val="20"/>
          <w:szCs w:val="20"/>
          <w:color w:val="auto"/>
        </w:rPr>
      </w:pPr>
      <w:r>
        <w:rPr>
          <w:rFonts w:ascii="Times New Roman" w:cs="Times New Roman" w:eastAsia="Times New Roman" w:hAnsi="Times New Roman"/>
          <w:sz w:val="18"/>
          <w:szCs w:val="18"/>
          <w:color w:val="auto"/>
        </w:rPr>
        <w:t>Advertising demand also impacts the price (CPM) we are able to charge our clients. Due to increased competition, combined with seasonal marketplace supply and demand characteristics, we have experienced volatility in our pricing (CPMs) over the years, with annual national CPM increases (decreases) ranging from (4.2%) to 23.6% from 2015 to 2024 (excluding 2020).</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continue to upgrade our technology, our business could fail to grow and revenue and operating margins could decline.</w:t>
      </w:r>
    </w:p>
    <w:p>
      <w:pPr>
        <w:spacing w:after="0" w:line="121" w:lineRule="exact"/>
        <w:rPr>
          <w:sz w:val="20"/>
          <w:szCs w:val="20"/>
          <w:color w:val="auto"/>
        </w:rPr>
      </w:pPr>
    </w:p>
    <w:p>
      <w:pPr>
        <w:ind w:right="80" w:firstLine="608"/>
        <w:spacing w:after="0" w:line="255" w:lineRule="auto"/>
        <w:rPr>
          <w:sz w:val="20"/>
          <w:szCs w:val="20"/>
          <w:color w:val="auto"/>
        </w:rPr>
      </w:pPr>
      <w:r>
        <w:rPr>
          <w:rFonts w:ascii="Times New Roman" w:cs="Times New Roman" w:eastAsia="Times New Roman" w:hAnsi="Times New Roman"/>
          <w:sz w:val="18"/>
          <w:szCs w:val="18"/>
          <w:color w:val="auto"/>
        </w:rPr>
        <w:t>In early 2021, we implemented a new cinema advertising management system which was developed by a third-party vendor. This system replaced many of our internally developed systems and provides delivery optimization, inventory management and monetization, intelligent dynamic scheduling, increased flexibility, and workflow automation. The system also interfaces with our accounting system thus driving client invoicing and revenue recognition. Given the pervasive impact of this new system on the Company's processes, problems with the system and software could cause operational difficulties, lead to errors within our financial reporting and slow or prevent the growth of our business in the future. As we continue to move our technology to cloud-based SaaS platforms, our operating results may be impacted as operating expenses associated with the SaaS licenses may increase as our annual capital expenditure spending may decrease and this shift in costs may exceed our current estimates.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6" w:name="page27"/>
    <w:bookmarkEnd w:id="26"/>
    <w:p>
      <w:pPr>
        <w:ind w:firstLine="608"/>
        <w:spacing w:after="0" w:line="255" w:lineRule="auto"/>
        <w:rPr>
          <w:sz w:val="20"/>
          <w:szCs w:val="20"/>
          <w:color w:val="auto"/>
        </w:rPr>
      </w:pPr>
      <w:r>
        <w:rPr>
          <w:rFonts w:ascii="Times New Roman" w:cs="Times New Roman" w:eastAsia="Times New Roman" w:hAnsi="Times New Roman"/>
          <w:sz w:val="18"/>
          <w:szCs w:val="18"/>
          <w:color w:val="auto"/>
        </w:rPr>
        <w:t>If our cinema advertising management system does not successfully provide all of the services we expect, if we are unable to continue to successfully and cost-effectively implement further upgrades to the system, which may include the integration of other third-party technology products, or if we lose access to the system through termination of the agreement or otherwise, our ability to offer our clients innovative, unique, integrated and targeted marketing products may be impacted, which could limit our future revenue growth. The Company has also been improving its technology systems to allow the delivery and sale of advertising through programmatic and self-serve channels, which has increased revenue opportunities. The Company may not be able to keep up with the pace of technology or develop solutions that meet the demands of the Company’s current and future advertising clients, which would result in the loss of potential advertising opportunities in the future.</w:t>
      </w:r>
    </w:p>
    <w:p>
      <w:pPr>
        <w:spacing w:after="0" w:line="81" w:lineRule="exact"/>
        <w:rPr>
          <w:sz w:val="20"/>
          <w:szCs w:val="20"/>
          <w:color w:val="auto"/>
        </w:rPr>
      </w:pPr>
    </w:p>
    <w:p>
      <w:pPr>
        <w:ind w:right="20" w:firstLine="608"/>
        <w:spacing w:after="0" w:line="256" w:lineRule="auto"/>
        <w:rPr>
          <w:sz w:val="20"/>
          <w:szCs w:val="20"/>
          <w:color w:val="auto"/>
        </w:rPr>
      </w:pPr>
      <w:r>
        <w:rPr>
          <w:rFonts w:ascii="Times New Roman" w:cs="Times New Roman" w:eastAsia="Times New Roman" w:hAnsi="Times New Roman"/>
          <w:sz w:val="18"/>
          <w:szCs w:val="18"/>
          <w:color w:val="auto"/>
        </w:rPr>
        <w:t>The failure to upgrade and maintain our technology allowing our advertising to reach a broader audience and allow for more targeted marketing products similar to other products in the industry could hurt our ability to compete. Under the ESAs, the ESA Parties are required to provide technology that is consistent with that in place at the signing of the ESA. We may request that the ESA Parties or other theaters in our network upgrade the equipment or software installed in their theaters, but we must negotiate as to the terms of such upgrade, including cost sharing terms, if any. If we are not able to come to an agreement on a future upgrade request, we may elect to pay for the upgrades requested which could result in our incurring significant capital expenditures that could adversely affect our profitability.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uncertainty or deterioration in economic conditions may adversely impact our business, operating results or financial condition.</w:t>
      </w:r>
    </w:p>
    <w:p>
      <w:pPr>
        <w:spacing w:after="0" w:line="121" w:lineRule="exact"/>
        <w:rPr>
          <w:sz w:val="20"/>
          <w:szCs w:val="20"/>
          <w:color w:val="auto"/>
        </w:rPr>
      </w:pPr>
    </w:p>
    <w:p>
      <w:pPr>
        <w:ind w:right="60" w:firstLine="608"/>
        <w:spacing w:after="0" w:line="266" w:lineRule="auto"/>
        <w:rPr>
          <w:sz w:val="20"/>
          <w:szCs w:val="20"/>
          <w:color w:val="auto"/>
        </w:rPr>
      </w:pPr>
      <w:r>
        <w:rPr>
          <w:rFonts w:ascii="Times New Roman" w:cs="Times New Roman" w:eastAsia="Times New Roman" w:hAnsi="Times New Roman"/>
          <w:sz w:val="18"/>
          <w:szCs w:val="18"/>
          <w:color w:val="auto"/>
        </w:rPr>
        <w:t>The financial markets have experienced extreme disruption and volatility at times. A decline in consumer spending in the U.S. may lead to decreased demand for our services or delay in payments by our advertising clients, and our results of operations and financial condition could be adversely affected. These challenging economic conditions also may result in:</w:t>
      </w:r>
    </w:p>
    <w:p>
      <w:pPr>
        <w:spacing w:after="0" w:line="68" w:lineRule="exact"/>
        <w:rPr>
          <w:sz w:val="20"/>
          <w:szCs w:val="20"/>
          <w:color w:val="auto"/>
        </w:rPr>
      </w:pPr>
    </w:p>
    <w:p>
      <w:pPr>
        <w:ind w:left="1000" w:hanging="379"/>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for fewer advertising and entertainment programming dollars;</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that may adversely affect revenue and gross margin;</w:t>
      </w:r>
    </w:p>
    <w:p>
      <w:pPr>
        <w:spacing w:after="0" w:line="115"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declining attendance and thus a decline in the impressions available for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w:t>
      </w:r>
    </w:p>
    <w:p>
      <w:pPr>
        <w:spacing w:after="0" w:line="119"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credit availability and/or access to capital markets;</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forecasting, budgeting and planning due to limited visibility into the spending plans of current or prospective clients;</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financial difficulty and increased risk of uncollectible accounts; or</w:t>
      </w:r>
    </w:p>
    <w:p>
      <w:pPr>
        <w:spacing w:after="0" w:line="117"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difficulty for NCM LLC’s network theaters.</w:t>
      </w:r>
    </w:p>
    <w:p>
      <w:pPr>
        <w:spacing w:after="0" w:line="11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from changes to regulations, government funding, trade policies and tariffs imposed by governments that impact our advertising clients.</w:t>
      </w:r>
    </w:p>
    <w:p>
      <w:pPr>
        <w:spacing w:after="0" w:line="51" w:lineRule="exact"/>
        <w:rPr>
          <w:sz w:val="20"/>
          <w:szCs w:val="20"/>
          <w:color w:val="auto"/>
        </w:rPr>
      </w:pPr>
    </w:p>
    <w:p>
      <w:pPr>
        <w:ind w:right="60" w:firstLine="614"/>
        <w:spacing w:after="0" w:line="254" w:lineRule="auto"/>
        <w:rPr>
          <w:sz w:val="20"/>
          <w:szCs w:val="20"/>
          <w:color w:val="auto"/>
        </w:rPr>
      </w:pPr>
      <w:r>
        <w:rPr>
          <w:rFonts w:ascii="Times New Roman" w:cs="Times New Roman" w:eastAsia="Times New Roman" w:hAnsi="Times New Roman"/>
          <w:sz w:val="18"/>
          <w:szCs w:val="18"/>
          <w:color w:val="auto"/>
        </w:rPr>
        <w:t>Changes in regulations, government funding, trade policies and tariffs imposed by the U.S. and other governments could have an impact on our advertising clients. If our advertising clients’ operating costs increase due to the changes in policy, and they are unsuccessful in passing these increases along to consumers, then the advertisers will likely seek to reduce costs in other ways, including advertising. Additionally, changes in regulations, government funding, trade policies and tariffs could also have the impact of preventing our advertising clients from deploying new goods and services and reducing the related advertising dollars. The recently announced tariffs by the U.S. government on product imports from certain countries may result in an outsize impact on certain industries that are key advertising categories for us, including automotive and consumer goods. Our local team also sells advertising to government agencies that may be impacted if the level of government funding is reduced or eliminated. The uncertainty regarding the ultimate impact of any changes in regulations, government funding, trade policies or tariffs could also impact our advertisers as they continue to determine changes needed to their businesses.</w:t>
      </w:r>
    </w:p>
    <w:p>
      <w:pPr>
        <w:spacing w:after="0" w:line="7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Adjusted OIBDA is derived from high margin advertising revenue. Our contractual costs will grow over time, and the reduction in spending by or loss of a national advertiser or group of local advertisers or failure to grow our advertising revenue in line with these costs could have a meaningful adverse effect on our business.</w:t>
      </w:r>
    </w:p>
    <w:p>
      <w:pPr>
        <w:spacing w:after="0" w:line="67" w:lineRule="exact"/>
        <w:rPr>
          <w:sz w:val="20"/>
          <w:szCs w:val="20"/>
          <w:color w:val="auto"/>
        </w:rPr>
      </w:pPr>
    </w:p>
    <w:p>
      <w:pPr>
        <w:ind w:right="120" w:firstLine="608"/>
        <w:spacing w:after="0" w:line="258" w:lineRule="auto"/>
        <w:rPr>
          <w:sz w:val="20"/>
          <w:szCs w:val="20"/>
          <w:color w:val="auto"/>
        </w:rPr>
      </w:pPr>
      <w:r>
        <w:rPr>
          <w:rFonts w:ascii="Times New Roman" w:cs="Times New Roman" w:eastAsia="Times New Roman" w:hAnsi="Times New Roman"/>
          <w:sz w:val="18"/>
          <w:szCs w:val="18"/>
          <w:color w:val="auto"/>
        </w:rPr>
        <w:t>The ESAs and certain of our network affiliate agreements include automatic annual cost or fee increases. The theater access fees under the ESAs are composed of a fixed payment per patron, increasing by 8% every five years, and a fixed payment per digital screen connected to the DCN, increasing annually by 5%, and certain of our network affiliate agreements include annual increases in the minimum fee per patron payable. If NCM LLC further amends the ESAs or network affiliate agreements in response to market conditions or in connection with the bankruptcy of a counterparty, the costs could increase.</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7" w:name="page28"/>
    <w:bookmarkEnd w:id="27"/>
    <w:p>
      <w:pPr>
        <w:ind w:right="40"/>
        <w:spacing w:after="0" w:line="282" w:lineRule="auto"/>
        <w:rPr>
          <w:sz w:val="20"/>
          <w:szCs w:val="20"/>
          <w:color w:val="auto"/>
        </w:rPr>
      </w:pPr>
      <w:r>
        <w:rPr>
          <w:rFonts w:ascii="Times New Roman" w:cs="Times New Roman" w:eastAsia="Times New Roman" w:hAnsi="Times New Roman"/>
          <w:sz w:val="18"/>
          <w:szCs w:val="18"/>
          <w:color w:val="auto"/>
        </w:rPr>
        <w:t>If we are unable to grow our high margin advertising revenue at a rate at least equal to that of our contractual obligations, our margins and results would be negatively affected.</w:t>
      </w:r>
    </w:p>
    <w:p>
      <w:pPr>
        <w:spacing w:after="0" w:line="54" w:lineRule="exact"/>
        <w:rPr>
          <w:sz w:val="20"/>
          <w:szCs w:val="20"/>
          <w:color w:val="auto"/>
        </w:rPr>
      </w:pPr>
    </w:p>
    <w:p>
      <w:pPr>
        <w:ind w:firstLine="608"/>
        <w:spacing w:after="0" w:line="252" w:lineRule="auto"/>
        <w:rPr>
          <w:sz w:val="20"/>
          <w:szCs w:val="20"/>
          <w:color w:val="auto"/>
        </w:rPr>
      </w:pPr>
      <w:r>
        <w:rPr>
          <w:rFonts w:ascii="Times New Roman" w:cs="Times New Roman" w:eastAsia="Times New Roman" w:hAnsi="Times New Roman"/>
          <w:sz w:val="18"/>
          <w:szCs w:val="18"/>
          <w:color w:val="auto"/>
        </w:rPr>
        <w:t>We generate all of our operating income and Adjusted OIBDA from our high margin advertising business. Advertisers will not continue to do business with us if they believe our advertising medium is ineffective, unpredictable or overly expensive or lacks sufficient scale. In addition, large advertisers generally have set advertising budgets, of which cinema advertising may only be a small portion. Reductions in the size of advertisers’ budgets due to local or national economic trends, epidemics, pandemics, other natural disasters or similar events, a shift in spending to other advertising mediums, perception of uncertainty in advertising mediums, or other factors could result in lower spending on our advertising inventory. Advertisers are spending in the scatter market closer to the start date of their advertising campaign. A substantial portion of our advertising revenue relates to contracts with terms of a month or less, and clients have many video media choices and can adjust where ads are placed up until their airdates without the risk of securing desired impressions. We have previously been successful in securing favorable upfront advertising agreements, but as advertising spending shifts to the scatter market closer to the start date of advertising campaigns, our ability to maintain high CPMs in the upfront markets may decrease and it is more difficult for the Company to plan and forecast revenue. Additionally, since most of our advertising contracts are tied to a specified number of impressions over a period of time, if we do not properly forecast the number of impressions available over a period of advertising or if too few impressions are available, it could result in underdelivery requiring us to provide additional time to satisfy advertiser’s contracts rather than additional revenue, or if too many impressions are available, it could result in increased fixed fee per patron fees to theaters without a corresponding increase in revenue. If we are unable to remain competitive and provide value to our advertising clients, they may reduce their advertising purchases or stop placing advertisements with us. Even the loss of a small number of clients on large contracts that we are not able to replace would negatively affect our results.</w:t>
      </w:r>
    </w:p>
    <w:p>
      <w:pPr>
        <w:spacing w:after="0" w:line="88" w:lineRule="exact"/>
        <w:rPr>
          <w:sz w:val="20"/>
          <w:szCs w:val="20"/>
          <w:color w:val="auto"/>
        </w:rPr>
      </w:pPr>
    </w:p>
    <w:p>
      <w:pPr>
        <w:ind w:right="60" w:firstLine="608"/>
        <w:spacing w:after="0" w:line="254" w:lineRule="auto"/>
        <w:rPr>
          <w:sz w:val="20"/>
          <w:szCs w:val="20"/>
          <w:color w:val="auto"/>
        </w:rPr>
      </w:pPr>
      <w:r>
        <w:rPr>
          <w:rFonts w:ascii="Times New Roman" w:cs="Times New Roman" w:eastAsia="Times New Roman" w:hAnsi="Times New Roman"/>
          <w:sz w:val="18"/>
          <w:szCs w:val="18"/>
          <w:color w:val="auto"/>
        </w:rPr>
        <w:t>We also derive a significant portion of our revenue from our contracts with our content partners, courtesy PSAs and the ESA Parties’ agreements to purchase on-screen advertising for their beverage concessionaires. We are not direct parties to the agreements between the ESA Parties’ and their beverage concessionaires but expect that each ESA Party will have an agreement with a beverage concessionaire to provide advertising for the foreseeable future. The Company had one agency through which it sourced advertising revenue that accounted for more than 14.7% of the Company’s gross outstanding receivable balance as of December 26, 2024. The Company had no agencies through which it sourced advertising revenue that accounted for more than 10% of the Company's gross outstanding receivable balance as of December 28, 2023. During the year ended December 26, 2024, the Company had no customer that accounted for 10% or more of the Company's revenue. During the year ended December 28, 2023, the Company had one customer that accounted for 11.2%, respectively, of the Company's revenue. Because we derive a significant percentage of our total revenue from a relatively small number of large companies, the loss of one or more as a customer could decrease our revenue and adversely affect current and future operating results.</w:t>
      </w:r>
    </w:p>
    <w:p>
      <w:pPr>
        <w:spacing w:after="0" w:line="7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contracts for theater advertising allow certain counterparties to engage in activities that might compete with certain elements of our business, which could reduce our revenue and growth potential.</w:t>
      </w:r>
    </w:p>
    <w:p>
      <w:pPr>
        <w:spacing w:after="0" w:line="51" w:lineRule="exact"/>
        <w:rPr>
          <w:sz w:val="20"/>
          <w:szCs w:val="20"/>
          <w:color w:val="auto"/>
        </w:rPr>
      </w:pPr>
    </w:p>
    <w:p>
      <w:pPr>
        <w:ind w:firstLine="608"/>
        <w:spacing w:after="0" w:line="253" w:lineRule="auto"/>
        <w:rPr>
          <w:sz w:val="20"/>
          <w:szCs w:val="20"/>
          <w:color w:val="auto"/>
        </w:rPr>
      </w:pPr>
      <w:r>
        <w:rPr>
          <w:rFonts w:ascii="Times New Roman" w:cs="Times New Roman" w:eastAsia="Times New Roman" w:hAnsi="Times New Roman"/>
          <w:sz w:val="18"/>
          <w:szCs w:val="18"/>
          <w:color w:val="auto"/>
        </w:rPr>
        <w:t>The ESAs and network affiliate agreements contain certain limited exceptions to our exclusive right to use the counterparties’ theaters for our advertising business. Certain counterparties have the right to enter into a limited number of strategic cross-marketing relationships with third-party, unaffiliated businesses for the purpose of generating increased attendance or revenue (other than revenue from the sale of advertising). NCM has limited rights or does not have the right to advertise in certain theater lobbies or agreed to allow the counterparty to sell certain types of inventory on their own behalf. Some of these strategic marketing relationships can include the use of on-screen, LEN and certain types of lobby promotions and can be provided at no cost, but only for the purpose of promoting the products or services of those businesses while at the same time promoting the theater circuit or the movie-going experience and some of these exceptions are broader. The use of LEN or lobby promotions or other inventory by the theater counterparties for these advertisements and programs could result in the theater counterparties creating relationships with advertisers that could adversely affect our advertising revenue and profitability, as well as the potential we have to grow that advertising revenue in the future. In particular, the LEN and lobby promotions represented approximately 0.5% and 0.9% of our total advertising revenue for the year ended December 26, 2024 and December 28, 2023, respectively.</w:t>
      </w:r>
    </w:p>
    <w:p>
      <w:pPr>
        <w:spacing w:after="0" w:line="84" w:lineRule="exact"/>
        <w:rPr>
          <w:sz w:val="20"/>
          <w:szCs w:val="20"/>
          <w:color w:val="auto"/>
        </w:rPr>
      </w:pPr>
    </w:p>
    <w:p>
      <w:pPr>
        <w:ind w:right="140" w:firstLine="608"/>
        <w:spacing w:after="0" w:line="258" w:lineRule="auto"/>
        <w:rPr>
          <w:sz w:val="20"/>
          <w:szCs w:val="20"/>
          <w:color w:val="auto"/>
        </w:rPr>
      </w:pPr>
      <w:r>
        <w:rPr>
          <w:rFonts w:ascii="Times New Roman" w:cs="Times New Roman" w:eastAsia="Times New Roman" w:hAnsi="Times New Roman"/>
          <w:sz w:val="18"/>
          <w:szCs w:val="18"/>
          <w:color w:val="auto"/>
        </w:rPr>
        <w:t>The ESA Parties also have the right to install a network of video monitors in the theater lobbies in excess of those required to be installed for the LEN, and this right has been used to install a significant number of video monitors in theater lobbies. The presence of this additional lobby video network could reduce the effectiveness of our LEN, thereby reducing our current LEN advertising revenue and profitability and adversely affecting future revenue potential associated with that marketing platform. Other network affiliates also have the right to display advertising in the lobby or other areas of their theaters that could potentially conflict with our on-screen advertising.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upon our senior management and our business may be adversely affected if we cannot retain or replace them.</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8" w:name="page29"/>
    <w:bookmarkEnd w:id="28"/>
    <w:p>
      <w:pPr>
        <w:ind w:right="40" w:firstLine="608"/>
        <w:spacing w:after="0" w:line="255" w:lineRule="auto"/>
        <w:rPr>
          <w:sz w:val="20"/>
          <w:szCs w:val="20"/>
          <w:color w:val="auto"/>
        </w:rPr>
      </w:pPr>
      <w:r>
        <w:rPr>
          <w:rFonts w:ascii="Times New Roman" w:cs="Times New Roman" w:eastAsia="Times New Roman" w:hAnsi="Times New Roman"/>
          <w:sz w:val="18"/>
          <w:szCs w:val="18"/>
          <w:color w:val="auto"/>
        </w:rPr>
        <w:t>Our success depends in part upon the retention of our experienced senior management with specialized industry, sales and technical knowledge or industry relationships. In May 2024, the Company replaced its President of Sales, Marketing and Partnerships. If we are not able to find qualified internal or external replacements for critical members of our senior management team, the loss of these key employees could have a material negative impact on our ability to effectively pursue our business strategy and our relationships with advertisers, exhibitors, media and content partners. While the Company has been able to retain our senior management, there is no guarantee that the Company will continue to be able to recruit experienced replacements, or that the Company will not be required to institute additional retention or incentive programs in order to retain senior management. We do not have key-man life insurance covering any of our employees.</w:t>
      </w:r>
    </w:p>
    <w:p>
      <w:pPr>
        <w:spacing w:after="0" w:line="7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ESA Parties and our network affiliates are subject to substantial government regulation, which could limit their current business, slow their future growth of locations and screens and in turn impact our business and slow our growth prospects.</w:t>
      </w:r>
    </w:p>
    <w:p>
      <w:pPr>
        <w:spacing w:after="0" w:line="51" w:lineRule="exact"/>
        <w:rPr>
          <w:sz w:val="20"/>
          <w:szCs w:val="20"/>
          <w:color w:val="auto"/>
        </w:rPr>
      </w:pPr>
    </w:p>
    <w:p>
      <w:pPr>
        <w:ind w:right="100" w:firstLine="608"/>
        <w:spacing w:after="0" w:line="255" w:lineRule="auto"/>
        <w:rPr>
          <w:sz w:val="20"/>
          <w:szCs w:val="20"/>
          <w:color w:val="auto"/>
        </w:rPr>
      </w:pPr>
      <w:r>
        <w:rPr>
          <w:rFonts w:ascii="Times New Roman" w:cs="Times New Roman" w:eastAsia="Times New Roman" w:hAnsi="Times New Roman"/>
          <w:sz w:val="18"/>
          <w:szCs w:val="18"/>
          <w:color w:val="auto"/>
        </w:rPr>
        <w:t>The ESA Parties and our network affiliates are subject to various federal, state and local laws, regulations and administrative practices affecting their movie theater business, including provisions regulating antitrust, health, safety and sanitation standards (including in connection with the COVID-19 Pandemic or other public health events), access for those with disabilities, environmental, and licensing. Some of these laws and regulations also apply directly to us and NCM LLC. Changes in existing laws or implementation of new laws, regulations and practices could have a significant impact on the ESA Parties’, our network affiliates’ and our respective businesses. For example, during a portion of the COVID-19 Pandemic, health and safety laws restricted the ability of the ESA Parties and network affiliates from opening their theaters and operating at full capacity, which significantly impacted their and our businesses.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effectively manage changes to our business strategy to continue the growth of our advertising inventory and network.</w:t>
      </w:r>
    </w:p>
    <w:p>
      <w:pPr>
        <w:spacing w:after="0" w:line="121" w:lineRule="exact"/>
        <w:rPr>
          <w:sz w:val="20"/>
          <w:szCs w:val="20"/>
          <w:color w:val="auto"/>
        </w:rPr>
      </w:pPr>
    </w:p>
    <w:p>
      <w:pPr>
        <w:ind w:firstLine="608"/>
        <w:spacing w:after="0" w:line="255" w:lineRule="auto"/>
        <w:rPr>
          <w:sz w:val="20"/>
          <w:szCs w:val="20"/>
          <w:color w:val="auto"/>
        </w:rPr>
      </w:pPr>
      <w:r>
        <w:rPr>
          <w:rFonts w:ascii="Times New Roman" w:cs="Times New Roman" w:eastAsia="Times New Roman" w:hAnsi="Times New Roman"/>
          <w:sz w:val="18"/>
          <w:szCs w:val="18"/>
          <w:color w:val="auto"/>
        </w:rPr>
        <w:t>If we do not effectively implement our strategy, we may not be able to continue our historical growth. To effectively execute on our strategy to expand our digital offerings and continue to grow our inventory, we will need to develop additional products or obtain access to third-party digital inventory. These enhancements and improvements could require an additional allocation of financial and management resources and acquisition of talent. High turnover, loss of specialized talent or insufficient capital could also place significant demands on management, the success of the organization and our strategic outlook. Our ability to invest in our existing digital business, our new digital out-of-home business and other ventures has been and will continue to be negatively impacted by the COVID-19 Pandemic, NCM LLC’s Chapter 11 Case, and the current industry and economic environment, which may decrease the growth of these businesses.</w:t>
      </w:r>
    </w:p>
    <w:p>
      <w:pPr>
        <w:spacing w:after="0" w:line="79" w:lineRule="exact"/>
        <w:rPr>
          <w:sz w:val="20"/>
          <w:szCs w:val="20"/>
          <w:color w:val="auto"/>
        </w:rPr>
      </w:pPr>
    </w:p>
    <w:p>
      <w:pPr>
        <w:ind w:right="220" w:firstLine="608"/>
        <w:spacing w:after="0" w:line="267" w:lineRule="auto"/>
        <w:rPr>
          <w:sz w:val="20"/>
          <w:szCs w:val="20"/>
          <w:color w:val="auto"/>
        </w:rPr>
      </w:pPr>
      <w:r>
        <w:rPr>
          <w:rFonts w:ascii="Times New Roman" w:cs="Times New Roman" w:eastAsia="Times New Roman" w:hAnsi="Times New Roman"/>
          <w:sz w:val="18"/>
          <w:szCs w:val="18"/>
          <w:color w:val="auto"/>
        </w:rPr>
        <w:t xml:space="preserve">The amount of in-theater inventory we have to sell is limited by the length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In order to maintain in-theater growth we will need to expand the number of theaters and screens in our network. If we lose a significant number of theaters or are unable to expand our network, our revenue and operating results could be adversely impacted.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and Adjusted OIBDA fluctuate from quarter to quarter and may be unpredictable, which could increase the volatility of our stock price.</w:t>
      </w:r>
    </w:p>
    <w:p>
      <w:pPr>
        <w:spacing w:after="0" w:line="121" w:lineRule="exact"/>
        <w:rPr>
          <w:sz w:val="20"/>
          <w:szCs w:val="20"/>
          <w:color w:val="auto"/>
        </w:rPr>
      </w:pPr>
    </w:p>
    <w:p>
      <w:pPr>
        <w:ind w:right="20" w:firstLine="608"/>
        <w:spacing w:after="0" w:line="254" w:lineRule="auto"/>
        <w:rPr>
          <w:sz w:val="20"/>
          <w:szCs w:val="20"/>
          <w:color w:val="auto"/>
        </w:rPr>
      </w:pPr>
      <w:r>
        <w:rPr>
          <w:rFonts w:ascii="Times New Roman" w:cs="Times New Roman" w:eastAsia="Times New Roman" w:hAnsi="Times New Roman"/>
          <w:sz w:val="18"/>
          <w:szCs w:val="18"/>
          <w:color w:val="auto"/>
        </w:rPr>
        <w:t>A weak advertising market, the shift in spending of a major client from one quarter to another, the performance of films released or the mix of attendance from the type and rating of films in a given quarter, a disruption in the release schedule of films or changes in the television scatter market could significantly affect quarter-to-quarter results or even affect annual results. Our revenue and operating results are seasonal in nature, coinciding with the timing of marketing expenditures by our advertising clients and, to a lesser extent, the attendance patterns within the film exhibition industry, which have historically been higher during the second, third and fourth fiscal quarters. Because our results may vary from quarter to quarter and may be unpredictable, our financial results for one quarter cannot necessarily be compared to another quarter or the same quarter in prior years and may not be indicative of our financial performance in subsequent quarters. Additionally, the bankruptcy of one of NCM LLC’s significant network theater circuits, or negative news regarding the theater industry, cinema advertising generally or us could lead to increased volatility in revenue from quarter to quarter. These variations in our financial results could contribute to volatility in our stock price.</w:t>
      </w:r>
    </w:p>
    <w:p>
      <w:pPr>
        <w:spacing w:after="0" w:line="7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services or technology may infringe on intellectual property rights owned by others, which may interfere with our ability to provide services or expose us to increased liability or expense, or otherwise may be affected by our efforts to protect our intellectual property or restrictions or obligations in third-party licenses.</w:t>
      </w:r>
    </w:p>
    <w:p>
      <w:pPr>
        <w:spacing w:after="0" w:line="67" w:lineRule="exact"/>
        <w:rPr>
          <w:sz w:val="20"/>
          <w:szCs w:val="20"/>
          <w:color w:val="auto"/>
        </w:rPr>
      </w:pPr>
    </w:p>
    <w:p>
      <w:pPr>
        <w:ind w:right="100" w:firstLine="608"/>
        <w:spacing w:after="0" w:line="258" w:lineRule="auto"/>
        <w:rPr>
          <w:sz w:val="20"/>
          <w:szCs w:val="20"/>
          <w:color w:val="auto"/>
        </w:rPr>
      </w:pPr>
      <w:r>
        <w:rPr>
          <w:rFonts w:ascii="Times New Roman" w:cs="Times New Roman" w:eastAsia="Times New Roman" w:hAnsi="Times New Roman"/>
          <w:sz w:val="18"/>
          <w:szCs w:val="18"/>
          <w:color w:val="auto"/>
        </w:rPr>
        <w:t xml:space="preserve">Our business uses a variety of intellectual property rights, including copyrights, trademarks, trade secrets, domain names and patents or patentable ideas in the provision of our advertising services, the websites we operate at ncm.com and </w:t>
      </w:r>
      <w:r>
        <w:rPr>
          <w:rFonts w:ascii="Times New Roman" w:cs="Times New Roman" w:eastAsia="Times New Roman" w:hAnsi="Times New Roman"/>
          <w:sz w:val="18"/>
          <w:szCs w:val="18"/>
          <w:i w:val="1"/>
          <w:iCs w:val="1"/>
          <w:color w:val="auto"/>
        </w:rPr>
        <w:t>Noovie.com</w:t>
      </w:r>
      <w:r>
        <w:rPr>
          <w:rFonts w:ascii="Times New Roman" w:cs="Times New Roman" w:eastAsia="Times New Roman" w:hAnsi="Times New Roman"/>
          <w:sz w:val="18"/>
          <w:szCs w:val="18"/>
          <w:color w:val="auto"/>
        </w:rPr>
        <w:t xml:space="preserve">, our digital gaming products including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Trivia and the features and functionality, content and software we make available through those websites and apps. We rely on our own intellectual property rights, as well as intellectual property rights obtained from third parties (including through open-source licenses), to conduct our business and provide our</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right="520"/>
        <w:spacing w:after="0" w:line="282" w:lineRule="auto"/>
        <w:rPr>
          <w:sz w:val="20"/>
          <w:szCs w:val="20"/>
          <w:color w:val="auto"/>
        </w:rPr>
      </w:pPr>
      <w:r>
        <w:rPr>
          <w:rFonts w:ascii="Times New Roman" w:cs="Times New Roman" w:eastAsia="Times New Roman" w:hAnsi="Times New Roman"/>
          <w:sz w:val="18"/>
          <w:szCs w:val="18"/>
          <w:color w:val="auto"/>
        </w:rPr>
        <w:t>in-theater, data, digital and creative services. We may incur expenses, some of which may be significant, in developing, protecting, maintaining, and defending our intellectual property rights or licensing intellectual property from third parties.</w:t>
      </w:r>
    </w:p>
    <w:p>
      <w:pPr>
        <w:spacing w:after="0" w:line="54" w:lineRule="exact"/>
        <w:rPr>
          <w:sz w:val="20"/>
          <w:szCs w:val="20"/>
          <w:color w:val="auto"/>
        </w:rPr>
      </w:pPr>
    </w:p>
    <w:p>
      <w:pPr>
        <w:ind w:right="300" w:firstLine="608"/>
        <w:spacing w:after="0" w:line="282" w:lineRule="auto"/>
        <w:rPr>
          <w:sz w:val="20"/>
          <w:szCs w:val="20"/>
          <w:color w:val="auto"/>
        </w:rPr>
      </w:pPr>
      <w:r>
        <w:rPr>
          <w:rFonts w:ascii="Times New Roman" w:cs="Times New Roman" w:eastAsia="Times New Roman" w:hAnsi="Times New Roman"/>
          <w:sz w:val="18"/>
          <w:szCs w:val="18"/>
          <w:color w:val="auto"/>
        </w:rPr>
        <w:t>In some instances, we may not be able to or may choose not to protect, maintain or defend our intellectual property rights or the laws of certain foreign countries may not protect our intellectual property rights to the same extent as do the laws of the U.S.</w:t>
      </w:r>
    </w:p>
    <w:p>
      <w:pPr>
        <w:spacing w:after="0" w:line="54" w:lineRule="exact"/>
        <w:rPr>
          <w:sz w:val="20"/>
          <w:szCs w:val="20"/>
          <w:color w:val="auto"/>
        </w:rPr>
      </w:pPr>
    </w:p>
    <w:p>
      <w:pPr>
        <w:ind w:firstLine="608"/>
        <w:spacing w:after="0" w:line="255" w:lineRule="auto"/>
        <w:rPr>
          <w:sz w:val="20"/>
          <w:szCs w:val="20"/>
          <w:color w:val="auto"/>
        </w:rPr>
      </w:pPr>
      <w:r>
        <w:rPr>
          <w:rFonts w:ascii="Times New Roman" w:cs="Times New Roman" w:eastAsia="Times New Roman" w:hAnsi="Times New Roman"/>
          <w:sz w:val="18"/>
          <w:szCs w:val="18"/>
          <w:color w:val="auto"/>
        </w:rPr>
        <w:t>We may discover that our business or the technology or methods we use to operate our business infringes patent, trademark, copyright, publicity rights, or other intellectual property rights owned by others or is otherwise negatively impacted by restrictions imposed by our obligations under third-party intellectual property licenses. In addition, our competitors or others may claim rights in patents, trademarks, copyrights, publicity rights, or other intellectual property rights that will prevent, limit or interfere with our ability to provide our in-theater, data, or digital services either in the U.S. or in international markets. We may incur significant costs in protecting our own intellectual property rights or defending or settling intellectual property infringement claims and may face significant damage awards (including the potential for awards of attorneys’ fees) if we are found to be infringing third-party intellectual property rights.</w:t>
      </w:r>
    </w:p>
    <w:p>
      <w:pPr>
        <w:spacing w:after="0" w:line="81" w:lineRule="exact"/>
        <w:rPr>
          <w:sz w:val="20"/>
          <w:szCs w:val="20"/>
          <w:color w:val="auto"/>
        </w:rPr>
      </w:pPr>
    </w:p>
    <w:p>
      <w:pPr>
        <w:ind w:right="20" w:firstLine="608"/>
        <w:spacing w:after="0" w:line="256" w:lineRule="auto"/>
        <w:rPr>
          <w:sz w:val="20"/>
          <w:szCs w:val="20"/>
          <w:color w:val="auto"/>
        </w:rPr>
      </w:pPr>
      <w:r>
        <w:rPr>
          <w:rFonts w:ascii="Times New Roman" w:cs="Times New Roman" w:eastAsia="Times New Roman" w:hAnsi="Times New Roman"/>
          <w:sz w:val="18"/>
          <w:szCs w:val="18"/>
          <w:color w:val="auto"/>
        </w:rPr>
        <w:t>Our in-theater, data and digital services facilitate the distribution of content, and we create content for others. This content includes advertising-related content, as well as movie, television, music, gaming and other media content, much of which is obtained from third parties. Our apps, websites and social media channels also include features enabling users to upload or add their own content and modify certain content. As a distributor of content, we face potential liability for negligence, copyright, patent, trademark or publicity infringement, or other claims based on the content that we distribute or create for others. We or entities that we license or receive content from or distribute content through may not be adequately insured or indemnified to cover claims of these types or liability that may be imposed on us.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117"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with no operations of our own, and we depend on distributions and payments under the NCM LLC operating and management services agreements from NCM LLC to meet our ongoing obligations.</w:t>
      </w:r>
    </w:p>
    <w:p>
      <w:pPr>
        <w:spacing w:after="0" w:line="51" w:lineRule="exact"/>
        <w:rPr>
          <w:sz w:val="20"/>
          <w:szCs w:val="20"/>
          <w:color w:val="auto"/>
        </w:rPr>
      </w:pPr>
    </w:p>
    <w:p>
      <w:pPr>
        <w:ind w:right="20" w:firstLine="608"/>
        <w:spacing w:after="0" w:line="253" w:lineRule="auto"/>
        <w:rPr>
          <w:sz w:val="20"/>
          <w:szCs w:val="20"/>
          <w:color w:val="auto"/>
        </w:rPr>
      </w:pPr>
      <w:r>
        <w:rPr>
          <w:rFonts w:ascii="Times New Roman" w:cs="Times New Roman" w:eastAsia="Times New Roman" w:hAnsi="Times New Roman"/>
          <w:sz w:val="18"/>
          <w:szCs w:val="18"/>
          <w:color w:val="auto"/>
        </w:rPr>
        <w:t>We are a holding company with no operations of our own and have no independent ability to generate cash flow other than interest income on cash balances or other securities owned. Consequently, our ability to obtain operating funds primarily depends upon distributions and payments under the NCM LLC operating and management services agreement from NCM LLC. The distribution of cash flows and other transfers of funds by NCM LLC to us are subject to statutory and contractual restrictions based upon NCM LLC’s financial performance, including NCM LLC’s compliance with the covenants in the 2025 Credit Facility and the NCM LLC Operating Agreement. The 2025 Credit Facility may limit NCM LLC’s ability to distribute cash to its members, including us, based upon certain financial tests, with exceptions for, among other things, payment of our income taxes and a management fee to NCM, Inc. pursuant to the terms of the management services agreement. The declaration of future dividends on our common stock will be at the discretion of our Board of Directors and will depend upon many factors, including NCM LLC’s results of operations, financial condition, earnings, capital requirements, limitations in the 2025 Credit Facility and legal requirements. In the event NCM LLC fails to comply with these covenants and is unable to distribute cash to us quarterly, NCM, Inc.’s ability to make distributions or pay other expenses outside the ordinary course of business may be limited.</w:t>
      </w:r>
    </w:p>
    <w:p>
      <w:pPr>
        <w:spacing w:after="0" w:line="86" w:lineRule="exact"/>
        <w:rPr>
          <w:sz w:val="20"/>
          <w:szCs w:val="20"/>
          <w:color w:val="auto"/>
        </w:rPr>
      </w:pPr>
    </w:p>
    <w:p>
      <w:pPr>
        <w:jc w:val="both"/>
        <w:ind w:right="240" w:firstLine="608"/>
        <w:spacing w:after="0" w:line="266" w:lineRule="auto"/>
        <w:rPr>
          <w:sz w:val="20"/>
          <w:szCs w:val="20"/>
          <w:color w:val="auto"/>
        </w:rPr>
      </w:pPr>
      <w:r>
        <w:rPr>
          <w:rFonts w:ascii="Times New Roman" w:cs="Times New Roman" w:eastAsia="Times New Roman" w:hAnsi="Times New Roman"/>
          <w:sz w:val="18"/>
          <w:szCs w:val="18"/>
          <w:color w:val="auto"/>
        </w:rPr>
        <w:t>Pursuant to the management services agreement between us and NCM LLC, NCM LLC makes payments to us to fund our day-to-day operating expenses, such as payroll. However, if NCM LLC has insufficient cash flow to make the payments pursuant to the management services agreement, we may be unable to cover these expenses.</w:t>
      </w:r>
    </w:p>
    <w:p>
      <w:pPr>
        <w:spacing w:after="0" w:line="68" w:lineRule="exact"/>
        <w:rPr>
          <w:sz w:val="20"/>
          <w:szCs w:val="20"/>
          <w:color w:val="auto"/>
        </w:rPr>
      </w:pPr>
    </w:p>
    <w:p>
      <w:pPr>
        <w:ind w:firstLine="608"/>
        <w:spacing w:after="0" w:line="261" w:lineRule="auto"/>
        <w:rPr>
          <w:sz w:val="20"/>
          <w:szCs w:val="20"/>
          <w:color w:val="auto"/>
        </w:rPr>
      </w:pPr>
      <w:r>
        <w:rPr>
          <w:rFonts w:ascii="Times New Roman" w:cs="Times New Roman" w:eastAsia="Times New Roman" w:hAnsi="Times New Roman"/>
          <w:sz w:val="18"/>
          <w:szCs w:val="18"/>
          <w:color w:val="auto"/>
        </w:rPr>
        <w:t>As a member of NCM LLC, we incur income taxes on our proportionate share of any net taxable income of NCM LLC. The 2025 Credit Facility is structured to allow NCM LLC to distribute cash to its members (including us and NCM LLC’s other members, if any) in amounts sufficient to cover their tax liabilities and management fees, if any. To the extent that NCM LLC has insufficient cash flow to make such payments, it could have a negative impact on our business, financial condition, results of operations or prospects.</w:t>
      </w:r>
    </w:p>
    <w:p>
      <w:pPr>
        <w:spacing w:after="0" w:line="6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actual financial results following NCM LLC’s emergence from bankruptcy may not be comparable to the Company’s historical financial information or to NCM LLC’s projections filed with the Bankruptcy Court.</w:t>
      </w:r>
    </w:p>
    <w:p>
      <w:pPr>
        <w:spacing w:after="0" w:line="51" w:lineRule="exact"/>
        <w:rPr>
          <w:sz w:val="20"/>
          <w:szCs w:val="20"/>
          <w:color w:val="auto"/>
        </w:rPr>
      </w:pPr>
    </w:p>
    <w:p>
      <w:pPr>
        <w:ind w:firstLine="608"/>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historically consolidated NCM LLC’s financial statements, but upon the filing of the Chapter 11 Case and in accordance with applicable GAAP, the Company concluded that NCM, Inc. no longer controlled NCM LLC for accounting purposes as of April 11, 2023, the date on which NCM LLC filed its Chapter 11 Case and NCM LLC was deconsolidated from the Company’s consolidated financial statements prospectively. On August 7, 2023, and subsequent to NCM LLC’s emergence from bankruptcy, NCM, Inc. regained control of NCM LLC. The reconsolidation was treated for accounting purposes as a business combination under </w:t>
      </w:r>
      <w:r>
        <w:rPr>
          <w:rFonts w:ascii="Times New Roman" w:cs="Times New Roman" w:eastAsia="Times New Roman" w:hAnsi="Times New Roman"/>
          <w:sz w:val="18"/>
          <w:szCs w:val="18"/>
          <w:i w:val="1"/>
          <w:iCs w:val="1"/>
          <w:color w:val="auto"/>
        </w:rPr>
        <w:t>ASC 805—Business Combinations</w:t>
      </w:r>
      <w:r>
        <w:rPr>
          <w:rFonts w:ascii="Times New Roman" w:cs="Times New Roman" w:eastAsia="Times New Roman" w:hAnsi="Times New Roman"/>
          <w:sz w:val="18"/>
          <w:szCs w:val="18"/>
          <w:color w:val="auto"/>
        </w:rPr>
        <w:t xml:space="preserve"> and accordingly, the purchase price was allocated to the assets acquired and liabilities assumed based on their estimated fair values as of the date of acquisition,</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0" w:name="page31"/>
    <w:bookmarkEnd w:id="30"/>
    <w:p>
      <w:pPr>
        <w:ind w:right="460"/>
        <w:spacing w:after="0" w:line="282" w:lineRule="auto"/>
        <w:rPr>
          <w:sz w:val="20"/>
          <w:szCs w:val="20"/>
          <w:color w:val="auto"/>
        </w:rPr>
      </w:pPr>
      <w:r>
        <w:rPr>
          <w:rFonts w:ascii="Times New Roman" w:cs="Times New Roman" w:eastAsia="Times New Roman" w:hAnsi="Times New Roman"/>
          <w:sz w:val="18"/>
          <w:szCs w:val="18"/>
          <w:color w:val="auto"/>
        </w:rPr>
        <w:t>the Effective Date. Accordingly, the Company’s future results of operations, financial condition and business may not be comparable to the results of operations, financial condition and business reflected in our historical financial statements.</w:t>
      </w:r>
    </w:p>
    <w:p>
      <w:pPr>
        <w:spacing w:after="0" w:line="54" w:lineRule="exact"/>
        <w:rPr>
          <w:sz w:val="20"/>
          <w:szCs w:val="20"/>
          <w:color w:val="auto"/>
        </w:rPr>
      </w:pPr>
    </w:p>
    <w:p>
      <w:pPr>
        <w:ind w:right="60" w:firstLine="608"/>
        <w:spacing w:after="0" w:line="254" w:lineRule="auto"/>
        <w:rPr>
          <w:sz w:val="20"/>
          <w:szCs w:val="20"/>
          <w:color w:val="auto"/>
        </w:rPr>
      </w:pPr>
      <w:r>
        <w:rPr>
          <w:rFonts w:ascii="Times New Roman" w:cs="Times New Roman" w:eastAsia="Times New Roman" w:hAnsi="Times New Roman"/>
          <w:sz w:val="18"/>
          <w:szCs w:val="18"/>
          <w:color w:val="auto"/>
        </w:rPr>
        <w:t>In connection with filings made with the Bankruptcy Court and as cleansing materials after negotiations with NCM LLC’s creditors, the Company disclosed projected financial information regarding NCM LLC’s future prospects. Those projections were prepared solely for the purpose of negotiations and the bankruptcy proceedings and have not been, and will not be, updated on an ongoing basis and should not be relied upon by investors. At the time they were prepared, the projections reflected numerous assumptions concerning our anticipated future performance with respect to prevailing and anticipated market and economic conditions that were and remain beyond our control and that may not materialize. Projections are inherently subject to substantial and numerous uncertainties and to a wide variety of significant business, economic and competitive risks and the assumptions underlying the projections and/or valuation estimates may prove to be wrong in material respects. Actual results may vary significantly from those contemplated by the projections. As a result, investors should not rely on these projections.</w:t>
      </w:r>
    </w:p>
    <w:p>
      <w:pPr>
        <w:spacing w:after="0" w:line="80"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NCM LLC’s other equityholders or their affiliates, as well as our largest stockholders, may have interests that differ from those of our public stockholders and they may be able to influence our affairs.</w:t>
      </w:r>
    </w:p>
    <w:p>
      <w:pPr>
        <w:spacing w:after="0" w:line="51" w:lineRule="exact"/>
        <w:rPr>
          <w:sz w:val="20"/>
          <w:szCs w:val="20"/>
          <w:color w:val="auto"/>
        </w:rPr>
      </w:pPr>
    </w:p>
    <w:p>
      <w:pPr>
        <w:ind w:firstLine="608"/>
        <w:spacing w:after="0" w:line="253" w:lineRule="auto"/>
        <w:rPr>
          <w:sz w:val="20"/>
          <w:szCs w:val="20"/>
          <w:color w:val="auto"/>
        </w:rPr>
      </w:pPr>
      <w:r>
        <w:rPr>
          <w:rFonts w:ascii="Times New Roman" w:cs="Times New Roman" w:eastAsia="Times New Roman" w:hAnsi="Times New Roman"/>
          <w:sz w:val="18"/>
          <w:szCs w:val="18"/>
          <w:color w:val="auto"/>
        </w:rPr>
        <w:t>As of the Effective Date, NCM Inc. was the only beneficial owner of NCM LLC’s membership units, but AMC and Cinemark continue to have rights to receive additional units pursuant to the terms of the Common Unit Adjustment Agreement. As of August 7, 2023, Blantyre Capital Limited ("Blantyre Capital"), our largest stockholder, obtained beneficial ownership of 26,664,349 shares of our common stock. Their beneficial ownership remains unchanged, representing 27.8% of the Company’s shares outstanding as of December 26, 2024. Additionally, the Company entered into a Director Designation Agreement (the “Designation Agreement”) among the Company, the Consenting Creditor Designation Committee (the “Designation Committee”) and Blantyre Capital in accordance with the Plan. The Designation Agreement provides for the designation of up to six directors, three of whom must be independent, by the Designation Committee and Blantyre Capital with up to two of the directors designated by Blantyre Capital. The number of directors designated will vary based on the ownership level of the Consenting Creditors under the Designation Agreement. In 2024, four directors were appointed under the Designation Agreement. As a result, these stockholders could be in a position to influence or control to some degree the outcome of matters requiring stockholder approval, including the adoption of amendments to our certificate of incorporation and the approval of mergers and other significant corporate transactions. Their influence or control of our Company and NCM LLC may have the effect of delaying or promoting a change of control of our Company and may adversely affect the voting and other rights of other stockholders.</w:t>
      </w:r>
    </w:p>
    <w:p>
      <w:pPr>
        <w:spacing w:after="0" w:line="82" w:lineRule="exact"/>
        <w:rPr>
          <w:sz w:val="20"/>
          <w:szCs w:val="20"/>
          <w:color w:val="auto"/>
        </w:rPr>
      </w:pPr>
    </w:p>
    <w:p>
      <w:pPr>
        <w:ind w:right="120" w:firstLine="608"/>
        <w:spacing w:after="0" w:line="255" w:lineRule="auto"/>
        <w:rPr>
          <w:sz w:val="20"/>
          <w:szCs w:val="20"/>
          <w:color w:val="auto"/>
        </w:rPr>
      </w:pPr>
      <w:r>
        <w:rPr>
          <w:rFonts w:ascii="Times New Roman" w:cs="Times New Roman" w:eastAsia="Times New Roman" w:hAnsi="Times New Roman"/>
          <w:sz w:val="18"/>
          <w:szCs w:val="18"/>
          <w:color w:val="auto"/>
        </w:rPr>
        <w:t>It is possible that the interests of these stockholders may in some circumstances conflict with our interests and the interests of our other stockholders. For example, Blantyre Capital is in the business of making investments in companies and may hold, and may from time to time in the future acquire, interests in or provide advice to businesses that directly or indirectly compete with us. As another example, Cinemark may own shares of NCM, Inc. stock and may have different tax positions from us, especially in light of the TRA that provides for the payment by us to Cinemark of 90% of the amount of any tax benefits that we actually realize, or in some cases are deemed to realize, due to Cinemark’s portion of certain tax assets. This could influence Cinemark’s decisions regarding whether and when we should dispose of assets, and whether and when we or NCM LLC should incur indebtedness.</w:t>
      </w:r>
    </w:p>
    <w:p>
      <w:pPr>
        <w:spacing w:after="0" w:line="77"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between us and the ESA Parties were made in the context of an affiliated relationship and may contain different terms than comparable agreements with unaffiliated third parties.</w:t>
      </w:r>
    </w:p>
    <w:p>
      <w:pPr>
        <w:spacing w:after="0" w:line="51" w:lineRule="exact"/>
        <w:rPr>
          <w:sz w:val="20"/>
          <w:szCs w:val="20"/>
          <w:color w:val="auto"/>
        </w:rPr>
      </w:pPr>
    </w:p>
    <w:p>
      <w:pPr>
        <w:ind w:right="260" w:firstLine="608"/>
        <w:spacing w:after="0" w:line="258" w:lineRule="auto"/>
        <w:rPr>
          <w:sz w:val="20"/>
          <w:szCs w:val="20"/>
          <w:color w:val="auto"/>
        </w:rPr>
      </w:pPr>
      <w:r>
        <w:rPr>
          <w:rFonts w:ascii="Times New Roman" w:cs="Times New Roman" w:eastAsia="Times New Roman" w:hAnsi="Times New Roman"/>
          <w:sz w:val="18"/>
          <w:szCs w:val="18"/>
          <w:color w:val="auto"/>
        </w:rPr>
        <w:t>The ESAs and the other contractual agreements that we have with the ESA Parties were originally negotiated in the context of an affiliated relationship in which representatives of the ESA Parties and their affiliates comprised our entire Board of Directors. As a result, the financial provisions and the other terms of these agreements, such as covenants, contractual obligations on our part and on the part of the ESA Parties and termination and default provisions may be less favorable to us than terms that we might have obtained in negotiations with unaffiliated third parties in similar circumstances.</w:t>
      </w:r>
    </w:p>
    <w:p>
      <w:pPr>
        <w:spacing w:after="0" w:line="7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contain anti-takeover protections that may discourage or prevent strategic transactions, including a takeover of our Company, even if such a transaction would be beneficial to our stockholders.</w:t>
      </w:r>
    </w:p>
    <w:p>
      <w:pPr>
        <w:spacing w:after="0" w:line="51" w:lineRule="exact"/>
        <w:rPr>
          <w:sz w:val="20"/>
          <w:szCs w:val="20"/>
          <w:color w:val="auto"/>
        </w:rPr>
      </w:pPr>
    </w:p>
    <w:p>
      <w:pPr>
        <w:jc w:val="both"/>
        <w:ind w:right="20" w:firstLine="608"/>
        <w:spacing w:after="0" w:line="266" w:lineRule="auto"/>
        <w:rPr>
          <w:sz w:val="20"/>
          <w:szCs w:val="20"/>
          <w:color w:val="auto"/>
        </w:rPr>
      </w:pPr>
      <w:r>
        <w:rPr>
          <w:rFonts w:ascii="Times New Roman" w:cs="Times New Roman" w:eastAsia="Times New Roman" w:hAnsi="Times New Roman"/>
          <w:sz w:val="18"/>
          <w:szCs w:val="18"/>
          <w:color w:val="auto"/>
        </w:rPr>
        <w:t>Provisions contained in our certificate of incorporation and bylaws, the NCM LLC Operating Agreement, and provisions of the Delaware General Corporation Law (“DGCL”), could delay or prevent a third-party from entering into a strategic transaction with us, even if such a transaction would benefit our stockholders. For example, our certificate of incorporation and bylaws:</w:t>
      </w:r>
    </w:p>
    <w:p>
      <w:pPr>
        <w:spacing w:after="0" w:line="68" w:lineRule="exact"/>
        <w:rPr>
          <w:sz w:val="20"/>
          <w:szCs w:val="20"/>
          <w:color w:val="auto"/>
        </w:rPr>
      </w:pPr>
    </w:p>
    <w:p>
      <w:pPr>
        <w:ind w:left="1000" w:right="120" w:hanging="379"/>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could be issued by our Board of Directors to increase the number of outstanding shares, making a takeover more difficult and expensive;</w:t>
      </w:r>
    </w:p>
    <w:p>
      <w:pPr>
        <w:spacing w:after="0" w:line="53"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and</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1" w:name="page32"/>
    <w:bookmarkEnd w:id="31"/>
    <w:p>
      <w:pPr>
        <w:ind w:left="1000" w:hanging="379"/>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permit cumulative voting in the election of directors, which would otherwise allow less than a majority of stockholders to elect director candidates.</w:t>
      </w:r>
    </w:p>
    <w:p>
      <w:pPr>
        <w:spacing w:after="0" w:line="54" w:lineRule="exact"/>
        <w:rPr>
          <w:sz w:val="20"/>
          <w:szCs w:val="20"/>
          <w:color w:val="auto"/>
        </w:rPr>
      </w:pPr>
    </w:p>
    <w:p>
      <w:pPr>
        <w:jc w:val="both"/>
        <w:ind w:right="280" w:firstLine="608"/>
        <w:spacing w:after="0" w:line="266" w:lineRule="auto"/>
        <w:rPr>
          <w:sz w:val="20"/>
          <w:szCs w:val="20"/>
          <w:color w:val="auto"/>
        </w:rPr>
      </w:pPr>
      <w:r>
        <w:rPr>
          <w:rFonts w:ascii="Times New Roman" w:cs="Times New Roman" w:eastAsia="Times New Roman" w:hAnsi="Times New Roman"/>
          <w:sz w:val="18"/>
          <w:szCs w:val="18"/>
          <w:color w:val="auto"/>
        </w:rPr>
        <w:t>These restrictions could keep us from pursuing relationships with strategic partners and from raising additional capital, which could impede our ability to expand our business and strengthen our competitive position. These restrictions could also limit stockholder value by impeding a sale of us or NCM LLC. Further, these restrictions could restrict or limit certain investors from owning our stock.</w:t>
      </w:r>
    </w:p>
    <w:p>
      <w:pPr>
        <w:spacing w:after="0" w:line="64" w:lineRule="exact"/>
        <w:rPr>
          <w:sz w:val="20"/>
          <w:szCs w:val="20"/>
          <w:color w:val="auto"/>
        </w:rPr>
      </w:pPr>
    </w:p>
    <w:p>
      <w:pPr>
        <w:jc w:val="both"/>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future issuance of membership units by NCM LLC and subsequent redemption of such units for common stock could dilute the voting power of our existing common stockholders and adversely affect the market value of our common stock.</w:t>
      </w:r>
    </w:p>
    <w:p>
      <w:pPr>
        <w:spacing w:after="0" w:line="51" w:lineRule="exact"/>
        <w:rPr>
          <w:sz w:val="20"/>
          <w:szCs w:val="20"/>
          <w:color w:val="auto"/>
        </w:rPr>
      </w:pPr>
    </w:p>
    <w:p>
      <w:pPr>
        <w:ind w:right="100" w:firstLine="608"/>
        <w:spacing w:after="0" w:line="254" w:lineRule="auto"/>
        <w:rPr>
          <w:sz w:val="20"/>
          <w:szCs w:val="20"/>
          <w:color w:val="auto"/>
        </w:rPr>
      </w:pPr>
      <w:r>
        <w:rPr>
          <w:rFonts w:ascii="Times New Roman" w:cs="Times New Roman" w:eastAsia="Times New Roman" w:hAnsi="Times New Roman"/>
          <w:sz w:val="18"/>
          <w:szCs w:val="18"/>
          <w:color w:val="auto"/>
        </w:rPr>
        <w:t>The Common Unit Adjustment Agreement and the ESAs provide that NCM LLC will issue common membership units to account for changes in attendance associated with the theaters that the ESA Parties operate and which are made part of our advertising network. Historically, each of the ESA Parties has increased the attendance associated with the theaters it operates in most years. If this trend continues, NCM LLC may issue additional common membership units to the ESA Parties to reflect their increases in attendance associated with theaters. Each common membership unit may be redeemed in exchange for, at our option, shares of our common stock on a one-for-one basis or a cash payment equal to the market price of one share of our common stock. Other than the maximum number of authorized shares of common stock in our certificate of incorporation, there is no limit on the number of shares of our common stock that we may issue upon redemption of an ESA Party’s common membership units in NCM LLC. For further information, refer to Note 6 to the Consolidated Financial Statements included elsewhere in this document.</w:t>
      </w:r>
    </w:p>
    <w:p>
      <w:pPr>
        <w:spacing w:after="0" w:line="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issuance of preferred stock could dilute the voting power of our common stockholders and adversely affect the market value of our common stock.</w:t>
      </w:r>
    </w:p>
    <w:p>
      <w:pPr>
        <w:spacing w:after="0" w:line="51" w:lineRule="exact"/>
        <w:rPr>
          <w:sz w:val="20"/>
          <w:szCs w:val="20"/>
          <w:color w:val="auto"/>
        </w:rPr>
      </w:pPr>
    </w:p>
    <w:p>
      <w:pPr>
        <w:ind w:right="20" w:firstLine="608"/>
        <w:spacing w:after="0" w:line="254" w:lineRule="auto"/>
        <w:rPr>
          <w:sz w:val="20"/>
          <w:szCs w:val="20"/>
          <w:color w:val="auto"/>
        </w:rPr>
      </w:pPr>
      <w:r>
        <w:rPr>
          <w:rFonts w:ascii="Times New Roman" w:cs="Times New Roman" w:eastAsia="Times New Roman" w:hAnsi="Times New Roman"/>
          <w:sz w:val="18"/>
          <w:szCs w:val="18"/>
          <w:color w:val="auto"/>
        </w:rPr>
        <w:t>In connection with NCM LLC’s Plan and the terms of the Restructuring Support Agreement, NCM, Inc. issued 5,000,000 shares of Series A Preferred Stock. The Series A Preferred Stock had no dividends or other economic rights, but voted with the shares of Common Stock with a number of votes per share of Series A Preferred Stock equal to 217.47 shares of common stock. The Series A Preferred Stock was cancelled on August 7, 2023 and no shares remain outstanding. Additionally, on the Effective Date and in connection the consummation of the transactions contemplated by the Plan, the Company issued 50 shares of Series B Preferred Stock to Mr. Lesinski. The Series B Preferred Stock has no voting rights, but shall be entitled to receive cumulative dividends at a dividend rate of 11.0% on the per share liquidation value of $1,000 per share. The future issuance of shares of preferred stock with voting rights may adversely affect the voting power of the holders of our other classes of voting stock, either by diluting the voting power of our other classes of voting stock if they vote together as a single class, or by giving the holders of any such preferred stock the right to block an action on which they have a separate class vote even if the action were approved by the holders of our other classes of voting stock.</w:t>
      </w:r>
    </w:p>
    <w:p>
      <w:pPr>
        <w:spacing w:after="0" w:line="80" w:lineRule="exact"/>
        <w:rPr>
          <w:sz w:val="20"/>
          <w:szCs w:val="20"/>
          <w:color w:val="auto"/>
        </w:rPr>
      </w:pPr>
    </w:p>
    <w:p>
      <w:pPr>
        <w:ind w:right="140" w:firstLine="608"/>
        <w:spacing w:after="0" w:line="258" w:lineRule="auto"/>
        <w:rPr>
          <w:sz w:val="20"/>
          <w:szCs w:val="20"/>
          <w:color w:val="auto"/>
        </w:rPr>
      </w:pPr>
      <w:r>
        <w:rPr>
          <w:rFonts w:ascii="Times New Roman" w:cs="Times New Roman" w:eastAsia="Times New Roman" w:hAnsi="Times New Roman"/>
          <w:sz w:val="18"/>
          <w:szCs w:val="18"/>
          <w:color w:val="auto"/>
        </w:rPr>
        <w:t>The future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For example, investors in the common stock may not wish to purchase common stock at a price above the conversion price of a series of convertible preferred stock because the holders of the preferred stock would effectively be entitled to purchase common stock at the lower conversion price causing economic dilution to the holders of common stock.</w:t>
      </w:r>
    </w:p>
    <w:p>
      <w:pPr>
        <w:spacing w:after="0" w:line="7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determined to be an investment company, we would become subject to burdensome regulatory requirements and our business activities could be restricted.</w:t>
      </w:r>
    </w:p>
    <w:p>
      <w:pPr>
        <w:spacing w:after="0" w:line="51" w:lineRule="exact"/>
        <w:rPr>
          <w:sz w:val="20"/>
          <w:szCs w:val="20"/>
          <w:color w:val="auto"/>
        </w:rPr>
      </w:pPr>
    </w:p>
    <w:p>
      <w:pPr>
        <w:ind w:right="40" w:firstLine="608"/>
        <w:spacing w:after="0" w:line="253" w:lineRule="auto"/>
        <w:rPr>
          <w:sz w:val="20"/>
          <w:szCs w:val="20"/>
          <w:color w:val="auto"/>
        </w:rPr>
      </w:pPr>
      <w:r>
        <w:rPr>
          <w:rFonts w:ascii="Times New Roman" w:cs="Times New Roman" w:eastAsia="Times New Roman" w:hAnsi="Times New Roman"/>
          <w:sz w:val="18"/>
          <w:szCs w:val="18"/>
          <w:color w:val="auto"/>
        </w:rPr>
        <w:t>We do not believe that we are an “investment company” under the Investment Company Act of 1940, as amended. As sole manager of NCM LLC, we control NCM LLC, and our interest in NCM LLC is not an “investment security” as that term is used in the Investment Company Act of 1940. If we were to stop participating in the management of NCM LLC, our interest in NCM LLC could be deemed an “investment security” for purposes of the Investment Company Act of 1940. Generally, a company is an “investment company” if it owns investment securities having a value exceeding 40% of the value of its total assets (excluding U.S. government securities and cash items). Our sole material asset is our equity interest in NCM LLC, and we and NCM LLC intend to conduct our operations so that we are not deemed an investment company under the Investment Company Act of 1940. However, a determination that we are an investment company would cause us to become subject to registration and other burdensome requirements of the Investment Company Act, which could restrict our business activities, including our ability to issue securities, limitations on our capital structure and our ability to enter into transactions with our affiliates. This may make it impractical for us to continue our business as currently conducted and could have a material negative impact on our financial performance and operations.</w:t>
      </w:r>
    </w:p>
    <w:p>
      <w:pPr>
        <w:spacing w:after="0" w:line="8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TRA with the ESA Parties is expected to reduce the amount of overall cash flow that would otherwise be available to us and will increase our potential exposure to the financial condition of the ESA Parties.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ind w:right="20" w:firstLine="608"/>
        <w:spacing w:after="0" w:line="254" w:lineRule="auto"/>
        <w:rPr>
          <w:sz w:val="20"/>
          <w:szCs w:val="20"/>
          <w:color w:val="auto"/>
        </w:rPr>
      </w:pPr>
      <w:r>
        <w:rPr>
          <w:rFonts w:ascii="Times New Roman" w:cs="Times New Roman" w:eastAsia="Times New Roman" w:hAnsi="Times New Roman"/>
          <w:sz w:val="18"/>
          <w:szCs w:val="18"/>
          <w:color w:val="auto"/>
        </w:rPr>
        <w:t>Our initial public offering and related transactions have the effect of reducing the amounts NCM, Inc. would otherwise pay in the future to various tax authorities as a result of an increase in its proportionate share of tax basis in NCM LLC’s tangible and intangible assets. We have agreed in our TRA with the ESA Parties to pay to the ESA Parties 90% of the amount by which NCM, Inc.’s tax payments to various tax authorities are reduced as a result of the increase in tax basis associated with the ESA Parties’ share of certain tax assets. After paying these reduced amounts to tax authorities, if it is determined as a result of an income tax audit or examination that any amount of NCM, Inc.’s claimed tax benefits should not have been available, NCM, Inc. may be required to pay additional taxes and possibly penalties and interest to one or more tax authorities. If this were to occur and if one or more of the ESA Parties was insolvent or bankrupt or otherwise unable to make payment under its indemnification obligation under the TRA, then NCM, Inc.’s financial condition could be negatively impacted.</w:t>
      </w:r>
    </w:p>
    <w:p>
      <w:pPr>
        <w:spacing w:after="0" w:line="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substantial number of shares that are eligible for sale could cause the market price for our common stock to decline or make it difficult for us to sell equity securities in the future.</w:t>
      </w:r>
    </w:p>
    <w:p>
      <w:pPr>
        <w:spacing w:after="0" w:line="51" w:lineRule="exact"/>
        <w:rPr>
          <w:sz w:val="20"/>
          <w:szCs w:val="20"/>
          <w:color w:val="auto"/>
        </w:rPr>
      </w:pPr>
    </w:p>
    <w:p>
      <w:pPr>
        <w:ind w:right="120" w:firstLine="608"/>
        <w:spacing w:after="0" w:line="256" w:lineRule="auto"/>
        <w:rPr>
          <w:sz w:val="20"/>
          <w:szCs w:val="20"/>
          <w:color w:val="auto"/>
        </w:rPr>
      </w:pPr>
      <w:r>
        <w:rPr>
          <w:rFonts w:ascii="Times New Roman" w:cs="Times New Roman" w:eastAsia="Times New Roman" w:hAnsi="Times New Roman"/>
          <w:sz w:val="18"/>
          <w:szCs w:val="18"/>
          <w:color w:val="auto"/>
        </w:rPr>
        <w:t>We cannot predict the effect, if any, that market sales of shares of common stock by Blantyre Capital, Cinemark or any of our significant stockholders will have on the market price of our common stock from time to time. Sales of substantial amounts of shares of our common stock in the public market, or the perception that those sales will occur, could cause the market price of our common stock to decline or make future offerings of our equity securities more difficult. If we are unable to sell equity securities at times and prices that we deem appropriate, we may be unable to fund growth. Additionally, once equity awards held by our employees become vested and/or exercisable, as applicable, to the extent that they are not held by one of our affiliates, the shares acquired upon vesting or exercise are freely tradable.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u w:val="single" w:color="auto"/>
          <w:color w:val="auto"/>
        </w:rPr>
        <w:t>Unresolved Staff Comments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u w:val="single" w:color="auto"/>
          <w:color w:val="auto"/>
        </w:rPr>
        <w:t>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100" w:firstLine="614"/>
        <w:spacing w:after="0" w:line="258" w:lineRule="auto"/>
        <w:rPr>
          <w:sz w:val="20"/>
          <w:szCs w:val="20"/>
          <w:color w:val="auto"/>
        </w:rPr>
      </w:pPr>
      <w:r>
        <w:rPr>
          <w:rFonts w:ascii="Times New Roman" w:cs="Times New Roman" w:eastAsia="Times New Roman" w:hAnsi="Times New Roman"/>
          <w:sz w:val="18"/>
          <w:szCs w:val="18"/>
          <w:color w:val="auto"/>
        </w:rPr>
        <w:t>We maintain a cybersecurity management program designed to identify, assess, manage, mitigate and respond to cybersecurity threats and incidents. We review our program design on at least a quarterly basis and update as needed to address the risks and threats that our corporate security team has identified. Our team also benchmarks our program to industry recognized frameworks, including the International Organization for Standardization. The Audit Committee of the Board of Directors receives regular reports on cybersecurity risks and evaluates these risks as a part of their enterprise risk review.</w:t>
      </w:r>
    </w:p>
    <w:p>
      <w:pPr>
        <w:spacing w:after="0" w:line="75" w:lineRule="exact"/>
        <w:rPr>
          <w:sz w:val="20"/>
          <w:szCs w:val="20"/>
          <w:color w:val="auto"/>
        </w:rPr>
      </w:pPr>
    </w:p>
    <w:p>
      <w:pPr>
        <w:ind w:right="220" w:firstLine="614"/>
        <w:spacing w:after="0" w:line="255" w:lineRule="auto"/>
        <w:rPr>
          <w:sz w:val="20"/>
          <w:szCs w:val="20"/>
          <w:color w:val="auto"/>
        </w:rPr>
      </w:pPr>
      <w:r>
        <w:rPr>
          <w:rFonts w:ascii="Times New Roman" w:cs="Times New Roman" w:eastAsia="Times New Roman" w:hAnsi="Times New Roman"/>
          <w:sz w:val="18"/>
          <w:szCs w:val="18"/>
          <w:color w:val="auto"/>
        </w:rPr>
        <w:t>Our teams also rely on third-party diagnostic tools and periodic audits to ensure that our program is performing as designed and in-line with applicable standards. Our Chief Information Officer oversees a security committee made up of professionals on our corporate security and other information technology teams to review the results of these audits and recommend improvements. Prior to engaging a third party to provide services, our information technology team performs a risk assessment to determine the level of review of the vendor needed based on the nature of the services to be provided and type of information that may be shared. The resulting vendor review may include requiring the vendor to provide the results of external audits. We continue to monitor our vendors throughout their engagements with us to ensure they have complied with their contractual obligations, including service level agreements and other contractual standards.</w:t>
      </w:r>
    </w:p>
    <w:p>
      <w:pPr>
        <w:spacing w:after="0" w:line="81" w:lineRule="exact"/>
        <w:rPr>
          <w:sz w:val="20"/>
          <w:szCs w:val="20"/>
          <w:color w:val="auto"/>
        </w:rPr>
      </w:pPr>
    </w:p>
    <w:p>
      <w:pPr>
        <w:ind w:right="60" w:firstLine="614"/>
        <w:spacing w:after="0" w:line="261" w:lineRule="auto"/>
        <w:rPr>
          <w:sz w:val="20"/>
          <w:szCs w:val="20"/>
          <w:color w:val="auto"/>
        </w:rPr>
      </w:pPr>
      <w:r>
        <w:rPr>
          <w:rFonts w:ascii="Times New Roman" w:cs="Times New Roman" w:eastAsia="Times New Roman" w:hAnsi="Times New Roman"/>
          <w:sz w:val="18"/>
          <w:szCs w:val="18"/>
          <w:color w:val="auto"/>
        </w:rPr>
        <w:t>We have also established an incident response plan to assess, identify and manage specific potential cybersecurity incidents. This plan requires the corporate security team to notify a response team. The response team assesses the risks of the identified potential incident and determines an appropriate response based on the risks identified. The response team then reports on the incident to senior management and, if necessary, a subset of our financial disclosure committee to determine if the cybersecurity incident should be reported in our public filings.</w:t>
      </w:r>
    </w:p>
    <w:p>
      <w:pPr>
        <w:spacing w:after="0" w:line="72" w:lineRule="exact"/>
        <w:rPr>
          <w:sz w:val="20"/>
          <w:szCs w:val="20"/>
          <w:color w:val="auto"/>
        </w:rPr>
      </w:pPr>
    </w:p>
    <w:p>
      <w:pPr>
        <w:ind w:firstLine="614"/>
        <w:spacing w:after="0" w:line="266" w:lineRule="auto"/>
        <w:rPr>
          <w:sz w:val="20"/>
          <w:szCs w:val="20"/>
          <w:color w:val="auto"/>
        </w:rPr>
      </w:pPr>
      <w:r>
        <w:rPr>
          <w:rFonts w:ascii="Times New Roman" w:cs="Times New Roman" w:eastAsia="Times New Roman" w:hAnsi="Times New Roman"/>
          <w:sz w:val="18"/>
          <w:szCs w:val="18"/>
          <w:color w:val="auto"/>
        </w:rPr>
        <w:t>We face cybersecurity risks in connection with our business operations. Although such risks have not materially affected us, including our business strategy, results of operations or financial condition, to date, we have experienced threats to our data and systems, including social engineering threats, denial of service attacks, malware and computer virus attacks. For more information about the cybersecurity risks we face, see Item 1A—</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17" w:lineRule="exact"/>
        <w:rPr>
          <w:sz w:val="20"/>
          <w:szCs w:val="20"/>
          <w:color w:val="auto"/>
        </w:rPr>
      </w:pPr>
    </w:p>
    <w:p>
      <w:pPr>
        <w:ind w:right="100" w:firstLine="61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Board Oversight</w:t>
      </w:r>
      <w:r>
        <w:rPr>
          <w:rFonts w:ascii="Times New Roman" w:cs="Times New Roman" w:eastAsia="Times New Roman" w:hAnsi="Times New Roman"/>
          <w:sz w:val="18"/>
          <w:szCs w:val="18"/>
          <w:color w:val="auto"/>
        </w:rPr>
        <w:t>—The Audit Committee of the Board of Directors oversees the Company’s cybersecurity program. The cybersecurity team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updates the Audit Committee on at least a quarterly basis to discuss the effectiveness of the Company’s risk management program, potential and identified threats, remediation and mitigation plans, and other topics as requested by the Audit Committee. The Audit Committee regularly reports to the full Board of Directors and management reports on specific matters as requested by the Board of Directors.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ind w:right="40" w:firstLine="61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Management’s Role</w:t>
      </w:r>
      <w:r>
        <w:rPr>
          <w:rFonts w:ascii="Times New Roman" w:cs="Times New Roman" w:eastAsia="Times New Roman" w:hAnsi="Times New Roman"/>
          <w:sz w:val="18"/>
          <w:szCs w:val="18"/>
          <w:color w:val="auto"/>
        </w:rPr>
        <w:t>—The Company’s Chief Information Officer is responsible for the Company’s cybersecurity team and for reporting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Audit Committee of the Board of Directors. The Company’s corporate security team reports directly to the Chief Information Officer. Our Chief Information Officer has more than thirty years of experience managing communication networks, data centers, information technology teams, systems administration and cybersecurity in the media and advertising industry. Our corporate security team is similarly composed of seasoned professionals with significant experience in the field. The Chief Information Officer regularly informs the Company’s senior management regarding the prevention, detection, mitigation and remediation of cybersecurity incidents and supervises such efforts. The corporate security team has a broad range of experience selecting, deploying and operating cybersecurity technologies initiatives and seeks to ensure that each team stays educated on emerging technologies and threats.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Properties</w:t>
      </w:r>
    </w:p>
    <w:p>
      <w:pPr>
        <w:spacing w:after="0" w:line="121" w:lineRule="exact"/>
        <w:rPr>
          <w:sz w:val="20"/>
          <w:szCs w:val="20"/>
          <w:color w:val="auto"/>
        </w:rPr>
      </w:pPr>
    </w:p>
    <w:p>
      <w:pPr>
        <w:ind w:right="100" w:firstLine="614"/>
        <w:spacing w:after="0" w:line="266" w:lineRule="auto"/>
        <w:rPr>
          <w:sz w:val="20"/>
          <w:szCs w:val="20"/>
          <w:color w:val="auto"/>
        </w:rPr>
      </w:pPr>
      <w:r>
        <w:rPr>
          <w:rFonts w:ascii="Times New Roman" w:cs="Times New Roman" w:eastAsia="Times New Roman" w:hAnsi="Times New Roman"/>
          <w:sz w:val="18"/>
          <w:szCs w:val="18"/>
          <w:color w:val="auto"/>
        </w:rPr>
        <w:t>The Company's headquarters are located in Centennial, Colorado. As of December 26, 2024, the Company also leases offices in New York, Los Angeles and Chicago. We own no material real property. We believe that all of our present facilities are adequate for our current needs and that additional space is available for future expansion on acceptable terms.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Legal Proceedings</w:t>
      </w:r>
    </w:p>
    <w:p>
      <w:pPr>
        <w:spacing w:after="0" w:line="121" w:lineRule="exact"/>
        <w:rPr>
          <w:sz w:val="20"/>
          <w:szCs w:val="20"/>
          <w:color w:val="auto"/>
        </w:rPr>
      </w:pPr>
    </w:p>
    <w:p>
      <w:pPr>
        <w:ind w:right="80" w:firstLine="614"/>
        <w:spacing w:after="0" w:line="254" w:lineRule="auto"/>
        <w:rPr>
          <w:sz w:val="20"/>
          <w:szCs w:val="20"/>
          <w:color w:val="auto"/>
        </w:rPr>
      </w:pPr>
      <w:r>
        <w:rPr>
          <w:rFonts w:ascii="Times New Roman" w:cs="Times New Roman" w:eastAsia="Times New Roman" w:hAnsi="Times New Roman"/>
          <w:sz w:val="18"/>
          <w:szCs w:val="18"/>
          <w:color w:val="auto"/>
        </w:rPr>
        <w:t>On June 26, 2023, the Bankruptcy Court entered an order authorizing NCM LLC’s entry into the Regal Advertising Agreement and the Regal Termination Agreement (the “Regal Order”). On June 27, 2023, the Bankruptcy Court entered the Confirmation Order approving the Disclosure Statement on a final basis and confirming the Company’s Plan. On August 7, 2023, the conditions precedent to the Plan were satisfied and NCM LLC emerged from bankruptcy. On June 29, 2023, AMC and Cinemark filed a notice of appeal of the Confirmation Order, and a week later appealed the Regal Order. Subsequently, AMC and Cinemark sought a stay of the Confirmation Order and Regal Order in the Bankruptcy Court, the District Court for the Southern District of Texas, and the Fifth Circuit Court of Appeals, all of which denied the request. Following AMC and Cinemark’s consolidated appeal on the merits, the District Court for the Southern District of Texas confirmed the Confirmation Order and the Regal Order on August 13, 2024. The consolidated appeals of the District Court’s decision on the merits are pending in the Fifth Circuit Court of Appeals.</w:t>
      </w:r>
    </w:p>
    <w:p>
      <w:pPr>
        <w:spacing w:after="0" w:line="84" w:lineRule="exact"/>
        <w:rPr>
          <w:sz w:val="20"/>
          <w:szCs w:val="20"/>
          <w:color w:val="auto"/>
        </w:rPr>
      </w:pPr>
    </w:p>
    <w:p>
      <w:pPr>
        <w:ind w:right="460" w:firstLine="614"/>
        <w:spacing w:after="0" w:line="282" w:lineRule="auto"/>
        <w:rPr>
          <w:sz w:val="20"/>
          <w:szCs w:val="20"/>
          <w:color w:val="auto"/>
        </w:rPr>
      </w:pPr>
      <w:r>
        <w:rPr>
          <w:rFonts w:ascii="Times New Roman" w:cs="Times New Roman" w:eastAsia="Times New Roman" w:hAnsi="Times New Roman"/>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ind w:right="180" w:firstLine="614"/>
        <w:spacing w:after="0" w:line="266" w:lineRule="auto"/>
        <w:rPr>
          <w:sz w:val="20"/>
          <w:szCs w:val="20"/>
          <w:color w:val="auto"/>
        </w:rPr>
      </w:pPr>
      <w:r>
        <w:rPr>
          <w:rFonts w:ascii="Times New Roman" w:cs="Times New Roman" w:eastAsia="Times New Roman" w:hAnsi="Times New Roman"/>
          <w:sz w:val="18"/>
          <w:szCs w:val="18"/>
          <w:color w:val="auto"/>
        </w:rPr>
        <w:t>Shown below are the names, ages as of the filing date of this Form 10-K and current positions of our executive officers. There are no family relationships between any of the persons listed below, or between any of such persons and any of the directors of the Company or any persons nominated or chosen by the Company to become a director or executive officer of the Company.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80" w:type="dxa"/>
            <w:vAlign w:val="bottom"/>
          </w:tcPr>
          <w:p>
            <w:pPr>
              <w:spacing w:after="0"/>
              <w:rPr>
                <w:sz w:val="15"/>
                <w:szCs w:val="15"/>
                <w:color w:val="auto"/>
              </w:rPr>
            </w:pPr>
          </w:p>
        </w:tc>
        <w:tc>
          <w:tcPr>
            <w:tcW w:w="6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Thomas F. Lesinski</w:t>
            </w:r>
          </w:p>
        </w:tc>
        <w:tc>
          <w:tcPr>
            <w:tcW w:w="12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65</w:t>
            </w:r>
          </w:p>
        </w:tc>
        <w:tc>
          <w:tcPr>
            <w:tcW w:w="180" w:type="dxa"/>
            <w:vAlign w:val="bottom"/>
            <w:shd w:val="clear" w:color="auto" w:fill="CFF0FC"/>
          </w:tcPr>
          <w:p>
            <w:pPr>
              <w:spacing w:after="0"/>
              <w:rPr>
                <w:sz w:val="18"/>
                <w:szCs w:val="18"/>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Ronnie Y. Ng</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45</w:t>
            </w:r>
          </w:p>
        </w:tc>
        <w:tc>
          <w:tcPr>
            <w:tcW w:w="18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Catherine Sullivan</w:t>
            </w:r>
          </w:p>
        </w:tc>
        <w:tc>
          <w:tcPr>
            <w:tcW w:w="12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59</w:t>
            </w:r>
          </w:p>
        </w:tc>
        <w:tc>
          <w:tcPr>
            <w:tcW w:w="180" w:type="dxa"/>
            <w:vAlign w:val="bottom"/>
            <w:shd w:val="clear" w:color="auto" w:fill="CFF0FC"/>
          </w:tcPr>
          <w:p>
            <w:pPr>
              <w:spacing w:after="0"/>
              <w:rPr>
                <w:sz w:val="18"/>
                <w:szCs w:val="18"/>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President of Sales, Marketing &amp; Partnerships</w:t>
            </w: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Maria V. Woods</w:t>
            </w:r>
          </w:p>
        </w:tc>
        <w:tc>
          <w:tcPr>
            <w:tcW w:w="12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56</w:t>
            </w:r>
          </w:p>
        </w:tc>
        <w:tc>
          <w:tcPr>
            <w:tcW w:w="18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pacing w:after="0" w:line="83" w:lineRule="exact"/>
        <w:rPr>
          <w:sz w:val="20"/>
          <w:szCs w:val="20"/>
          <w:color w:val="auto"/>
        </w:rPr>
      </w:pPr>
    </w:p>
    <w:p>
      <w:pPr>
        <w:ind w:right="20" w:firstLine="61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Thomas F. Lesinski. </w:t>
      </w:r>
      <w:r>
        <w:rPr>
          <w:rFonts w:ascii="Times New Roman" w:cs="Times New Roman" w:eastAsia="Times New Roman" w:hAnsi="Times New Roman"/>
          <w:sz w:val="18"/>
          <w:szCs w:val="18"/>
          <w:color w:val="auto"/>
        </w:rPr>
        <w:t>Mr. Lesinski was appointed Chief Executive Officer of NCM, Inc. in August 2019. Prior to his current position, Mr. Lesinski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the Non-Employee Chairman of the Board of Directors of NCM, Inc. since August 2018 and as a member of the Board of Directors of NCM, Inc. since 2014. In addition to his roles on the Board of Directors of NCM, Inc., Mr. Lesinski also served as the Chief Executive Officer of Sonar Entertainment, an independent entertainment studio, from January 2016 to August 2019. Mr. Lesinski served as the founder and CEO of Energi Entertainment, a multi-media content production company, from August 2014 until December 2015. From 2013 to 2014, Mr. Lesinski was President of Digital Content and Distribution at Legendary Entertainment, a leading media company dedicated to owning, producing and delivering content to mainstream audiences with a targeted focus on the powerful fandom demographic. Prior to that role, from 2006 to 2013, Mr. Lesinski served as President, Digital Entertainment at Paramount Pictures, a global producer and distributor of filmed entertainment. Mr. Lesinski also served as President of Worldwide Home Entertainment at Paramount Pictures for three years, prior to which, he spent ten years as an Executive Vice President and General Manager at Warner Bros. Entertainment and was a Managing Director for an advertising agency.</w:t>
      </w:r>
    </w:p>
    <w:p>
      <w:pPr>
        <w:spacing w:after="0" w:line="77" w:lineRule="exact"/>
        <w:rPr>
          <w:sz w:val="20"/>
          <w:szCs w:val="20"/>
          <w:color w:val="auto"/>
        </w:rPr>
      </w:pPr>
    </w:p>
    <w:p>
      <w:pPr>
        <w:jc w:val="both"/>
        <w:ind w:right="360" w:firstLine="614"/>
        <w:spacing w:after="0" w:line="267" w:lineRule="auto"/>
        <w:rPr>
          <w:sz w:val="20"/>
          <w:szCs w:val="20"/>
          <w:color w:val="auto"/>
        </w:rPr>
      </w:pPr>
      <w:r>
        <w:rPr>
          <w:rFonts w:ascii="Times New Roman" w:cs="Times New Roman" w:eastAsia="Times New Roman" w:hAnsi="Times New Roman"/>
          <w:sz w:val="18"/>
          <w:szCs w:val="18"/>
          <w:i w:val="1"/>
          <w:iCs w:val="1"/>
          <w:color w:val="auto"/>
        </w:rPr>
        <w:t>Ronnie Y. Ng</w:t>
      </w:r>
      <w:r>
        <w:rPr>
          <w:rFonts w:ascii="Times New Roman" w:cs="Times New Roman" w:eastAsia="Times New Roman" w:hAnsi="Times New Roman"/>
          <w:sz w:val="18"/>
          <w:szCs w:val="18"/>
          <w:color w:val="auto"/>
        </w:rPr>
        <w:t>. Mr. Ng was appointed Chief Financial Officer in September 2021. Mr. Ng previously served as the Chief Financial Officer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Head of Corporate Development of Allen Media Group from October 2018 until September 2021 where he led the company's finance organization and oversaw multiple large scale acquisitions and the refinancing of the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4" w:name="page35"/>
    <w:bookmarkEnd w:id="34"/>
    <w:p>
      <w:pPr>
        <w:spacing w:after="0" w:line="255" w:lineRule="auto"/>
        <w:rPr>
          <w:sz w:val="20"/>
          <w:szCs w:val="20"/>
          <w:color w:val="auto"/>
        </w:rPr>
      </w:pPr>
      <w:r>
        <w:rPr>
          <w:rFonts w:ascii="Times New Roman" w:cs="Times New Roman" w:eastAsia="Times New Roman" w:hAnsi="Times New Roman"/>
          <w:sz w:val="18"/>
          <w:szCs w:val="18"/>
          <w:color w:val="auto"/>
        </w:rPr>
        <w:t>company's capital structure. Before joining Allen Media Group, Mr. Ng served as Vice President in the Fixed Income Group for TCW Group from 2013 to 2018 where he invested in investment grade corporate bonds, high-yield bonds and leveraged loans. Prior to joining TCW Group, Mr. Ng was an investment banker for approximately 10 years. From 2006 to 2012 he was an Executive Director at UBS Investment Bank’s Global Media Group where he managed, advised, and structured various financings and mergers and acquisition transactions. Previously, Mr. Ng held similar investment banking positions from 2003 to 2006 at Deutsche Bank and Houlihan Lokey. Prior to Mr. Ng’s investment banking career, he provided financial and accounting due diligence services for merger and acquisition and financing transactions at Arthur Andersen. Mr. Ng holds a Bachelor of Science degree in finance from the University of Illinois at Urbana-Champaign and was a licensed general securities representative (Series 7) and Uniform Securities Agent (Series 63).</w:t>
      </w:r>
    </w:p>
    <w:p>
      <w:pPr>
        <w:spacing w:after="0" w:line="79" w:lineRule="exact"/>
        <w:rPr>
          <w:sz w:val="20"/>
          <w:szCs w:val="20"/>
          <w:color w:val="auto"/>
        </w:rPr>
      </w:pPr>
    </w:p>
    <w:p>
      <w:pPr>
        <w:ind w:right="100" w:firstLine="61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Catherine Sullivan. </w:t>
      </w:r>
      <w:r>
        <w:rPr>
          <w:rFonts w:ascii="Times New Roman" w:cs="Times New Roman" w:eastAsia="Times New Roman" w:hAnsi="Times New Roman"/>
          <w:sz w:val="18"/>
          <w:szCs w:val="18"/>
          <w:color w:val="auto"/>
        </w:rPr>
        <w:t>Ms. Sullivan was appointed as President of Sales, Marketing &amp; Partnerships in May 2024. Prior to this appointment, 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Sullivan founded CSA Media, a media consulting firm, in August 2023 through which she served as an advisor to several private companies in the media and ad tech sectors. Ms. Sullivan was previously the Chief Executive Officer of PHD Media US, a media and advertising agency, from September 2020 to June 2023. Before PHD Media US, Ms. Sullivan served as the President of Investment from October 2016 to February 2019 and Chief Investment Officer of North America from February 2019 to September 2020 for Omnicom Media Group, a media and advertising agency. Prior to working for Omnicom Media Group, Ms. Sullivan held sales leadership roles at ABC Television from 2001 to 2016 and began her career working in progressively senior roles in the sales organization at NBC Universal from 1988 to 2001.</w:t>
      </w:r>
    </w:p>
    <w:p>
      <w:pPr>
        <w:spacing w:after="0" w:line="75" w:lineRule="exact"/>
        <w:rPr>
          <w:sz w:val="20"/>
          <w:szCs w:val="20"/>
          <w:color w:val="auto"/>
        </w:rPr>
      </w:pPr>
    </w:p>
    <w:p>
      <w:pPr>
        <w:ind w:right="80" w:firstLine="61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Maria V. Woods. </w:t>
      </w:r>
      <w:r>
        <w:rPr>
          <w:rFonts w:ascii="Times New Roman" w:cs="Times New Roman" w:eastAsia="Times New Roman" w:hAnsi="Times New Roman"/>
          <w:sz w:val="18"/>
          <w:szCs w:val="18"/>
          <w:color w:val="auto"/>
        </w:rPr>
        <w:t>Ms. Woods was appointed Executive Vice President and General Counsel in September 2021. Ms. Woods previously served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key leadership roles on NCM’s legal team from 2010 through 2015, rising to the role of National CineMedia, LLC’s EVP and General Counsel. Ms. Woods previously served as General Counsel for Lucky’s Market from June of 2015 to June of 2020, including during its bankruptcy proceedings in January of 2020. In between her role at Lucky’s Market and returning to NCM in September 2021, Ms. Woods served as General Counsel and Secretary at JumpCloud, Inc., providing strategic legal counsel for all legal aspects of the company’s SaaS identity management business, including, corporate governance, merger and acquisition activity, financing and stock repurchases and commercial contracting and served as General Counsel &amp; Secretary at ONE Group Hospitality, Inc. Earlier in her career, she was Associate General Counsel at Einstein Noah Restaurant Group, Inc. and Assistant General Counsel at Sun Microsystems, Inc. She began her career at Holme Roberts &amp; Owen (now Bryan Cave) in Denver. She holds a Bachelor of Arts in Communications Studies from the University of Iowa and a Juris Doctorate from the University of Denver Sturm College of Law.</w:t>
      </w:r>
    </w:p>
    <w:p>
      <w:pPr>
        <w:spacing w:after="0" w:line="7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right="280" w:firstLine="608"/>
        <w:spacing w:after="0" w:line="282" w:lineRule="auto"/>
        <w:rPr>
          <w:sz w:val="20"/>
          <w:szCs w:val="20"/>
          <w:color w:val="auto"/>
        </w:rPr>
      </w:pPr>
      <w:r>
        <w:rPr>
          <w:rFonts w:ascii="Times New Roman" w:cs="Times New Roman" w:eastAsia="Times New Roman" w:hAnsi="Times New Roman"/>
          <w:sz w:val="18"/>
          <w:szCs w:val="18"/>
          <w:color w:val="auto"/>
        </w:rPr>
        <w:t>Our common stock, $0.01 par value, is traded on The Nasdaq Global Select Market under the symbol “NCMI”. There were 226 stockholders of record as of February 28, 2025 (does not include beneficial holders of shares held in “street name”).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120" w:firstLine="608"/>
        <w:spacing w:after="0" w:line="261" w:lineRule="auto"/>
        <w:rPr>
          <w:sz w:val="20"/>
          <w:szCs w:val="20"/>
          <w:color w:val="auto"/>
        </w:rPr>
      </w:pPr>
      <w:r>
        <w:rPr>
          <w:rFonts w:ascii="Times New Roman" w:cs="Times New Roman" w:eastAsia="Times New Roman" w:hAnsi="Times New Roman"/>
          <w:sz w:val="18"/>
          <w:szCs w:val="18"/>
          <w:color w:val="auto"/>
        </w:rPr>
        <w:t>At the discretion of the Board of Directors, the Company will consider returning a portion of its free cash flow to stockholders. The declaration, payment, timing and amount of any future dividends payable will be at the sole discretion of the Board of Directors who will take into account general economic and advertising market business conditions, the Company’s financial condition, available cash, current and anticipated cash needs and any other factors that the Board of Directors considers relevant.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firstLine="614"/>
        <w:spacing w:after="0" w:line="282" w:lineRule="auto"/>
        <w:rPr>
          <w:sz w:val="20"/>
          <w:szCs w:val="20"/>
          <w:color w:val="auto"/>
        </w:rPr>
      </w:pPr>
      <w:r>
        <w:rPr>
          <w:rFonts w:ascii="Times New Roman" w:cs="Times New Roman" w:eastAsia="Times New Roman" w:hAnsi="Times New Roman"/>
          <w:sz w:val="18"/>
          <w:szCs w:val="18"/>
          <w:color w:val="auto"/>
        </w:rPr>
        <w:t>The table below provides information about shares purchased in connection with the Company’s share repurchase program during the three months ended December 26, 2024.</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Number (or</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(b)</w:t>
            </w:r>
          </w:p>
        </w:tc>
        <w:tc>
          <w:tcPr>
            <w:tcW w:w="2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47"/>
        </w:trPr>
        <w:tc>
          <w:tcPr>
            <w:tcW w:w="4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2"/>
                <w:szCs w:val="12"/>
                <w:color w:val="auto"/>
              </w:rPr>
            </w:pPr>
          </w:p>
        </w:tc>
        <w:tc>
          <w:tcPr>
            <w:tcW w:w="13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78"/>
              <w:spacing w:after="0" w:line="147"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220" w:type="dxa"/>
            <w:vAlign w:val="bottom"/>
          </w:tcPr>
          <w:p>
            <w:pPr>
              <w:spacing w:after="0"/>
              <w:rPr>
                <w:sz w:val="12"/>
                <w:szCs w:val="12"/>
                <w:color w:val="auto"/>
              </w:rPr>
            </w:pPr>
          </w:p>
        </w:tc>
        <w:tc>
          <w:tcPr>
            <w:tcW w:w="14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75"/>
        </w:trPr>
        <w:tc>
          <w:tcPr>
            <w:tcW w:w="486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2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14"/>
                <w:szCs w:val="14"/>
                <w:b w:val="1"/>
                <w:bCs w:val="1"/>
                <w:i w:val="1"/>
                <w:iCs w:val="1"/>
                <w:color w:val="auto"/>
              </w:rPr>
              <w:t>(1)</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 xml:space="preserve">(in millions) </w:t>
            </w:r>
            <w:r>
              <w:rPr>
                <w:rFonts w:ascii="Times New Roman" w:cs="Times New Roman" w:eastAsia="Times New Roman" w:hAnsi="Times New Roman"/>
                <w:sz w:val="14"/>
                <w:szCs w:val="14"/>
                <w:b w:val="1"/>
                <w:bCs w:val="1"/>
                <w:i w:val="1"/>
                <w:iCs w:val="1"/>
                <w:color w:val="auto"/>
              </w:rPr>
              <w:t>(1)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27, 2024 through October 24, 2024</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169,895</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169,895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25, 2024 through November 28, 2024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60,608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60,608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November 29, 2024 through December 26, 2024</w:t>
            </w:r>
          </w:p>
        </w:tc>
        <w:tc>
          <w:tcPr>
            <w:tcW w:w="1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for the quarter ended December 26, 2024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300,503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300,503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000" w:type="dxa"/>
            <w:vAlign w:val="bottom"/>
            <w:tcBorders>
              <w:bottom w:val="single" w:sz="8" w:color="auto"/>
            </w:tcBorders>
          </w:tcPr>
          <w:p>
            <w:pPr>
              <w:spacing w:after="0"/>
              <w:rPr>
                <w:sz w:val="6"/>
                <w:szCs w:val="6"/>
                <w:color w:val="auto"/>
              </w:rPr>
            </w:pPr>
          </w:p>
        </w:tc>
        <w:tc>
          <w:tcPr>
            <w:tcW w:w="1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-239395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-239395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-239395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-239395</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 w:lineRule="exact"/>
        <w:rPr>
          <w:sz w:val="20"/>
          <w:szCs w:val="20"/>
          <w:color w:val="auto"/>
        </w:rPr>
      </w:pPr>
    </w:p>
    <w:p>
      <w:pPr>
        <w:ind w:left="1000" w:right="100" w:hanging="378"/>
        <w:spacing w:after="0" w:line="261" w:lineRule="auto"/>
        <w:tabs>
          <w:tab w:leader="none" w:pos="986"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March 18, 2024, the Board of Directors of the Company approved a stock repurchase program under which the Company is authorized to use assets of the Company to repurchase up to $100.0 million of shares of the 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[RESERVED]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119" w:lineRule="exact"/>
        <w:rPr>
          <w:sz w:val="20"/>
          <w:szCs w:val="20"/>
          <w:color w:val="auto"/>
        </w:rPr>
      </w:pPr>
    </w:p>
    <w:p>
      <w:pPr>
        <w:ind w:right="60" w:firstLine="608"/>
        <w:spacing w:after="0" w:line="254" w:lineRule="auto"/>
        <w:rPr>
          <w:sz w:val="20"/>
          <w:szCs w:val="20"/>
          <w:color w:val="auto"/>
        </w:rPr>
      </w:pPr>
      <w:r>
        <w:rPr>
          <w:rFonts w:ascii="Times New Roman" w:cs="Times New Roman" w:eastAsia="Times New Roman" w:hAnsi="Times New Roman"/>
          <w:sz w:val="18"/>
          <w:szCs w:val="18"/>
          <w:i w:val="1"/>
          <w:iCs w:val="1"/>
          <w:color w:val="auto"/>
        </w:rPr>
        <w:t>As discussed in the forepart of this report, some of the information in this Annual Report on Form 10-K includes “forward-looking statements” within the meaning of Section 27A of the Securities Act of 1933, as amended, and Section 21E of the Securities Exchange Act of 1934, as amended (the “Exchange Act”). All statements other than statements of historical facts included in this Form 10-K,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The following discussion and analysis should be read in conjunction with our historical financial statements and the related notes thereto included elsewhere in this document. In the following discussion and analysis, the term net income refers to net income attributable to NCM, Inc.</w:t>
      </w:r>
    </w:p>
    <w:p>
      <w:pPr>
        <w:spacing w:after="0" w:line="80" w:lineRule="exact"/>
        <w:rPr>
          <w:sz w:val="20"/>
          <w:szCs w:val="20"/>
          <w:color w:val="auto"/>
        </w:rPr>
      </w:pPr>
    </w:p>
    <w:p>
      <w:pPr>
        <w:jc w:val="both"/>
        <w:ind w:right="80" w:firstLine="608"/>
        <w:spacing w:after="0" w:line="261" w:lineRule="auto"/>
        <w:rPr>
          <w:sz w:val="20"/>
          <w:szCs w:val="20"/>
          <w:color w:val="auto"/>
        </w:rPr>
      </w:pPr>
      <w:r>
        <w:rPr>
          <w:rFonts w:ascii="Times New Roman" w:cs="Times New Roman" w:eastAsia="Times New Roman" w:hAnsi="Times New Roman"/>
          <w:sz w:val="18"/>
          <w:szCs w:val="18"/>
          <w:i w:val="1"/>
          <w:iCs w:val="1"/>
          <w:color w:val="auto"/>
        </w:rPr>
        <w:t>This following section of this Form 10-K generally discusses fiscal 2024 and fiscal 2023 items and year-to-year comparisons between fiscal 2024 and fiscal 2023. Discussions of fiscal 2022 items and year-to-year comparisons between fiscal 2023 and fiscal 2022 that are not included in this Form 10-K can be found in “Management’s Discussion and Analysis of Financial Condition and Results of Operations” in Part II, Item 7 of the Company’s Annual Report on Form 10-K for the fiscal year ended December 28,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608"/>
        <w:spacing w:after="0" w:line="261" w:lineRule="auto"/>
        <w:rPr>
          <w:sz w:val="20"/>
          <w:szCs w:val="20"/>
          <w:color w:val="auto"/>
        </w:rPr>
      </w:pPr>
      <w:r>
        <w:rPr>
          <w:rFonts w:ascii="Times New Roman" w:cs="Times New Roman" w:eastAsia="Times New Roman" w:hAnsi="Times New Roman"/>
          <w:sz w:val="18"/>
          <w:szCs w:val="18"/>
          <w:color w:val="auto"/>
        </w:rPr>
        <w:t xml:space="preserve">National CineMedia is the largest cinema advertising platform in the US. With unparalleled reach and scale, NCM connects brands to sought-after young, diverse audiences through the power of movies and pop culture. A premium video, full-funnel marketing solution for advertisers, NCM enhances marketers’ ability to measure and drive results. We currently derive revenue principally from the sale of advertising to national, regional and local businesses in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our cinema advertising and entertainment show seen on movie screens across the U.S.</w:t>
      </w:r>
    </w:p>
    <w:p>
      <w:pPr>
        <w:spacing w:after="0" w:line="70" w:lineRule="exact"/>
        <w:rPr>
          <w:sz w:val="20"/>
          <w:szCs w:val="20"/>
          <w:color w:val="auto"/>
        </w:rPr>
      </w:pPr>
    </w:p>
    <w:p>
      <w:pPr>
        <w:ind w:right="20" w:firstLine="608"/>
        <w:spacing w:after="0" w:line="258" w:lineRule="auto"/>
        <w:rPr>
          <w:sz w:val="20"/>
          <w:szCs w:val="20"/>
          <w:color w:val="auto"/>
        </w:rPr>
      </w:pPr>
      <w:r>
        <w:rPr>
          <w:rFonts w:ascii="Times New Roman" w:cs="Times New Roman" w:eastAsia="Times New Roman" w:hAnsi="Times New Roman"/>
          <w:sz w:val="18"/>
          <w:szCs w:val="18"/>
          <w:color w:val="auto"/>
        </w:rPr>
        <w:t xml:space="preserve">We present multiple formats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depending on the theater circuit in which it runs, which may include Post-Showtime advertising inventory after the advertised showtime. As of December 26, 2024, theaters presenting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format with Post-Showtime Inventory made up approximately 65.0% of our network. All other NCM network theater circuits, which make up the remaining 35.0% of our network, present The </w:t>
      </w:r>
      <w:r>
        <w:rPr>
          <w:rFonts w:ascii="Times New Roman" w:cs="Times New Roman" w:eastAsia="Times New Roman" w:hAnsi="Times New Roman"/>
          <w:sz w:val="18"/>
          <w:szCs w:val="18"/>
          <w:i w:val="1"/>
          <w:iCs w:val="1"/>
          <w:color w:val="auto"/>
        </w:rPr>
        <w:t xml:space="preserve">Noovie </w:t>
      </w:r>
      <w:r>
        <w:rPr>
          <w:rFonts w:ascii="Times New Roman" w:cs="Times New Roman" w:eastAsia="Times New Roman" w:hAnsi="Times New Roman"/>
          <w:sz w:val="18"/>
          <w:szCs w:val="18"/>
          <w:color w:val="auto"/>
        </w:rPr>
        <w:t>Show, without Post-Showtime advertising inventory. The movie trailers presented by the theater circuits that run before the feature film are not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w:t>
      </w:r>
    </w:p>
    <w:p>
      <w:pPr>
        <w:spacing w:after="0" w:line="77" w:lineRule="exact"/>
        <w:rPr>
          <w:sz w:val="20"/>
          <w:szCs w:val="20"/>
          <w:color w:val="auto"/>
        </w:rPr>
      </w:pPr>
    </w:p>
    <w:p>
      <w:pPr>
        <w:ind w:right="60" w:firstLine="608"/>
        <w:spacing w:after="0" w:line="258" w:lineRule="auto"/>
        <w:rPr>
          <w:sz w:val="20"/>
          <w:szCs w:val="20"/>
          <w:color w:val="auto"/>
        </w:rPr>
      </w:pPr>
      <w:r>
        <w:rPr>
          <w:rFonts w:ascii="Times New Roman" w:cs="Times New Roman" w:eastAsia="Times New Roman" w:hAnsi="Times New Roman"/>
          <w:sz w:val="18"/>
          <w:szCs w:val="18"/>
          <w:color w:val="auto"/>
        </w:rPr>
        <w:t>We also sell advertising on our LEN, a series of strategically-placed screens located in movie theater lobbies, as well as other forms of advertising, promotions and experiences in theater lobbies. In addition, we sell digital advertising through NCMx and NCM Boost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connect brands with audiences across all screens, both in theaters and beyond, before, during and after their moviegoing experience. As of December 26, 2024, approximately 7.4 million moviegoers have downloaded our mobile apps. These downloads and the acquisition of second- and third-party data sets have resulted in unique data records of approximately 824.4 million as of December 26, 2024. We have long-term ESAs (approximately 14.1 weighted average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4" w:right="339" w:bottom="1440" w:gutter="0" w:footer="0" w:header="0"/>
        </w:sectPr>
      </w:pPr>
    </w:p>
    <w:bookmarkStart w:id="36" w:name="page37"/>
    <w:bookmarkEnd w:id="36"/>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years) with the ESA Parties and multi-year agreements with network affiliates, which expire at various dates between July 7, 2025 and July 13, 2033, with our largest affiliate agreement expiring on July 13, 2033. The weighted average remaining term of the ESAs and the network affiliate agreements is 11.3 years as of December 26, 2024. The ESAs and network affiliate agreements grant NCM LLC exclusive rights in their theaters to sell advertising, subject to limited exceptions.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and our LEN programming are distributed predominantly via satellite through our proprietary DCN.</w:t>
      </w:r>
    </w:p>
    <w:p>
      <w:pPr>
        <w:spacing w:after="0" w:line="72" w:lineRule="exact"/>
        <w:rPr>
          <w:sz w:val="20"/>
          <w:szCs w:val="20"/>
          <w:color w:val="auto"/>
        </w:rPr>
      </w:pPr>
    </w:p>
    <w:p>
      <w:pPr>
        <w:ind w:firstLine="608"/>
        <w:spacing w:after="0" w:line="254" w:lineRule="auto"/>
        <w:rPr>
          <w:sz w:val="20"/>
          <w:szCs w:val="20"/>
          <w:color w:val="auto"/>
        </w:rPr>
      </w:pPr>
      <w:r>
        <w:rPr>
          <w:rFonts w:ascii="Times New Roman" w:cs="Times New Roman" w:eastAsia="Times New Roman" w:hAnsi="Times New Roman"/>
          <w:sz w:val="18"/>
          <w:szCs w:val="18"/>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We focus on many operating metrics including revenue, Adjusted OIBDA and Adjusted OIBDA margin, as some of our primary measurement metrics. In addition, we monitor our monthly advertising performance measurements, including advertising inventory utilization, advertising pricing (CPM), local advertising rate per theater per week, advertising revenue per attendee, as well as significant operating expenses and related trends. We also monitor free cash flow, cash balances, the fixed charge coverage ratio and revolving credit facility availability to ensure financial debt covenant compliance and that there is adequate cash availability to fund our working capital needs, debt obligations and any future dividends declared by our Board of Directors.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firstLine="61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Debt Agreement</w:t>
      </w:r>
      <w:r>
        <w:rPr>
          <w:rFonts w:ascii="Times New Roman" w:cs="Times New Roman" w:eastAsia="Times New Roman" w:hAnsi="Times New Roman"/>
          <w:sz w:val="18"/>
          <w:szCs w:val="18"/>
          <w:color w:val="auto"/>
        </w:rPr>
        <w:t>—On January 24, 2025, NCM LLC as borrower, entered into a Loan and Security Agreement with U.S. Bank 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Association, as lender. The agreement provides for a $45.0 million senior secured revolving credit facility (the “2025 Credit Facility”) that matures on January 24, 2028. In connection with entering into the 2025 Credit Facility, NCM LLC repaid in full the $10.0 million balance outstanding as of December 26, 2024 and terminated all commitments under its 2023 Revolving Credit Facility, and in connection with this termination, paid a prepayment fee equal to 1% of the total commitment. The 2025 Credit Facility is expected to result in a meaningful reduction of the Company’s overall interest expense, extends the maturity date to 2028 and is a cash flow-based revolving loan compared to the asset-based revolving loan of the 2023 Revolving Credit Facility. As of March 6, 2025, NCM LLC has not made any borrowings under the 2025 Credit Facility. Borrowings under the 2025 Credit Facility may be used for, among other things, working capital and other general corporate purposes of the Company and bear interest at a floating rate equal to term SOFR (subject to a floor of zero) plus an applicable margin of 2.00%, which is subject to increase by an additional 2.00% upon the occurrence of an event of default.</w:t>
      </w:r>
    </w:p>
    <w:p>
      <w:pPr>
        <w:spacing w:after="0" w:line="80" w:lineRule="exact"/>
        <w:rPr>
          <w:sz w:val="20"/>
          <w:szCs w:val="20"/>
          <w:color w:val="auto"/>
        </w:rPr>
      </w:pPr>
    </w:p>
    <w:p>
      <w:pPr>
        <w:ind w:firstLine="60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Other Investments</w:t>
      </w:r>
      <w:r>
        <w:rPr>
          <w:rFonts w:ascii="Times New Roman" w:cs="Times New Roman" w:eastAsia="Times New Roman" w:hAnsi="Times New Roman"/>
          <w:sz w:val="18"/>
          <w:szCs w:val="18"/>
          <w:color w:val="auto"/>
        </w:rPr>
        <w:t>—On October 1, 2024, the Company invested $1.0 million in cash to acquire equity interests in an advertising-related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Additionally, on October 8, 2024, the Company entered into an agreement with an entertainment company to exchange $2.0 million of on-screen advertising to be provided over a three-year term for equity interests. These investments are included in ‘Other investments’ on the audited Consolidated Balance Sheets as of December 26, 2024.</w:t>
      </w:r>
    </w:p>
    <w:p>
      <w:pPr>
        <w:spacing w:after="0" w:line="68" w:lineRule="exact"/>
        <w:rPr>
          <w:sz w:val="20"/>
          <w:szCs w:val="20"/>
          <w:color w:val="auto"/>
        </w:rPr>
      </w:pPr>
    </w:p>
    <w:p>
      <w:pPr>
        <w:ind w:right="20" w:firstLine="60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Share Repurchase Program</w:t>
      </w:r>
      <w:r>
        <w:rPr>
          <w:rFonts w:ascii="Times New Roman" w:cs="Times New Roman" w:eastAsia="Times New Roman" w:hAnsi="Times New Roman"/>
          <w:sz w:val="18"/>
          <w:szCs w:val="18"/>
          <w:color w:val="auto"/>
        </w:rPr>
        <w:t>—On March 18, 2024, the Board of Directors of the Company approved a stock repurchase program under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Company is authorized to use assets of the Company to repurchase up to $100.0 million of shares of the 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 During the year ended December 26, 2024, 2,524,991 shares were repurchased on the open market or privately negotiated purchases. In accordance with </w:t>
      </w:r>
      <w:r>
        <w:rPr>
          <w:rFonts w:ascii="Times New Roman" w:cs="Times New Roman" w:eastAsia="Times New Roman" w:hAnsi="Times New Roman"/>
          <w:sz w:val="18"/>
          <w:szCs w:val="18"/>
          <w:i w:val="1"/>
          <w:iCs w:val="1"/>
          <w:color w:val="auto"/>
        </w:rPr>
        <w:t>Accounting Standards Codification</w:t>
      </w:r>
      <w:r>
        <w:rPr>
          <w:rFonts w:ascii="Times New Roman" w:cs="Times New Roman" w:eastAsia="Times New Roman" w:hAnsi="Times New Roman"/>
          <w:sz w:val="18"/>
          <w:szCs w:val="18"/>
          <w:color w:val="auto"/>
        </w:rPr>
        <w:t xml:space="preserve"> (“ASC”) </w:t>
      </w:r>
      <w:r>
        <w:rPr>
          <w:rFonts w:ascii="Times New Roman" w:cs="Times New Roman" w:eastAsia="Times New Roman" w:hAnsi="Times New Roman"/>
          <w:sz w:val="18"/>
          <w:szCs w:val="18"/>
          <w:i w:val="1"/>
          <w:iCs w:val="1"/>
          <w:color w:val="auto"/>
        </w:rPr>
        <w:t>505—Equity</w:t>
      </w:r>
      <w:r>
        <w:rPr>
          <w:rFonts w:ascii="Times New Roman" w:cs="Times New Roman" w:eastAsia="Times New Roman" w:hAnsi="Times New Roman"/>
          <w:sz w:val="18"/>
          <w:szCs w:val="18"/>
          <w:color w:val="auto"/>
        </w:rPr>
        <w:t>, these shares were retired and the excess over par value paid of $13.4 million was recorded as a reduction to retained earnings during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26, 2024.</w:t>
      </w:r>
    </w:p>
    <w:p>
      <w:pPr>
        <w:spacing w:after="0" w:line="75" w:lineRule="exact"/>
        <w:rPr>
          <w:sz w:val="20"/>
          <w:szCs w:val="20"/>
          <w:color w:val="auto"/>
        </w:rPr>
      </w:pPr>
    </w:p>
    <w:p>
      <w:pPr>
        <w:ind w:right="100" w:firstLine="61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Reverse Stock Split</w:t>
      </w:r>
      <w:r>
        <w:rPr>
          <w:rFonts w:ascii="Times New Roman" w:cs="Times New Roman" w:eastAsia="Times New Roman" w:hAnsi="Times New Roman"/>
          <w:sz w:val="18"/>
          <w:szCs w:val="18"/>
          <w:color w:val="auto"/>
        </w:rPr>
        <w:t>—On August 3, 2023, the Company effected a one-for-ten (1:10) reverse stock split of its common stock, par value $0.01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The reverse stock split, which was authorized by its Board of Directors, was approved by the Company’s stockholders on August 2, 2023. The reverse stock split reduced the number of outstanding shares of the Company’s common stock from 174,112,385 shares as of August 3, 2023, to 17,411,323 shares outstanding post-split. After the cancellation of Regal’s shares on August 7, 2023, there were 13,343,065 shares outstanding. The primary purpose of the reverse stock split was to comply with the Company’s obligations under the NCMI 9019 Settlement so that the Plan could become effective, as well as, to increase the per share market price of the Company’s common stock in an effort to maintain compliance with applicable Nasdaq continued listing standards with respect to the closing price of the Company’s common stock.</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7" w:name="page38"/>
    <w:bookmarkEnd w:id="37"/>
    <w:p>
      <w:pPr>
        <w:ind w:firstLine="61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Bankruptcy Filing, Deconsolidation and Reconsolidation of NCM LLC</w:t>
      </w:r>
      <w:r>
        <w:rPr>
          <w:rFonts w:ascii="Times New Roman" w:cs="Times New Roman" w:eastAsia="Times New Roman" w:hAnsi="Times New Roman"/>
          <w:sz w:val="18"/>
          <w:szCs w:val="18"/>
          <w:color w:val="auto"/>
        </w:rPr>
        <w:t>—On April 11, 2023, NCM LLC filed a voluntary petition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reorganization with a prearranged Chapter 11 plan under Chapter 11 of Title 11 of the United States Code in the Bankruptcy Code in the Bankruptcy Court. During the Chapter 11 Case, the Company was deemed to no longer control NCM LLC for accounting purposes and NCM LLC was deconsolidated from the Company’s financial statements prospectively as of April 11, 2023. We continued to operate as the manager of the debtor-in-possession pursuant to the authority granted under Chapter 11 of the Bankruptcy Code throughout the Chapter 11 Case.</w:t>
      </w:r>
    </w:p>
    <w:p>
      <w:pPr>
        <w:spacing w:after="0" w:line="75" w:lineRule="exact"/>
        <w:rPr>
          <w:sz w:val="20"/>
          <w:szCs w:val="20"/>
          <w:color w:val="auto"/>
        </w:rPr>
      </w:pPr>
    </w:p>
    <w:p>
      <w:pPr>
        <w:ind w:right="20" w:firstLine="614"/>
        <w:spacing w:after="0" w:line="253" w:lineRule="auto"/>
        <w:rPr>
          <w:sz w:val="20"/>
          <w:szCs w:val="20"/>
          <w:color w:val="auto"/>
        </w:rPr>
      </w:pPr>
      <w:r>
        <w:rPr>
          <w:rFonts w:ascii="Times New Roman" w:cs="Times New Roman" w:eastAsia="Times New Roman" w:hAnsi="Times New Roman"/>
          <w:sz w:val="18"/>
          <w:szCs w:val="18"/>
          <w:color w:val="auto"/>
        </w:rPr>
        <w:t>On June 27, 2023, the Bankruptcy Court entered the Confirmation Order approving the Disclosure Statement on a final basis and confirming the Company’s Plan. Following confirmation of the Plan on August 7, 2023, all the conditions to effectiveness of the Plan were satisfied or waived, the Restructuring Transactions were substantially consummated and NCM LLC emerged from bankruptcy. Among other things, on the Effective Date, in accordance with the Plan, all common units under the NCM LLC Operating Agreement were canceled and extinguished, NCM, Inc. received NCM LLC common units and transferred the NCM Capital Contribution of approximately $15.5 million to NCM LLC, NCM LLC assumed certain unexpired Executory Contracts and Unexpired Leases, including AMC’s and Cinemark’s ESAs, NCM LLC transferred $8.8 million of cash to a professional fees escrow account and $15.0 million to an unsecured creditor settlements escrow account for the General Unsecured Claim Pool. NCM LLC commenced distributions to creditors, including the issuance of shares of NCM, Inc. common stock to holders of Secured Debt Claims and NCM LLC entered into an Exit Facility to support operations upon emergence. As a result of the Plan, all historical debt of NCM LLC was discharged and NCM LLC recorded a gain on bankruptcy of $916.4 million for the year ended December 28, 2023.</w:t>
      </w:r>
    </w:p>
    <w:p>
      <w:pPr>
        <w:spacing w:after="0" w:line="86" w:lineRule="exact"/>
        <w:rPr>
          <w:sz w:val="20"/>
          <w:szCs w:val="20"/>
          <w:color w:val="auto"/>
        </w:rPr>
      </w:pPr>
    </w:p>
    <w:p>
      <w:pPr>
        <w:ind w:right="40" w:firstLine="614"/>
        <w:spacing w:after="0" w:line="258" w:lineRule="auto"/>
        <w:rPr>
          <w:sz w:val="20"/>
          <w:szCs w:val="20"/>
          <w:color w:val="auto"/>
        </w:rPr>
      </w:pPr>
      <w:r>
        <w:rPr>
          <w:rFonts w:ascii="Times New Roman" w:cs="Times New Roman" w:eastAsia="Times New Roman" w:hAnsi="Times New Roman"/>
          <w:sz w:val="18"/>
          <w:szCs w:val="18"/>
          <w:color w:val="auto"/>
        </w:rPr>
        <w:t xml:space="preserve">Additionally, upon emergence from bankruptcy, NCM, Inc., regained control and retained 100.0% ownership of NCM LLC, after taking into account elections by the holders of Secured Debt Claims to receive NCM, Inc. common stock in lieu of NCM LLC common units and was therefore reconsolidated into the Company’s financial statements prospectively as of August 7, 2023 akin to an acquisition under </w:t>
      </w:r>
      <w:r>
        <w:rPr>
          <w:rFonts w:ascii="Times New Roman" w:cs="Times New Roman" w:eastAsia="Times New Roman" w:hAnsi="Times New Roman"/>
          <w:sz w:val="18"/>
          <w:szCs w:val="18"/>
          <w:i w:val="1"/>
          <w:iCs w:val="1"/>
          <w:color w:val="auto"/>
        </w:rPr>
        <w:t>ASC 805 – Business Combinations</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i w:val="1"/>
          <w:iCs w:val="1"/>
          <w:color w:val="auto"/>
        </w:rPr>
        <w:t>ASC 805</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assets and liabilities of NCM LLC were adjusted to their estimated fair value as of the Effective Date.</w:t>
      </w:r>
    </w:p>
    <w:p>
      <w:pPr>
        <w:spacing w:after="0" w:line="75" w:lineRule="exact"/>
        <w:rPr>
          <w:sz w:val="20"/>
          <w:szCs w:val="20"/>
          <w:color w:val="auto"/>
        </w:rPr>
      </w:pPr>
    </w:p>
    <w:p>
      <w:pPr>
        <w:ind w:firstLine="614"/>
        <w:spacing w:after="0" w:line="261" w:lineRule="auto"/>
        <w:rPr>
          <w:sz w:val="20"/>
          <w:szCs w:val="20"/>
          <w:color w:val="auto"/>
        </w:rPr>
      </w:pPr>
      <w:r>
        <w:rPr>
          <w:rFonts w:ascii="Times New Roman" w:cs="Times New Roman" w:eastAsia="Times New Roman" w:hAnsi="Times New Roman"/>
          <w:sz w:val="18"/>
          <w:szCs w:val="18"/>
          <w:color w:val="auto"/>
        </w:rPr>
        <w:t>As of December 26, 2024, the Company has not completed all agreed upon payments to the General Unsecured Claim Pool, due to the existence of one pre-petition litigation matter that is ongoing in the Bankruptcy Court, the result of which could impact the payments to other unsecured creditors from the General Unsecured Claims Pool and held a total of $3.0 million within the escrow accounts and accruals, presented within ‘Restricted cash’ and ‘Accounts Payable’ on the audited Consolidated Balance Sheets as of December 26, 2024 and December 28, 2023, respectively.</w:t>
      </w:r>
    </w:p>
    <w:p>
      <w:pPr>
        <w:spacing w:after="0" w:line="68" w:lineRule="exact"/>
        <w:rPr>
          <w:sz w:val="20"/>
          <w:szCs w:val="20"/>
          <w:color w:val="auto"/>
        </w:rPr>
      </w:pPr>
    </w:p>
    <w:p>
      <w:pPr>
        <w:ind w:right="160" w:firstLine="61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Regal Advertising Agreement</w:t>
      </w:r>
      <w:r>
        <w:rPr>
          <w:rFonts w:ascii="Times New Roman" w:cs="Times New Roman" w:eastAsia="Times New Roman" w:hAnsi="Times New Roman"/>
          <w:sz w:val="18"/>
          <w:szCs w:val="18"/>
          <w:color w:val="auto"/>
        </w:rPr>
        <w:t>—On September 7, 2022, Cineworld Group plc, the parent company of Regal, and certain of its subsidiaries,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Regal, Regal Cinemas, Inc., formerly a party to an ESA with NCM LLC, and Regal CineMedia Holdings, LLC, formerly a party to other agreements with NCM LLC and NCM, Inc., filed petitions for reorganization under Chapter 11 of the United States Bankruptcy Code in the Southern District of Texas. On October 21, 2022, Regal filed a motion to reject the ESA without specifying an effective date for the rejection and indicated that Regal planned on negotiating with NCM LLC. NCM LLC also filed an adversary proceeding against Regal seeking declaratory relief and an injunction prohibiting Regal from breaching certain exclusivity, non-compete, non-negotiate and confidentiality provisions in the ESA by entering into a new agreement with a third-party or bringing any of the services performed by NCM LLC in-house. On February 1, 2023, Cineworld filed a motion for summary judgment on NCM LLC’s adversary proceeding. On May 5, 2023, NCM LLC and Regal agreed to stay the ongoing litigation while the parties worked towards the terms of a new arrangement for NCM LLC to provide advertising services to Regal. In lieu of litigating Regal’s potential rejection of the ESA and NCM LLC’s adversary proceeding against Regal, the parties negotiated a Regal Advertising Agreement and Regal Termination Agreement. The Regal Advertising Agreement was effective on July 14, 2023 and provides that NCM LLC acquired the exclusive right to provide on-screen advertisements at Regal’s theaters for a term of ten years in exchange for payments based on the attendance at Regal’s theaters and the revenue generated by NCM LLC through advertising displayed in Regal’s theaters.</w:t>
      </w:r>
    </w:p>
    <w:p>
      <w:pPr>
        <w:spacing w:after="0" w:line="83" w:lineRule="exact"/>
        <w:rPr>
          <w:sz w:val="20"/>
          <w:szCs w:val="20"/>
          <w:color w:val="auto"/>
        </w:rPr>
      </w:pPr>
    </w:p>
    <w:p>
      <w:pPr>
        <w:ind w:right="20" w:firstLine="614"/>
        <w:spacing w:after="0" w:line="256" w:lineRule="auto"/>
        <w:rPr>
          <w:sz w:val="20"/>
          <w:szCs w:val="20"/>
          <w:color w:val="auto"/>
        </w:rPr>
      </w:pPr>
      <w:r>
        <w:rPr>
          <w:rFonts w:ascii="Times New Roman" w:cs="Times New Roman" w:eastAsia="Times New Roman" w:hAnsi="Times New Roman"/>
          <w:sz w:val="18"/>
          <w:szCs w:val="18"/>
          <w:color w:val="auto"/>
        </w:rPr>
        <w:t>Pursuant to the Regal Advertising Agreement, NCM LLC has the right to display advertising in Regal’s theaters with a program of inventory that provides for (i) up to five minutes in length for exhibition on-screen immediately prior to showtime of a feature film or digital programming event, (ii) up to ten minutes immediately after the showtime of a feature film, extending the time available to NCM LLC by five minutes, and (iii) the Platinum Spot that may be exhibited on-screen prior to the last two trailers, which may be either thirty or sixty seconds in length, and subject to Regal’s approval, NCM LLC may display two thirty-second spots in the Platinum Spot and a Gold Spot, a thirty second spot displayed immediately prior to the fourth trailer preceding a feature film or digital programming event.</w:t>
      </w:r>
    </w:p>
    <w:p>
      <w:pPr>
        <w:spacing w:after="0" w:line="79" w:lineRule="exact"/>
        <w:rPr>
          <w:sz w:val="20"/>
          <w:szCs w:val="20"/>
          <w:color w:val="auto"/>
        </w:rPr>
      </w:pPr>
    </w:p>
    <w:p>
      <w:pPr>
        <w:ind w:right="60" w:firstLine="614"/>
        <w:spacing w:after="0" w:line="281" w:lineRule="auto"/>
        <w:rPr>
          <w:sz w:val="20"/>
          <w:szCs w:val="20"/>
          <w:color w:val="auto"/>
        </w:rPr>
      </w:pPr>
      <w:r>
        <w:rPr>
          <w:rFonts w:ascii="Times New Roman" w:cs="Times New Roman" w:eastAsia="Times New Roman" w:hAnsi="Times New Roman"/>
          <w:sz w:val="17"/>
          <w:szCs w:val="17"/>
          <w:color w:val="auto"/>
        </w:rPr>
        <w:t>Pursuant to the Regal Termination Agreement, effective on July 14, 2023, Regal rejected and terminated the ESA. Additionally Regal and Regal’s affiliates’ waived all rights and interests as to the Tax Receivable Agreement, the Common Unit Adjustment Agreement, the Software License Agreement, the Director Designation Agreement, the Registration Rights Agreement and all the other joint venture agreements described in NCM LLC’s Company Operating Agreement and Regal and Regal’s affiliates waived and released claims against other parties thereto. In connection with the Regal Advertising</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8" w:name="page39"/>
    <w:bookmarkEnd w:id="38"/>
    <w:p>
      <w:pPr>
        <w:ind w:right="20"/>
        <w:spacing w:after="0" w:line="266" w:lineRule="auto"/>
        <w:rPr>
          <w:sz w:val="20"/>
          <w:szCs w:val="20"/>
          <w:color w:val="auto"/>
        </w:rPr>
      </w:pPr>
      <w:r>
        <w:rPr>
          <w:rFonts w:ascii="Times New Roman" w:cs="Times New Roman" w:eastAsia="Times New Roman" w:hAnsi="Times New Roman"/>
          <w:sz w:val="18"/>
          <w:szCs w:val="18"/>
          <w:color w:val="auto"/>
        </w:rPr>
        <w:t>Agreement, NCM LLC and Regal also agreed to dismiss with prejudice the ongoing litigation between the parties related to NCM LLC’s request to enforce certain provisions of the ESA, including the exclusivity provision. Following the effective date of the Regal Termination Agreement of July 14, 2023, Regal is no longer an ESA Party or related party and is included within the network affiliate metrics.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Operating Data</w:t>
      </w:r>
    </w:p>
    <w:p>
      <w:pPr>
        <w:spacing w:after="0" w:line="121" w:lineRule="exact"/>
        <w:rPr>
          <w:sz w:val="20"/>
          <w:szCs w:val="20"/>
          <w:color w:val="auto"/>
        </w:rPr>
      </w:pPr>
    </w:p>
    <w:p>
      <w:pPr>
        <w:ind w:right="80" w:firstLine="614"/>
        <w:spacing w:after="0" w:line="255" w:lineRule="auto"/>
        <w:rPr>
          <w:sz w:val="20"/>
          <w:szCs w:val="20"/>
          <w:color w:val="auto"/>
        </w:rPr>
      </w:pPr>
      <w:r>
        <w:rPr>
          <w:rFonts w:ascii="Times New Roman" w:cs="Times New Roman" w:eastAsia="Times New Roman" w:hAnsi="Times New Roman"/>
          <w:sz w:val="18"/>
          <w:szCs w:val="18"/>
          <w:color w:val="auto"/>
        </w:rPr>
        <w:t>The results of operations data for the years ended December 26, 2024 and December 28, 2023 and the balance sheet data as of December 26, 2024 and December 28, 2023 are derived from the audited Consolidated Financial Statements of NCM, Inc. included elsewhere in this document. Within the financial results outlined below, all activity during the Chapter 11 Case from April 11, 2023 to August 7, 2023 when NCM LLC was deconsolidated from NCM, Inc. represents activity and balances for NCM, Inc. standalone. All activity and balances prior to the deconsolidation of NCM LLC on April 11, 2023 and after the reconsolidation of NCM LLC on August 7, 2023 represent NCM, Inc. consolidated, inclusive of NCM LLC. The operating results for NCM LLC, which management believes better represent the Company’s historical consolidated performance, are presented separately subsequent to the operating data for NCM, Inc., which is presented below (dollars in millions, except share and margin data):</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1071"/>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20" w:type="dxa"/>
            <w:vAlign w:val="bottom"/>
          </w:tcPr>
          <w:p>
            <w:pPr>
              <w:spacing w:after="0"/>
              <w:rPr>
                <w:sz w:val="15"/>
                <w:szCs w:val="15"/>
                <w:color w:val="auto"/>
              </w:rPr>
            </w:pPr>
          </w:p>
        </w:tc>
        <w:tc>
          <w:tcPr>
            <w:tcW w:w="16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52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Dec. 26, 2024</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Dec. 28, 2023</w:t>
            </w:r>
          </w:p>
        </w:tc>
        <w:tc>
          <w:tcPr>
            <w:tcW w:w="120" w:type="dxa"/>
            <w:vAlign w:val="bottom"/>
          </w:tcPr>
          <w:p>
            <w:pPr>
              <w:spacing w:after="0"/>
              <w:rPr>
                <w:sz w:val="12"/>
                <w:szCs w:val="12"/>
                <w:color w:val="auto"/>
              </w:rPr>
            </w:pPr>
          </w:p>
        </w:tc>
        <w:tc>
          <w:tcPr>
            <w:tcW w:w="1600" w:type="dxa"/>
            <w:vAlign w:val="bottom"/>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2023 to 2024</w:t>
            </w:r>
          </w:p>
        </w:tc>
        <w:tc>
          <w:tcPr>
            <w:tcW w:w="0" w:type="dxa"/>
            <w:vAlign w:val="bottom"/>
          </w:tcPr>
          <w:p>
            <w:pPr>
              <w:spacing w:after="0"/>
              <w:rPr>
                <w:sz w:val="1"/>
                <w:szCs w:val="1"/>
                <w:color w:val="auto"/>
              </w:rPr>
            </w:pPr>
          </w:p>
        </w:tc>
      </w:tr>
      <w:tr>
        <w:trPr>
          <w:trHeight w:val="209"/>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240.8</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165.2</w:t>
            </w:r>
          </w:p>
        </w:tc>
        <w:tc>
          <w:tcPr>
            <w:tcW w:w="17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45.8 %</w:t>
            </w: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Network operating costs</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10.6</w:t>
            </w:r>
          </w:p>
        </w:tc>
        <w:tc>
          <w:tcPr>
            <w:tcW w:w="17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29.2 %</w:t>
            </w:r>
          </w:p>
        </w:tc>
        <w:tc>
          <w:tcPr>
            <w:tcW w:w="0" w:type="dxa"/>
            <w:vAlign w:val="bottom"/>
          </w:tcPr>
          <w:p>
            <w:pPr>
              <w:spacing w:after="0"/>
              <w:rPr>
                <w:sz w:val="1"/>
                <w:szCs w:val="1"/>
                <w:color w:val="auto"/>
              </w:rPr>
            </w:pPr>
          </w:p>
        </w:tc>
      </w:tr>
      <w:tr>
        <w:trPr>
          <w:trHeight w:val="216"/>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ESA Parties and network affiliate fees</w:t>
            </w:r>
          </w:p>
        </w:tc>
        <w:tc>
          <w:tcPr>
            <w:tcW w:w="18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69.5</w:t>
            </w:r>
          </w:p>
        </w:tc>
        <w:tc>
          <w:tcPr>
            <w:tcW w:w="17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61.0 %</w:t>
            </w: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and marketing costs</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29.6</w:t>
            </w:r>
          </w:p>
        </w:tc>
        <w:tc>
          <w:tcPr>
            <w:tcW w:w="17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40.5 %</w:t>
            </w:r>
          </w:p>
        </w:tc>
        <w:tc>
          <w:tcPr>
            <w:tcW w:w="0" w:type="dxa"/>
            <w:vAlign w:val="bottom"/>
          </w:tcPr>
          <w:p>
            <w:pPr>
              <w:spacing w:after="0"/>
              <w:rPr>
                <w:sz w:val="1"/>
                <w:szCs w:val="1"/>
                <w:color w:val="auto"/>
              </w:rPr>
            </w:pPr>
          </w:p>
        </w:tc>
      </w:tr>
      <w:tr>
        <w:trPr>
          <w:trHeight w:val="216"/>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Administrative and other costs</w:t>
            </w:r>
          </w:p>
        </w:tc>
        <w:tc>
          <w:tcPr>
            <w:tcW w:w="18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7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48.4 %</w:t>
            </w:r>
          </w:p>
        </w:tc>
        <w:tc>
          <w:tcPr>
            <w:tcW w:w="0" w:type="dxa"/>
            <w:vAlign w:val="bottom"/>
          </w:tcPr>
          <w:p>
            <w:pPr>
              <w:spacing w:after="0"/>
              <w:rPr>
                <w:sz w:val="1"/>
                <w:szCs w:val="1"/>
                <w:color w:val="auto"/>
              </w:rPr>
            </w:pPr>
          </w:p>
        </w:tc>
      </w:tr>
      <w:tr>
        <w:trPr>
          <w:trHeight w:val="216"/>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22.4</w:t>
            </w:r>
          </w:p>
        </w:tc>
        <w:tc>
          <w:tcPr>
            <w:tcW w:w="17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68.8 %</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260.3</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192.5</w:t>
            </w:r>
          </w:p>
        </w:tc>
        <w:tc>
          <w:tcPr>
            <w:tcW w:w="172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35.2 %</w:t>
            </w:r>
          </w:p>
        </w:tc>
        <w:tc>
          <w:tcPr>
            <w:tcW w:w="0" w:type="dxa"/>
            <w:vAlign w:val="bottom"/>
          </w:tcPr>
          <w:p>
            <w:pPr>
              <w:spacing w:after="0"/>
              <w:rPr>
                <w:sz w:val="1"/>
                <w:szCs w:val="1"/>
                <w:color w:val="auto"/>
              </w:rPr>
            </w:pPr>
          </w:p>
        </w:tc>
      </w:tr>
      <w:tr>
        <w:trPr>
          <w:trHeight w:val="20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0" w:type="dxa"/>
            <w:vAlign w:val="bottom"/>
          </w:tcPr>
          <w:p>
            <w:pPr>
              <w:spacing w:after="0"/>
              <w:rPr>
                <w:sz w:val="1"/>
                <w:szCs w:val="1"/>
                <w:color w:val="auto"/>
              </w:rPr>
            </w:pPr>
          </w:p>
        </w:tc>
      </w:tr>
      <w:tr>
        <w:trPr>
          <w:trHeight w:val="210"/>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(724.0 )</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(100.4 )%</w:t>
            </w: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7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9"/>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income attributable to NCM, Inc.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705.2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(103.2 )%</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per NCM, Inc. basic share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(0.23 )</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14.73</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(101.6 )%</w:t>
            </w:r>
          </w:p>
        </w:tc>
        <w:tc>
          <w:tcPr>
            <w:tcW w:w="0" w:type="dxa"/>
            <w:vAlign w:val="bottom"/>
          </w:tcPr>
          <w:p>
            <w:pPr>
              <w:spacing w:after="0"/>
              <w:rPr>
                <w:sz w:val="1"/>
                <w:szCs w:val="1"/>
                <w:color w:val="auto"/>
              </w:rPr>
            </w:pPr>
          </w:p>
        </w:tc>
      </w:tr>
      <w:tr>
        <w:trPr>
          <w:trHeight w:val="23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per NCM, Inc. diluted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(0.23 )</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14.34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-1159510</wp:posOffset>
            </wp:positionV>
            <wp:extent cx="939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-1159510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-593725</wp:posOffset>
            </wp:positionV>
            <wp:extent cx="939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-593725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40" w:firstLine="608"/>
        <w:spacing w:after="0" w:line="261" w:lineRule="auto"/>
        <w:rPr>
          <w:sz w:val="20"/>
          <w:szCs w:val="20"/>
          <w:color w:val="auto"/>
        </w:rPr>
      </w:pPr>
      <w:r>
        <w:rPr>
          <w:rFonts w:ascii="Times New Roman" w:cs="Times New Roman" w:eastAsia="Times New Roman" w:hAnsi="Times New Roman"/>
          <w:sz w:val="18"/>
          <w:szCs w:val="18"/>
          <w:color w:val="auto"/>
        </w:rPr>
        <w:t>Prior to the completion of our IPO, NCM LLC was wholly-owned by its ESA Parties. In connection with the offering, NCM, Inc. purchased newly issued common membership units from NCM LLC and common membership units from NCM LLC’s ESA Parties and became a member of and the sole manager of NCM LLC. We entered into several agreements to effect the reorganization and the financing transaction and certain amendments were made to the existing ESAs to govern the relationships among NCM LLC and NCM LLC’s ESA Parties after the completion of these transactions.</w:t>
      </w:r>
    </w:p>
    <w:p>
      <w:pPr>
        <w:spacing w:after="0" w:line="72" w:lineRule="exact"/>
        <w:rPr>
          <w:sz w:val="20"/>
          <w:szCs w:val="20"/>
          <w:color w:val="auto"/>
        </w:rPr>
      </w:pPr>
    </w:p>
    <w:p>
      <w:pPr>
        <w:ind w:right="100" w:firstLine="608"/>
        <w:spacing w:after="0" w:line="282" w:lineRule="auto"/>
        <w:rPr>
          <w:sz w:val="20"/>
          <w:szCs w:val="20"/>
          <w:color w:val="auto"/>
        </w:rPr>
      </w:pPr>
      <w:r>
        <w:rPr>
          <w:rFonts w:ascii="Times New Roman" w:cs="Times New Roman" w:eastAsia="Times New Roman" w:hAnsi="Times New Roman"/>
          <w:sz w:val="18"/>
          <w:szCs w:val="18"/>
          <w:color w:val="auto"/>
        </w:rPr>
        <w:t>The results of operations data discussed herein were derived from the audited Consolidated Financial Statements and accounting records of NCM, Inc. and should be read in conjunction with the notes thereto.</w:t>
      </w:r>
    </w:p>
    <w:p>
      <w:pPr>
        <w:spacing w:after="0" w:line="54" w:lineRule="exact"/>
        <w:rPr>
          <w:sz w:val="20"/>
          <w:szCs w:val="20"/>
          <w:color w:val="auto"/>
        </w:rPr>
      </w:pPr>
    </w:p>
    <w:p>
      <w:pPr>
        <w:ind w:right="240" w:firstLine="608"/>
        <w:spacing w:after="0" w:line="282" w:lineRule="auto"/>
        <w:rPr>
          <w:sz w:val="20"/>
          <w:szCs w:val="20"/>
          <w:color w:val="auto"/>
        </w:rPr>
      </w:pPr>
      <w:r>
        <w:rPr>
          <w:rFonts w:ascii="Times New Roman" w:cs="Times New Roman" w:eastAsia="Times New Roman" w:hAnsi="Times New Roman"/>
          <w:sz w:val="18"/>
          <w:szCs w:val="18"/>
          <w:color w:val="auto"/>
        </w:rPr>
        <w:t>We have a 52-week or 53-week fiscal year ending on the first Thursday after December 25. Fiscal year 2024 contained 52 weeks and fiscal year 2023 contained 52 weeks. Our 2025 fiscal year will contain 53 weeks. Throughout this document, we refer to our fiscal years as set forth below:</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Reference in</w:t>
            </w:r>
          </w:p>
        </w:tc>
      </w:tr>
      <w:tr>
        <w:trPr>
          <w:trHeight w:val="238"/>
        </w:trPr>
        <w:tc>
          <w:tcPr>
            <w:tcW w:w="9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220" w:type="dxa"/>
            <w:vAlign w:val="bottom"/>
          </w:tcPr>
          <w:p>
            <w:pPr>
              <w:spacing w:after="0"/>
              <w:rPr>
                <w:sz w:val="20"/>
                <w:szCs w:val="20"/>
                <w:color w:val="auto"/>
              </w:rPr>
            </w:pPr>
          </w:p>
        </w:tc>
        <w:tc>
          <w:tcPr>
            <w:tcW w:w="2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this Document</w:t>
            </w:r>
          </w:p>
        </w:tc>
      </w:tr>
      <w:tr>
        <w:trPr>
          <w:trHeight w:val="210"/>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26, 2024</w:t>
            </w:r>
          </w:p>
        </w:tc>
        <w:tc>
          <w:tcPr>
            <w:tcW w:w="2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34"/>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28, 2023</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r>
      <w:tr>
        <w:trPr>
          <w:trHeight w:val="319"/>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Years 2024 and 2023</w:t>
      </w:r>
    </w:p>
    <w:p>
      <w:pPr>
        <w:spacing w:after="0" w:line="119" w:lineRule="exact"/>
        <w:rPr>
          <w:sz w:val="20"/>
          <w:szCs w:val="20"/>
          <w:color w:val="auto"/>
        </w:rPr>
      </w:pPr>
    </w:p>
    <w:p>
      <w:pPr>
        <w:ind w:right="160" w:firstLine="614"/>
        <w:spacing w:after="0" w:line="284"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Total revenue increased $75.6 million, or 45.8%, from $165.2 million for 2023 to $240.8 million for 2024. The following is a summary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revenue by category (in millions):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9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57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2023 to 2024</w:t>
            </w:r>
          </w:p>
        </w:tc>
        <w:tc>
          <w:tcPr>
            <w:tcW w:w="100" w:type="dxa"/>
            <w:vAlign w:val="bottom"/>
          </w:tcPr>
          <w:p>
            <w:pPr>
              <w:spacing w:after="0"/>
              <w:rPr>
                <w:sz w:val="12"/>
                <w:szCs w:val="12"/>
                <w:color w:val="auto"/>
              </w:rPr>
            </w:pPr>
          </w:p>
        </w:tc>
        <w:tc>
          <w:tcPr>
            <w:tcW w:w="144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2023 to 2024</w:t>
            </w:r>
          </w:p>
        </w:tc>
      </w:tr>
      <w:tr>
        <w:trPr>
          <w:trHeight w:val="20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National advertising revenue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188.0</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114.8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73.2</w:t>
            </w:r>
          </w:p>
        </w:tc>
        <w:tc>
          <w:tcPr>
            <w:tcW w:w="15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63.8 %</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and regional advertising revenue</w:t>
            </w:r>
          </w:p>
        </w:tc>
        <w:tc>
          <w:tcPr>
            <w:tcW w:w="28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8.7</w:t>
            </w:r>
          </w:p>
        </w:tc>
        <w:tc>
          <w:tcPr>
            <w:tcW w:w="15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28.6 %</w:t>
            </w:r>
          </w:p>
        </w:tc>
      </w:tr>
      <w:tr>
        <w:trPr>
          <w:trHeight w:val="198"/>
        </w:trPr>
        <w:tc>
          <w:tcPr>
            <w:tcW w:w="57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ESA Party advertising revenue from beverage</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34"/>
        </w:trPr>
        <w:tc>
          <w:tcPr>
            <w:tcW w:w="5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concessionaire agreements</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3.8</w:t>
            </w:r>
          </w:p>
        </w:tc>
        <w:tc>
          <w:tcPr>
            <w:tcW w:w="15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38.4 %</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 reimbursement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9"/>
        </w:trPr>
        <w:tc>
          <w:tcPr>
            <w:tcW w:w="5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240.8</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165.2</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75.6</w:t>
            </w:r>
          </w:p>
        </w:tc>
        <w:tc>
          <w:tcPr>
            <w:tcW w:w="154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45.8 %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857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85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85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620" w:right="40"/>
        <w:spacing w:after="0" w:line="258" w:lineRule="auto"/>
        <w:rPr>
          <w:sz w:val="20"/>
          <w:szCs w:val="20"/>
          <w:color w:val="auto"/>
        </w:rPr>
      </w:pPr>
      <w:r>
        <w:rPr>
          <w:rFonts w:ascii="Times New Roman" w:cs="Times New Roman" w:eastAsia="Times New Roman" w:hAnsi="Times New Roman"/>
          <w:sz w:val="18"/>
          <w:szCs w:val="18"/>
          <w:u w:val="single" w:color="auto"/>
          <w:color w:val="auto"/>
        </w:rPr>
        <w:t>National advertising revenue.</w:t>
      </w:r>
      <w:r>
        <w:rPr>
          <w:rFonts w:ascii="Times New Roman" w:cs="Times New Roman" w:eastAsia="Times New Roman" w:hAnsi="Times New Roman"/>
          <w:sz w:val="18"/>
          <w:szCs w:val="18"/>
          <w:color w:val="auto"/>
        </w:rPr>
        <w:t xml:space="preserve"> National advertising revenue increased by $73.2 million, or 63.8%, from $114.8 million in 2023 to $188.0 million in 2024. The increase in national advertising revenue was primarily due to the deconsolidation and reconsolidation of NCM LLC within 2023. The $114.8 million of revenue within 2023 represents the activity of NCM LLC prior to the deconsolidation of NCM LLC on April 11, 2023 and after the reconsolidation of NCM LLC on August 7, 2023, compared to the $188.0 million of revenue in 2024 representing a full year of consolidated activity.</w:t>
      </w:r>
    </w:p>
    <w:p>
      <w:pPr>
        <w:spacing w:after="0" w:line="75" w:lineRule="exact"/>
        <w:rPr>
          <w:sz w:val="20"/>
          <w:szCs w:val="20"/>
          <w:color w:val="auto"/>
        </w:rPr>
      </w:pPr>
    </w:p>
    <w:p>
      <w:pPr>
        <w:ind w:left="620" w:right="60"/>
        <w:spacing w:after="0" w:line="258" w:lineRule="auto"/>
        <w:rPr>
          <w:sz w:val="20"/>
          <w:szCs w:val="20"/>
          <w:color w:val="auto"/>
        </w:rPr>
      </w:pPr>
      <w:r>
        <w:rPr>
          <w:rFonts w:ascii="Times New Roman" w:cs="Times New Roman" w:eastAsia="Times New Roman" w:hAnsi="Times New Roman"/>
          <w:sz w:val="18"/>
          <w:szCs w:val="18"/>
          <w:u w:val="single" w:color="auto"/>
          <w:color w:val="auto"/>
        </w:rPr>
        <w:t>Local and regional advertising revenue.</w:t>
      </w:r>
      <w:r>
        <w:rPr>
          <w:rFonts w:ascii="Times New Roman" w:cs="Times New Roman" w:eastAsia="Times New Roman" w:hAnsi="Times New Roman"/>
          <w:sz w:val="18"/>
          <w:szCs w:val="18"/>
          <w:color w:val="auto"/>
        </w:rPr>
        <w:t xml:space="preserve"> Local and regional advertising revenue increased by $8.7 million, or 28.6%, from $30.4 million in 2023 to $39.1 million in 2024. The increase in local and regional advertising revenue was primarily due to the deconsolidation and reconsolidation of NCM LLC within 2023. The $30.4 million of revenue within 2023 represents the activity of NCM LLC prior to the deconsolidation of NCM LLC on April 11, 2023 and after the reconsolidation of NCM LLC on August 7, 2023, compared to the $39.1 million of revenue in 2024 representing a full year of consolidated activity.</w:t>
      </w:r>
    </w:p>
    <w:p>
      <w:pPr>
        <w:spacing w:after="0" w:line="75" w:lineRule="exact"/>
        <w:rPr>
          <w:sz w:val="20"/>
          <w:szCs w:val="20"/>
          <w:color w:val="auto"/>
        </w:rPr>
      </w:pPr>
    </w:p>
    <w:p>
      <w:pPr>
        <w:ind w:left="620" w:right="200"/>
        <w:spacing w:after="0" w:line="258" w:lineRule="auto"/>
        <w:rPr>
          <w:sz w:val="20"/>
          <w:szCs w:val="20"/>
          <w:color w:val="auto"/>
        </w:rPr>
      </w:pPr>
      <w:r>
        <w:rPr>
          <w:rFonts w:ascii="Times New Roman" w:cs="Times New Roman" w:eastAsia="Times New Roman" w:hAnsi="Times New Roman"/>
          <w:sz w:val="18"/>
          <w:szCs w:val="18"/>
          <w:u w:val="single" w:color="auto"/>
          <w:color w:val="auto"/>
        </w:rPr>
        <w:t>ESA Party beverage revenue.</w:t>
      </w:r>
      <w:r>
        <w:rPr>
          <w:rFonts w:ascii="Times New Roman" w:cs="Times New Roman" w:eastAsia="Times New Roman" w:hAnsi="Times New Roman"/>
          <w:sz w:val="18"/>
          <w:szCs w:val="18"/>
          <w:color w:val="auto"/>
        </w:rPr>
        <w:t xml:space="preserve"> ESA Party beverage revenue increased $3.8 million, or 38.4%, from $9.9 million in 2023 to $13.7 million in 2024. The increase in ESA Party beverage revenue was primarily due to the deconsolidation and reconsolidation of NCM LLC within 2023. The $9.9 million of revenue within 2023 represents the activity of NCM LLC prior to the deconsolidation of NCM LLC on April 11, 2023 and after the reconsolidation of NCM LLC on August 7, 2023, compared to the $13.7 million of revenue in 2024 representing a full year of consolidated activity.</w:t>
      </w:r>
    </w:p>
    <w:p>
      <w:pPr>
        <w:spacing w:after="0" w:line="75" w:lineRule="exact"/>
        <w:rPr>
          <w:sz w:val="20"/>
          <w:szCs w:val="20"/>
          <w:color w:val="auto"/>
        </w:rPr>
      </w:pPr>
    </w:p>
    <w:p>
      <w:pPr>
        <w:ind w:left="620" w:right="180"/>
        <w:spacing w:after="0" w:line="258" w:lineRule="auto"/>
        <w:rPr>
          <w:sz w:val="20"/>
          <w:szCs w:val="20"/>
          <w:color w:val="auto"/>
        </w:rPr>
      </w:pPr>
      <w:r>
        <w:rPr>
          <w:rFonts w:ascii="Times New Roman" w:cs="Times New Roman" w:eastAsia="Times New Roman" w:hAnsi="Times New Roman"/>
          <w:sz w:val="18"/>
          <w:szCs w:val="18"/>
          <w:u w:val="single" w:color="auto"/>
          <w:color w:val="auto"/>
        </w:rPr>
        <w:t>Management fee reimbursement.</w:t>
      </w:r>
      <w:r>
        <w:rPr>
          <w:rFonts w:ascii="Times New Roman" w:cs="Times New Roman" w:eastAsia="Times New Roman" w:hAnsi="Times New Roman"/>
          <w:sz w:val="18"/>
          <w:szCs w:val="18"/>
          <w:color w:val="auto"/>
        </w:rPr>
        <w:t xml:space="preserve"> Management fee reimbursement decreased by $10.1 million, or 100.0%, from $10.1 million in 2023 to $0.0 million in 2024. The $10.1 million represents the revenue recognized by NCM, Inc. for managing unconsolidated NCM LLC during the unconsolidated period of 2023. This amount is equal to the expenses incurred by NCM, Inc. that were paid by NCM LLC. In 2024, NCM LLC is consolidated by NCM, Inc., following the completion of NCM LLC's Chapter 11 Case and these amounts have been eliminated upon consolidation.</w:t>
      </w:r>
    </w:p>
    <w:p>
      <w:pPr>
        <w:spacing w:after="0" w:line="73" w:lineRule="exact"/>
        <w:rPr>
          <w:sz w:val="20"/>
          <w:szCs w:val="20"/>
          <w:color w:val="auto"/>
        </w:rPr>
      </w:pPr>
    </w:p>
    <w:p>
      <w:pPr>
        <w:ind w:right="260" w:firstLine="60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increased $67.8 million, or 35.2%, from $192.5 million for 2023 to $260.3 million for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table shows the changes in operating expense for 2024 and 2023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9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57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2023 to 2024</w:t>
            </w:r>
          </w:p>
        </w:tc>
        <w:tc>
          <w:tcPr>
            <w:tcW w:w="100" w:type="dxa"/>
            <w:vAlign w:val="bottom"/>
          </w:tcPr>
          <w:p>
            <w:pPr>
              <w:spacing w:after="0"/>
              <w:rPr>
                <w:sz w:val="12"/>
                <w:szCs w:val="12"/>
                <w:color w:val="auto"/>
              </w:rPr>
            </w:pPr>
          </w:p>
        </w:tc>
        <w:tc>
          <w:tcPr>
            <w:tcW w:w="144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2023 to 2024</w:t>
            </w:r>
          </w:p>
        </w:tc>
      </w:tr>
      <w:tr>
        <w:trPr>
          <w:trHeight w:val="209"/>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Network operating costs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13.7</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3.1</w:t>
            </w:r>
          </w:p>
        </w:tc>
        <w:tc>
          <w:tcPr>
            <w:tcW w:w="15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29.2 %</w:t>
            </w: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ESA Parties and network affiliate fees</w:t>
            </w:r>
          </w:p>
        </w:tc>
        <w:tc>
          <w:tcPr>
            <w:tcW w:w="26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111.9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42.4</w:t>
            </w:r>
          </w:p>
        </w:tc>
        <w:tc>
          <w:tcPr>
            <w:tcW w:w="15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61.0 %</w:t>
            </w: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and marketing costs</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12.0</w:t>
            </w:r>
          </w:p>
        </w:tc>
        <w:tc>
          <w:tcPr>
            <w:tcW w:w="15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40.5 %</w:t>
            </w: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and other costs</w:t>
            </w:r>
          </w:p>
        </w:tc>
        <w:tc>
          <w:tcPr>
            <w:tcW w:w="26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c>
          <w:tcPr>
            <w:tcW w:w="15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48.4 %</w:t>
            </w: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37.8</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15.4</w:t>
            </w:r>
          </w:p>
        </w:tc>
        <w:tc>
          <w:tcPr>
            <w:tcW w:w="15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68.8 %</w:t>
            </w:r>
          </w:p>
        </w:tc>
      </w:tr>
      <w:tr>
        <w:trPr>
          <w:trHeight w:val="250"/>
        </w:trPr>
        <w:tc>
          <w:tcPr>
            <w:tcW w:w="5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260.3</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192.5</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67.8</w:t>
            </w:r>
          </w:p>
        </w:tc>
        <w:tc>
          <w:tcPr>
            <w:tcW w:w="154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35.2 %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85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1" w:lineRule="exact"/>
        <w:rPr>
          <w:sz w:val="20"/>
          <w:szCs w:val="20"/>
          <w:color w:val="auto"/>
        </w:rPr>
      </w:pPr>
    </w:p>
    <w:p>
      <w:pPr>
        <w:ind w:left="620" w:right="120"/>
        <w:spacing w:after="0" w:line="258" w:lineRule="auto"/>
        <w:rPr>
          <w:sz w:val="20"/>
          <w:szCs w:val="20"/>
          <w:color w:val="auto"/>
        </w:rPr>
      </w:pPr>
      <w:r>
        <w:rPr>
          <w:rFonts w:ascii="Times New Roman" w:cs="Times New Roman" w:eastAsia="Times New Roman" w:hAnsi="Times New Roman"/>
          <w:sz w:val="18"/>
          <w:szCs w:val="18"/>
          <w:u w:val="single" w:color="auto"/>
          <w:color w:val="auto"/>
        </w:rPr>
        <w:t>Network operating costs</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color w:val="auto"/>
        </w:rPr>
        <w:t xml:space="preserve"> Network operating costs increased $3.1 million, or 29.2%, from $10.6 million in 2023 to $13.7 million in 2024. The increase in network operating costs was primarily due to the deconsolidation and reconsolidation of NCM LLC within 2023. The $10.6 million of expense within 2023 represents the activity of NCM LLC prior to the deconsolidation of NCM LLC on April 11, 2023 and after the reconsolidation of NCM LLC on August 7, 2023, compared to the $13.7 million of expense in 2024 representing a full year of consolidated activity.</w:t>
      </w:r>
    </w:p>
    <w:p>
      <w:pPr>
        <w:spacing w:after="0" w:line="77" w:lineRule="exact"/>
        <w:rPr>
          <w:sz w:val="20"/>
          <w:szCs w:val="20"/>
          <w:color w:val="auto"/>
        </w:rPr>
      </w:pPr>
    </w:p>
    <w:p>
      <w:pPr>
        <w:ind w:left="620"/>
        <w:spacing w:after="0" w:line="256" w:lineRule="auto"/>
        <w:rPr>
          <w:sz w:val="20"/>
          <w:szCs w:val="20"/>
          <w:color w:val="auto"/>
        </w:rPr>
      </w:pPr>
      <w:r>
        <w:rPr>
          <w:rFonts w:ascii="Times New Roman" w:cs="Times New Roman" w:eastAsia="Times New Roman" w:hAnsi="Times New Roman"/>
          <w:sz w:val="18"/>
          <w:szCs w:val="18"/>
          <w:u w:val="single" w:color="auto"/>
          <w:color w:val="auto"/>
        </w:rPr>
        <w:t>ESA Parties and network affiliate fees.</w:t>
      </w:r>
      <w:r>
        <w:rPr>
          <w:rFonts w:ascii="Times New Roman" w:cs="Times New Roman" w:eastAsia="Times New Roman" w:hAnsi="Times New Roman"/>
          <w:sz w:val="18"/>
          <w:szCs w:val="18"/>
          <w:color w:val="auto"/>
        </w:rPr>
        <w:t xml:space="preserve"> ESA Parties and network affiliate fees increased $42.4 million, or 61.0%, from $69.5 million in 2023 to $111.9 million in 2024. The increase in ESA Parties and network affiliate fees was primarily due to the deconsolidation and reconsolidation of NCM LLC within 2023. The $69.5 million of expense within 2023 represents the activity of NCM LLC prior to the deconsolidation of NCM LLC on April 11, 2023 and after the reconsolidation of NCM LLC on August 7, 2023, compared to the $111.9 million of expense in 2024 representing a full year of consolidated activity. The increase was also due to the increase in fees owed under the Regal Advertising Agreement, which commenced on July 14, 2023, as well as due to contractual rate increases within the ESAs in 2024, as compared to 2023.</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40" w:name="page41"/>
    <w:bookmarkEnd w:id="40"/>
    <w:p>
      <w:pPr>
        <w:ind w:left="620" w:right="180"/>
        <w:spacing w:after="0" w:line="258" w:lineRule="auto"/>
        <w:rPr>
          <w:sz w:val="20"/>
          <w:szCs w:val="20"/>
          <w:color w:val="auto"/>
        </w:rPr>
      </w:pPr>
      <w:r>
        <w:rPr>
          <w:rFonts w:ascii="Times New Roman" w:cs="Times New Roman" w:eastAsia="Times New Roman" w:hAnsi="Times New Roman"/>
          <w:sz w:val="18"/>
          <w:szCs w:val="18"/>
          <w:u w:val="single" w:color="auto"/>
          <w:color w:val="auto"/>
        </w:rPr>
        <w:t>Selling and marketing costs.</w:t>
      </w:r>
      <w:r>
        <w:rPr>
          <w:rFonts w:ascii="Times New Roman" w:cs="Times New Roman" w:eastAsia="Times New Roman" w:hAnsi="Times New Roman"/>
          <w:sz w:val="18"/>
          <w:szCs w:val="18"/>
          <w:color w:val="auto"/>
        </w:rPr>
        <w:t xml:space="preserve"> Selling and marketing costs increased $12.0 million, or 40.5%, from $29.6 million in 2023 to $41.6 million in 2024. The increase in selling and marketing costs was primarily due to the deconsolidation and reconsolidation of NCM LLC within 2023. The $29.6 million of expense within 2023 represents the activity of NCM LLC prior to the deconsolidation of NCM LLC on April 11, 2023 and after the reconsolidation of NCM LLC on August 7, 2023, compared to the $41.6 million of expense in 2024 representing a full year of consolidated activity.</w:t>
      </w:r>
    </w:p>
    <w:p>
      <w:pPr>
        <w:spacing w:after="0" w:line="75" w:lineRule="exact"/>
        <w:rPr>
          <w:sz w:val="20"/>
          <w:szCs w:val="20"/>
          <w:color w:val="auto"/>
        </w:rPr>
      </w:pPr>
    </w:p>
    <w:p>
      <w:pPr>
        <w:ind w:left="620" w:right="60"/>
        <w:spacing w:after="0" w:line="254" w:lineRule="auto"/>
        <w:rPr>
          <w:sz w:val="20"/>
          <w:szCs w:val="20"/>
          <w:color w:val="auto"/>
        </w:rPr>
      </w:pPr>
      <w:r>
        <w:rPr>
          <w:rFonts w:ascii="Times New Roman" w:cs="Times New Roman" w:eastAsia="Times New Roman" w:hAnsi="Times New Roman"/>
          <w:sz w:val="18"/>
          <w:szCs w:val="18"/>
          <w:u w:val="single" w:color="auto"/>
          <w:color w:val="auto"/>
        </w:rPr>
        <w:t>Administrative and other costs.</w:t>
      </w:r>
      <w:r>
        <w:rPr>
          <w:rFonts w:ascii="Times New Roman" w:cs="Times New Roman" w:eastAsia="Times New Roman" w:hAnsi="Times New Roman"/>
          <w:sz w:val="18"/>
          <w:szCs w:val="18"/>
          <w:color w:val="auto"/>
        </w:rPr>
        <w:t xml:space="preserve"> Administrative and other costs decreased $6.6 million, or 11.5%, from $57.3 million in 2023 to $50.7 million in 2024. The decrease is primarily due to a $12.8 million decrease in advisor and legal fees related to the Chapter 11 Case and Cineworld Proceeding incurred in 2024, as compared to 2023, as well as a $4.1 million decrease in performance-based compensation costs due to a retention program implemented to ensure continuity of the management team during the Chapter 11 Case which was in place during the majority of 2023. The decrease was partially offset by a $6.6 million increase in stock based compensation following the grant of a management equity incentive plan in the first quarter of 2024 compared to limited grant activity in 2023, a $3.3 million increase in personnel cost and other corporate expenses in 2024, as compared to 2023, due to the deconsolidation of NCM LLC during a portion of 2023 while NCM LLC's Chapter 11 Case was ongoing and a $0.5 million increase in severance expense in 2024.</w:t>
      </w:r>
    </w:p>
    <w:p>
      <w:pPr>
        <w:spacing w:after="0" w:line="84" w:lineRule="exact"/>
        <w:rPr>
          <w:sz w:val="20"/>
          <w:szCs w:val="20"/>
          <w:color w:val="auto"/>
        </w:rPr>
      </w:pPr>
    </w:p>
    <w:p>
      <w:pPr>
        <w:jc w:val="both"/>
        <w:ind w:left="620" w:right="80"/>
        <w:spacing w:after="0" w:line="258" w:lineRule="auto"/>
        <w:rPr>
          <w:sz w:val="20"/>
          <w:szCs w:val="20"/>
          <w:color w:val="auto"/>
        </w:rPr>
      </w:pPr>
      <w:r>
        <w:rPr>
          <w:rFonts w:ascii="Times New Roman" w:cs="Times New Roman" w:eastAsia="Times New Roman" w:hAnsi="Times New Roman"/>
          <w:sz w:val="18"/>
          <w:szCs w:val="18"/>
          <w:u w:val="single" w:color="auto"/>
          <w:color w:val="auto"/>
        </w:rPr>
        <w:t>Depreciation expense.</w:t>
      </w:r>
      <w:r>
        <w:rPr>
          <w:rFonts w:ascii="Times New Roman" w:cs="Times New Roman" w:eastAsia="Times New Roman" w:hAnsi="Times New Roman"/>
          <w:sz w:val="18"/>
          <w:szCs w:val="18"/>
          <w:color w:val="auto"/>
        </w:rPr>
        <w:t xml:space="preserve"> Depreciation expense increased $1.5 million, or 48.4%, from $3.1 million in 2023 to $4.6 million in 2024. The increase in depreciation expense was primarily due to the deconsolidation and reconsolidation of NCM LLC within 2023. The $3.1 million of expense within 2023 represents the activity of NCM LLC prior to the deconsolidation of NCM LLC on April 11, 2023 and after the reconsolidation of NCM LLC on August 7, 2023, compared to the $4.6 million of expense in 2024 representing a full year of consolidated activity. The increase was also due to the fair value adjustments to NCM LLC's fixed assets upon reconsolidation by NCM, Inc. on August 7, 2023.</w:t>
      </w:r>
    </w:p>
    <w:p>
      <w:pPr>
        <w:spacing w:after="0" w:line="75" w:lineRule="exact"/>
        <w:rPr>
          <w:sz w:val="20"/>
          <w:szCs w:val="20"/>
          <w:color w:val="auto"/>
        </w:rPr>
      </w:pPr>
    </w:p>
    <w:p>
      <w:pPr>
        <w:ind w:left="620"/>
        <w:spacing w:after="0" w:line="258" w:lineRule="auto"/>
        <w:rPr>
          <w:sz w:val="20"/>
          <w:szCs w:val="20"/>
          <w:color w:val="auto"/>
        </w:rPr>
      </w:pPr>
      <w:r>
        <w:rPr>
          <w:rFonts w:ascii="Times New Roman" w:cs="Times New Roman" w:eastAsia="Times New Roman" w:hAnsi="Times New Roman"/>
          <w:sz w:val="18"/>
          <w:szCs w:val="18"/>
          <w:u w:val="single" w:color="auto"/>
          <w:color w:val="auto"/>
        </w:rPr>
        <w:t>Amortization expense.</w:t>
      </w:r>
      <w:r>
        <w:rPr>
          <w:rFonts w:ascii="Times New Roman" w:cs="Times New Roman" w:eastAsia="Times New Roman" w:hAnsi="Times New Roman"/>
          <w:sz w:val="18"/>
          <w:szCs w:val="18"/>
          <w:color w:val="auto"/>
        </w:rPr>
        <w:t xml:space="preserve"> Amortization expense increased $15.4 million, or 68.8%, from $22.4 million in 2023 to $37.8 million in 2024. The increase in amortization expense was primarily due to the deconsolidation and reconsolidation of NCM LLC within 2023. The $22.4 million of expense within 2023 represents the activity of NCM LLC prior to the deconsolidation of NCM LLC on April 11, 2023 and after the reconsolidation of NCM LLC on August 7, 2023, compared to the $37.8 million of expense in 2024 representing a full year of consolidated activity. The increase was also due to the fair value adjustments to NCM LLC's intangible assets upon reconsolidation by NCM, Inc. on August 7, 2023.</w:t>
      </w:r>
    </w:p>
    <w:p>
      <w:pPr>
        <w:spacing w:after="0" w:line="73" w:lineRule="exact"/>
        <w:rPr>
          <w:sz w:val="20"/>
          <w:szCs w:val="20"/>
          <w:color w:val="auto"/>
        </w:rPr>
      </w:pPr>
    </w:p>
    <w:p>
      <w:pPr>
        <w:ind w:right="40" w:firstLine="608"/>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Non-operating expense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 non-operating expense increased $726.6 million, or 100.4%, from non-operating income of $724.0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2023 to non-operating expense of $2.6 million in 2024. The following table shows the changes in non-operating expense for 2024 and 2023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9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57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2023 to 2024</w:t>
            </w:r>
          </w:p>
        </w:tc>
        <w:tc>
          <w:tcPr>
            <w:tcW w:w="100" w:type="dxa"/>
            <w:vAlign w:val="bottom"/>
          </w:tcPr>
          <w:p>
            <w:pPr>
              <w:spacing w:after="0"/>
              <w:rPr>
                <w:sz w:val="12"/>
                <w:szCs w:val="12"/>
                <w:color w:val="auto"/>
              </w:rPr>
            </w:pPr>
          </w:p>
        </w:tc>
        <w:tc>
          <w:tcPr>
            <w:tcW w:w="144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2023 to 2024</w:t>
            </w:r>
          </w:p>
        </w:tc>
      </w:tr>
      <w:tr>
        <w:trPr>
          <w:trHeight w:val="210"/>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on borrowings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27.9</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(93.9 )%</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5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100.0 %</w:t>
            </w:r>
          </w:p>
        </w:tc>
      </w:tr>
      <w:tr>
        <w:trPr>
          <w:trHeight w:val="198"/>
        </w:trPr>
        <w:tc>
          <w:tcPr>
            <w:tcW w:w="57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Loss on re-measurement of the payable under the</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34"/>
        </w:trPr>
        <w:tc>
          <w:tcPr>
            <w:tcW w:w="5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tax receivable agreement</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(50.5 )%</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deconsolidation of affiliate</w:t>
            </w:r>
          </w:p>
        </w:tc>
        <w:tc>
          <w:tcPr>
            <w:tcW w:w="28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557.7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re-measurement of investment in NCM LLC</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35.5</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reconsolidation of NCM LLC</w:t>
            </w:r>
          </w:p>
        </w:tc>
        <w:tc>
          <w:tcPr>
            <w:tcW w:w="28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167.8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non-operating income</w:t>
            </w: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54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1200.0 %</w:t>
            </w:r>
          </w:p>
        </w:tc>
      </w:tr>
      <w:tr>
        <w:trPr>
          <w:trHeight w:val="209"/>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(724.0 )</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726.6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(100.4 )%</w:t>
            </w:r>
          </w:p>
        </w:tc>
      </w:tr>
      <w:tr>
        <w:trPr>
          <w:trHeight w:val="20"/>
        </w:trPr>
        <w:tc>
          <w:tcPr>
            <w:tcW w:w="5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85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firstLine="608"/>
        <w:spacing w:after="0" w:line="255" w:lineRule="auto"/>
        <w:rPr>
          <w:sz w:val="20"/>
          <w:szCs w:val="20"/>
          <w:color w:val="auto"/>
        </w:rPr>
      </w:pPr>
      <w:r>
        <w:rPr>
          <w:rFonts w:ascii="Times New Roman" w:cs="Times New Roman" w:eastAsia="Times New Roman" w:hAnsi="Times New Roman"/>
          <w:sz w:val="18"/>
          <w:szCs w:val="18"/>
          <w:color w:val="auto"/>
        </w:rPr>
        <w:t>The increase in non-operating expense was primarily due to the $557.7 million decrease in gain on deconsolidation of affiliate, the $167.8 million decrease in gain on reconsolidation of NCM LLC and the $35.5 million decrease in gain on remeasurement of NCM LLC incurred in 2023, as compared to 2024. This was partially offset by a $26.2 million decrease in interest on borrowings primarily due to the discharge of historical debt that occurred upon NCM LLC’s emergence from bankruptcy and reconsolidation on August 7, 2023, a $4.7 million decrease in the loss on re-measurement of the payable under the tax receivable agreement due to the inclusion of three years of projected taxable book income/(loss) within the calculation of the TRA payable in 2024, as compared to only one year in 2023, due to management’s ability to more accurately forecast following the conclusion of the COVID-19 pandemic, a $2.3 million increase in interest income and a $1.2 million increase in other non-operating income in 2024 compared to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NCM LLC</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ind w:right="20" w:firstLine="614"/>
        <w:spacing w:after="0" w:line="282" w:lineRule="auto"/>
        <w:rPr>
          <w:sz w:val="20"/>
          <w:szCs w:val="20"/>
          <w:color w:val="auto"/>
        </w:rPr>
      </w:pPr>
      <w:r>
        <w:rPr>
          <w:rFonts w:ascii="Times New Roman" w:cs="Times New Roman" w:eastAsia="Times New Roman" w:hAnsi="Times New Roman"/>
          <w:sz w:val="18"/>
          <w:szCs w:val="18"/>
          <w:color w:val="auto"/>
        </w:rPr>
        <w:t>The following table presents operating data and Adjusted OIBDA (dollars in millions, except share and margin data) for the years ended December 26, 2024 and December 28, 2023 for NCM LLC:</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jc w:val="right"/>
              <w:ind w:right="991"/>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20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Dec. 26, 2024</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Dec. 28, 2023</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2023 to 2024</w:t>
            </w:r>
          </w:p>
        </w:tc>
        <w:tc>
          <w:tcPr>
            <w:tcW w:w="100" w:type="dxa"/>
            <w:vAlign w:val="bottom"/>
          </w:tcPr>
          <w:p>
            <w:pPr>
              <w:spacing w:after="0"/>
              <w:rPr>
                <w:sz w:val="12"/>
                <w:szCs w:val="12"/>
                <w:color w:val="auto"/>
              </w:rPr>
            </w:pPr>
          </w:p>
        </w:tc>
        <w:tc>
          <w:tcPr>
            <w:tcW w:w="140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2023 to 2024</w:t>
            </w: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240.8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259.8</w:t>
            </w:r>
          </w:p>
        </w:tc>
        <w:tc>
          <w:tcPr>
            <w:tcW w:w="3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(19.0 )</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Network operating costs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(1.0 )</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ESA Parties and network affiliate fees</w:t>
            </w:r>
          </w:p>
        </w:tc>
        <w:tc>
          <w:tcPr>
            <w:tcW w:w="120" w:type="dxa"/>
            <w:vAlign w:val="bottom"/>
          </w:tcPr>
          <w:p>
            <w:pPr>
              <w:spacing w:after="0"/>
              <w:rPr>
                <w:sz w:val="18"/>
                <w:szCs w:val="18"/>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115.3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(3.4 )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and marketing costs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(2.5 )</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Administrative and other costs</w:t>
            </w:r>
          </w:p>
        </w:tc>
        <w:tc>
          <w:tcPr>
            <w:tcW w:w="120" w:type="dxa"/>
            <w:vAlign w:val="bottom"/>
          </w:tcPr>
          <w:p>
            <w:pPr>
              <w:spacing w:after="0"/>
              <w:rPr>
                <w:sz w:val="18"/>
                <w:szCs w:val="18"/>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(47.1 )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(62.1 )%</w:t>
            </w: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impairment of Regal ESA</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(125.7 )</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20" w:type="dxa"/>
            <w:vAlign w:val="bottom"/>
          </w:tcPr>
          <w:p>
            <w:pPr>
              <w:spacing w:after="0"/>
              <w:rPr>
                <w:sz w:val="18"/>
                <w:szCs w:val="18"/>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(8.9 )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Administrative fee—managing member</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0.2</w:t>
            </w:r>
          </w:p>
        </w:tc>
        <w:tc>
          <w:tcPr>
            <w:tcW w:w="15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1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tcPr>
          <w:p>
            <w:pPr>
              <w:spacing w:after="0"/>
              <w:rPr>
                <w:sz w:val="18"/>
                <w:szCs w:val="18"/>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37.8</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8.0</w:t>
            </w:r>
          </w:p>
        </w:tc>
        <w:tc>
          <w:tcPr>
            <w:tcW w:w="150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26.8 %</w:t>
            </w:r>
          </w:p>
        </w:tc>
        <w:tc>
          <w:tcPr>
            <w:tcW w:w="0" w:type="dxa"/>
            <w:vAlign w:val="bottom"/>
          </w:tcPr>
          <w:p>
            <w:pPr>
              <w:spacing w:after="0"/>
              <w:rPr>
                <w:sz w:val="1"/>
                <w:szCs w:val="1"/>
                <w:color w:val="auto"/>
              </w:rPr>
            </w:pPr>
          </w:p>
        </w:tc>
      </w:tr>
      <w:tr>
        <w:trPr>
          <w:trHeight w:val="209"/>
        </w:trPr>
        <w:tc>
          <w:tcPr>
            <w:tcW w:w="5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260.3</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440.7</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(180.4 )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(19.5 )</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(180.9 )</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161.4</w:t>
            </w:r>
          </w:p>
        </w:tc>
        <w:tc>
          <w:tcPr>
            <w:tcW w:w="15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(89.2 )%</w:t>
            </w:r>
          </w:p>
        </w:tc>
        <w:tc>
          <w:tcPr>
            <w:tcW w:w="0" w:type="dxa"/>
            <w:vAlign w:val="bottom"/>
          </w:tcPr>
          <w:p>
            <w:pPr>
              <w:spacing w:after="0"/>
              <w:rPr>
                <w:sz w:val="1"/>
                <w:szCs w:val="1"/>
                <w:color w:val="auto"/>
              </w:rPr>
            </w:pPr>
          </w:p>
        </w:tc>
      </w:tr>
      <w:tr>
        <w:trPr>
          <w:trHeight w:val="41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45.7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52.7</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(7.0 )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OIBDA margin</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Total theater attendance (in millions) </w:t>
            </w:r>
            <w:r>
              <w:rPr>
                <w:rFonts w:ascii="Times New Roman" w:cs="Times New Roman" w:eastAsia="Times New Roman" w:hAnsi="Times New Roman"/>
                <w:sz w:val="18"/>
                <w:szCs w:val="18"/>
                <w:i w:val="1"/>
                <w:iCs w:val="1"/>
                <w:color w:val="auto"/>
              </w:rPr>
              <w:t>(1)</w:t>
            </w:r>
          </w:p>
        </w:tc>
        <w:tc>
          <w:tcPr>
            <w:tcW w:w="120" w:type="dxa"/>
            <w:vAlign w:val="bottom"/>
          </w:tcPr>
          <w:p>
            <w:pPr>
              <w:spacing w:after="0"/>
              <w:rPr>
                <w:sz w:val="18"/>
                <w:szCs w:val="18"/>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390.7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438.9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(48.2 )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screens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18,028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18,403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(375.0 )</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ESA Party screens</w:t>
            </w:r>
          </w:p>
        </w:tc>
        <w:tc>
          <w:tcPr>
            <w:tcW w:w="120" w:type="dxa"/>
            <w:vAlign w:val="bottom"/>
          </w:tcPr>
          <w:p>
            <w:pPr>
              <w:spacing w:after="0"/>
              <w:rPr>
                <w:sz w:val="20"/>
                <w:szCs w:val="20"/>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9,455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9,573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(118.0 )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-1151255</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-1151255</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-1151255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-859790</wp:posOffset>
            </wp:positionV>
            <wp:extent cx="85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-842645</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-859790</wp:posOffset>
            </wp:positionV>
            <wp:extent cx="857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-842645</wp:posOffset>
            </wp:positionV>
            <wp:extent cx="85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-859790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-842645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19030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78" w:lineRule="exact"/>
        <w:rPr>
          <w:sz w:val="20"/>
          <w:szCs w:val="20"/>
          <w:color w:val="auto"/>
        </w:rPr>
      </w:pPr>
    </w:p>
    <w:p>
      <w:pPr>
        <w:ind w:left="1000" w:right="300" w:hanging="379"/>
        <w:spacing w:after="0" w:line="266" w:lineRule="auto"/>
        <w:tabs>
          <w:tab w:leader="none" w:pos="100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total attendance within NCM LLC’s advertising network, excluding screens and attendance associated with AMC Carmike theaters that are currently part of another cinema advertising network for each of the periods presented. Refer to Note 6 to the audited Consolidated Financial Statements included elsewhere in this document.</w:t>
      </w:r>
    </w:p>
    <w:p>
      <w:pPr>
        <w:spacing w:after="0" w:line="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u w:val="single" w:color="auto"/>
          <w:color w:val="auto"/>
        </w:rPr>
        <w:t>Revenue.</w:t>
      </w:r>
      <w:r>
        <w:rPr>
          <w:rFonts w:ascii="Times New Roman" w:cs="Times New Roman" w:eastAsia="Times New Roman" w:hAnsi="Times New Roman"/>
          <w:sz w:val="18"/>
          <w:szCs w:val="18"/>
          <w:color w:val="auto"/>
        </w:rPr>
        <w:t xml:space="preserve"> Revenue decreased $19.0 million, or 7.3%, from $259.8 million in 2023 to $240.8 million in 2024.</w:t>
      </w:r>
    </w:p>
    <w:p>
      <w:pPr>
        <w:spacing w:after="0" w:line="117" w:lineRule="exact"/>
        <w:rPr>
          <w:sz w:val="20"/>
          <w:szCs w:val="20"/>
          <w:color w:val="auto"/>
        </w:rPr>
      </w:pPr>
    </w:p>
    <w:p>
      <w:pPr>
        <w:jc w:val="both"/>
        <w:ind w:left="620" w:right="120"/>
        <w:spacing w:after="0" w:line="289" w:lineRule="auto"/>
        <w:rPr>
          <w:sz w:val="20"/>
          <w:szCs w:val="20"/>
          <w:color w:val="auto"/>
        </w:rPr>
      </w:pPr>
      <w:r>
        <w:rPr>
          <w:rFonts w:ascii="Times New Roman" w:cs="Times New Roman" w:eastAsia="Times New Roman" w:hAnsi="Times New Roman"/>
          <w:sz w:val="17"/>
          <w:szCs w:val="17"/>
          <w:color w:val="auto"/>
        </w:rPr>
        <w:t>National advertising revenue decreased by $2.1 million, or 1.1%, from $190.1 million in 2023 to $188.0 million in 2024. The decrease in national advertising revenue was primarily due to an 11.0% decrease in attendance due to a decreased movie slate in 2024, caused by the writer and actor strikes in the second half of 2023. This was partially offset by a 10.2% increase in national advertising utilization in 2024, as compared to 2023.</w:t>
      </w:r>
    </w:p>
    <w:p>
      <w:pPr>
        <w:spacing w:after="0" w:line="50" w:lineRule="exact"/>
        <w:rPr>
          <w:sz w:val="20"/>
          <w:szCs w:val="20"/>
          <w:color w:val="auto"/>
        </w:rPr>
      </w:pPr>
    </w:p>
    <w:p>
      <w:pPr>
        <w:ind w:left="620" w:right="20"/>
        <w:spacing w:after="0" w:line="258" w:lineRule="auto"/>
        <w:rPr>
          <w:sz w:val="20"/>
          <w:szCs w:val="20"/>
          <w:color w:val="auto"/>
        </w:rPr>
      </w:pPr>
      <w:r>
        <w:rPr>
          <w:rFonts w:ascii="Times New Roman" w:cs="Times New Roman" w:eastAsia="Times New Roman" w:hAnsi="Times New Roman"/>
          <w:sz w:val="18"/>
          <w:szCs w:val="18"/>
          <w:color w:val="auto"/>
        </w:rPr>
        <w:t>Local and regional advertising revenue decreased by $12.0 million, or 23.5%, from $51.1 million in 2023 to $39.1 million in 2024. The decrease in local and regional advertising revenue was primarily due to a decrease in contract activity and average size within education, dining, entertainment and consumer packaged goods, due in part to a 11.0% decrease in attendance as well as a decreased movie slate in 2024, caused by the writer and actor strikes in 2023. The decrease was partially offset by an increase in contract activity and size within automotive, government, and technology in 2024, as compared to 2023.</w:t>
      </w:r>
    </w:p>
    <w:p>
      <w:pPr>
        <w:spacing w:after="0" w:line="75" w:lineRule="exact"/>
        <w:rPr>
          <w:sz w:val="20"/>
          <w:szCs w:val="20"/>
          <w:color w:val="auto"/>
        </w:rPr>
      </w:pPr>
    </w:p>
    <w:p>
      <w:pPr>
        <w:ind w:left="620" w:right="140"/>
        <w:spacing w:after="0" w:line="266" w:lineRule="auto"/>
        <w:rPr>
          <w:sz w:val="20"/>
          <w:szCs w:val="20"/>
          <w:color w:val="auto"/>
        </w:rPr>
      </w:pPr>
      <w:r>
        <w:rPr>
          <w:rFonts w:ascii="Times New Roman" w:cs="Times New Roman" w:eastAsia="Times New Roman" w:hAnsi="Times New Roman"/>
          <w:sz w:val="18"/>
          <w:szCs w:val="18"/>
          <w:color w:val="auto"/>
        </w:rPr>
        <w:t>ESA Party beverage revenue decreased by $4.9 million, or 26.3%, from $18.6 million in 2023 to $13.7 million for 2024. The decrease was due to Regal's termination of its ESA in 2023 and the resulting discontinuation of its beverage revenue as well as a 6.2% decrease in ESA Party attendance in 2024, as compared to 2023.</w:t>
      </w:r>
    </w:p>
    <w:p>
      <w:pPr>
        <w:spacing w:after="0" w:line="66" w:lineRule="exact"/>
        <w:rPr>
          <w:sz w:val="20"/>
          <w:szCs w:val="20"/>
          <w:color w:val="auto"/>
        </w:rPr>
      </w:pPr>
    </w:p>
    <w:p>
      <w:pPr>
        <w:ind w:left="620" w:right="60"/>
        <w:spacing w:after="0" w:line="261" w:lineRule="auto"/>
        <w:rPr>
          <w:sz w:val="20"/>
          <w:szCs w:val="20"/>
          <w:color w:val="auto"/>
        </w:rPr>
      </w:pPr>
      <w:r>
        <w:rPr>
          <w:rFonts w:ascii="Times New Roman" w:cs="Times New Roman" w:eastAsia="Times New Roman" w:hAnsi="Times New Roman"/>
          <w:sz w:val="18"/>
          <w:szCs w:val="18"/>
          <w:u w:val="single" w:color="auto"/>
          <w:color w:val="auto"/>
        </w:rPr>
        <w:t>Network operating costs</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color w:val="auto"/>
        </w:rPr>
        <w:t xml:space="preserve"> Network operating costs decreased $1.0 million, or 6.8%, from $14.7 million in 2023 to $13.7 million in 2024. The decrease was due primarily to a $1.3 million decrease in personnel related expenses due in part to the workforce reorganization in the first quarter of 2024, as well as a $0.3 million decrease in costs associated with our digital out of home offering in 2024, as compared to 2023. These decreases were partially offset by a $0.4 million increase in satellite costs related to the one-time transition of providers in 2024, as compared to 2023.</w:t>
      </w:r>
    </w:p>
    <w:p>
      <w:pPr>
        <w:spacing w:after="0" w:line="74" w:lineRule="exact"/>
        <w:rPr>
          <w:sz w:val="20"/>
          <w:szCs w:val="20"/>
          <w:color w:val="auto"/>
        </w:rPr>
      </w:pPr>
    </w:p>
    <w:p>
      <w:pPr>
        <w:ind w:left="620" w:right="100"/>
        <w:spacing w:after="0" w:line="258" w:lineRule="auto"/>
        <w:rPr>
          <w:sz w:val="20"/>
          <w:szCs w:val="20"/>
          <w:color w:val="auto"/>
        </w:rPr>
      </w:pPr>
      <w:r>
        <w:rPr>
          <w:rFonts w:ascii="Times New Roman" w:cs="Times New Roman" w:eastAsia="Times New Roman" w:hAnsi="Times New Roman"/>
          <w:sz w:val="18"/>
          <w:szCs w:val="18"/>
          <w:u w:val="single" w:color="auto"/>
          <w:color w:val="auto"/>
        </w:rPr>
        <w:t>ESA Parties and network affiliate fees.</w:t>
      </w:r>
      <w:r>
        <w:rPr>
          <w:rFonts w:ascii="Times New Roman" w:cs="Times New Roman" w:eastAsia="Times New Roman" w:hAnsi="Times New Roman"/>
          <w:sz w:val="18"/>
          <w:szCs w:val="18"/>
          <w:color w:val="auto"/>
        </w:rPr>
        <w:t xml:space="preserve"> ESA Parties and network affiliate fees decreased $3.4 million, or 2.9%, from $115.3 million in 2023 to $111.9 million in 2024. The decrease was primarily due to the 11.0% decrease in network attendance, as well as the rejection of certain affiliate agreements through the bankruptcy proceedings in 2023. These decreases were partially offset by the increase in fees owed under the Regal Advertising Agreement, which commenced on July 14, 2023, as well as due to contractual rate increases within the ESAs in 2024, as compared to 2023.</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ind w:left="620" w:right="80"/>
        <w:spacing w:after="0" w:line="254" w:lineRule="auto"/>
        <w:rPr>
          <w:sz w:val="20"/>
          <w:szCs w:val="20"/>
          <w:color w:val="auto"/>
        </w:rPr>
      </w:pPr>
      <w:r>
        <w:rPr>
          <w:rFonts w:ascii="Times New Roman" w:cs="Times New Roman" w:eastAsia="Times New Roman" w:hAnsi="Times New Roman"/>
          <w:sz w:val="18"/>
          <w:szCs w:val="18"/>
          <w:u w:val="single" w:color="auto"/>
          <w:color w:val="auto"/>
        </w:rPr>
        <w:t>Selling and marketing costs.</w:t>
      </w:r>
      <w:r>
        <w:rPr>
          <w:rFonts w:ascii="Times New Roman" w:cs="Times New Roman" w:eastAsia="Times New Roman" w:hAnsi="Times New Roman"/>
          <w:sz w:val="18"/>
          <w:szCs w:val="18"/>
          <w:color w:val="auto"/>
        </w:rPr>
        <w:t xml:space="preserve"> Selling and marketing costs decreased $2.5 million, or 5.7%, from $44.1 million in 2023 to $41.6 million in 2024. The decrease was due to a $2.9 million decrease in personnel related costs primarily related to performance-based compensation due in part to the decrease in revenue, as well as changes in the Company's incentive compensation plan following the workforce reorganization in 2024. There was also a $2.6 million decrease in costs associated with our digital offerings due to a decrease in digital revenue, as well as a $0.4 million decrease in lease related expenses in 2024, as compared to 2023, due to the renegotiations of certain leases as part of the Chapter 11 Case. These decreases were partially offset by a $1.6 million increase in selling related expenses, a $1.1 million increase in severance expense due to the workforce reorganization in 2024, a $0.5 million increase in bad debt expense due to low receivable write-off activity in 2023 and a $0.2 million increase in expenses related to our new programmatic offering in 2024, as compared to 2023.</w:t>
      </w:r>
    </w:p>
    <w:p>
      <w:pPr>
        <w:spacing w:after="0" w:line="84" w:lineRule="exact"/>
        <w:rPr>
          <w:sz w:val="20"/>
          <w:szCs w:val="20"/>
          <w:color w:val="auto"/>
        </w:rPr>
      </w:pPr>
    </w:p>
    <w:p>
      <w:pPr>
        <w:ind w:left="620" w:right="120"/>
        <w:spacing w:after="0" w:line="255" w:lineRule="auto"/>
        <w:rPr>
          <w:sz w:val="20"/>
          <w:szCs w:val="20"/>
          <w:color w:val="auto"/>
        </w:rPr>
      </w:pPr>
      <w:r>
        <w:rPr>
          <w:rFonts w:ascii="Times New Roman" w:cs="Times New Roman" w:eastAsia="Times New Roman" w:hAnsi="Times New Roman"/>
          <w:sz w:val="18"/>
          <w:szCs w:val="18"/>
          <w:u w:val="single" w:color="auto"/>
          <w:color w:val="auto"/>
        </w:rPr>
        <w:t>Administrative and other costs.</w:t>
      </w:r>
      <w:r>
        <w:rPr>
          <w:rFonts w:ascii="Times New Roman" w:cs="Times New Roman" w:eastAsia="Times New Roman" w:hAnsi="Times New Roman"/>
          <w:sz w:val="18"/>
          <w:szCs w:val="18"/>
          <w:color w:val="auto"/>
        </w:rPr>
        <w:t xml:space="preserve"> Administrative and other costs decreased $47.1 million, or 62.1%, from $75.9 million in 2023 to $28.8 million in 2024. This decrease was primarily related to a $44.9 million decrease in legal and professional fees related to the Chapter 11 Case and Cineworld Proceeding, a $2.9 million decrease in personnel related costs due to the workforce reorganization in the first quarter of 2024 and a $0.7 million decrease in lease related expenses due to the renegotiations of certain leases as part of the Chapter 11 Case. This was offset partially by a $0.6 million decrease in capitalized labor costs driven by the nature of the work being performed by our information technology department in 2024, compared to 2023, $0.5 million increase in cloud computing expenses and a $0.4 million increase in costs incurred related to a one-time assessment of the technology surrounding the Company's programmatic offerings beginning in 2024, as compared to 2023.</w:t>
      </w:r>
    </w:p>
    <w:p>
      <w:pPr>
        <w:spacing w:after="0" w:line="81" w:lineRule="exact"/>
        <w:rPr>
          <w:sz w:val="20"/>
          <w:szCs w:val="20"/>
          <w:color w:val="auto"/>
        </w:rPr>
      </w:pPr>
    </w:p>
    <w:p>
      <w:pPr>
        <w:ind w:left="620" w:right="20"/>
        <w:spacing w:after="0" w:line="254" w:lineRule="auto"/>
        <w:rPr>
          <w:sz w:val="20"/>
          <w:szCs w:val="20"/>
          <w:color w:val="auto"/>
        </w:rPr>
      </w:pPr>
      <w:r>
        <w:rPr>
          <w:rFonts w:ascii="Times New Roman" w:cs="Times New Roman" w:eastAsia="Times New Roman" w:hAnsi="Times New Roman"/>
          <w:sz w:val="18"/>
          <w:szCs w:val="18"/>
          <w:u w:val="single" w:color="auto"/>
          <w:color w:val="auto"/>
        </w:rPr>
        <w:t>Administrative fee—managing member.</w:t>
      </w:r>
      <w:r>
        <w:rPr>
          <w:rFonts w:ascii="Times New Roman" w:cs="Times New Roman" w:eastAsia="Times New Roman" w:hAnsi="Times New Roman"/>
          <w:sz w:val="18"/>
          <w:szCs w:val="18"/>
          <w:color w:val="auto"/>
        </w:rPr>
        <w:t xml:space="preserve"> Administrative fee—managing member increased $0.2 million, or 0.9%, from $21.7 million in 2023 to $21.9 million in 2024. This increase was primarily related to a $6.2 million increase in share-based compensation following the grant of a management equity incentive plan in the first quarter of 2024 compared to limited grant activity in 2023. This increase was offset by a $2.7 million decrease in legal and professional fees related to the Chapter 11 Case and Cineworld Proceeding, a $2.5 million decrease in personnel related costs due to a retention program implemented to ensure continuity of the management team during the Chapter 11 Case in place the majority of 2023, as compared to 2024, as well as a $0.5 million decrease in personnel related costs primarily due to retainers paid to the members of the special and restructuring committees of the Company’s Board of Directors during the Chapter 11 Case and a $0.3 million decrease in other corporate expenses in 2024, as compared to 2023.</w:t>
      </w:r>
    </w:p>
    <w:p>
      <w:pPr>
        <w:spacing w:after="0" w:line="84" w:lineRule="exact"/>
        <w:rPr>
          <w:sz w:val="20"/>
          <w:szCs w:val="20"/>
          <w:color w:val="auto"/>
        </w:rPr>
      </w:pPr>
    </w:p>
    <w:p>
      <w:pPr>
        <w:ind w:left="620" w:right="40"/>
        <w:spacing w:after="0" w:line="261" w:lineRule="auto"/>
        <w:rPr>
          <w:sz w:val="20"/>
          <w:szCs w:val="20"/>
          <w:color w:val="auto"/>
        </w:rPr>
      </w:pPr>
      <w:r>
        <w:rPr>
          <w:rFonts w:ascii="Times New Roman" w:cs="Times New Roman" w:eastAsia="Times New Roman" w:hAnsi="Times New Roman"/>
          <w:sz w:val="18"/>
          <w:szCs w:val="18"/>
          <w:u w:val="single" w:color="auto"/>
          <w:color w:val="auto"/>
        </w:rPr>
        <w:t>Loss on termination of Regal ESA.</w:t>
      </w:r>
      <w:r>
        <w:rPr>
          <w:rFonts w:ascii="Times New Roman" w:cs="Times New Roman" w:eastAsia="Times New Roman" w:hAnsi="Times New Roman"/>
          <w:sz w:val="18"/>
          <w:szCs w:val="18"/>
          <w:color w:val="auto"/>
        </w:rPr>
        <w:t xml:space="preserve"> Loss on termination of Regal ESA costs decreased $125.7 million, or 100.0%, from $125.7 million in 2023 to $0.0 million in 2024. This was primarily due to the absence in 2024 of the $141.5 million loss on disposal of the intangible asset related to the Regal ESA, partially offset by a decrease in the $13.0 million gain on Regal's surrender of ownership in the Company and $2.9 million in payables forgiven in conjunction with emergence from bankruptcy in the third quarter of 2023.</w:t>
      </w:r>
    </w:p>
    <w:p>
      <w:pPr>
        <w:spacing w:after="0" w:line="72" w:lineRule="exact"/>
        <w:rPr>
          <w:sz w:val="20"/>
          <w:szCs w:val="20"/>
          <w:color w:val="auto"/>
        </w:rPr>
      </w:pPr>
    </w:p>
    <w:p>
      <w:pPr>
        <w:ind w:left="620" w:right="200"/>
        <w:spacing w:after="0" w:line="282" w:lineRule="auto"/>
        <w:rPr>
          <w:sz w:val="20"/>
          <w:szCs w:val="20"/>
          <w:color w:val="auto"/>
        </w:rPr>
      </w:pPr>
      <w:r>
        <w:rPr>
          <w:rFonts w:ascii="Times New Roman" w:cs="Times New Roman" w:eastAsia="Times New Roman" w:hAnsi="Times New Roman"/>
          <w:sz w:val="18"/>
          <w:szCs w:val="18"/>
          <w:u w:val="single" w:color="auto"/>
          <w:color w:val="auto"/>
        </w:rPr>
        <w:t>Impairment of long-lived assets.</w:t>
      </w:r>
      <w:r>
        <w:rPr>
          <w:rFonts w:ascii="Times New Roman" w:cs="Times New Roman" w:eastAsia="Times New Roman" w:hAnsi="Times New Roman"/>
          <w:sz w:val="18"/>
          <w:szCs w:val="18"/>
          <w:color w:val="auto"/>
        </w:rPr>
        <w:t xml:space="preserve"> Impairment of long-lived assets decreased $8.9 million, or 100.0%, from $8.9 million in 2023 to $0.0 million in 2024. This was due to the $8.9 million write-off of certain long-lived intangible assets in 2023.</w:t>
      </w:r>
    </w:p>
    <w:p>
      <w:pPr>
        <w:spacing w:after="0" w:line="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u w:val="single" w:color="auto"/>
          <w:color w:val="auto"/>
        </w:rPr>
        <w:t>Depreciation expense.</w:t>
      </w:r>
      <w:r>
        <w:rPr>
          <w:rFonts w:ascii="Times New Roman" w:cs="Times New Roman" w:eastAsia="Times New Roman" w:hAnsi="Times New Roman"/>
          <w:sz w:val="18"/>
          <w:szCs w:val="18"/>
          <w:color w:val="auto"/>
        </w:rPr>
        <w:t xml:space="preserve"> Depreciation expense remained at $4.6 million in 2023 and 2024.</w:t>
      </w:r>
    </w:p>
    <w:p>
      <w:pPr>
        <w:spacing w:after="0" w:line="117" w:lineRule="exact"/>
        <w:rPr>
          <w:sz w:val="20"/>
          <w:szCs w:val="20"/>
          <w:color w:val="auto"/>
        </w:rPr>
      </w:pPr>
    </w:p>
    <w:p>
      <w:pPr>
        <w:ind w:left="620" w:right="80"/>
        <w:spacing w:after="0" w:line="312" w:lineRule="auto"/>
        <w:rPr>
          <w:sz w:val="20"/>
          <w:szCs w:val="20"/>
          <w:color w:val="auto"/>
        </w:rPr>
      </w:pPr>
      <w:r>
        <w:rPr>
          <w:rFonts w:ascii="Times New Roman" w:cs="Times New Roman" w:eastAsia="Times New Roman" w:hAnsi="Times New Roman"/>
          <w:sz w:val="17"/>
          <w:szCs w:val="17"/>
          <w:u w:val="single" w:color="auto"/>
          <w:color w:val="auto"/>
        </w:rPr>
        <w:t>Amortization expense.</w:t>
      </w:r>
      <w:r>
        <w:rPr>
          <w:rFonts w:ascii="Times New Roman" w:cs="Times New Roman" w:eastAsia="Times New Roman" w:hAnsi="Times New Roman"/>
          <w:sz w:val="17"/>
          <w:szCs w:val="17"/>
          <w:color w:val="auto"/>
        </w:rPr>
        <w:t xml:space="preserve"> Amortization expense increased $8.0 million, or 26.8%, from $29.8 million in 2023, to $37.8 million in 2024. The increase was primarily due to the fair value adjustments to NCM LLC’s intangible assets upon reconsolidation with NCM, Inc. on August 7, 2023.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 for NCM LLC</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Adjusted OIBDA and Adjusted OIBDA margin are not financial measures calculated in accordance with GAAP in the United States.</w:t>
      </w:r>
    </w:p>
    <w:p>
      <w:pPr>
        <w:spacing w:after="0" w:line="117" w:lineRule="exact"/>
        <w:rPr>
          <w:sz w:val="20"/>
          <w:szCs w:val="20"/>
          <w:color w:val="auto"/>
        </w:rPr>
      </w:pPr>
    </w:p>
    <w:p>
      <w:pPr>
        <w:ind w:firstLine="608"/>
        <w:spacing w:after="0" w:line="254" w:lineRule="auto"/>
        <w:rPr>
          <w:sz w:val="20"/>
          <w:szCs w:val="20"/>
          <w:color w:val="auto"/>
        </w:rPr>
      </w:pPr>
      <w:r>
        <w:rPr>
          <w:rFonts w:ascii="Times New Roman" w:cs="Times New Roman" w:eastAsia="Times New Roman" w:hAnsi="Times New Roman"/>
          <w:sz w:val="18"/>
          <w:szCs w:val="18"/>
          <w:color w:val="auto"/>
        </w:rPr>
        <w:t>Adjusted OIBDA represents operating income before depreciation and amortization expense adjusted to also exclude non-cash share-based payment costs, impairment of long-lived assets, workforce reorganization costs, termination of the Regal ESA, system optimization costs, satellite transitions costs and advisor fees related to involvement in the Cineworld Proceeding and Chapter 11 Case. Our management uses this non-GAAP financial measure to evaluate operating performance, to forecast future results and as a basis for compensation. The Company believes this is an important supplemental measure of operating performance because it eliminates items that have less bearing on its operating performance and highlights trends in its core business that may not otherwise be apparent when relying solely on GAAP financial measures. The Company believes the presentation of this measure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ind w:right="160"/>
        <w:spacing w:after="0" w:line="266" w:lineRule="auto"/>
        <w:rPr>
          <w:sz w:val="20"/>
          <w:szCs w:val="20"/>
          <w:color w:val="auto"/>
        </w:rPr>
      </w:pPr>
      <w:r>
        <w:rPr>
          <w:rFonts w:ascii="Times New Roman" w:cs="Times New Roman" w:eastAsia="Times New Roman" w:hAnsi="Times New Roman"/>
          <w:sz w:val="18"/>
          <w:szCs w:val="18"/>
          <w:color w:val="auto"/>
        </w:rPr>
        <w:t>other companies that may have different depreciation and amortization policies, non-cash share-based payment costs, impairment of long-lived assets, workforce reorganization costs, termination of the Regal ESA, system optimization costs, satellite transition costs and advisor fees related to involvement in the Cineworld Proceeding and Chapter 11 Case, interest rates, debt levels or income tax rates.</w:t>
      </w:r>
    </w:p>
    <w:p>
      <w:pPr>
        <w:spacing w:after="0" w:line="68" w:lineRule="exact"/>
        <w:rPr>
          <w:sz w:val="20"/>
          <w:szCs w:val="20"/>
          <w:color w:val="auto"/>
        </w:rPr>
      </w:pPr>
    </w:p>
    <w:p>
      <w:pPr>
        <w:ind w:right="80" w:firstLine="608"/>
        <w:spacing w:after="0" w:line="254" w:lineRule="auto"/>
        <w:rPr>
          <w:sz w:val="20"/>
          <w:szCs w:val="20"/>
          <w:color w:val="auto"/>
        </w:rPr>
      </w:pPr>
      <w:r>
        <w:rPr>
          <w:rFonts w:ascii="Times New Roman" w:cs="Times New Roman" w:eastAsia="Times New Roman" w:hAnsi="Times New Roman"/>
          <w:sz w:val="18"/>
          <w:szCs w:val="18"/>
          <w:color w:val="auto"/>
        </w:rPr>
        <w:t>Adjusted OIBDA margin is calculated by dividing Adjusted OIBDA by total revenue. Our management uses this non-GAAP financial measure to evaluate operating performance, to forecast future results and as a basis for compensation. The Company believes this is an important supplemental measure of operating performance because it eliminates items that have less bearing on its operating performance and highlight trends in its core business that may not otherwise be apparent when relying solely on GAAP financial measures. The Company believes the presentation of this measure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share-based payment costs, impairment of long-lived assets, workforce reorganization costs, termination of the Regal ESA, system optimization costs, satellite transitions costs, advisor fees related to involvement in the Cineworld Proceeding and Chapter 11 Case, interest rates, debt levels or income tax rates.</w:t>
      </w:r>
    </w:p>
    <w:p>
      <w:pPr>
        <w:spacing w:after="0" w:line="80" w:lineRule="exact"/>
        <w:rPr>
          <w:sz w:val="20"/>
          <w:szCs w:val="20"/>
          <w:color w:val="auto"/>
        </w:rPr>
      </w:pPr>
    </w:p>
    <w:p>
      <w:pPr>
        <w:ind w:right="40" w:firstLine="608"/>
        <w:spacing w:after="0" w:line="253" w:lineRule="auto"/>
        <w:rPr>
          <w:sz w:val="20"/>
          <w:szCs w:val="20"/>
          <w:color w:val="auto"/>
        </w:rPr>
      </w:pPr>
      <w:r>
        <w:rPr>
          <w:rFonts w:ascii="Times New Roman" w:cs="Times New Roman" w:eastAsia="Times New Roman" w:hAnsi="Times New Roman"/>
          <w:sz w:val="18"/>
          <w:szCs w:val="18"/>
          <w:color w:val="auto"/>
        </w:rPr>
        <w:t>A limitation of both of these measures, however, is that they exclude depreciation and amortization, which represent a proxy for the periodic costs of certain capitalized tangible and intangible assets used in generating revenues in NCM LLC’s business. In addition, Adjusted OIBDA and Adjusted OIBDA margin have the limitation of not reflecting the effect of the Company’s depreciation and amortization expense, non-cash share-based payment costs, impairment of long-lived assets, workforce reorganization costs, termination of the Regal ESA, system optimization costs, satellite transitions costs and advisor fees related to involvement in the Cineworld Proceeding and Chapter 11 Case. Adjusted OIBDA should not be regarded as an alternative to operating income, net income or as indicators of operating performance, nor should it be considered in isolation of, or as substitutes for financial measures prepared in accordance with GAAP. The Company believes that operating income is the most directly comparable GAAP financial measure to Adjusted OIBDA, and operating margin is the most directly comparable GAAP financial measure to Adjusted OIBDA margin. Because not all companies use identical calculations, these non-GAAP presentations may not be comparable to other similarly titled measures of other companies, or calculations in NCM LLC’s Revolving Credit Facility 2023.</w:t>
      </w:r>
    </w:p>
    <w:p>
      <w:pPr>
        <w:spacing w:after="0" w:line="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following table reconciles operating income to Adjusted OIBDA for NCM LLC for the periods presented (dollars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4"/>
          </w:tcPr>
          <w:p>
            <w:pPr>
              <w:jc w:val="right"/>
              <w:ind w:right="1431"/>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142"/>
        </w:trPr>
        <w:tc>
          <w:tcPr>
            <w:tcW w:w="300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December 26, 2024</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2023</w:t>
            </w:r>
          </w:p>
        </w:tc>
      </w:tr>
      <w:tr>
        <w:trPr>
          <w:trHeight w:val="210"/>
        </w:trPr>
        <w:tc>
          <w:tcPr>
            <w:tcW w:w="7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(19.5 )</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(180.9 )</w:t>
            </w:r>
          </w:p>
        </w:tc>
      </w:tr>
      <w:tr>
        <w:trPr>
          <w:trHeight w:val="216"/>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60" w:type="dxa"/>
            <w:vAlign w:val="bottom"/>
          </w:tcPr>
          <w:p>
            <w:pPr>
              <w:spacing w:after="0"/>
              <w:rPr>
                <w:sz w:val="18"/>
                <w:szCs w:val="18"/>
                <w:color w:val="auto"/>
              </w:rPr>
            </w:pP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37.8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Share-based compensation costs </w:t>
            </w:r>
            <w:r>
              <w:rPr>
                <w:rFonts w:ascii="Times New Roman" w:cs="Times New Roman" w:eastAsia="Times New Roman" w:hAnsi="Times New Roman"/>
                <w:sz w:val="18"/>
                <w:szCs w:val="18"/>
                <w:i w:val="1"/>
                <w:iCs w:val="1"/>
                <w:color w:val="auto"/>
              </w:rPr>
              <w:t>(1)</w:t>
            </w:r>
          </w:p>
        </w:tc>
        <w:tc>
          <w:tcPr>
            <w:tcW w:w="160" w:type="dxa"/>
            <w:vAlign w:val="bottom"/>
          </w:tcPr>
          <w:p>
            <w:pPr>
              <w:spacing w:after="0"/>
              <w:rPr>
                <w:sz w:val="18"/>
                <w:szCs w:val="18"/>
                <w:color w:val="auto"/>
              </w:rPr>
            </w:pP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7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Impairment of long-lived assets </w:t>
            </w:r>
            <w:r>
              <w:rPr>
                <w:rFonts w:ascii="Times New Roman" w:cs="Times New Roman" w:eastAsia="Times New Roman" w:hAnsi="Times New Roman"/>
                <w:sz w:val="18"/>
                <w:szCs w:val="18"/>
                <w:i w:val="1"/>
                <w:iCs w:val="1"/>
                <w:color w:val="auto"/>
              </w:rPr>
              <w:t>(2)</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Workforce reorganization costs </w:t>
            </w:r>
            <w:r>
              <w:rPr>
                <w:rFonts w:ascii="Times New Roman" w:cs="Times New Roman" w:eastAsia="Times New Roman" w:hAnsi="Times New Roman"/>
                <w:sz w:val="18"/>
                <w:szCs w:val="18"/>
                <w:i w:val="1"/>
                <w:iCs w:val="1"/>
                <w:color w:val="auto"/>
              </w:rPr>
              <w:t>(3)</w:t>
            </w:r>
          </w:p>
        </w:tc>
        <w:tc>
          <w:tcPr>
            <w:tcW w:w="160" w:type="dxa"/>
            <w:vAlign w:val="bottom"/>
          </w:tcPr>
          <w:p>
            <w:pPr>
              <w:spacing w:after="0"/>
              <w:rPr>
                <w:sz w:val="18"/>
                <w:szCs w:val="18"/>
                <w:color w:val="auto"/>
              </w:rPr>
            </w:pP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Loss on termination of Regal ESA, net </w:t>
            </w:r>
            <w:r>
              <w:rPr>
                <w:rFonts w:ascii="Times New Roman" w:cs="Times New Roman" w:eastAsia="Times New Roman" w:hAnsi="Times New Roman"/>
                <w:sz w:val="18"/>
                <w:szCs w:val="18"/>
                <w:i w:val="1"/>
                <w:iCs w:val="1"/>
                <w:color w:val="auto"/>
              </w:rPr>
              <w:t>(4)</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125.6</w:t>
            </w:r>
          </w:p>
        </w:tc>
      </w:tr>
      <w:tr>
        <w:trPr>
          <w:trHeight w:val="216"/>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Satellite transition costs </w:t>
            </w:r>
            <w:r>
              <w:rPr>
                <w:rFonts w:ascii="Times New Roman" w:cs="Times New Roman" w:eastAsia="Times New Roman" w:hAnsi="Times New Roman"/>
                <w:sz w:val="18"/>
                <w:szCs w:val="18"/>
                <w:i w:val="1"/>
                <w:iCs w:val="1"/>
                <w:color w:val="auto"/>
              </w:rPr>
              <w:t>(5)</w:t>
            </w:r>
          </w:p>
        </w:tc>
        <w:tc>
          <w:tcPr>
            <w:tcW w:w="160" w:type="dxa"/>
            <w:vAlign w:val="bottom"/>
          </w:tcPr>
          <w:p>
            <w:pPr>
              <w:spacing w:after="0"/>
              <w:rPr>
                <w:sz w:val="18"/>
                <w:szCs w:val="18"/>
                <w:color w:val="auto"/>
              </w:rPr>
            </w:pP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System optimization costs </w:t>
            </w:r>
            <w:r>
              <w:rPr>
                <w:rFonts w:ascii="Times New Roman" w:cs="Times New Roman" w:eastAsia="Times New Roman" w:hAnsi="Times New Roman"/>
                <w:sz w:val="18"/>
                <w:szCs w:val="18"/>
                <w:i w:val="1"/>
                <w:iCs w:val="1"/>
                <w:color w:val="auto"/>
              </w:rPr>
              <w:t>(6)</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Advisor fees related to the Chapter 11 Case </w:t>
            </w:r>
            <w:r>
              <w:rPr>
                <w:rFonts w:ascii="Times New Roman" w:cs="Times New Roman" w:eastAsia="Times New Roman" w:hAnsi="Times New Roman"/>
                <w:sz w:val="18"/>
                <w:szCs w:val="18"/>
                <w:i w:val="1"/>
                <w:iCs w:val="1"/>
                <w:color w:val="auto"/>
              </w:rPr>
              <w:t>(7)</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59.2</w:t>
            </w:r>
          </w:p>
        </w:tc>
      </w:tr>
      <w:tr>
        <w:trPr>
          <w:trHeight w:val="250"/>
        </w:trPr>
        <w:tc>
          <w:tcPr>
            <w:tcW w:w="758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Adjusted OIBDA</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45.7</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52.7</w:t>
            </w:r>
          </w:p>
        </w:tc>
      </w:tr>
      <w:tr>
        <w:trPr>
          <w:trHeight w:val="196"/>
        </w:trPr>
        <w:tc>
          <w:tcPr>
            <w:tcW w:w="75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112"/>
              <w:spacing w:after="0" w:line="196" w:lineRule="exact"/>
              <w:rPr>
                <w:sz w:val="20"/>
                <w:szCs w:val="20"/>
                <w:color w:val="auto"/>
              </w:rPr>
            </w:pPr>
            <w:r>
              <w:rPr>
                <w:rFonts w:ascii="Times New Roman" w:cs="Times New Roman" w:eastAsia="Times New Roman" w:hAnsi="Times New Roman"/>
                <w:sz w:val="18"/>
                <w:szCs w:val="18"/>
                <w:color w:val="auto"/>
              </w:rPr>
              <w:t>240.8</w:t>
            </w:r>
          </w:p>
        </w:tc>
        <w:tc>
          <w:tcPr>
            <w:tcW w:w="3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11"/>
              <w:spacing w:after="0" w:line="196" w:lineRule="exact"/>
              <w:rPr>
                <w:sz w:val="20"/>
                <w:szCs w:val="20"/>
                <w:color w:val="auto"/>
              </w:rPr>
            </w:pPr>
            <w:r>
              <w:rPr>
                <w:rFonts w:ascii="Times New Roman" w:cs="Times New Roman" w:eastAsia="Times New Roman" w:hAnsi="Times New Roman"/>
                <w:sz w:val="18"/>
                <w:szCs w:val="18"/>
                <w:color w:val="auto"/>
              </w:rPr>
              <w:t>259.8</w:t>
            </w:r>
          </w:p>
        </w:tc>
      </w:tr>
      <w:tr>
        <w:trPr>
          <w:trHeight w:val="216"/>
        </w:trPr>
        <w:tc>
          <w:tcPr>
            <w:tcW w:w="75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Adjusted OIBDA margin</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20.3 %</w:t>
            </w:r>
          </w:p>
        </w:tc>
      </w:tr>
      <w:tr>
        <w:trPr>
          <w:trHeight w:val="94"/>
        </w:trPr>
        <w:tc>
          <w:tcPr>
            <w:tcW w:w="3000" w:type="dxa"/>
            <w:vAlign w:val="bottom"/>
            <w:tcBorders>
              <w:bottom w:val="single" w:sz="8" w:color="auto"/>
            </w:tcBorders>
          </w:tcPr>
          <w:p>
            <w:pPr>
              <w:spacing w:after="0"/>
              <w:rPr>
                <w:sz w:val="8"/>
                <w:szCs w:val="8"/>
                <w:color w:val="auto"/>
              </w:rPr>
            </w:pPr>
          </w:p>
        </w:tc>
        <w:tc>
          <w:tcPr>
            <w:tcW w:w="4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-367665</wp:posOffset>
            </wp:positionV>
            <wp:extent cx="1117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-351155</wp:posOffset>
            </wp:positionV>
            <wp:extent cx="1117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 w:lineRule="exact"/>
        <w:rPr>
          <w:sz w:val="20"/>
          <w:szCs w:val="20"/>
          <w:color w:val="auto"/>
        </w:rPr>
      </w:pPr>
    </w:p>
    <w:p>
      <w:pPr>
        <w:ind w:left="1000" w:right="180" w:hanging="379"/>
        <w:spacing w:after="0" w:line="282" w:lineRule="auto"/>
        <w:tabs>
          <w:tab w:leader="none" w:pos="100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Share-based compensation costs are included in network operations, selling and marketing and administrative expense in the accompanying Consolidated Financial Statements.</w:t>
      </w:r>
    </w:p>
    <w:p>
      <w:pPr>
        <w:spacing w:after="0" w:line="53" w:lineRule="exact"/>
        <w:rPr>
          <w:rFonts w:ascii="Times New Roman" w:cs="Times New Roman" w:eastAsia="Times New Roman" w:hAnsi="Times New Roman"/>
          <w:sz w:val="18"/>
          <w:szCs w:val="18"/>
          <w:i w:val="1"/>
          <w:iCs w:val="1"/>
          <w:color w:val="auto"/>
        </w:rPr>
      </w:pPr>
    </w:p>
    <w:p>
      <w:pPr>
        <w:ind w:left="1000" w:right="620" w:hanging="379"/>
        <w:spacing w:after="0" w:line="282" w:lineRule="auto"/>
        <w:tabs>
          <w:tab w:leader="none" w:pos="100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impairment of long-lived assets primarily relates to the write down of certain intangible assets related to a purchased affiliate and internally developed software and leasehold improvements no longer in use.</w:t>
      </w:r>
    </w:p>
    <w:p>
      <w:pPr>
        <w:spacing w:after="0" w:line="53" w:lineRule="exact"/>
        <w:rPr>
          <w:rFonts w:ascii="Times New Roman" w:cs="Times New Roman" w:eastAsia="Times New Roman" w:hAnsi="Times New Roman"/>
          <w:sz w:val="18"/>
          <w:szCs w:val="18"/>
          <w:i w:val="1"/>
          <w:iCs w:val="1"/>
          <w:color w:val="auto"/>
        </w:rPr>
      </w:pPr>
    </w:p>
    <w:p>
      <w:pPr>
        <w:ind w:left="1000" w:right="280" w:hanging="379"/>
        <w:spacing w:after="0" w:line="266" w:lineRule="auto"/>
        <w:tabs>
          <w:tab w:leader="none" w:pos="100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Workforce reorganization costs represent redundancy costs associated with changes to the Company’s workforce primarily implemented during 2024, as well as related office relocations and redundancy costs associated with changes to the Company's sales force implemented during the first quarter of 2022.</w:t>
      </w:r>
    </w:p>
    <w:p>
      <w:pPr>
        <w:spacing w:after="0" w:line="67" w:lineRule="exact"/>
        <w:rPr>
          <w:rFonts w:ascii="Times New Roman" w:cs="Times New Roman" w:eastAsia="Times New Roman" w:hAnsi="Times New Roman"/>
          <w:sz w:val="18"/>
          <w:szCs w:val="18"/>
          <w:i w:val="1"/>
          <w:iCs w:val="1"/>
          <w:color w:val="auto"/>
        </w:rPr>
      </w:pPr>
    </w:p>
    <w:p>
      <w:pPr>
        <w:ind w:left="1000" w:right="560" w:hanging="379"/>
        <w:spacing w:after="0" w:line="282" w:lineRule="auto"/>
        <w:tabs>
          <w:tab w:leader="none" w:pos="100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net impact of Regal’s termination of the ESA resulting from the disposal of the intangible asset partially offset by the surrender of Regal’s ownership in the Company and the forgiveness of prepetition claims.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ind w:left="1000" w:hanging="379"/>
        <w:spacing w:after="0"/>
        <w:tabs>
          <w:tab w:leader="none" w:pos="100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One-time costs of transitioning satellite providers during 2024.</w:t>
      </w:r>
    </w:p>
    <w:p>
      <w:pPr>
        <w:spacing w:after="0" w:line="117" w:lineRule="exact"/>
        <w:rPr>
          <w:rFonts w:ascii="Times New Roman" w:cs="Times New Roman" w:eastAsia="Times New Roman" w:hAnsi="Times New Roman"/>
          <w:sz w:val="18"/>
          <w:szCs w:val="18"/>
          <w:i w:val="1"/>
          <w:iCs w:val="1"/>
          <w:color w:val="auto"/>
        </w:rPr>
      </w:pPr>
    </w:p>
    <w:p>
      <w:pPr>
        <w:ind w:left="1000" w:right="880" w:hanging="379"/>
        <w:spacing w:after="0" w:line="282" w:lineRule="auto"/>
        <w:tabs>
          <w:tab w:leader="none" w:pos="100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System optimization costs represent costs incurred related to a one-time assessment of the technology surrounding the Company's programmatic offerings beginning in 2024.</w:t>
      </w:r>
    </w:p>
    <w:p>
      <w:pPr>
        <w:spacing w:after="0" w:line="53" w:lineRule="exact"/>
        <w:rPr>
          <w:rFonts w:ascii="Times New Roman" w:cs="Times New Roman" w:eastAsia="Times New Roman" w:hAnsi="Times New Roman"/>
          <w:sz w:val="18"/>
          <w:szCs w:val="18"/>
          <w:i w:val="1"/>
          <w:iCs w:val="1"/>
          <w:color w:val="auto"/>
        </w:rPr>
      </w:pPr>
    </w:p>
    <w:p>
      <w:pPr>
        <w:ind w:left="1000" w:right="240" w:hanging="379"/>
        <w:spacing w:after="0" w:line="266" w:lineRule="auto"/>
        <w:tabs>
          <w:tab w:leader="none" w:pos="100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Advisor and legal fees and expenses incurred in connection with the Company’s involvement in the Cineworld Proceeding and Chapter 11 Case and related appeals, as well as insurance and retention related expenses and retainers related to the members of the special and restructuring committees of the Company’s Board of Directors.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and Uncertainties</w:t>
      </w:r>
    </w:p>
    <w:p>
      <w:pPr>
        <w:spacing w:after="0" w:line="117" w:lineRule="exact"/>
        <w:rPr>
          <w:sz w:val="20"/>
          <w:szCs w:val="20"/>
          <w:color w:val="auto"/>
        </w:rPr>
      </w:pPr>
    </w:p>
    <w:p>
      <w:pPr>
        <w:ind w:right="40" w:firstLine="60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Beverage Revenue</w:t>
      </w:r>
      <w:r>
        <w:rPr>
          <w:rFonts w:ascii="Times New Roman" w:cs="Times New Roman" w:eastAsia="Times New Roman" w:hAnsi="Times New Roman"/>
          <w:sz w:val="18"/>
          <w:szCs w:val="18"/>
          <w:color w:val="auto"/>
        </w:rPr>
        <w:t>—Under the ESAs, up to 90 seconds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Show program can be sold to the ESA Parties to satisfy their on-screen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advertising commitments under their beverage concessionaire agreements. In 2023, Cinemark and Regal, prior to the termination of Regal's ESA, purchased 60 seconds of on-screen advertising time and AMC purchased 30 seconds to satisfy their obligations under their beverage concessionaire agreements. In 2024, Cinemark purchased 60 seconds of on-screen advertising time and AMC purchased 30 seconds to satisfy their obligations under their beverage concessionaire agreements. The ESA Parties’ current long-term contracts with their beverage suppliers require the 30 or 60 seconds of beverage advertising, although such commitments could change in the future. Per the ESA with AMC, the time sold to the beverage supplier is priced equal to the greater of (1) the advertising CPM charged by NCM LLC in the previous year for the time sold to the beverage supplier and (2) the advertising CPM for the previous year charged by NCM LLC to unaffiliated third parties during segment one (closest to showtime)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in the ESA Parties’ theaters, limited to the highest advertising CPM being then-charged by NCM LLC. Beginning in 2020 and in accordance with the 2019 ESA Amendments, the price for the time sold to Cinemark and Regal’s beverage suppliers now increases at a fixed rate of 2.0% each year. As of July 14, 2023, the effective date of the Regal Advertising Agreement, the Company no longer receives ESA beverage revenue from Regal.</w:t>
      </w:r>
    </w:p>
    <w:p>
      <w:pPr>
        <w:spacing w:after="0" w:line="74" w:lineRule="exact"/>
        <w:rPr>
          <w:sz w:val="20"/>
          <w:szCs w:val="20"/>
          <w:color w:val="auto"/>
        </w:rPr>
      </w:pPr>
    </w:p>
    <w:p>
      <w:pPr>
        <w:ind w:right="120" w:firstLine="60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ESA Parties and network affiliate fees</w:t>
      </w:r>
      <w:r>
        <w:rPr>
          <w:rFonts w:ascii="Times New Roman" w:cs="Times New Roman" w:eastAsia="Times New Roman" w:hAnsi="Times New Roman"/>
          <w:sz w:val="18"/>
          <w:szCs w:val="18"/>
          <w:color w:val="auto"/>
        </w:rPr>
        <w:t>—In consideration for NCM LLC’s access to the ESA Parties’ and network affiliate theaters for on-screen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LEN advertising and lobby promotions, the ESA Parties and network affiliates receive access fees based either upon number of attendees, a revenue share or a combination, including a minimum revenue guarantee per attendee. Many of these agreements contain annual increases to the respective fee structures or guaranteed minimums, either per patron, per theater and/or per digital screen. The payments under the ESA Parties' agreements and network affiliate agreements are recorded within ‘ESA Parties and network affiliate fees’ in the audited Consolidated Statement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and Liquidity</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280" w:firstLine="608"/>
        <w:spacing w:after="0" w:line="258" w:lineRule="auto"/>
        <w:rPr>
          <w:sz w:val="20"/>
          <w:szCs w:val="20"/>
          <w:color w:val="auto"/>
        </w:rPr>
      </w:pPr>
      <w:r>
        <w:rPr>
          <w:rFonts w:ascii="Times New Roman" w:cs="Times New Roman" w:eastAsia="Times New Roman" w:hAnsi="Times New Roman"/>
          <w:sz w:val="18"/>
          <w:szCs w:val="18"/>
          <w:color w:val="auto"/>
        </w:rPr>
        <w:t>Our cash balances can fluctuate due to the seasonality of our business and related timing of collections of accounts receivable balances and operating expenditure payments, as well as interest or principal payments on our Revolving Credit Facility 2023, income tax payments, TRA payments, available cash payments (as defined in the NCM LLC Operating Agreement) to Cinemark and AMC in the event the ESA Parties hold NCM LLC membership units and any amount of dividends to NCM, Inc.’s common stockholders. We have sufficient sources of liquidity to meet our material cash commitments for the next 12 months and the foreseeable future.</w:t>
      </w:r>
    </w:p>
    <w:p>
      <w:pPr>
        <w:spacing w:after="0" w:line="75" w:lineRule="exact"/>
        <w:rPr>
          <w:sz w:val="20"/>
          <w:szCs w:val="20"/>
          <w:color w:val="auto"/>
        </w:rPr>
      </w:pPr>
    </w:p>
    <w:p>
      <w:pPr>
        <w:ind w:firstLine="614"/>
        <w:spacing w:after="0" w:line="254" w:lineRule="auto"/>
        <w:rPr>
          <w:sz w:val="20"/>
          <w:szCs w:val="20"/>
          <w:color w:val="auto"/>
        </w:rPr>
      </w:pPr>
      <w:r>
        <w:rPr>
          <w:rFonts w:ascii="Times New Roman" w:cs="Times New Roman" w:eastAsia="Times New Roman" w:hAnsi="Times New Roman"/>
          <w:sz w:val="18"/>
          <w:szCs w:val="18"/>
          <w:color w:val="auto"/>
        </w:rPr>
        <w:t>On January 24, 2025, NCM LLC as borrower, entered into a Loan and Security Agreement with U.S. Bank National Association, as lender. The agreement provides for a $45.0 million senior secured revolving credit facility, the 2025 Credit Facility, that matures on January 24, 2028. In connection with entering into the 2025 Credit Facility, NCM LLC repaid in full the $10.0 million balance outstanding as of December 26, 2024 and terminated all commitments under its 2023 Revolving Credit Facility, and in connection with this termination, paid a prepayment fee equal to 1% of the total commitment. As of March 6, 2025, NCM LLC has not made any borrowings under the 2025 Credit Facility. Borrowings under the 2025 Credit Facility may be used for, among other things, working capital and other general corporate purposes of the Company and bear interest at a floating rate equal to term SOFR (subject to a floor of zero) plus an applicable margin of 2.00%, which is subject to increase by an additional 2.00% upon the occurrence of an event of default.</w:t>
      </w:r>
    </w:p>
    <w:p>
      <w:pPr>
        <w:spacing w:after="0" w:line="84" w:lineRule="exact"/>
        <w:rPr>
          <w:sz w:val="20"/>
          <w:szCs w:val="20"/>
          <w:color w:val="auto"/>
        </w:rPr>
      </w:pPr>
    </w:p>
    <w:p>
      <w:pPr>
        <w:ind w:right="20" w:firstLine="608"/>
        <w:spacing w:after="0" w:line="255" w:lineRule="auto"/>
        <w:rPr>
          <w:sz w:val="20"/>
          <w:szCs w:val="20"/>
          <w:color w:val="auto"/>
        </w:rPr>
      </w:pPr>
      <w:r>
        <w:rPr>
          <w:rFonts w:ascii="Times New Roman" w:cs="Times New Roman" w:eastAsia="Times New Roman" w:hAnsi="Times New Roman"/>
          <w:sz w:val="18"/>
          <w:szCs w:val="18"/>
          <w:color w:val="auto"/>
        </w:rPr>
        <w:t>On August 7, 2023, NCM LLC entered into the Revolving Credit Facility 2023 with CIT Northbridge Credit LLC as agent. The Revolving Credit Facility 2023 is an asset backed line facility where the capacity depends upon NCM LLC’s trade accounts receivable balance, as adjusted for aged balances and other considerations. The maximum availability NCM LLC has access to under the revolver is $55.0 million. The proceeds of the Revolving Credit Facility 2023 may be used for, inter alia, working capital and capital expenditures. The Revolving Credit Facility 2023 will mature on August 7, 2026. The interest rate under the Revolving Credit Facility 2023 is a base rate or SOFR benchmark plus (i) 3.75% if less than 50% of revolving commitments are utilized or (ii) 4.50% if 50% or more of revolving commitments are utilized (utilizing the average revolver usage for the prior calendar month as a benchmark for this determination). The Revolving Credit Facility 2023 also</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5" w:name="page46"/>
    <w:bookmarkEnd w:id="45"/>
    <w:p>
      <w:pPr>
        <w:spacing w:after="0" w:line="255" w:lineRule="auto"/>
        <w:rPr>
          <w:sz w:val="20"/>
          <w:szCs w:val="20"/>
          <w:color w:val="auto"/>
        </w:rPr>
      </w:pPr>
      <w:r>
        <w:rPr>
          <w:rFonts w:ascii="Times New Roman" w:cs="Times New Roman" w:eastAsia="Times New Roman" w:hAnsi="Times New Roman"/>
          <w:sz w:val="18"/>
          <w:szCs w:val="18"/>
          <w:color w:val="auto"/>
        </w:rPr>
        <w:t>contains a financial maintenance covenant requiring that the fixed charge coverage ratio ending on the last day of each fiscal month is at least 1.1 to 1.0 during a “Trigger Period.” A Trigger Period begins upon (i) an event of default or (ii) if availability is less than the greater of (a) $5.0 million and (b) 10% of aggregate revolving commitments. A Trigger Period ends only if (i) no event of default existed for the preceding 30 consecutive days and (ii) availability is greater than both (a) $5.0 million and (b) 10% of aggregate revolving commitments. Upon the effectiveness of the Revolving Credit Facility 2023, NCM LLC immediately drew $10.0 million from the facility, which represents the only amount currently outstanding under the Revolving Credit Facility 2023, as of December 26, 2024. This balance was subsequently repaid on January 24, 2025 upon the termination of the Revolving Credit Facility 2023, effective on January 24, 2025.</w:t>
      </w:r>
    </w:p>
    <w:p>
      <w:pPr>
        <w:spacing w:after="0" w:line="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 summary of our financial liquidity is as follows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8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0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40" w:type="dxa"/>
            <w:vAlign w:val="bottom"/>
            <w:tcBorders>
              <w:bottom w:val="single" w:sz="8" w:color="auto"/>
            </w:tcBorders>
            <w:gridSpan w:val="2"/>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December 26, 2024</w:t>
            </w:r>
          </w:p>
        </w:tc>
        <w:tc>
          <w:tcPr>
            <w:tcW w:w="140" w:type="dxa"/>
            <w:vAlign w:val="bottom"/>
          </w:tcPr>
          <w:p>
            <w:pPr>
              <w:spacing w:after="0"/>
              <w:rPr>
                <w:sz w:val="12"/>
                <w:szCs w:val="12"/>
                <w:color w:val="auto"/>
              </w:rPr>
            </w:pPr>
          </w:p>
        </w:tc>
        <w:tc>
          <w:tcPr>
            <w:tcW w:w="1440" w:type="dxa"/>
            <w:vAlign w:val="bottom"/>
            <w:tcBorders>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2023</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2023 to 2024</w:t>
            </w:r>
          </w:p>
        </w:tc>
      </w:tr>
      <w:tr>
        <w:trPr>
          <w:trHeight w:val="209"/>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Cash, cash equivalents and marketable securities </w:t>
            </w:r>
            <w:r>
              <w:rPr>
                <w:rFonts w:ascii="Times New Roman" w:cs="Times New Roman" w:eastAsia="Times New Roman" w:hAnsi="Times New Roman"/>
                <w:sz w:val="18"/>
                <w:szCs w:val="18"/>
                <w:i w:val="1"/>
                <w:iCs w:val="1"/>
                <w:color w:val="auto"/>
              </w:rPr>
              <w:t>(1)</w:t>
            </w:r>
          </w:p>
        </w:tc>
        <w:tc>
          <w:tcPr>
            <w:tcW w:w="50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75.2</w:t>
            </w:r>
          </w:p>
        </w:tc>
        <w:tc>
          <w:tcPr>
            <w:tcW w:w="780" w:type="dxa"/>
            <w:vAlign w:val="bottom"/>
            <w:gridSpan w:val="2"/>
            <w:shd w:val="clear" w:color="auto" w:fill="CFF0FC"/>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34.6</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NCM LLC’s Revolving Credit Facility 2023 availability </w:t>
            </w:r>
            <w:r>
              <w:rPr>
                <w:rFonts w:ascii="Times New Roman" w:cs="Times New Roman" w:eastAsia="Times New Roman" w:hAnsi="Times New Roman"/>
                <w:sz w:val="18"/>
                <w:szCs w:val="18"/>
                <w:i w:val="1"/>
                <w:iCs w:val="1"/>
                <w:color w:val="auto"/>
              </w:rPr>
              <w:t>(2)</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liquidity</w:t>
            </w:r>
          </w:p>
        </w:tc>
        <w:tc>
          <w:tcPr>
            <w:tcW w:w="50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119.6</w:t>
            </w:r>
          </w:p>
        </w:tc>
        <w:tc>
          <w:tcPr>
            <w:tcW w:w="780" w:type="dxa"/>
            <w:vAlign w:val="bottom"/>
            <w:gridSpan w:val="2"/>
            <w:shd w:val="clear" w:color="auto" w:fill="CFF0FC"/>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79.0</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40.6</w:t>
            </w:r>
          </w:p>
        </w:tc>
      </w:tr>
      <w:tr>
        <w:trPr>
          <w:trHeight w:val="115"/>
        </w:trPr>
        <w:tc>
          <w:tcPr>
            <w:tcW w:w="3000" w:type="dxa"/>
            <w:vAlign w:val="bottom"/>
            <w:tcBorders>
              <w:top w:val="single" w:sz="8" w:color="CFF0FC"/>
              <w:bottom w:val="single" w:sz="8" w:color="auto"/>
            </w:tcBorders>
          </w:tcPr>
          <w:p>
            <w:pPr>
              <w:spacing w:after="0"/>
              <w:rPr>
                <w:sz w:val="10"/>
                <w:szCs w:val="10"/>
                <w:color w:val="auto"/>
              </w:rPr>
            </w:pPr>
          </w:p>
        </w:tc>
        <w:tc>
          <w:tcPr>
            <w:tcW w:w="3640" w:type="dxa"/>
            <w:vAlign w:val="bottom"/>
            <w:tcBorders>
              <w:top w:val="single" w:sz="8" w:color="CFF0FC"/>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-119380</wp:posOffset>
            </wp:positionV>
            <wp:extent cx="939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-102235</wp:posOffset>
            </wp:positionV>
            <wp:extent cx="939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-119380</wp:posOffset>
            </wp:positionV>
            <wp:extent cx="946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-102235</wp:posOffset>
            </wp:positionV>
            <wp:extent cx="946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 w:lineRule="exact"/>
        <w:rPr>
          <w:sz w:val="20"/>
          <w:szCs w:val="20"/>
          <w:color w:val="auto"/>
        </w:rPr>
      </w:pPr>
    </w:p>
    <w:p>
      <w:pPr>
        <w:ind w:left="1000" w:right="280" w:hanging="379"/>
        <w:spacing w:after="0" w:line="312" w:lineRule="auto"/>
        <w:tabs>
          <w:tab w:leader="none" w:pos="1000" w:val="left"/>
        </w:tabs>
        <w:numPr>
          <w:ilvl w:val="0"/>
          <w:numId w:val="2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Included in cash and cash equivalents as of December 26, 2024 and December 28, 2023 there was $63.5 million and $31.9 million, respectively, of cash held by NCM LLC which is not available to satisfy NCM, Inc.'s dividend payments and other NCM, Inc. obligations.</w:t>
      </w:r>
    </w:p>
    <w:p>
      <w:pPr>
        <w:spacing w:after="0" w:line="31" w:lineRule="exact"/>
        <w:rPr>
          <w:rFonts w:ascii="Times New Roman" w:cs="Times New Roman" w:eastAsia="Times New Roman" w:hAnsi="Times New Roman"/>
          <w:sz w:val="17"/>
          <w:szCs w:val="17"/>
          <w:i w:val="1"/>
          <w:iCs w:val="1"/>
          <w:color w:val="auto"/>
        </w:rPr>
      </w:pPr>
    </w:p>
    <w:p>
      <w:pPr>
        <w:ind w:left="1000" w:hanging="379"/>
        <w:spacing w:after="0" w:line="261" w:lineRule="auto"/>
        <w:tabs>
          <w:tab w:leader="none" w:pos="100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NCM LLC’s total capacity under the Revolving Credit Facility 2023, which is subject to fluctuations in the underlying assets, is $55.0 million as of December 26, 2024. As of December 26, 2024, the amount available under the NCM LLC Revolving Credit Facility 2023 in the table above is net of the amount outstanding under the Revolving Credit Facility 2023 of $10.0 million and the outstanding letters of credit of $0.6 million.</w:t>
      </w:r>
    </w:p>
    <w:p>
      <w:pPr>
        <w:spacing w:after="0" w:line="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We have generated and used cash as follows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220" w:type="dxa"/>
            <w:vAlign w:val="bottom"/>
            <w:tcBorders>
              <w:bottom w:val="single" w:sz="8" w:color="auto"/>
            </w:tcBorders>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cash flow</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60.3</w:t>
            </w:r>
          </w:p>
        </w:tc>
        <w:tc>
          <w:tcPr>
            <w:tcW w:w="6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cash flow</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32.6</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cash flow</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6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(52.1 )</w:t>
            </w:r>
          </w:p>
        </w:tc>
      </w:tr>
    </w:tbl>
    <w:p>
      <w:pPr>
        <w:spacing w:after="0" w:line="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Cash Flows – Fiscal Years 2024 and 2023</w:t>
      </w:r>
    </w:p>
    <w:p>
      <w:pPr>
        <w:spacing w:after="0" w:line="119" w:lineRule="exact"/>
        <w:rPr>
          <w:sz w:val="20"/>
          <w:szCs w:val="20"/>
          <w:color w:val="auto"/>
        </w:rPr>
      </w:pPr>
    </w:p>
    <w:p>
      <w:pPr>
        <w:ind w:right="40" w:firstLine="60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The $67.0 million increase in cash provided by operating activities for 2024, as compared to 2023, was due to 1) a $59.1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decrease in net loss adjusted for non-cash items, 2) an $18.6 million increase in deferred revenue, 3) a $6.7 million increase in amounts due from to ESA Parties, net, 4) a $6.1 million decrease in the change in prepaid expenses, 5) a $2.6 million decrease in payments of accounts payable and accrued expenses and 6) a $2.6 million increase in other operating assets and liabilities for 2024, as compared to 2023. These increases in cash provided by operating activities were partially offset by a $25.7 million decrease in the change in account receivable collections and a $3.8 million reduction in the receipts of ESA Party integration and encumbered theater payments in 2024, as compared to 2023.</w:t>
      </w:r>
    </w:p>
    <w:p>
      <w:pPr>
        <w:spacing w:after="0" w:line="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The $38.3 million increase in cash used in investing activities for 2024, as compared to 2023, was primarily due to the $49.5</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addition of cash and cash equivalents upon the reconsolidation of NCM LLC in 2023 with no similar activity in 2024. Additionally, there was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million increase in purchases of property and equipment due in part to the commencement of new leases and a $1.0 million decrease in proceeds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and maturities of marketable securities, as well as a $1.0 million increase in the purchase of a cost method investment for 2024, as compared to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increases in cash used by investing activities were partially offset by a $15.5 million cash contribution made in conjunction with the reconsolidation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NCM LLC during 2023 and a $0.6 million increase in proceeds received from an equity method investment for 2024, as compared to 2023.</w:t>
      </w:r>
    </w:p>
    <w:p>
      <w:pPr>
        <w:spacing w:after="0" w:line="97" w:lineRule="exact"/>
        <w:rPr>
          <w:sz w:val="20"/>
          <w:szCs w:val="20"/>
          <w:color w:val="auto"/>
        </w:rPr>
      </w:pPr>
    </w:p>
    <w:p>
      <w:pPr>
        <w:ind w:right="120" w:firstLine="60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$38.0 million decrease in cash used in financing activities for 2024, as compared to 2023, was primarily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removal of $49.6 million of cash caused by the deconsolidation of NCM LLC in the second quarter of 2023. Additionally, there was a $1.2 million decrease in payments of debt issuance costs and a $0.8 million decrease in repayments of the term loan facility due to an amendment to the Credit Agreement 2018 and Revolving Credit Agreement 2022 in the year ended December 28, 2023, as compared to the year ended December 26, 2024. These decreases were partially offset by a $13.1 million increase in payments made to repurchase shares of NCM, Inc.'s common stock and $0.7 million increase in cash redemptions of NCM LLC common membership units during 2024, as compared to 2023.</w:t>
      </w:r>
    </w:p>
    <w:p>
      <w:pPr>
        <w:spacing w:after="0" w:line="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 and Capital Requirements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ind w:right="140" w:firstLine="608"/>
        <w:spacing w:after="0" w:line="255" w:lineRule="auto"/>
        <w:rPr>
          <w:sz w:val="20"/>
          <w:szCs w:val="20"/>
          <w:color w:val="auto"/>
        </w:rPr>
      </w:pPr>
      <w:r>
        <w:rPr>
          <w:rFonts w:ascii="Times New Roman" w:cs="Times New Roman" w:eastAsia="Times New Roman" w:hAnsi="Times New Roman"/>
          <w:sz w:val="18"/>
          <w:szCs w:val="18"/>
          <w:color w:val="auto"/>
        </w:rPr>
        <w:t>NCM, Inc.’s primary source of liquidity and capital resources is the quarterly available cash distributions from NCM LLC as well as its existing cash and cash equivalents balances, which as of December 26, 2024 were $78.2 million (including $66.5 million of cash and restricted cash held by NCM LLC). NCM LLC’s primary sources of liquidity and capital resources are (i) its cash provided by operating activities, (ii) cash on hand and (iii) as of January 24, 2025, availability under the new 2025 Credit Facility. NCM LLC's previous Revolving Credit Facility 2023 was terminated and repaid on January 24, 2025. NCM LLC drew down $10.0 million of its Revolving Credit Facility 2023 immediately upon emergence from bankruptcy on August 7, 2023. The $66.5 million of cash at NCM LLC will be used to fund operations. Cash at NCM, Inc. is used to fund income taxes, payments associated with the TRA, stock repurchases and for future payment of dividends to NCM, Inc. stockholders if and when declared by the Board of Directors.</w:t>
      </w:r>
    </w:p>
    <w:p>
      <w:pPr>
        <w:spacing w:after="0" w:line="81" w:lineRule="exact"/>
        <w:rPr>
          <w:sz w:val="20"/>
          <w:szCs w:val="20"/>
          <w:color w:val="auto"/>
        </w:rPr>
      </w:pPr>
    </w:p>
    <w:p>
      <w:pPr>
        <w:ind w:firstLine="608"/>
        <w:spacing w:after="0" w:line="253" w:lineRule="auto"/>
        <w:rPr>
          <w:sz w:val="20"/>
          <w:szCs w:val="20"/>
          <w:color w:val="auto"/>
        </w:rPr>
      </w:pPr>
      <w:r>
        <w:rPr>
          <w:rFonts w:ascii="Times New Roman" w:cs="Times New Roman" w:eastAsia="Times New Roman" w:hAnsi="Times New Roman"/>
          <w:sz w:val="18"/>
          <w:szCs w:val="18"/>
          <w:color w:val="auto"/>
        </w:rPr>
        <w:t>Cash flows generated by NCM LLC’s distributions to NCM, Inc. and NCM LLC’s other members were deferred during the Chapter 11 Case. NCM LLC is required, pursuant to the terms of the NCM LLC Operating Agreement, to distribute its available cash, as defined in the NCM LLC Operating Agreement, quarterly to its members (only NCM, Inc. and AMC as of December 26, 2024). The other members are only able to receive available cash when they hold units. The available cash distribution to the members of NCM LLC for the year ended December 26, 2024 was calculated as approximately $26.2 million, due almost entirely to NCM, Inc, as the primary holder of NCM LLC units as of December 26, 2024. The $26.2 million is comprised of negative available cash generated by NCM LLC to NCM, Inc. for the first quarter of 2024 of $10.2 million and positive available cash generated by NCM LLC to NCM, Inc. for the second, third and fourth quarter of 2024 totaling $36.4 million. The positive available cash generated by NCM LLC for the second quarter of 2024, of $1.3 million, was completely offset against the accumulated negative available cash amounts generated in prior years in accordance with the terms of the NCM LLC Operating Agreement. The cumulative negative available cash balance as of December 26, 2024 is $223.6 million (including $165.1 million for NCM, Inc., $56.3 million for Cinemark and $2.2 million for AMC). These amounts can only be offset against positive available cash within the second quarter of future years. NCM, Inc. has the option to defer payment of any available cash distributions payable to NCM, Inc. at its discretion. As of December 26, 2024, NCM LLC owed NCM, Inc. $46.3 million in deferred available cash distributions.</w:t>
      </w:r>
    </w:p>
    <w:p>
      <w:pPr>
        <w:spacing w:after="0" w:line="82" w:lineRule="exact"/>
        <w:rPr>
          <w:sz w:val="20"/>
          <w:szCs w:val="20"/>
          <w:color w:val="auto"/>
        </w:rPr>
      </w:pPr>
    </w:p>
    <w:p>
      <w:pPr>
        <w:ind w:firstLine="608"/>
        <w:spacing w:after="0" w:line="254" w:lineRule="auto"/>
        <w:rPr>
          <w:sz w:val="20"/>
          <w:szCs w:val="20"/>
          <w:color w:val="auto"/>
        </w:rPr>
      </w:pPr>
      <w:r>
        <w:rPr>
          <w:rFonts w:ascii="Times New Roman" w:cs="Times New Roman" w:eastAsia="Times New Roman" w:hAnsi="Times New Roman"/>
          <w:sz w:val="18"/>
          <w:szCs w:val="18"/>
          <w:color w:val="auto"/>
        </w:rPr>
        <w:t>NCM, Inc. expects to use its cash balances and cash received from future available cash distributions (as allowed for under the Revolving Credit Facility 2023) to fund payments associated with the TRA, stock repurchases, strategic initiatives and future dividends if and when declared by the Board of Directors. The Company does expect to make a TRA payment in 2025 for the 2024 tax year and did not make a TRA payment in 2024 for the 2023 tax year. Distributions from NCM LLC and NCM, Inc. cash balances should be sufficient to fund payments associated with the TRA, income taxes and any stock repurchases or declared dividends for the foreseeable future at the discretion of the Board of Directors. At the discretion of the Board of Directors, the Company will consider returning a portion of its free cash flow to stockholders. The declaration, payment, timing and amount of any future stock repurchases or dividends payable will be at the sole discretion of the Board of Directors who will take into account general economic and advertising market business conditions, the Company’s financial condition, available cash, current and anticipated cash needs and any other factors that the Board of Directors considers relevant.</w:t>
      </w:r>
    </w:p>
    <w:p>
      <w:pPr>
        <w:spacing w:after="0" w:line="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Capital expenditures of NCM LLC include digital applications being developed primarily by our programmers and outside consultants, capitalized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software development or upgrades for our Digital Content Software, audience targeting and data management systems, cinema advertising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 equipment required for our Customer Experience Center and content production and post-production facilities, office leasehold improvements,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desktop equipment for use by our employees, and in certain cases, the costs necessary to install equipment at or digitize all or a portion of a network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theaters when they are added to our network. Capital expenditures in 2024 were $5.6 million (including $1.9 million associated with upgrades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existing systems related to the continued upgrades of our cinema advertising management system; $1.7 million associated with leasehold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improvements; $1.0 million associated with digital product development; $0.4 million associated with network affiliate additions and $0.4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certain implementation and prepaid costs associated with Cloud Computing arrangements) compared to $5.3 million in 2023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million associated with upgrades to our existing systems related to the continued upgrades of our cinema advertising management system; $1.5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digital product development; $1.3 million associated with certain implementation and prepaid costs associated with Cloud Computing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arrangements and $0.3 million associated with network affiliate additions). The capital expenditures have typically been satisfied through cash flow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All capital expenditures related to the DCN within the ESA Parties’ theaters have been made by the ESA Parties under the ESAs. We expect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will continue to be made by the ESA Parties in accordance with the ESAs.</w:t>
      </w:r>
    </w:p>
    <w:p>
      <w:pPr>
        <w:spacing w:after="0" w:line="99" w:lineRule="exact"/>
        <w:rPr>
          <w:sz w:val="20"/>
          <w:szCs w:val="20"/>
          <w:color w:val="auto"/>
        </w:rPr>
      </w:pPr>
    </w:p>
    <w:p>
      <w:pPr>
        <w:ind w:right="20" w:firstLine="608"/>
        <w:spacing w:after="0" w:line="261" w:lineRule="auto"/>
        <w:rPr>
          <w:sz w:val="20"/>
          <w:szCs w:val="20"/>
          <w:color w:val="auto"/>
        </w:rPr>
      </w:pPr>
      <w:r>
        <w:rPr>
          <w:rFonts w:ascii="Times New Roman" w:cs="Times New Roman" w:eastAsia="Times New Roman" w:hAnsi="Times New Roman"/>
          <w:sz w:val="18"/>
          <w:szCs w:val="18"/>
          <w:color w:val="auto"/>
        </w:rPr>
        <w:t>We expect to make approximately $10.5 million to $11.5 million of capital expenditures in fiscal 2025. We expect approximately $6.0 million of capital expenditures related to upgrades to our Digital Content distribution and management software and our other internal management systems, including our cinema advertising management system, reporting systems, network equipment and software licensing, $2.0 million towards network affiliate additions and upgrades to</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ind w:right="360"/>
        <w:spacing w:after="0" w:line="266" w:lineRule="auto"/>
        <w:rPr>
          <w:sz w:val="20"/>
          <w:szCs w:val="20"/>
          <w:color w:val="auto"/>
        </w:rPr>
      </w:pPr>
      <w:r>
        <w:rPr>
          <w:rFonts w:ascii="Times New Roman" w:cs="Times New Roman" w:eastAsia="Times New Roman" w:hAnsi="Times New Roman"/>
          <w:sz w:val="18"/>
          <w:szCs w:val="18"/>
          <w:color w:val="auto"/>
        </w:rPr>
        <w:t>currently contracted network affiliates, $1.5 million towards digital products and audience measurement tools and $1.0 million towards leasehold improvements. Our capital expenditures may increase as we add additional network affiliates. We expect that additional expenditures, if any, would be funded in part by additional cash flows associated with those new network affiliates.</w:t>
      </w:r>
    </w:p>
    <w:p>
      <w:pPr>
        <w:spacing w:after="0" w:line="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Financings</w:t>
      </w:r>
    </w:p>
    <w:p>
      <w:pPr>
        <w:spacing w:after="0" w:line="121" w:lineRule="exact"/>
        <w:rPr>
          <w:sz w:val="20"/>
          <w:szCs w:val="20"/>
          <w:color w:val="auto"/>
        </w:rPr>
      </w:pPr>
    </w:p>
    <w:p>
      <w:pPr>
        <w:ind w:right="240" w:firstLine="614"/>
        <w:spacing w:after="0" w:line="258" w:lineRule="auto"/>
        <w:rPr>
          <w:sz w:val="20"/>
          <w:szCs w:val="20"/>
          <w:color w:val="auto"/>
        </w:rPr>
      </w:pPr>
      <w:r>
        <w:rPr>
          <w:rFonts w:ascii="Times New Roman" w:cs="Times New Roman" w:eastAsia="Times New Roman" w:hAnsi="Times New Roman"/>
          <w:sz w:val="18"/>
          <w:szCs w:val="18"/>
          <w:color w:val="auto"/>
        </w:rPr>
        <w:t>On January 24, 2025, NCM LLC as borrower, entered into a Loan and Security Agreement with U.S. Bank National Association, as lender. The agreement provides for a $45.0 million senior secured revolving credit facility, the 2025 Credit Facility, that matures on January 24, 2028. In connection with entering into the 2025 Credit Facility, NCM LLC repaid in full the $10.0 million balance outstanding as of December 26, 2024 and terminated all commitments under its 2023 Revolving Credit Facility, and in connection with this termination, paid a prepayment fee equal to 1% of the total commitment.</w:t>
      </w:r>
    </w:p>
    <w:p>
      <w:pPr>
        <w:spacing w:after="0" w:line="75" w:lineRule="exact"/>
        <w:rPr>
          <w:sz w:val="20"/>
          <w:szCs w:val="20"/>
          <w:color w:val="auto"/>
        </w:rPr>
      </w:pPr>
    </w:p>
    <w:p>
      <w:pPr>
        <w:ind w:right="40" w:firstLine="614"/>
        <w:spacing w:after="0" w:line="255" w:lineRule="auto"/>
        <w:rPr>
          <w:sz w:val="20"/>
          <w:szCs w:val="20"/>
          <w:color w:val="auto"/>
        </w:rPr>
      </w:pPr>
      <w:r>
        <w:rPr>
          <w:rFonts w:ascii="Times New Roman" w:cs="Times New Roman" w:eastAsia="Times New Roman" w:hAnsi="Times New Roman"/>
          <w:sz w:val="18"/>
          <w:szCs w:val="18"/>
          <w:color w:val="auto"/>
        </w:rPr>
        <w:t>As of January 27, 2025, NCM LLC has not made any borrowings under the 2025 Credit Facility. Borrowings under the 2025 Credit Facility may be used for, among other things, working capital and other general corporate purposes of the Company and bear interest at a floating rate equal to term SOFR (subject to a floor of zero) plus an applicable margin of 2.00%, which is subject to increase by an additional 2.00% upon the occurrence of an event of default. A commitment fee of 0.25% is payable quarterly in arrears based on the average daily amount of the undrawn portion of the commitments under the 2025 Credit Facility for the preceding quarter. The 2025 Credit Facility has a $5.0 million sublimit for the issuance of letters of credit. Fees are payable on outstanding letters of credit at a per annum rate equal to 2.00%, plus certain customary fees payable in connection with the issuance, amendment, renewal and extension of letters of credit and the processing of drawings thereunder.</w:t>
      </w:r>
    </w:p>
    <w:p>
      <w:pPr>
        <w:spacing w:after="0" w:line="81" w:lineRule="exact"/>
        <w:rPr>
          <w:sz w:val="20"/>
          <w:szCs w:val="20"/>
          <w:color w:val="auto"/>
        </w:rPr>
      </w:pPr>
    </w:p>
    <w:p>
      <w:pPr>
        <w:ind w:right="20" w:firstLine="614"/>
        <w:spacing w:after="0" w:line="253" w:lineRule="auto"/>
        <w:rPr>
          <w:sz w:val="20"/>
          <w:szCs w:val="20"/>
          <w:color w:val="auto"/>
        </w:rPr>
      </w:pPr>
      <w:r>
        <w:rPr>
          <w:rFonts w:ascii="Times New Roman" w:cs="Times New Roman" w:eastAsia="Times New Roman" w:hAnsi="Times New Roman"/>
          <w:sz w:val="18"/>
          <w:szCs w:val="18"/>
          <w:color w:val="auto"/>
        </w:rPr>
        <w:t>Certain of NCM LLC’s future subsidiaries, the Guarantors, are required to guarantee the repayment of NCM LLC’s obligations under the 2025 Credit Facility. The obligations of NCM LLC and any such Guarantors with respect to the 2025 Credit Facility are and will be secured by a pledge of substantially all assets of NCM LLC and each of the Guarantors, including, without limitation, accounts receivables, deposit accounts, intellectual property, investment property, inventory, equipment and equity interests in their respective subsidiaries. The 2025 Credit Facility contains affirmative and negative covenants customary for financings of this type, including limitations on the NCM LLC’s and its subsidiaries ability to incur additional debt, grant or permit additional liens, make investments and acquisitions, merge or consolidate with others, dispose of assets, pay dividends and distributions, make equity repurchases, pay subordinated indebtedness and enter into affiliate transactions. In addition, the 2025 Credit Facility contains financial covenants requiring NCM LLC to maintain a maximum leverage ratio of no greater than 2.25 to 1.00 and a minimum fixed charge coverage ratio of no less than 1.50 to 1.00, each measured on a quarterly basis. The 2025 Credit Facility also includes events of default customary for facilities of this type and upon the occurrence of such events of default, subject to customary cure rights, all outstanding loans under the 2025 Credit Facility may be accelerated and/or the Company’s commitments terminated. The 2025 Credit Facility also contains representations, warranties, and events of defaults customary for this type of facility.</w:t>
      </w:r>
    </w:p>
    <w:p>
      <w:pPr>
        <w:spacing w:after="0" w:line="82" w:lineRule="exact"/>
        <w:rPr>
          <w:sz w:val="20"/>
          <w:szCs w:val="20"/>
          <w:color w:val="auto"/>
        </w:rPr>
      </w:pPr>
    </w:p>
    <w:p>
      <w:pPr>
        <w:ind w:right="40" w:firstLine="608"/>
        <w:spacing w:after="0" w:line="252" w:lineRule="auto"/>
        <w:rPr>
          <w:sz w:val="20"/>
          <w:szCs w:val="20"/>
          <w:color w:val="auto"/>
        </w:rPr>
      </w:pPr>
      <w:r>
        <w:rPr>
          <w:rFonts w:ascii="Times New Roman" w:cs="Times New Roman" w:eastAsia="Times New Roman" w:hAnsi="Times New Roman"/>
          <w:sz w:val="18"/>
          <w:szCs w:val="18"/>
          <w:color w:val="auto"/>
        </w:rPr>
        <w:t>On August 7, 2023, NCM LLC entered into the Revolving Credit Facility 2023 with CIT Northbridge Credit LLC as agent and on January 24, 2025, it was terminated. The Revolving Credit Facility 2023 was an asset backed line facility where the capacity depends upon NCM LLC’s trade accounts receivable balance, as adjusted for aged balances and other considerations, and was secured by a lien on substantially all of assets of NCM LLC. The maximum availability NCM LLC had access to under the Revolving Credit Facility 2023 is $55.0 million. The proceeds of the Revolving Credit Facility 2023 could have been used for, inter alia, working capital and capital expenditures. The Revolving Credit Facility 2023 would have matured on August 7, 2026. The interest rate under the Revolving credit facility 2023 was a base rate or SOFR benchmark plus (i) 3.75% if less than 50% of revolving commitments were utilized or (ii) 4.50% if 50% or more of revolving commitments were utilized (utilizing the average revolver usage for the prior calendar month as a benchmark for this determination). The Revolving Credit Facility 2023 also contained a financial maintenance covenant requiring that the fixed charge coverage ratio ending on the last day of each fiscal month was at least 1.1 to 1.0 during a “Trigger Period.” A Trigger Period began upon</w:t>
      </w:r>
    </w:p>
    <w:p>
      <w:pPr>
        <w:spacing w:after="0" w:line="6" w:lineRule="exact"/>
        <w:rPr>
          <w:sz w:val="20"/>
          <w:szCs w:val="20"/>
          <w:color w:val="auto"/>
        </w:rPr>
      </w:pPr>
    </w:p>
    <w:p>
      <w:pPr>
        <w:ind w:firstLine="8"/>
        <w:spacing w:after="0" w:line="251" w:lineRule="auto"/>
        <w:tabs>
          <w:tab w:leader="none" w:pos="2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or (ii) if availability is less than the greater of (a) $5.0 million and (b) 10% of aggregate revolving commitments. A Trigger Period ended only if (i) no event of default existed for the preceding thirty (30) consecutive days and (ii) availability was greater than both (a) $5.0 million and (b) 10% of aggregate revolving commitments. Upon the effectiveness of the Revolving Credit Facility 2023, NCM LLC immediately drew $10.0 million from the facility, which represented the only amount currently outstanding under the Revolving Credit Facility 2023, as of December 26, 2024. The Revolving Credit Facility 2023 also contained customary representations, warranties, covenants, events of default, terms and conditions, including limitations on liens, incurrence of debt, mergers and significant asset dispositions. As of December 26, 2024, NCM LLC’s maximum availability under the $55.0 million Revolving Credit Facility 2023 was $44.4 million, net of $10.0 million outstanding and net letters of credit of $0.6 million. The weighted-average interest rate on the Revolving Credit Facility 2023 as of December 26, 2024 was 8.4%. Upon execution of the Revolving Credit Facility 2023, NCM LLC recorded $2.4 million as debt issuance costs and received $9.1 million in proceeds.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ind w:firstLine="608"/>
        <w:spacing w:after="0" w:line="256" w:lineRule="auto"/>
        <w:rPr>
          <w:sz w:val="20"/>
          <w:szCs w:val="20"/>
          <w:color w:val="auto"/>
        </w:rPr>
      </w:pPr>
      <w:r>
        <w:rPr>
          <w:rFonts w:ascii="Times New Roman" w:cs="Times New Roman" w:eastAsia="Times New Roman" w:hAnsi="Times New Roman"/>
          <w:sz w:val="18"/>
          <w:szCs w:val="18"/>
          <w:color w:val="auto"/>
        </w:rPr>
        <w:t>The Revolving Credit Facility 2023 contained a number of covenants and financial ratio requirements, with which NCM LLC was in compliance at December 26, 2024, including maintaining a fixed charge coverage ratio in excess of 1.1:1.00 on a monthly basis while maintaining availability in excess of either (i) $8.25 million or (ii) 15.0% of the aggregate revolver commitments (the “availability thresholds”). NCM LLC was permitted to make quarterly dividend payments and other payments based on the fixed charge coverage ratio and availability thresholds so long as no default or event of default had occurred and continued to occur. Dividend payments and other distributions could have been made if the fixed charge coverage ratio was in excess of 1.1:1.0 and availability, after the distribution, was in compliance with the availability thresholds.</w:t>
      </w:r>
    </w:p>
    <w:p>
      <w:pPr>
        <w:spacing w:after="0" w:line="79" w:lineRule="exact"/>
        <w:rPr>
          <w:sz w:val="20"/>
          <w:szCs w:val="20"/>
          <w:color w:val="auto"/>
        </w:rPr>
      </w:pPr>
    </w:p>
    <w:p>
      <w:pPr>
        <w:ind w:right="40" w:firstLine="608"/>
        <w:spacing w:after="0" w:line="255" w:lineRule="auto"/>
        <w:rPr>
          <w:sz w:val="20"/>
          <w:szCs w:val="20"/>
          <w:color w:val="auto"/>
        </w:rPr>
      </w:pPr>
      <w:r>
        <w:rPr>
          <w:rFonts w:ascii="Times New Roman" w:cs="Times New Roman" w:eastAsia="Times New Roman" w:hAnsi="Times New Roman"/>
          <w:sz w:val="18"/>
          <w:szCs w:val="18"/>
          <w:color w:val="auto"/>
        </w:rPr>
        <w:t>There were no borrower distribution restrictions as long as NCM LLC’s fixed coverage ratio was 1.1:1.0, NCM LLC maintained availability under the availability thresholds and NCM LLC was in compliance with its debt covenants. If there were borrower distribution restrictions on the payments, NCM LLC could not declare or pay any dividends, or make any payments on account of NCM LLC or make any other distribution for obligations of NCM LLC. When these restrictions were effective, NCM LLC could still pay the services fee and reimbursable costs pursuant to terms of a management services agreement, between NCM, Inc. and NCM LLC, in exchange for NCM, Inc. providing specified management services to NCM LLC. NCM LLC could also make payments pursuant to the Common Unit Adjustment Agreement and Tax Receivable Agreement in the amount, and at the time necessary to satisfy the contractual obligations with respect to the actual cash tax benefits payable to NCM LLC’s founding members.</w:t>
      </w:r>
    </w:p>
    <w:p>
      <w:pPr>
        <w:spacing w:after="0" w:line="81" w:lineRule="exact"/>
        <w:rPr>
          <w:sz w:val="20"/>
          <w:szCs w:val="20"/>
          <w:color w:val="auto"/>
        </w:rPr>
      </w:pPr>
    </w:p>
    <w:p>
      <w:pPr>
        <w:ind w:right="160" w:firstLine="608"/>
        <w:spacing w:after="0" w:line="266" w:lineRule="auto"/>
        <w:rPr>
          <w:sz w:val="20"/>
          <w:szCs w:val="20"/>
          <w:color w:val="auto"/>
        </w:rPr>
      </w:pPr>
      <w:r>
        <w:rPr>
          <w:rFonts w:ascii="Times New Roman" w:cs="Times New Roman" w:eastAsia="Times New Roman" w:hAnsi="Times New Roman"/>
          <w:sz w:val="18"/>
          <w:szCs w:val="18"/>
          <w:color w:val="auto"/>
        </w:rPr>
        <w:t>As of December 26, 2024, the NCM LLC’s fixed charge coverage ratio was 1.7 to 1.0 (versus the required ratio of 1.1:1.0) and had availability under the Revolving Credit Facility 2023 of $44.4 million (versus the applicable availability threshold of $8.25 million). As of December 26, 2024, NCM LLC was in compliance with the financial covenants of the Revolving Credit Facility 2023 described above.</w:t>
      </w:r>
    </w:p>
    <w:p>
      <w:pPr>
        <w:spacing w:after="0" w:line="68" w:lineRule="exact"/>
        <w:rPr>
          <w:sz w:val="20"/>
          <w:szCs w:val="20"/>
          <w:color w:val="auto"/>
        </w:rPr>
      </w:pPr>
    </w:p>
    <w:p>
      <w:pPr>
        <w:jc w:val="both"/>
        <w:ind w:right="420" w:firstLine="608"/>
        <w:spacing w:after="0" w:line="266" w:lineRule="auto"/>
        <w:rPr>
          <w:sz w:val="20"/>
          <w:szCs w:val="20"/>
          <w:color w:val="auto"/>
        </w:rPr>
      </w:pPr>
      <w:r>
        <w:rPr>
          <w:rFonts w:ascii="Times New Roman" w:cs="Times New Roman" w:eastAsia="Times New Roman" w:hAnsi="Times New Roman"/>
          <w:sz w:val="18"/>
          <w:szCs w:val="18"/>
          <w:color w:val="auto"/>
        </w:rPr>
        <w:t>As of December 26, 2024, the weighted average remaining maturity was 1.6 years. As of December 26, 2024, 100.0% of our borrowings bear interest at variable rates and as such, our net income and earnings per share could fluctuate with market interest rate fluctuations that could increase or decrease the interest paid on our borrowings.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Policies</w:t>
      </w:r>
    </w:p>
    <w:p>
      <w:pPr>
        <w:spacing w:after="0" w:line="121" w:lineRule="exact"/>
        <w:rPr>
          <w:sz w:val="20"/>
          <w:szCs w:val="20"/>
          <w:color w:val="auto"/>
        </w:rPr>
      </w:pPr>
    </w:p>
    <w:p>
      <w:pPr>
        <w:ind w:firstLine="608"/>
        <w:spacing w:after="0" w:line="256" w:lineRule="auto"/>
        <w:rPr>
          <w:sz w:val="20"/>
          <w:szCs w:val="20"/>
          <w:color w:val="auto"/>
        </w:rPr>
      </w:pPr>
      <w:r>
        <w:rPr>
          <w:rFonts w:ascii="Times New Roman" w:cs="Times New Roman" w:eastAsia="Times New Roman" w:hAnsi="Times New Roman"/>
          <w:sz w:val="18"/>
          <w:szCs w:val="18"/>
          <w:color w:val="auto"/>
        </w:rPr>
        <w:t>The significant accounting policies of the Company are described in Note 1 to the audited Consolidated Financial Statements included elsewhere in this document. Certain accounting policies involve significant judgments, assumptions and estimates by management that have a material impact on the carrying value of certain assets and liabilities, which management considers critical accounting policies. The judgments, assumptions and estimates used by management are based on historical experience, knowledge of the accounts and other factors, which are believed to be reasonable under the circumstances and are evaluated on an ongoing basis. Because of the nature of the judgments and assumptions made by management, actual results could differ from these judgments and estimates, which could have a material impact on the carrying values of assets and liabilities and the results of operations of the Company.</w:t>
      </w:r>
    </w:p>
    <w:p>
      <w:pPr>
        <w:spacing w:after="0" w:line="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Deconsolidation of NCM LLC</w:t>
      </w:r>
    </w:p>
    <w:p>
      <w:pPr>
        <w:spacing w:after="0" w:line="121" w:lineRule="exact"/>
        <w:rPr>
          <w:sz w:val="20"/>
          <w:szCs w:val="20"/>
          <w:color w:val="auto"/>
        </w:rPr>
      </w:pPr>
    </w:p>
    <w:p>
      <w:pPr>
        <w:ind w:right="40" w:firstLine="608"/>
        <w:spacing w:after="0" w:line="254" w:lineRule="auto"/>
        <w:rPr>
          <w:sz w:val="20"/>
          <w:szCs w:val="20"/>
          <w:color w:val="auto"/>
        </w:rPr>
      </w:pPr>
      <w:r>
        <w:rPr>
          <w:rFonts w:ascii="Times New Roman" w:cs="Times New Roman" w:eastAsia="Times New Roman" w:hAnsi="Times New Roman"/>
          <w:sz w:val="18"/>
          <w:szCs w:val="18"/>
          <w:color w:val="auto"/>
        </w:rPr>
        <w:t>NCM LLC does not have a readily determinable fair value. Upon the deconsolidation of NCM LLC, the original cost of the investment was valued based upon NCM, Inc.'s ownership of the secured debt of NCM LLC and the estimation of the enterprise value of NCM LLC utilizing a combination of a market approach and income approach. The market approach relied upon a comparison with guideline public companies and entails selecting relevant financial information of the subject company and capitalizing those amounts using valuation multiples that are based on empirical market observation. The income approach relied upon an analysis of NCM LLC’s projected economic earnings discounted to present value. Significant assumptions utilized within these analyses include the weighted average cost of capital and NCM LLC’s forecasted cash flows. Due to the inherent uncertainty of determining the fair value of securities that do not have a readily available fair value, the determination of the fair value required significant judgment or estimation and changes in the estimates and assumptions used in the valuation models could materially affect the determination.</w:t>
      </w:r>
    </w:p>
    <w:p>
      <w:pPr>
        <w:spacing w:after="0" w:line="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Reconsolidation of NCM LLC</w:t>
      </w:r>
    </w:p>
    <w:p>
      <w:pPr>
        <w:spacing w:after="0" w:line="121" w:lineRule="exact"/>
        <w:rPr>
          <w:sz w:val="20"/>
          <w:szCs w:val="20"/>
          <w:color w:val="auto"/>
        </w:rPr>
      </w:pPr>
    </w:p>
    <w:p>
      <w:pPr>
        <w:ind w:right="40" w:firstLine="608"/>
        <w:spacing w:after="0" w:line="255" w:lineRule="auto"/>
        <w:rPr>
          <w:sz w:val="20"/>
          <w:szCs w:val="20"/>
          <w:color w:val="auto"/>
        </w:rPr>
      </w:pPr>
      <w:r>
        <w:rPr>
          <w:rFonts w:ascii="Times New Roman" w:cs="Times New Roman" w:eastAsia="Times New Roman" w:hAnsi="Times New Roman"/>
          <w:sz w:val="18"/>
          <w:szCs w:val="18"/>
          <w:color w:val="auto"/>
        </w:rPr>
        <w:t>The Company accounted for the reconsolidation of NCM LLC using the acquisition method of accounting. The acquisition method requires the Company to make significant estimates and assumptions, especially at the acquisition date as the Company allocates the estimated fair values of acquired tangible and intangible assets and the liabilities assumed. The Company also uses our best estimates to determine the useful lives of the tangible and definite-lived intangible assets, which impact the periods over which depreciation and amortization of those assets are recognized. These best estimates and assumptions are inherently uncertain as they pertain to forward looking views of the Company’s businesses, client behavior and market conditions. See Note 5—</w:t>
      </w:r>
      <w:r>
        <w:rPr>
          <w:rFonts w:ascii="Times New Roman" w:cs="Times New Roman" w:eastAsia="Times New Roman" w:hAnsi="Times New Roman"/>
          <w:sz w:val="18"/>
          <w:szCs w:val="18"/>
          <w:i w:val="1"/>
          <w:iCs w:val="1"/>
          <w:color w:val="auto"/>
        </w:rPr>
        <w:t>Reconsolidation of NCM LLC</w:t>
      </w:r>
      <w:r>
        <w:rPr>
          <w:rFonts w:ascii="Times New Roman" w:cs="Times New Roman" w:eastAsia="Times New Roman" w:hAnsi="Times New Roman"/>
          <w:sz w:val="18"/>
          <w:szCs w:val="18"/>
          <w:color w:val="auto"/>
        </w:rPr>
        <w:t xml:space="preserve"> for further information on the valuation methods and the results of applying the acquisition method of accounting, including the estimated fair values of the assets acquired and liabilities assumed, and, where relevant, the estimated remaining useful lives.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Valuation of Intangible Assets</w:t>
      </w:r>
    </w:p>
    <w:p>
      <w:pPr>
        <w:spacing w:after="0" w:line="119" w:lineRule="exact"/>
        <w:rPr>
          <w:sz w:val="20"/>
          <w:szCs w:val="20"/>
          <w:color w:val="auto"/>
        </w:rPr>
      </w:pPr>
    </w:p>
    <w:p>
      <w:pPr>
        <w:ind w:right="100" w:firstLine="608"/>
        <w:spacing w:after="0" w:line="254" w:lineRule="auto"/>
        <w:rPr>
          <w:sz w:val="20"/>
          <w:szCs w:val="20"/>
          <w:color w:val="auto"/>
        </w:rPr>
      </w:pPr>
      <w:r>
        <w:rPr>
          <w:rFonts w:ascii="Times New Roman" w:cs="Times New Roman" w:eastAsia="Times New Roman" w:hAnsi="Times New Roman"/>
          <w:sz w:val="18"/>
          <w:szCs w:val="18"/>
          <w:color w:val="auto"/>
        </w:rPr>
        <w:t>In accordance with ASC 360—</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we evaluate intangible assets and other long-lived assets for impairment whenever a triggering event occurs indicating that they may not be recoverable. Recoverability is assessed by comparing the carrying amount of an asset group to future undiscounted net cash flows expected to be generated. If the carrying amount of an asset group is not recoverable, an impairment loss is recognized equal to the difference between the carrying amount and the fair value of the asset group. We group assets for purposes of such review at the lowest level for which identifiable cash flows of the asset group are largely independent of the cash flows of the other groups of assets and liabilities. In order to calculate the future undiscounted net cash flows, we utilize estimates and assumptions based on historical data and consideration of future market conditions while incorporating management’s expectations as of the balance sheet date. Unforeseen events, changes in circumstances and market conditions and material differences in estimates of future cash flows could adversely affect the fair value of our assets and could result in impairment charges.</w:t>
      </w:r>
    </w:p>
    <w:p>
      <w:pPr>
        <w:spacing w:after="0" w:line="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firstLine="60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Nature of Estimates Required. </w:t>
      </w:r>
      <w:r>
        <w:rPr>
          <w:rFonts w:ascii="Times New Roman" w:cs="Times New Roman" w:eastAsia="Times New Roman" w:hAnsi="Times New Roman"/>
          <w:sz w:val="18"/>
          <w:szCs w:val="18"/>
          <w:color w:val="auto"/>
        </w:rPr>
        <w:t>We account for income taxes in accordance with ASC 740 –</w:t>
      </w:r>
      <w:r>
        <w:rPr>
          <w:rFonts w:ascii="Times New Roman" w:cs="Times New Roman" w:eastAsia="Times New Roman" w:hAnsi="Times New Roman"/>
          <w:sz w:val="18"/>
          <w:szCs w:val="18"/>
          <w:i w:val="1"/>
          <w:iCs w:val="1"/>
          <w:color w:val="auto"/>
        </w:rPr>
        <w:t xml:space="preserve"> Income Taxes, </w:t>
      </w:r>
      <w:r>
        <w:rPr>
          <w:rFonts w:ascii="Times New Roman" w:cs="Times New Roman" w:eastAsia="Times New Roman" w:hAnsi="Times New Roman"/>
          <w:sz w:val="18"/>
          <w:szCs w:val="18"/>
          <w:color w:val="auto"/>
        </w:rPr>
        <w:t>which requires an asset and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approach to financial accounting and reporting for income taxes. Accordingly, deferred tax assets and liabilities arise from the differences between the tax basis of an asset or liability and its reported amount in the audited Consolidated Financial Statements. Deferred tax amounts are determined using the tax rates expected to be in effect when the taxes will actually be paid or refunds received, as provided under currently enacted tax law. Valuation allowances are to be established when necessary to reduce deferred tax assets to the amount expected to be realized. The Company generated a three-year cumulative pre-tax book loss during 2021 driven by the impact of the COVID-19 Pandemic on the Company’s operations in 2020 and 2021. Given the associated weight assigned to this item as negative evidence within the Company’s analysis, the Company determined it is more-likely-than-not that the Company will not be able to realize certain of the Company’s deferred tax assets before they expire. Given the additional pre-tax book losses in 2024, the Company continues to have a valuation allowance in the amount of $169.1 million against the deferred tax asset as of December 26, 2024. The Company had a valuation allowance in the amount of $146.0 million against the deferred tax asset as of December 28, 2023. As we do expect to generate pre-tax book income following the complete recovery from the lingering impacts of the COVID-19 Pandemic and Chapter 11 Case, we have recorded an impact from the Net Business Interest Expense Limitation IRC § 163(j) on our payable to ESA Parties under the TRA.</w:t>
      </w:r>
    </w:p>
    <w:p>
      <w:pPr>
        <w:spacing w:after="0" w:line="84" w:lineRule="exact"/>
        <w:rPr>
          <w:sz w:val="20"/>
          <w:szCs w:val="20"/>
          <w:color w:val="auto"/>
        </w:rPr>
      </w:pPr>
    </w:p>
    <w:p>
      <w:pPr>
        <w:ind w:right="60" w:firstLine="608"/>
        <w:spacing w:after="0" w:line="252" w:lineRule="auto"/>
        <w:rPr>
          <w:sz w:val="20"/>
          <w:szCs w:val="20"/>
          <w:color w:val="auto"/>
        </w:rPr>
      </w:pPr>
      <w:r>
        <w:rPr>
          <w:rFonts w:ascii="Times New Roman" w:cs="Times New Roman" w:eastAsia="Times New Roman" w:hAnsi="Times New Roman"/>
          <w:sz w:val="18"/>
          <w:szCs w:val="18"/>
          <w:color w:val="auto"/>
        </w:rPr>
        <w:t>In addition, due to the basis differences resulting from our IPO-related transactions (including the TRA with the ESA Parties) and subsequent adjustments pursuant to the Common Unit Adjustment Agreement, we are required to make cash payments under the TRA to the ESA Parties in amounts equal to 90% of our actual tax benefit realized from the tax amortization of the basis difference for certain deferred assets noted above. Following the increase in the valuation allowance as of December 31, 2020, the Company recorded a corresponding $151.9 million reduction to the “Payable to ESA Parties under the tax receivable agreement” equal to the portion of the payable related to 90% of the amortization of the expected benefits from the realization of the deferred tax assets deemed not more-likely-than-not to be realized as of December 31, 2020. Once the Company returns to a more normal operating level and emerges from a three-year cumulative pre-tax book loss position, part or all the valuation allowance is expected to reverse, resulting in an inverse impact to the payable to ESA Parties under the tax receivable agreement which would increase to reflect future payments to the ESA Parties at that time. The requirements of the TRA, as amended, are highly technical and complex and involve management’s judgment, including judgments to determine hypothetical tax outcomes exclusive of the IPO date transaction and agreements. Management performs thorough analysis of the estimate each quarter and upon new information or conditions will refine its estimate. If we were to fail to meet certain of the requirements of the TRA, we could be subject to additional payments to taxing authorities or to the ESA Parties. We recognize the tax benefit from an uncertain tax position only when it is more likely than not, based on the technical merits of the position, that the tax position will be sustained upon examination, including the resolution of any related appeals or litigation. The tax benefits recognized in the audited Consolidated Financial Statements from such a position are measured as the largest benefit that has a greater than fifty percent likelihood of being realized upon ultimate resolution.</w:t>
      </w:r>
    </w:p>
    <w:p>
      <w:pPr>
        <w:spacing w:after="0" w:line="88" w:lineRule="exact"/>
        <w:rPr>
          <w:sz w:val="20"/>
          <w:szCs w:val="20"/>
          <w:color w:val="auto"/>
        </w:rPr>
      </w:pPr>
    </w:p>
    <w:p>
      <w:pPr>
        <w:jc w:val="both"/>
        <w:ind w:right="180" w:firstLine="608"/>
        <w:spacing w:after="0" w:line="261" w:lineRule="auto"/>
        <w:rPr>
          <w:sz w:val="20"/>
          <w:szCs w:val="20"/>
          <w:color w:val="auto"/>
        </w:rPr>
      </w:pPr>
      <w:r>
        <w:rPr>
          <w:rFonts w:ascii="Times New Roman" w:cs="Times New Roman" w:eastAsia="Times New Roman" w:hAnsi="Times New Roman"/>
          <w:sz w:val="18"/>
          <w:szCs w:val="18"/>
          <w:color w:val="auto"/>
        </w:rPr>
        <w:t>For fiscal 2024, our provision for income taxes was $0.2 million. Changes in management’s estimates and assumptions regarding the enacted tax rate applied to deferred tax assets and liabilities, the ability to realize the value of deferred tax assets, or the timing of the reversal of tax basis differences and judgments used to determine hypothetical tax outcomes exclusive of the IPO date transaction and agreements could impact the provision for income taxes and change the effective tax rate.</w:t>
      </w:r>
    </w:p>
    <w:p>
      <w:pPr>
        <w:spacing w:after="0" w:line="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120" w:firstLine="608"/>
        <w:spacing w:after="0" w:line="266" w:lineRule="auto"/>
        <w:rPr>
          <w:sz w:val="20"/>
          <w:szCs w:val="20"/>
          <w:color w:val="auto"/>
        </w:rPr>
      </w:pPr>
      <w:r>
        <w:rPr>
          <w:rFonts w:ascii="Times New Roman" w:cs="Times New Roman" w:eastAsia="Times New Roman" w:hAnsi="Times New Roman"/>
          <w:sz w:val="18"/>
          <w:szCs w:val="18"/>
          <w:color w:val="auto"/>
        </w:rPr>
        <w:t>During 2024, a portion of the restricted stock units issued by the Company vest subject to market-based metrics. We measured the fair value of these awards on the date of grant using a Monte Carlo simulation model. This model considers various subjective assumptions as inputs, and represent our best estimates, which involve inherent uncertainties and the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0" w:name="page51"/>
    <w:bookmarkEnd w:id="50"/>
    <w:p>
      <w:pPr>
        <w:ind w:right="360"/>
        <w:spacing w:after="0" w:line="258" w:lineRule="auto"/>
        <w:rPr>
          <w:sz w:val="20"/>
          <w:szCs w:val="20"/>
          <w:color w:val="auto"/>
        </w:rPr>
      </w:pPr>
      <w:r>
        <w:rPr>
          <w:rFonts w:ascii="Times New Roman" w:cs="Times New Roman" w:eastAsia="Times New Roman" w:hAnsi="Times New Roman"/>
          <w:sz w:val="18"/>
          <w:szCs w:val="18"/>
          <w:color w:val="auto"/>
        </w:rPr>
        <w:t xml:space="preserve">application of our judgment as it relates to market volatilities, the historical volatility of our stock price, risk-free rates and expected life. The valuation model also incorporates exercise and forfeiture assumptions based on an analysis of historical data. Determining these assumptions is subjective and complex, and therefore, a change in the assumptions utilized could impact the calculation of the fair value of our market-based share awards and the associated compensation expense. Refer to </w:t>
      </w:r>
      <w:r>
        <w:rPr>
          <w:rFonts w:ascii="Times New Roman" w:cs="Times New Roman" w:eastAsia="Times New Roman" w:hAnsi="Times New Roman"/>
          <w:sz w:val="18"/>
          <w:szCs w:val="18"/>
          <w:i w:val="1"/>
          <w:iCs w:val="1"/>
          <w:color w:val="auto"/>
        </w:rPr>
        <w:t>Note 11—Share Based Compensation</w:t>
      </w:r>
      <w:r>
        <w:rPr>
          <w:rFonts w:ascii="Times New Roman" w:cs="Times New Roman" w:eastAsia="Times New Roman" w:hAnsi="Times New Roman"/>
          <w:sz w:val="18"/>
          <w:szCs w:val="18"/>
          <w:color w:val="auto"/>
        </w:rPr>
        <w:t xml:space="preserve"> in the notes to our consolidated financial statements for further information regarding our share-based compensation awards.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firstLine="608"/>
        <w:spacing w:after="0" w:line="282" w:lineRule="auto"/>
        <w:rPr>
          <w:sz w:val="20"/>
          <w:szCs w:val="20"/>
          <w:color w:val="auto"/>
        </w:rPr>
      </w:pPr>
      <w:r>
        <w:rPr>
          <w:rFonts w:ascii="Times New Roman" w:cs="Times New Roman" w:eastAsia="Times New Roman" w:hAnsi="Times New Roman"/>
          <w:sz w:val="18"/>
          <w:szCs w:val="18"/>
          <w:color w:val="auto"/>
        </w:rPr>
        <w:t>For a discussion of the recent accounting pronouncements relevant to our business operations, refer to the information provided under Note 1 to the audited Consolidated Financial Statements included elsewhere in this document.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Related-Party Transactions</w:t>
      </w:r>
    </w:p>
    <w:p>
      <w:pPr>
        <w:spacing w:after="0" w:line="121" w:lineRule="exact"/>
        <w:rPr>
          <w:sz w:val="20"/>
          <w:szCs w:val="20"/>
          <w:color w:val="auto"/>
        </w:rPr>
      </w:pPr>
    </w:p>
    <w:p>
      <w:pPr>
        <w:ind w:right="120" w:firstLine="608"/>
        <w:spacing w:after="0" w:line="282" w:lineRule="auto"/>
        <w:rPr>
          <w:sz w:val="20"/>
          <w:szCs w:val="20"/>
          <w:color w:val="auto"/>
        </w:rPr>
      </w:pPr>
      <w:r>
        <w:rPr>
          <w:rFonts w:ascii="Times New Roman" w:cs="Times New Roman" w:eastAsia="Times New Roman" w:hAnsi="Times New Roman"/>
          <w:sz w:val="18"/>
          <w:szCs w:val="18"/>
          <w:color w:val="auto"/>
        </w:rPr>
        <w:t>For a discussion of the related-party transactions, refer to the information provided under Note 9 to the audited Consolidated Financial Statements included elsewhere in this document.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121" w:lineRule="exact"/>
        <w:rPr>
          <w:sz w:val="20"/>
          <w:szCs w:val="20"/>
          <w:color w:val="auto"/>
        </w:rPr>
      </w:pPr>
    </w:p>
    <w:p>
      <w:pPr>
        <w:ind w:right="160" w:firstLine="614"/>
        <w:spacing w:after="0" w:line="258" w:lineRule="auto"/>
        <w:rPr>
          <w:sz w:val="20"/>
          <w:szCs w:val="20"/>
          <w:color w:val="auto"/>
        </w:rPr>
      </w:pPr>
      <w:r>
        <w:rPr>
          <w:rFonts w:ascii="Times New Roman" w:cs="Times New Roman" w:eastAsia="Times New Roman" w:hAnsi="Times New Roman"/>
          <w:sz w:val="18"/>
          <w:szCs w:val="18"/>
          <w:color w:val="auto"/>
        </w:rPr>
        <w:t>The primary market risk to which we are exposed is interest rate risk. On August 7, 2023, NCM LLC entered into the Revolving Credit Facility 2023. The maximum capacity that NCM LLC has access to under the Revolving Credit Facility 2023 is $55.0 million. The interest rate under the Revolving Credit Facility 2023 is a base rate or SOFR benchmark plus (i) 3.75% if less than 50.0% of revolving commitments are utilized or (ii) 4.50% if 50.0% or more of revolving commitments are utilized (utilizing the average revolver usage for the prior calendar month as a benchmark for this determination).</w:t>
      </w:r>
    </w:p>
    <w:p>
      <w:pPr>
        <w:spacing w:after="0" w:line="75" w:lineRule="exact"/>
        <w:rPr>
          <w:sz w:val="20"/>
          <w:szCs w:val="20"/>
          <w:color w:val="auto"/>
        </w:rPr>
      </w:pPr>
    </w:p>
    <w:p>
      <w:pPr>
        <w:ind w:right="20" w:firstLine="614"/>
        <w:spacing w:after="0" w:line="289" w:lineRule="auto"/>
        <w:rPr>
          <w:sz w:val="20"/>
          <w:szCs w:val="20"/>
          <w:color w:val="auto"/>
        </w:rPr>
      </w:pPr>
      <w:r>
        <w:rPr>
          <w:rFonts w:ascii="Times New Roman" w:cs="Times New Roman" w:eastAsia="Times New Roman" w:hAnsi="Times New Roman"/>
          <w:sz w:val="17"/>
          <w:szCs w:val="17"/>
          <w:color w:val="auto"/>
        </w:rPr>
        <w:t>As of December 26, 2024, the interest rate risk that we are exposed to was related to our $10.0 million draw upon the Company’s Revolving Credit Facility 2023. A 100 basis point fluctuation in market interest rates underlying the Revolving Credit Facility 2023 would have the effect of increasing or decreasing our interest expense by approximately $0.1 million for an annual period on the $10.0 million outstanding as of December 26, 2024.</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1068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520" w:type="dxa"/>
            <w:vAlign w:val="bottom"/>
            <w:gridSpan w:val="8"/>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06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660" w:type="dxa"/>
            <w:vAlign w:val="bottom"/>
            <w:gridSpan w:val="10"/>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6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Report of Grant Thornton LLP, Independent Registered Public Accounting Firm (PCAOB ID: 248)</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73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Report of Deloitte &amp; Touche LLP, Independent Registered Public Accounting Firm (PCAOB ID: 34)</w:t>
            </w:r>
          </w:p>
        </w:tc>
        <w:tc>
          <w:tcPr>
            <w:tcW w:w="336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06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26, 2024 and December 28, 2023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Borders>
              <w:bottom w:val="single" w:sz="8" w:color="0000EE"/>
            </w:tcBorders>
          </w:tcPr>
          <w:p>
            <w:pPr>
              <w:spacing w:after="0"/>
              <w:rPr>
                <w:sz w:val="24"/>
                <w:szCs w:val="24"/>
                <w:color w:val="auto"/>
              </w:rPr>
            </w:pPr>
          </w:p>
        </w:tc>
        <w:tc>
          <w:tcPr>
            <w:tcW w:w="74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26, 2024 and December 28, 2023</w:t>
            </w:r>
          </w:p>
        </w:tc>
        <w:tc>
          <w:tcPr>
            <w:tcW w:w="320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318"/>
        </w:trPr>
        <w:tc>
          <w:tcPr>
            <w:tcW w:w="20" w:type="dxa"/>
            <w:vAlign w:val="bottom"/>
            <w:tcBorders>
              <w:bottom w:val="single" w:sz="8" w:color="0000EE"/>
            </w:tcBorders>
          </w:tcPr>
          <w:p>
            <w:pPr>
              <w:spacing w:after="0"/>
              <w:rPr>
                <w:sz w:val="24"/>
                <w:szCs w:val="24"/>
                <w:color w:val="auto"/>
              </w:rPr>
            </w:pPr>
          </w:p>
        </w:tc>
        <w:tc>
          <w:tcPr>
            <w:tcW w:w="78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Equity/(Deficit) for the years ended December 26, 2024 and December 28, 2023</w:t>
            </w:r>
          </w:p>
        </w:tc>
        <w:tc>
          <w:tcPr>
            <w:tcW w:w="28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318"/>
        </w:trPr>
        <w:tc>
          <w:tcPr>
            <w:tcW w:w="20" w:type="dxa"/>
            <w:vAlign w:val="bottom"/>
            <w:tcBorders>
              <w:bottom w:val="single" w:sz="8" w:color="0000EE"/>
            </w:tcBorders>
          </w:tcPr>
          <w:p>
            <w:pPr>
              <w:spacing w:after="0"/>
              <w:rPr>
                <w:sz w:val="24"/>
                <w:szCs w:val="24"/>
                <w:color w:val="auto"/>
              </w:rPr>
            </w:pPr>
          </w:p>
        </w:tc>
        <w:tc>
          <w:tcPr>
            <w:tcW w:w="75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26, 2024 and December 28, 2023</w:t>
            </w:r>
          </w:p>
        </w:tc>
        <w:tc>
          <w:tcPr>
            <w:tcW w:w="314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06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966"/>
        </w:trPr>
        <w:tc>
          <w:tcPr>
            <w:tcW w:w="20" w:type="dxa"/>
            <w:vAlign w:val="bottom"/>
          </w:tcPr>
          <w:p>
            <w:pPr>
              <w:spacing w:after="0"/>
              <w:rPr>
                <w:sz w:val="24"/>
                <w:szCs w:val="24"/>
                <w:color w:val="auto"/>
              </w:rPr>
            </w:pPr>
          </w:p>
        </w:tc>
        <w:tc>
          <w:tcPr>
            <w:tcW w:w="3140" w:type="dxa"/>
            <w:vAlign w:val="bottom"/>
            <w:tcBorders>
              <w:top w:val="single" w:sz="8" w:color="0000FF"/>
            </w:tcBorders>
            <w:gridSpan w:val="2"/>
          </w:tcPr>
          <w:p>
            <w:pPr>
              <w:spacing w:after="0"/>
              <w:rPr>
                <w:sz w:val="24"/>
                <w:szCs w:val="24"/>
                <w:color w:val="auto"/>
              </w:rPr>
            </w:pP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52" w:name="page53"/>
    <w:bookmarkEnd w:id="52"/>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 National CineMedia,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National CineMedia, Inc. (a Delaware corporation) and subsidiaries (the “Company”) as of December 26, 2024, the related consolidated statements of operations, equity/(deficit), and cash flows for the year in the period ended December 26, 2024, and the related notes (collectively referred to as the “consolidated financial statements”). In our opinion, the consolidated financial statements present fairly, in all material respects, the financial position of the Company as of December 26, 2024, and the results of its operations and its cash flows for the year ended December 26, 2024, in conformity with accounting principles generally accepted in the United States of America.</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26, 2024, based on criteria established in the 2013 Internal Control—Integrated Framework issued by the Committee of Sponsoring Organizations of the Treadway Commission (“COSO”), and our report dated March 6, 2025 expressed an unqualified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 Tax Receivable Agreement</w:t>
      </w:r>
    </w:p>
    <w:p>
      <w:pPr>
        <w:spacing w:after="0" w:line="2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As described further in Notes 1, 7 and 9 to the consolidated financial statements, the Company and the ESA Parties entered into the Tax Receivable Agreement (“TRA”) at the time of the Company’s initial public offering (“IPO”). Under the terms of this agreement, the Company will make cash payments to the ESA Parties in amounts equal to 90% of the Company’s actual tax benefit realized from the tax amortization of the intangible assets associated with the ESA agreements. For purposes of the TRA, cash savings in income tax will be computed by comparing the Company’s actual income and franchise tax liability to the amount of such taxes that the Company would have been required to pay had there been no increase in the Company’s proportionate share of tax basis in National CineMedia, LLC’s (“NCM LLC”) tangible and intangible assets. The TRA applies to the Company’s taxable years up to and including the 30th anniversary of the IPO. The requirements of the TRA, as amended, are highly technical and complex and involve management’s judgment, including judgments to determine hypothetical tax outcomes exclusive of the IPO date transaction and agreements and requires the Company to estimate amounts payable based on new information or conditions under the TRA. Changes in the Company’s forecasted tax rate and in the Company’s period of forecasting book income utilized for measuring the future amounts probable to be paid under the TRA led to a re-measurement of the payable, resulting in an increase during the fiscal year of $4.2 million. At December 26, 2024, the Company’s payable under the TRA was $64.0 million; of which $4.1 million is presented as a component of</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3" w:name="page54"/>
    <w:bookmarkEnd w:id="53"/>
    <w:p>
      <w:pPr>
        <w:ind w:right="120"/>
        <w:spacing w:after="0" w:line="282" w:lineRule="auto"/>
        <w:rPr>
          <w:sz w:val="20"/>
          <w:szCs w:val="20"/>
          <w:color w:val="auto"/>
        </w:rPr>
      </w:pPr>
      <w:r>
        <w:rPr>
          <w:rFonts w:ascii="Times New Roman" w:cs="Times New Roman" w:eastAsia="Times New Roman" w:hAnsi="Times New Roman"/>
          <w:sz w:val="18"/>
          <w:szCs w:val="18"/>
          <w:color w:val="auto"/>
        </w:rPr>
        <w:t>current liabilities and $59.9 million is presented as a component of non-current liabilities. We identified the estimation of the payable under the TRA as a critical audit matter.</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the computation of the payable under the TRA represents a critical audit matter are complexity of the calculations and the significant inputs and assumptions required by management when estimating the forecasted book income of the Company. Evaluating the reasonableness of these inputs and assumptions requires significant auditor judgment. The amount of the payable under the TRA, as well as the timing of such payments, is dependent upon a number of complex items including the amount and timing of taxable income the Company generates in future periods until the payable under the TRA is settled.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estimation of the payable under the TRA included the following, among others:</w:t>
      </w:r>
    </w:p>
    <w:p>
      <w:pPr>
        <w:spacing w:after="0" w:line="117" w:lineRule="exact"/>
        <w:rPr>
          <w:sz w:val="20"/>
          <w:szCs w:val="20"/>
          <w:color w:val="auto"/>
        </w:rPr>
      </w:pPr>
    </w:p>
    <w:p>
      <w:pPr>
        <w:ind w:left="1000" w:right="220" w:hanging="379"/>
        <w:spacing w:after="0" w:line="289" w:lineRule="auto"/>
        <w:tabs>
          <w:tab w:leader="none" w:pos="10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read and evaluated management’s memo identifying and evaluating changes to necessitate a refinement of the methodology used to calculate the payable under the TRA and compared the assumptions used in management’s analysis to other audit testing performed, including the consideration of the facts and circumstances determined to be the basis for the change from one to three years of projections.</w:t>
      </w:r>
    </w:p>
    <w:p>
      <w:pPr>
        <w:spacing w:after="0" w:line="49" w:lineRule="exact"/>
        <w:rPr>
          <w:rFonts w:ascii="Times New Roman" w:cs="Times New Roman" w:eastAsia="Times New Roman" w:hAnsi="Times New Roman"/>
          <w:sz w:val="17"/>
          <w:szCs w:val="17"/>
          <w:color w:val="auto"/>
        </w:rPr>
      </w:pPr>
    </w:p>
    <w:p>
      <w:pPr>
        <w:ind w:left="1000" w:hanging="37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sensitivity analyses over certain assumptions in the forecasted book income utilized in the TRA calculation model.</w:t>
      </w:r>
    </w:p>
    <w:p>
      <w:pPr>
        <w:spacing w:after="0" w:line="117" w:lineRule="exact"/>
        <w:rPr>
          <w:rFonts w:ascii="Times New Roman" w:cs="Times New Roman" w:eastAsia="Times New Roman" w:hAnsi="Times New Roman"/>
          <w:sz w:val="18"/>
          <w:szCs w:val="18"/>
          <w:color w:val="auto"/>
        </w:rPr>
      </w:pPr>
    </w:p>
    <w:p>
      <w:pPr>
        <w:ind w:left="1000" w:right="100" w:hanging="379"/>
        <w:spacing w:after="0" w:line="26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significant assumptions used to develop the forecasted book income projections, including testing the underlying source of information and the mathematical accuracy of the calculations, used within management’s liquidity model to estimate book income, which included assumptions such as revenue growth rates and operating expenses, and comparing them to historical amounts, industry and economic trends, and by tracing them to underlying source information.</w:t>
      </w:r>
    </w:p>
    <w:p>
      <w:pPr>
        <w:spacing w:after="0" w:line="71" w:lineRule="exact"/>
        <w:rPr>
          <w:rFonts w:ascii="Times New Roman" w:cs="Times New Roman" w:eastAsia="Times New Roman" w:hAnsi="Times New Roman"/>
          <w:sz w:val="18"/>
          <w:szCs w:val="18"/>
          <w:color w:val="auto"/>
        </w:rPr>
      </w:pPr>
    </w:p>
    <w:p>
      <w:pPr>
        <w:ind w:left="1000" w:right="140" w:hanging="379"/>
        <w:spacing w:after="0" w:line="26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computation of adjustments to the year-end balance of the payable under the TRA amount by detail reviewing the model used to compute the liability for technical and mathematical accuracy and identified, tested, and substantiated the key inputs and assumptions used by management within the model including: exchange activity in the period, ownership percentages, state tax rates and apportionment, projections of income, and reversal patterns of existing book and tax differences.</w:t>
      </w:r>
    </w:p>
    <w:p>
      <w:pPr>
        <w:spacing w:after="0" w:line="71" w:lineRule="exact"/>
        <w:rPr>
          <w:rFonts w:ascii="Times New Roman" w:cs="Times New Roman" w:eastAsia="Times New Roman" w:hAnsi="Times New Roman"/>
          <w:sz w:val="18"/>
          <w:szCs w:val="18"/>
          <w:color w:val="auto"/>
        </w:rPr>
      </w:pPr>
    </w:p>
    <w:p>
      <w:pPr>
        <w:ind w:left="1000" w:hanging="379"/>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analyzed the impact of any taxable income limitations on the payable under the TRA through our review of the Company’s detailed TRA calculation model.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54" w:name="page55"/>
    <w:bookmarkEnd w:id="54"/>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National CineMedia,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National CineMedia, Inc. and subsidiaries (the "Company") as of December 28, 2023, the related consolidated statements of operations, equity/(deficit), and cash flows, for the period ended December 28, 2023, and the related notes (collectively referred to as the "financial statements"). In our opinion, the financial statements present fairly, in all material respects, the financial position of the Company as of December 28, 2023, and the results of its operations and its cash flows for the period ended December 28, 2023,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61"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 xml:space="preserve">March 18, 2024 (March 6, 2025, as to the effects of the adoption of ASU 2023-07,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described in Note 1 within the captions labeled Segment Reporting and Capital Expenditures)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began serving as the Company's auditor in 2006. In 2024 we became the predecessor auditor.</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6"/>
          <w:szCs w:val="16"/>
          <w:b w:val="1"/>
          <w:bCs w:val="1"/>
          <w:color w:val="auto"/>
        </w:rPr>
        <w:t xml:space="preserve">(In millions, except </w:t>
      </w:r>
      <w:r>
        <w:rPr>
          <w:rFonts w:ascii="Times New Roman" w:cs="Times New Roman" w:eastAsia="Times New Roman" w:hAnsi="Times New Roman"/>
          <w:sz w:val="17"/>
          <w:szCs w:val="17"/>
          <w:b w:val="1"/>
          <w:bCs w:val="1"/>
          <w:color w:val="auto"/>
        </w:rPr>
        <w:t>share</w:t>
      </w:r>
      <w:r>
        <w:rPr>
          <w:rFonts w:ascii="Times New Roman" w:cs="Times New Roman" w:eastAsia="Times New Roman" w:hAnsi="Times New Roman"/>
          <w:sz w:val="16"/>
          <w:szCs w:val="16"/>
          <w:b w:val="1"/>
          <w:bCs w:val="1"/>
          <w:color w:val="auto"/>
        </w:rPr>
        <w:t xml:space="preserve"> and per share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26, 2024</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28, 2023</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75.1</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8"/>
                <w:szCs w:val="18"/>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 net of allowance of $1.2 and $1.4, respectively</w:t>
            </w:r>
          </w:p>
        </w:tc>
        <w:tc>
          <w:tcPr>
            <w:tcW w:w="140" w:type="dxa"/>
            <w:vAlign w:val="bottom"/>
          </w:tcPr>
          <w:p>
            <w:pPr>
              <w:spacing w:after="0"/>
              <w:rPr>
                <w:sz w:val="18"/>
                <w:szCs w:val="18"/>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96.6</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Amounts due from ESA Parties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w:t>
            </w:r>
          </w:p>
        </w:tc>
      </w:tr>
      <w:tr>
        <w:trPr>
          <w:trHeight w:val="210"/>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177.9</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143.8</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98"/>
        </w:trPr>
        <w:tc>
          <w:tcPr>
            <w:tcW w:w="772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$4.8 and $1.6,</w:t>
            </w: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34"/>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15.8</w:t>
            </w:r>
          </w:p>
        </w:tc>
      </w:tr>
      <w:tr>
        <w:trPr>
          <w:trHeight w:val="198"/>
        </w:trPr>
        <w:tc>
          <w:tcPr>
            <w:tcW w:w="77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Intangible assets, net of accumulated amortization of $52.8 and $15.0,</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4"/>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spacing w:after="0"/>
              <w:rPr>
                <w:sz w:val="20"/>
                <w:szCs w:val="20"/>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350.8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394.3</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investments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issuance costs, net</w:t>
            </w:r>
          </w:p>
        </w:tc>
        <w:tc>
          <w:tcPr>
            <w:tcW w:w="140" w:type="dxa"/>
            <w:vAlign w:val="bottom"/>
          </w:tcPr>
          <w:p>
            <w:pPr>
              <w:spacing w:after="0"/>
              <w:rPr>
                <w:sz w:val="18"/>
                <w:szCs w:val="18"/>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10.9</w:t>
            </w:r>
          </w:p>
        </w:tc>
      </w:tr>
      <w:tr>
        <w:trPr>
          <w:trHeight w:val="20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non-current assets</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390.7</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423.9</w:t>
            </w: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568.6</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567.7</w:t>
            </w:r>
          </w:p>
        </w:tc>
      </w:tr>
      <w:tr>
        <w:trPr>
          <w:trHeight w:val="196"/>
        </w:trPr>
        <w:tc>
          <w:tcPr>
            <w:tcW w:w="77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Amounts due to ESA Parties,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Payable under the TRA</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8"/>
                <w:szCs w:val="18"/>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21.7</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73.5</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58.4</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Payable under the TRA</w:t>
            </w:r>
          </w:p>
        </w:tc>
        <w:tc>
          <w:tcPr>
            <w:tcW w:w="140" w:type="dxa"/>
            <w:vAlign w:val="bottom"/>
          </w:tcPr>
          <w:p>
            <w:pPr>
              <w:spacing w:after="0"/>
              <w:rPr>
                <w:sz w:val="18"/>
                <w:szCs w:val="18"/>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59.8</w:t>
            </w: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83.9</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74.8</w:t>
            </w:r>
          </w:p>
        </w:tc>
      </w:tr>
      <w:tr>
        <w:trPr>
          <w:trHeight w:val="210"/>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157.4</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133.2</w:t>
            </w: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NCM, Inc. Stockholders’ Equity:</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98"/>
        </w:trPr>
        <w:tc>
          <w:tcPr>
            <w:tcW w:w="772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$0.01 par value; 10,000,000 shares authorized, 50 issued</w:t>
            </w: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34"/>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14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$0.01 par value; 260,000,000 shares authorized, 95,755,491</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4"/>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96,837,039 issued and outstanding, respectively</w:t>
            </w:r>
          </w:p>
        </w:tc>
        <w:tc>
          <w:tcPr>
            <w:tcW w:w="140" w:type="dxa"/>
            <w:vAlign w:val="bottom"/>
          </w:tcPr>
          <w:p>
            <w:pPr>
              <w:spacing w:after="0"/>
              <w:rPr>
                <w:sz w:val="20"/>
                <w:szCs w:val="20"/>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127.8</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115.3</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280.9</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316.6</w:t>
            </w:r>
          </w:p>
        </w:tc>
      </w:tr>
      <w:tr>
        <w:trPr>
          <w:trHeight w:val="210"/>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NCM, Inc. stockholders’ equity</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411.2</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434.5</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411.2</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434.5</w:t>
            </w: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568.6</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567.7</w:t>
            </w:r>
          </w:p>
        </w:tc>
      </w:tr>
      <w:tr>
        <w:trPr>
          <w:trHeight w:val="20"/>
        </w:trPr>
        <w:tc>
          <w:tcPr>
            <w:tcW w:w="7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-4379595</wp:posOffset>
            </wp:positionV>
            <wp:extent cx="1117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-4088130</wp:posOffset>
            </wp:positionV>
            <wp:extent cx="1117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-4070985</wp:posOffset>
            </wp:positionV>
            <wp:extent cx="1117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-2133600</wp:posOffset>
            </wp:positionV>
            <wp:extent cx="1117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-1842135</wp:posOffset>
            </wp:positionV>
            <wp:extent cx="1117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1117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 to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4"/>
          </w:tcPr>
          <w:p>
            <w:pPr>
              <w:jc w:val="right"/>
              <w:ind w:right="1331"/>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142"/>
        </w:trPr>
        <w:tc>
          <w:tcPr>
            <w:tcW w:w="7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December 26, 2024</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2023</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(including revenue from related parties of $0.0 and $14.2, respectively)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240.8</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165.2</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Network operating costs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10.6</w:t>
            </w:r>
          </w:p>
        </w:tc>
      </w:tr>
      <w:tr>
        <w:trPr>
          <w:trHeight w:val="198"/>
        </w:trPr>
        <w:tc>
          <w:tcPr>
            <w:tcW w:w="77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ESA Parties and network affiliate fees (including fees to related parties of</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4"/>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$0.0 and $16.5, respectively)</w:t>
            </w:r>
          </w:p>
        </w:tc>
        <w:tc>
          <w:tcPr>
            <w:tcW w:w="140" w:type="dxa"/>
            <w:vAlign w:val="bottom"/>
          </w:tcPr>
          <w:p>
            <w:pPr>
              <w:spacing w:after="0"/>
              <w:rPr>
                <w:sz w:val="20"/>
                <w:szCs w:val="20"/>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111.9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69.5</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and marketing costs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Administrative and other costs</w:t>
            </w:r>
          </w:p>
        </w:tc>
        <w:tc>
          <w:tcPr>
            <w:tcW w:w="140" w:type="dxa"/>
            <w:vAlign w:val="bottom"/>
          </w:tcPr>
          <w:p>
            <w:pPr>
              <w:spacing w:after="0"/>
              <w:rPr>
                <w:sz w:val="18"/>
                <w:szCs w:val="18"/>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57.3</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22.4</w:t>
            </w:r>
          </w:p>
        </w:tc>
      </w:tr>
      <w:tr>
        <w:trPr>
          <w:trHeight w:val="20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260.3</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192.5</w:t>
            </w:r>
          </w:p>
        </w:tc>
      </w:tr>
      <w:tr>
        <w:trPr>
          <w:trHeight w:val="20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(27.3 )</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NON-OPERATING EXPENSE(INCOME):</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borrowings</w:t>
            </w:r>
          </w:p>
        </w:tc>
        <w:tc>
          <w:tcPr>
            <w:tcW w:w="140" w:type="dxa"/>
            <w:vAlign w:val="bottom"/>
          </w:tcPr>
          <w:p>
            <w:pPr>
              <w:spacing w:after="0"/>
              <w:rPr>
                <w:sz w:val="18"/>
                <w:szCs w:val="18"/>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re-measurement of the payable under the tax receivable agreement</w:t>
            </w:r>
          </w:p>
        </w:tc>
        <w:tc>
          <w:tcPr>
            <w:tcW w:w="140" w:type="dxa"/>
            <w:vAlign w:val="bottom"/>
          </w:tcPr>
          <w:p>
            <w:pPr>
              <w:spacing w:after="0"/>
              <w:rPr>
                <w:sz w:val="18"/>
                <w:szCs w:val="18"/>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deconsolidation of affiliate</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(557.7 )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re-measurement of investment in NCM LLC</w:t>
            </w:r>
          </w:p>
        </w:tc>
        <w:tc>
          <w:tcPr>
            <w:tcW w:w="140" w:type="dxa"/>
            <w:vAlign w:val="bottom"/>
          </w:tcPr>
          <w:p>
            <w:pPr>
              <w:spacing w:after="0"/>
              <w:rPr>
                <w:sz w:val="18"/>
                <w:szCs w:val="18"/>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reconsolidation of NCM LLC</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non-operating income, net</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10"/>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(724.0 )</w:t>
            </w: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696.7</w:t>
            </w: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(LOSS) INCOME</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696.7</w:t>
            </w: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NCM, INC.</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705.2</w:t>
            </w: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NCM, INC.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705.2</w:t>
            </w:r>
          </w:p>
        </w:tc>
      </w:tr>
      <w:tr>
        <w:trPr>
          <w:trHeight w:val="413"/>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(LOSS) INCOME PER NCM, INC. COMMON SHARE:</w:t>
            </w:r>
          </w:p>
        </w:tc>
        <w:tc>
          <w:tcPr>
            <w:tcW w:w="14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(0.23 )</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14.73</w:t>
            </w:r>
          </w:p>
        </w:tc>
      </w:tr>
      <w:tr>
        <w:trPr>
          <w:trHeight w:val="23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(0.23 )</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14.34</w:t>
            </w:r>
          </w:p>
        </w:tc>
      </w:tr>
      <w:tr>
        <w:trPr>
          <w:trHeight w:val="198"/>
        </w:trPr>
        <w:tc>
          <w:tcPr>
            <w:tcW w:w="7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8"/>
                <w:szCs w:val="18"/>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95,865,998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47,882,944</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95,865,998</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48,574,583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-3376930</wp:posOffset>
            </wp:positionV>
            <wp:extent cx="1117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-1979295</wp:posOffset>
            </wp:positionV>
            <wp:extent cx="1117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-1696720</wp:posOffset>
            </wp:positionV>
            <wp:extent cx="1117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-1414145</wp:posOffset>
            </wp:positionV>
            <wp:extent cx="1117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-1122045</wp:posOffset>
            </wp:positionV>
            <wp:extent cx="1117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-1104900</wp:posOffset>
            </wp:positionV>
            <wp:extent cx="1117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 to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NCM, Inc.</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center"/>
              <w:ind w:right="148"/>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60"/>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bottom w:val="single" w:sz="8" w:color="auto"/>
            </w:tcBorders>
            <w:gridSpan w:val="3"/>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auto"/>
            </w:tcBorders>
            <w:gridSpan w:val="4"/>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ind w:right="108"/>
              <w:spacing w:after="0" w:line="160"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right="148"/>
              <w:spacing w:after="0" w:line="160" w:lineRule="exact"/>
              <w:rPr>
                <w:sz w:val="20"/>
                <w:szCs w:val="20"/>
                <w:color w:val="auto"/>
              </w:rPr>
            </w:pPr>
            <w:r>
              <w:rPr>
                <w:rFonts w:ascii="Times New Roman" w:cs="Times New Roman" w:eastAsia="Times New Roman" w:hAnsi="Times New Roman"/>
                <w:sz w:val="14"/>
                <w:szCs w:val="14"/>
                <w:b w:val="1"/>
                <w:bCs w:val="1"/>
                <w:color w:val="auto"/>
              </w:rPr>
              <w:t>in Excess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00" w:type="dxa"/>
            <w:vAlign w:val="bottom"/>
          </w:tcPr>
          <w:p>
            <w:pPr>
              <w:spacing w:after="0"/>
              <w:rPr>
                <w:sz w:val="12"/>
                <w:szCs w:val="12"/>
                <w:color w:val="auto"/>
              </w:rPr>
            </w:pPr>
          </w:p>
        </w:tc>
        <w:tc>
          <w:tcPr>
            <w:tcW w:w="10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720" w:type="dxa"/>
            <w:vAlign w:val="bottom"/>
            <w:tcBorders>
              <w:bottom w:val="single" w:sz="8" w:color="auto"/>
            </w:tcBorders>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5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of Earnings)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2"/>
        </w:trPr>
        <w:tc>
          <w:tcPr>
            <w:tcW w:w="25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Balance—December 29, 2022</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(464.0 )</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12,840,264</w:t>
            </w:r>
          </w:p>
        </w:tc>
        <w:tc>
          <w:tcPr>
            <w:tcW w:w="380" w:type="dxa"/>
            <w:vAlign w:val="bottom"/>
            <w:gridSpan w:val="2"/>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shd w:val="clear" w:color="auto" w:fill="CFF0FC"/>
          </w:tcPr>
          <w:p>
            <w:pPr>
              <w:jc w:val="right"/>
              <w:ind w:right="3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(146.2 )</w:t>
            </w:r>
          </w:p>
        </w:tc>
        <w:tc>
          <w:tcPr>
            <w:tcW w:w="2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(370.4 )</w:t>
            </w: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148"/>
        </w:trPr>
        <w:tc>
          <w:tcPr>
            <w:tcW w:w="2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Deconsolidation of affiliate</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(33.4 )</w:t>
            </w:r>
          </w:p>
        </w:tc>
        <w:tc>
          <w:tcPr>
            <w:tcW w:w="100" w:type="dxa"/>
            <w:vAlign w:val="bottom"/>
          </w:tcPr>
          <w:p>
            <w:pPr>
              <w:spacing w:after="0"/>
              <w:rPr>
                <w:sz w:val="12"/>
                <w:szCs w:val="12"/>
                <w:color w:val="auto"/>
              </w:rPr>
            </w:pPr>
          </w:p>
        </w:tc>
        <w:tc>
          <w:tcPr>
            <w:tcW w:w="10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5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Income tax and other impacts</w:t>
            </w:r>
          </w:p>
        </w:tc>
        <w:tc>
          <w:tcPr>
            <w:tcW w:w="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of NCM LLC ownership</w:t>
            </w:r>
          </w:p>
        </w:tc>
        <w:tc>
          <w:tcPr>
            <w:tcW w:w="10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10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(43.0 )</w:t>
            </w:r>
          </w:p>
        </w:tc>
        <w:tc>
          <w:tcPr>
            <w:tcW w:w="0" w:type="dxa"/>
            <w:vAlign w:val="bottom"/>
          </w:tcPr>
          <w:p>
            <w:pPr>
              <w:spacing w:after="0"/>
              <w:rPr>
                <w:sz w:val="1"/>
                <w:szCs w:val="1"/>
                <w:color w:val="auto"/>
              </w:rPr>
            </w:pPr>
          </w:p>
        </w:tc>
      </w:tr>
      <w:tr>
        <w:trPr>
          <w:trHeight w:val="171"/>
        </w:trPr>
        <w:tc>
          <w:tcPr>
            <w:tcW w:w="2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changes</w:t>
            </w:r>
          </w:p>
        </w:tc>
        <w:tc>
          <w:tcPr>
            <w:tcW w:w="10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shares</w:t>
            </w:r>
          </w:p>
        </w:tc>
        <w:tc>
          <w:tcPr>
            <w:tcW w:w="100" w:type="dxa"/>
            <w:vAlign w:val="bottom"/>
          </w:tcPr>
          <w:p>
            <w:pPr>
              <w:spacing w:after="0"/>
              <w:rPr>
                <w:sz w:val="12"/>
                <w:szCs w:val="12"/>
                <w:color w:val="auto"/>
              </w:rPr>
            </w:pP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242.5</w:t>
            </w:r>
          </w:p>
        </w:tc>
        <w:tc>
          <w:tcPr>
            <w:tcW w:w="100" w:type="dxa"/>
            <w:vAlign w:val="bottom"/>
          </w:tcPr>
          <w:p>
            <w:pPr>
              <w:spacing w:after="0"/>
              <w:rPr>
                <w:sz w:val="12"/>
                <w:szCs w:val="12"/>
                <w:color w:val="auto"/>
              </w:rPr>
            </w:pPr>
          </w:p>
        </w:tc>
        <w:tc>
          <w:tcPr>
            <w:tcW w:w="10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83,722,159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241.3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5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NCM LLC common</w:t>
            </w:r>
          </w:p>
        </w:tc>
        <w:tc>
          <w:tcPr>
            <w:tcW w:w="10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membership unit redemption</w:t>
            </w:r>
          </w:p>
        </w:tc>
        <w:tc>
          <w:tcPr>
            <w:tcW w:w="10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Comprehensive income, net</w:t>
            </w:r>
          </w:p>
        </w:tc>
        <w:tc>
          <w:tcPr>
            <w:tcW w:w="100" w:type="dxa"/>
            <w:vAlign w:val="bottom"/>
          </w:tcPr>
          <w:p>
            <w:pPr>
              <w:spacing w:after="0"/>
              <w:rPr>
                <w:sz w:val="10"/>
                <w:szCs w:val="10"/>
                <w:color w:val="auto"/>
              </w:rPr>
            </w:pPr>
          </w:p>
        </w:tc>
        <w:tc>
          <w:tcPr>
            <w:tcW w:w="10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696.7</w:t>
            </w:r>
          </w:p>
        </w:tc>
        <w:tc>
          <w:tcPr>
            <w:tcW w:w="100" w:type="dxa"/>
            <w:vAlign w:val="bottom"/>
          </w:tcPr>
          <w:p>
            <w:pPr>
              <w:spacing w:after="0"/>
              <w:rPr>
                <w:sz w:val="10"/>
                <w:szCs w:val="10"/>
                <w:color w:val="auto"/>
              </w:rPr>
            </w:pP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705.2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0" w:type="dxa"/>
            <w:vAlign w:val="bottom"/>
          </w:tcPr>
          <w:p>
            <w:pPr>
              <w:spacing w:after="0"/>
              <w:rPr>
                <w:sz w:val="1"/>
                <w:szCs w:val="1"/>
                <w:color w:val="auto"/>
              </w:rPr>
            </w:pPr>
          </w:p>
        </w:tc>
      </w:tr>
      <w:tr>
        <w:trPr>
          <w:trHeight w:val="171"/>
        </w:trPr>
        <w:tc>
          <w:tcPr>
            <w:tcW w:w="2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 tax</w:t>
            </w: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Share-based compensation</w:t>
            </w:r>
          </w:p>
        </w:tc>
        <w:tc>
          <w:tcPr>
            <w:tcW w:w="10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274,616</w:t>
            </w: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issued, net of tax</w:t>
            </w:r>
          </w:p>
        </w:tc>
        <w:tc>
          <w:tcPr>
            <w:tcW w:w="10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Share-based compensation</w:t>
            </w:r>
          </w:p>
        </w:tc>
        <w:tc>
          <w:tcPr>
            <w:tcW w:w="100" w:type="dxa"/>
            <w:vAlign w:val="bottom"/>
          </w:tcPr>
          <w:p>
            <w:pPr>
              <w:spacing w:after="0"/>
              <w:rPr>
                <w:sz w:val="10"/>
                <w:szCs w:val="10"/>
                <w:color w:val="auto"/>
              </w:rPr>
            </w:pPr>
          </w:p>
        </w:tc>
        <w:tc>
          <w:tcPr>
            <w:tcW w:w="10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0"/>
                <w:szCs w:val="10"/>
                <w:color w:val="auto"/>
              </w:rPr>
            </w:pP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58"/>
        </w:trPr>
        <w:tc>
          <w:tcPr>
            <w:tcW w:w="2560" w:type="dxa"/>
            <w:vAlign w:val="bottom"/>
          </w:tcPr>
          <w:p>
            <w:pPr>
              <w:ind w:left="120"/>
              <w:spacing w:after="0" w:line="158" w:lineRule="exact"/>
              <w:rPr>
                <w:sz w:val="20"/>
                <w:szCs w:val="20"/>
                <w:color w:val="auto"/>
              </w:rPr>
            </w:pPr>
            <w:r>
              <w:rPr>
                <w:rFonts w:ascii="Times New Roman" w:cs="Times New Roman" w:eastAsia="Times New Roman" w:hAnsi="Times New Roman"/>
                <w:sz w:val="14"/>
                <w:szCs w:val="14"/>
                <w:color w:val="auto"/>
              </w:rPr>
              <w:t>expense/capitalized</w:t>
            </w: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Balance—December 28, 2023</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434.5</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96,837,039</w:t>
            </w:r>
          </w:p>
        </w:tc>
        <w:tc>
          <w:tcPr>
            <w:tcW w:w="380" w:type="dxa"/>
            <w:vAlign w:val="bottom"/>
            <w:gridSpan w:val="2"/>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2.6</w:t>
            </w:r>
          </w:p>
        </w:tc>
        <w:tc>
          <w:tcPr>
            <w:tcW w:w="6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w:t>
            </w:r>
          </w:p>
        </w:tc>
        <w:tc>
          <w:tcPr>
            <w:tcW w:w="700" w:type="dxa"/>
            <w:vAlign w:val="bottom"/>
            <w:gridSpan w:val="3"/>
            <w:shd w:val="clear" w:color="auto" w:fill="CFF0FC"/>
          </w:tcPr>
          <w:p>
            <w:pPr>
              <w:jc w:val="right"/>
              <w:ind w:right="3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115.3</w:t>
            </w:r>
          </w:p>
        </w:tc>
        <w:tc>
          <w:tcPr>
            <w:tcW w:w="2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316.6</w:t>
            </w: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9"/>
        </w:trPr>
        <w:tc>
          <w:tcPr>
            <w:tcW w:w="2560" w:type="dxa"/>
            <w:vAlign w:val="bottom"/>
            <w:tcBorders>
              <w:top w:val="single" w:sz="8" w:color="CFF0FC"/>
            </w:tcBorders>
          </w:tcPr>
          <w:p>
            <w:pPr>
              <w:ind w:left="20"/>
              <w:spacing w:after="0" w:line="119" w:lineRule="exact"/>
              <w:rPr>
                <w:sz w:val="20"/>
                <w:szCs w:val="20"/>
                <w:color w:val="auto"/>
              </w:rPr>
            </w:pPr>
            <w:r>
              <w:rPr>
                <w:rFonts w:ascii="Times New Roman" w:cs="Times New Roman" w:eastAsia="Times New Roman" w:hAnsi="Times New Roman"/>
                <w:sz w:val="13"/>
                <w:szCs w:val="13"/>
                <w:color w:val="auto"/>
              </w:rPr>
              <w:t>NCM LLC equity issued for</w:t>
            </w: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purchase of an intangible</w:t>
            </w:r>
          </w:p>
        </w:tc>
        <w:tc>
          <w:tcPr>
            <w:tcW w:w="100" w:type="dxa"/>
            <w:vAlign w:val="bottom"/>
          </w:tcPr>
          <w:p>
            <w:pPr>
              <w:spacing w:after="0"/>
              <w:rPr>
                <w:sz w:val="12"/>
                <w:szCs w:val="12"/>
                <w:color w:val="auto"/>
              </w:rPr>
            </w:pPr>
          </w:p>
        </w:tc>
        <w:tc>
          <w:tcPr>
            <w:tcW w:w="10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2"/>
                <w:szCs w:val="12"/>
                <w:color w:val="auto"/>
              </w:rPr>
            </w:pP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asset</w:t>
            </w: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redemption of NCM</w:t>
            </w:r>
          </w:p>
        </w:tc>
        <w:tc>
          <w:tcPr>
            <w:tcW w:w="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LLC common membership</w:t>
            </w:r>
          </w:p>
        </w:tc>
        <w:tc>
          <w:tcPr>
            <w:tcW w:w="10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10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units</w:t>
            </w:r>
          </w:p>
        </w:tc>
        <w:tc>
          <w:tcPr>
            <w:tcW w:w="10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Purchases of NCM, Inc.'s</w:t>
            </w:r>
          </w:p>
        </w:tc>
        <w:tc>
          <w:tcPr>
            <w:tcW w:w="10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(13.5 )</w:t>
            </w:r>
          </w:p>
        </w:tc>
        <w:tc>
          <w:tcPr>
            <w:tcW w:w="1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(2,524,991 )</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(13.4 )</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w:t>
            </w: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Comprehensive loss, net of tax</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(22.3 )</w:t>
            </w: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(22.3 )</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2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5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Share-based compensation</w:t>
            </w:r>
          </w:p>
        </w:tc>
        <w:tc>
          <w:tcPr>
            <w:tcW w:w="100" w:type="dxa"/>
            <w:vAlign w:val="bottom"/>
          </w:tcPr>
          <w:p>
            <w:pPr>
              <w:spacing w:after="0"/>
              <w:rPr>
                <w:sz w:val="10"/>
                <w:szCs w:val="10"/>
                <w:color w:val="auto"/>
              </w:rPr>
            </w:pPr>
          </w:p>
        </w:tc>
        <w:tc>
          <w:tcPr>
            <w:tcW w:w="10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0"/>
                <w:szCs w:val="10"/>
                <w:color w:val="auto"/>
              </w:rPr>
            </w:pPr>
          </w:p>
        </w:tc>
        <w:tc>
          <w:tcPr>
            <w:tcW w:w="10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1,443,443</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issued, net of tax</w:t>
            </w: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Share-based compensation</w:t>
            </w:r>
          </w:p>
        </w:tc>
        <w:tc>
          <w:tcPr>
            <w:tcW w:w="10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2560" w:type="dxa"/>
            <w:vAlign w:val="bottom"/>
            <w:tcBorders>
              <w:bottom w:val="single" w:sz="8" w:color="CFF0FC"/>
            </w:tcBorders>
            <w:shd w:val="clear" w:color="auto" w:fill="CFF0FC"/>
          </w:tcPr>
          <w:p>
            <w:pPr>
              <w:ind w:left="120"/>
              <w:spacing w:after="0" w:line="158" w:lineRule="exact"/>
              <w:rPr>
                <w:sz w:val="20"/>
                <w:szCs w:val="20"/>
                <w:color w:val="auto"/>
              </w:rPr>
            </w:pPr>
            <w:r>
              <w:rPr>
                <w:rFonts w:ascii="Times New Roman" w:cs="Times New Roman" w:eastAsia="Times New Roman" w:hAnsi="Times New Roman"/>
                <w:sz w:val="14"/>
                <w:szCs w:val="14"/>
                <w:color w:val="auto"/>
              </w:rPr>
              <w:t>expense/capitalized</w:t>
            </w:r>
          </w:p>
        </w:tc>
        <w:tc>
          <w:tcPr>
            <w:tcW w:w="10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0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Balance—December 26, 2024</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411.2</w:t>
            </w:r>
          </w:p>
        </w:tc>
        <w:tc>
          <w:tcPr>
            <w:tcW w:w="100" w:type="dxa"/>
            <w:vAlign w:val="bottom"/>
          </w:tcPr>
          <w:p>
            <w:pPr>
              <w:spacing w:after="0"/>
              <w:rPr>
                <w:sz w:val="12"/>
                <w:szCs w:val="12"/>
                <w:color w:val="auto"/>
              </w:rPr>
            </w:pPr>
          </w:p>
        </w:tc>
        <w:tc>
          <w:tcPr>
            <w:tcW w:w="10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95,755,491</w:t>
            </w:r>
          </w:p>
        </w:tc>
        <w:tc>
          <w:tcPr>
            <w:tcW w:w="380" w:type="dxa"/>
            <w:vAlign w:val="bottom"/>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2.5</w:t>
            </w: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50</w:t>
            </w:r>
          </w:p>
        </w:tc>
        <w:tc>
          <w:tcPr>
            <w:tcW w:w="700" w:type="dxa"/>
            <w:vAlign w:val="bottom"/>
            <w:gridSpan w:val="3"/>
          </w:tcPr>
          <w:p>
            <w:pPr>
              <w:jc w:val="right"/>
              <w:ind w:right="3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127.8</w:t>
            </w:r>
          </w:p>
        </w:tc>
        <w:tc>
          <w:tcPr>
            <w:tcW w:w="2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280.9</w:t>
            </w:r>
          </w:p>
        </w:tc>
        <w:tc>
          <w:tcPr>
            <w:tcW w:w="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-1353820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-1353820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-1353820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-1353820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-1353820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-1353820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-1353820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-128270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-128270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-128270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-128270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-128270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-128270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-128270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 to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4"/>
          </w:tcPr>
          <w:p>
            <w:pPr>
              <w:jc w:val="right"/>
              <w:ind w:right="1330"/>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142"/>
        </w:trPr>
        <w:tc>
          <w:tcPr>
            <w:tcW w:w="7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December 26, 2024</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2023</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Consolidated net (loss)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696.7</w:t>
            </w:r>
          </w:p>
        </w:tc>
      </w:tr>
      <w:tr>
        <w:trPr>
          <w:trHeight w:val="198"/>
        </w:trPr>
        <w:tc>
          <w:tcPr>
            <w:tcW w:w="7720" w:type="dxa"/>
            <w:vAlign w:val="bottom"/>
            <w:shd w:val="clear" w:color="auto" w:fill="CFF0FC"/>
          </w:tcPr>
          <w:p>
            <w:pPr>
              <w:ind w:left="380"/>
              <w:spacing w:after="0" w:line="198" w:lineRule="exact"/>
              <w:rPr>
                <w:sz w:val="20"/>
                <w:szCs w:val="20"/>
                <w:color w:val="auto"/>
              </w:rPr>
            </w:pPr>
            <w:r>
              <w:rPr>
                <w:rFonts w:ascii="Times New Roman" w:cs="Times New Roman" w:eastAsia="Times New Roman" w:hAnsi="Times New Roman"/>
                <w:sz w:val="18"/>
                <w:szCs w:val="18"/>
                <w:color w:val="auto"/>
              </w:rPr>
              <w:t>Adjustments to reconcile consolidated net (loss) income to net cash provided</w:t>
            </w: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34"/>
        </w:trPr>
        <w:tc>
          <w:tcPr>
            <w:tcW w:w="77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by (used in) operating activities:</w:t>
            </w:r>
          </w:p>
        </w:tc>
        <w:tc>
          <w:tcPr>
            <w:tcW w:w="14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r>
      <w:tr>
        <w:trPr>
          <w:trHeight w:val="216"/>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tcPr>
          <w:p>
            <w:pPr>
              <w:spacing w:after="0"/>
              <w:rPr>
                <w:sz w:val="18"/>
                <w:szCs w:val="18"/>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Amortization expense</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140" w:type="dxa"/>
            <w:vAlign w:val="bottom"/>
          </w:tcPr>
          <w:p>
            <w:pPr>
              <w:spacing w:after="0"/>
              <w:rPr>
                <w:sz w:val="18"/>
                <w:szCs w:val="18"/>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Non-cash loss on re-measurement of the payable under the TRA</w:t>
            </w:r>
          </w:p>
        </w:tc>
        <w:tc>
          <w:tcPr>
            <w:tcW w:w="140" w:type="dxa"/>
            <w:vAlign w:val="bottom"/>
          </w:tcPr>
          <w:p>
            <w:pPr>
              <w:spacing w:after="0"/>
              <w:rPr>
                <w:sz w:val="18"/>
                <w:szCs w:val="18"/>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Gain on deconsolidation of affiliate</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(557.7 )</w:t>
            </w:r>
          </w:p>
        </w:tc>
      </w:tr>
      <w:tr>
        <w:trPr>
          <w:trHeight w:val="216"/>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Gain on re-measurement of NCM LLC</w:t>
            </w:r>
          </w:p>
        </w:tc>
        <w:tc>
          <w:tcPr>
            <w:tcW w:w="140" w:type="dxa"/>
            <w:vAlign w:val="bottom"/>
          </w:tcPr>
          <w:p>
            <w:pPr>
              <w:spacing w:after="0"/>
              <w:rPr>
                <w:sz w:val="18"/>
                <w:szCs w:val="18"/>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(35.5 )</w:t>
            </w:r>
          </w:p>
        </w:tc>
      </w:tr>
      <w:tr>
        <w:trPr>
          <w:trHeight w:val="216"/>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Gain on reconsolidation of NCM LLC</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(167.8 )</w:t>
            </w:r>
          </w:p>
        </w:tc>
      </w:tr>
      <w:tr>
        <w:trPr>
          <w:trHeight w:val="216"/>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ESA Party integration and encumbered theater payments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cash flows from operating activities, net</w:t>
            </w:r>
          </w:p>
        </w:tc>
        <w:tc>
          <w:tcPr>
            <w:tcW w:w="140" w:type="dxa"/>
            <w:vAlign w:val="bottom"/>
          </w:tcPr>
          <w:p>
            <w:pPr>
              <w:spacing w:after="0"/>
              <w:rPr>
                <w:sz w:val="18"/>
                <w:szCs w:val="18"/>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Receivables, net</w:t>
            </w:r>
          </w:p>
        </w:tc>
        <w:tc>
          <w:tcPr>
            <w:tcW w:w="140" w:type="dxa"/>
            <w:vAlign w:val="bottom"/>
          </w:tcPr>
          <w:p>
            <w:pPr>
              <w:spacing w:after="0"/>
              <w:rPr>
                <w:sz w:val="18"/>
                <w:szCs w:val="18"/>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16"/>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Amounts due to ESA Parties, net</w:t>
            </w:r>
          </w:p>
        </w:tc>
        <w:tc>
          <w:tcPr>
            <w:tcW w:w="140" w:type="dxa"/>
            <w:vAlign w:val="bottom"/>
          </w:tcPr>
          <w:p>
            <w:pPr>
              <w:spacing w:after="0"/>
              <w:rPr>
                <w:sz w:val="18"/>
                <w:szCs w:val="18"/>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16"/>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16"/>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16"/>
        </w:trPr>
        <w:tc>
          <w:tcPr>
            <w:tcW w:w="77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10"/>
        </w:trPr>
        <w:tc>
          <w:tcPr>
            <w:tcW w:w="7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60.3</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cost method investment</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contributed upon reconsolidation</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cash equivalents and restricted cash reconsolidated</w:t>
            </w:r>
          </w:p>
        </w:tc>
        <w:tc>
          <w:tcPr>
            <w:tcW w:w="140" w:type="dxa"/>
            <w:vAlign w:val="bottom"/>
          </w:tcPr>
          <w:p>
            <w:pPr>
              <w:spacing w:after="0"/>
              <w:rPr>
                <w:sz w:val="18"/>
                <w:szCs w:val="18"/>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49.5</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sale and maturities of marketable securities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asset</w:t>
            </w:r>
          </w:p>
        </w:tc>
        <w:tc>
          <w:tcPr>
            <w:tcW w:w="140" w:type="dxa"/>
            <w:vAlign w:val="bottom"/>
          </w:tcPr>
          <w:p>
            <w:pPr>
              <w:spacing w:after="0"/>
              <w:rPr>
                <w:sz w:val="18"/>
                <w:szCs w:val="18"/>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received from equity method investment</w:t>
            </w: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r>
      <w:tr>
        <w:trPr>
          <w:trHeight w:val="209"/>
        </w:trPr>
        <w:tc>
          <w:tcPr>
            <w:tcW w:w="7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32.6</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dividends</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NCM, Inc.'s common stock</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redemption of NCM LLC common membership units</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Repayments of term loan facility</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Removal of cash, cash equivalents and restricted cash of unconsolidated affiliate</w:t>
            </w:r>
          </w:p>
        </w:tc>
        <w:tc>
          <w:tcPr>
            <w:tcW w:w="140" w:type="dxa"/>
            <w:vAlign w:val="bottom"/>
          </w:tcPr>
          <w:p>
            <w:pPr>
              <w:spacing w:after="0"/>
              <w:rPr>
                <w:sz w:val="18"/>
                <w:szCs w:val="18"/>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(49.6 )</w:t>
            </w: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10"/>
        </w:trPr>
        <w:tc>
          <w:tcPr>
            <w:tcW w:w="7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(52.1 )</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37.6</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63.8</w:t>
            </w:r>
          </w:p>
        </w:tc>
      </w:tr>
      <w:tr>
        <w:trPr>
          <w:trHeight w:val="250"/>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78.1</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-3102610</wp:posOffset>
            </wp:positionV>
            <wp:extent cx="1117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-1713865</wp:posOffset>
            </wp:positionV>
            <wp:extent cx="1117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-599440</wp:posOffset>
            </wp:positionV>
            <wp:extent cx="1117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 to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4"/>
          </w:tcPr>
          <w:p>
            <w:pPr>
              <w:jc w:val="right"/>
              <w:ind w:right="1332"/>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142"/>
        </w:trPr>
        <w:tc>
          <w:tcPr>
            <w:tcW w:w="7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December 26, 2024</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2023</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financing and investing activity:</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an intangible asset with NCM LLC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shares upon the reconsolidation of NCM LLC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245.3</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NCM LLC net assets reconsolidated, net of cash</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433.8</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subsidiary equity with NCM, Inc. equity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 of use assets obtained in exchange for lease liabilities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method investment obtained in exchange for future advertising inventory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payments for income taxes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bl>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 to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84" w:lineRule="exact"/>
        <w:rPr>
          <w:sz w:val="20"/>
          <w:szCs w:val="20"/>
          <w:color w:val="auto"/>
        </w:rPr>
      </w:pPr>
    </w:p>
    <w:p>
      <w:pPr>
        <w:ind w:left="840" w:hanging="832"/>
        <w:spacing w:after="0"/>
        <w:tabs>
          <w:tab w:leader="none" w:pos="8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121" w:lineRule="exact"/>
        <w:rPr>
          <w:sz w:val="20"/>
          <w:szCs w:val="20"/>
          <w:color w:val="auto"/>
        </w:rPr>
      </w:pPr>
    </w:p>
    <w:p>
      <w:pPr>
        <w:ind w:firstLine="614"/>
        <w:spacing w:after="0" w:line="261" w:lineRule="auto"/>
        <w:rPr>
          <w:sz w:val="20"/>
          <w:szCs w:val="20"/>
          <w:color w:val="auto"/>
        </w:rPr>
      </w:pPr>
      <w:r>
        <w:rPr>
          <w:rFonts w:ascii="Times New Roman" w:cs="Times New Roman" w:eastAsia="Times New Roman" w:hAnsi="Times New Roman"/>
          <w:sz w:val="18"/>
          <w:szCs w:val="18"/>
          <w:color w:val="auto"/>
        </w:rPr>
        <w:t>NCM, Inc. was incorporated in Delaware as a holding company formed with the purpose of becoming a member and sole manager of NCM LLC, a limited liability company primarily owned by NCM, Inc. The terms “NCM”, “the Company” or “we” shall, unless the context otherwise requires, be deemed to include the consolidated entity. NCM, Inc. has no business operations or material assets other than its cash and cash equivalents and ownership interest of approximately 100.0% of the common membership units in NCM LLC as of December 26, 2024.</w:t>
      </w:r>
    </w:p>
    <w:p>
      <w:pPr>
        <w:spacing w:after="0" w:line="72" w:lineRule="exact"/>
        <w:rPr>
          <w:sz w:val="20"/>
          <w:szCs w:val="20"/>
          <w:color w:val="auto"/>
        </w:rPr>
      </w:pPr>
    </w:p>
    <w:p>
      <w:pPr>
        <w:ind w:right="40" w:firstLine="614"/>
        <w:spacing w:after="0" w:line="258" w:lineRule="auto"/>
        <w:rPr>
          <w:sz w:val="20"/>
          <w:szCs w:val="20"/>
          <w:color w:val="auto"/>
        </w:rPr>
      </w:pPr>
      <w:r>
        <w:rPr>
          <w:rFonts w:ascii="Times New Roman" w:cs="Times New Roman" w:eastAsia="Times New Roman" w:hAnsi="Times New Roman"/>
          <w:sz w:val="18"/>
          <w:szCs w:val="18"/>
          <w:color w:val="auto"/>
        </w:rPr>
        <w:t>The Company operates the largest cinema advertising network reaching movie audiences in the U.S., allowing NCM LLC to sell advertising under long-term ESAs with the ESA Parties and certain third-party network affiliates, under long-term network affiliate agreements. As of December 26, 2024, the weighted average remaining term of the ESAs is approximately 14.1 years. The network affiliate agreements expire at various dates between July 7, 2025 and July 13, 2033, with our largest affiliate agreement expiring on July 13 2033. The weighted average remaining term of the ESAs and the network affiliate agreements together is 11.3 years as of December 26, 2024.</w:t>
      </w:r>
    </w:p>
    <w:p>
      <w:pPr>
        <w:spacing w:after="0" w:line="75" w:lineRule="exact"/>
        <w:rPr>
          <w:sz w:val="20"/>
          <w:szCs w:val="20"/>
          <w:color w:val="auto"/>
        </w:rPr>
      </w:pPr>
    </w:p>
    <w:p>
      <w:pPr>
        <w:ind w:right="60" w:firstLine="614"/>
        <w:spacing w:after="0" w:line="255" w:lineRule="auto"/>
        <w:rPr>
          <w:sz w:val="20"/>
          <w:szCs w:val="20"/>
          <w:color w:val="auto"/>
        </w:rPr>
      </w:pPr>
      <w:r>
        <w:rPr>
          <w:rFonts w:ascii="Times New Roman" w:cs="Times New Roman" w:eastAsia="Times New Roman" w:hAnsi="Times New Roman"/>
          <w:sz w:val="18"/>
          <w:szCs w:val="18"/>
          <w:color w:val="auto"/>
        </w:rPr>
        <w:t>In December 2022, AMC and Regal each redeemed all of their outstanding membership units in exchange for shares of NCM, Inc. common stock, reducing AMC’s and Regal’s ownership to 0.0% as of December 29, 2022. On February 23, 2023 and March 23, 2023, Cinemark redeemed all of their outstanding membership units in exchange for shares of NCM, Inc. common stock reducing Cinemark’s ownership interest in NCM LLC to 0.0% as of December 28, 2023. On April 1, 2024, in accordance with the Common Unit Adjustment Agreement, NCM LLC issued 132,096 and 3,377 common membership units to Cinemark and AMC, respectively. On April 16, 2024, the Company elected to satisfy a redemption request from Cinemark for all of their outstanding common membership units through a cash settlement as provided in NCM LLC’s Operating Agreement. This redemption reduced Cinemark’s ownership interest in NCM LLC to 0.0% as of April 16, 2024. As of December 26, 2024, AMC’s ownership interest remains de minimis.</w:t>
      </w:r>
    </w:p>
    <w:p>
      <w:pPr>
        <w:spacing w:after="0" w:line="81" w:lineRule="exact"/>
        <w:rPr>
          <w:sz w:val="20"/>
          <w:szCs w:val="20"/>
          <w:color w:val="auto"/>
        </w:rPr>
      </w:pPr>
    </w:p>
    <w:p>
      <w:pPr>
        <w:ind w:firstLine="614"/>
        <w:spacing w:after="0" w:line="266" w:lineRule="auto"/>
        <w:rPr>
          <w:sz w:val="20"/>
          <w:szCs w:val="20"/>
          <w:color w:val="auto"/>
        </w:rPr>
      </w:pPr>
      <w:r>
        <w:rPr>
          <w:rFonts w:ascii="Times New Roman" w:cs="Times New Roman" w:eastAsia="Times New Roman" w:hAnsi="Times New Roman"/>
          <w:sz w:val="18"/>
          <w:szCs w:val="18"/>
          <w:color w:val="auto"/>
        </w:rPr>
        <w:t>NCM, Inc.’s primary source of cash flow from operations is distributions from NCM LLC pursuant to the NCM LLC Operating Agreement. NCM, Inc. also receives management fees pursuant to a management services agreement with NCM LLC in exchange for providing specified management services to NCM LLC.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620" w:firstLine="608"/>
        <w:spacing w:after="0" w:line="312" w:lineRule="auto"/>
        <w:rPr>
          <w:sz w:val="20"/>
          <w:szCs w:val="20"/>
          <w:color w:val="auto"/>
        </w:rPr>
      </w:pPr>
      <w:r>
        <w:rPr>
          <w:rFonts w:ascii="Times New Roman" w:cs="Times New Roman" w:eastAsia="Times New Roman" w:hAnsi="Times New Roman"/>
          <w:sz w:val="17"/>
          <w:szCs w:val="17"/>
          <w:color w:val="auto"/>
        </w:rPr>
        <w:t>The Company has prepared its Consolidated Financial Statements and related notes of NCM, Inc. in accordance with accounting principles generally accepted in the United States of America (“GAAP”) and the rules and regulations of the Securities and Exchange Commission (“SEC”).</w:t>
      </w:r>
    </w:p>
    <w:p>
      <w:pPr>
        <w:spacing w:after="0" w:line="32" w:lineRule="exact"/>
        <w:rPr>
          <w:sz w:val="20"/>
          <w:szCs w:val="20"/>
          <w:color w:val="auto"/>
        </w:rPr>
      </w:pPr>
    </w:p>
    <w:p>
      <w:pPr>
        <w:ind w:right="100" w:firstLine="608"/>
        <w:spacing w:after="0" w:line="254" w:lineRule="auto"/>
        <w:rPr>
          <w:sz w:val="20"/>
          <w:szCs w:val="20"/>
          <w:color w:val="auto"/>
        </w:rPr>
      </w:pPr>
      <w:r>
        <w:rPr>
          <w:rFonts w:ascii="Times New Roman" w:cs="Times New Roman" w:eastAsia="Times New Roman" w:hAnsi="Times New Roman"/>
          <w:sz w:val="18"/>
          <w:szCs w:val="18"/>
          <w:color w:val="auto"/>
        </w:rPr>
        <w:t>In the opinion of management, all adjustments necessary to present fairly in all material respects the financial position, results of operations and cash flows for all periods presented have been made and all intercompany accounts have been eliminated in consolidation. The Company has reclassified certain historical amounts on the Consolidated Balance Sheets, Statements of Operations and Statements of Cash Flows to conform to current period presentation. In the year ended December 26, 2024, the Company reclassified certain historical expenses on the audited Consolidated Statements of Operations from ‘Advertising operating costs’ and ‘Network costs’ to ‘Network operating costs’ and certain historical expenses from ‘Advertising operating costs’ and ‘ESA theater access fees and revenue shares’ to ‘ESA Parties and network affiliate fees’ to conform to current period presentation. As a result of the various related-party agreements discussed in Note 9—</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the operating results as presented are not necessarily indicative of the results that might have occurred if all agreements were with non-related third parties.</w:t>
      </w:r>
    </w:p>
    <w:p>
      <w:pPr>
        <w:spacing w:after="0" w:line="80" w:lineRule="exact"/>
        <w:rPr>
          <w:sz w:val="20"/>
          <w:szCs w:val="20"/>
          <w:color w:val="auto"/>
        </w:rPr>
      </w:pPr>
    </w:p>
    <w:p>
      <w:pPr>
        <w:ind w:right="80" w:firstLine="60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Estimates</w:t>
      </w:r>
      <w:r>
        <w:rPr>
          <w:rFonts w:ascii="Times New Roman" w:cs="Times New Roman" w:eastAsia="Times New Roman" w:hAnsi="Times New Roman"/>
          <w:sz w:val="18"/>
          <w:szCs w:val="18"/>
          <w:color w:val="auto"/>
        </w:rPr>
        <w:t>—The preparation of the financial statements in conformity with GAAP requires management to make estimates and assumptions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 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income taxes, intangible assets and the valuation of NCM LLC upon deconsolidation and reconsolidation. Actual results could differ from those estimates.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2" w:lineRule="exact"/>
        <w:rPr>
          <w:sz w:val="20"/>
          <w:szCs w:val="20"/>
          <w:color w:val="auto"/>
        </w:rPr>
      </w:pPr>
    </w:p>
    <w:p>
      <w:pPr>
        <w:ind w:right="40" w:firstLine="61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Bankruptcy Filing, Deconsolidation and Reconsolidation of NCM LLC</w:t>
      </w:r>
      <w:r>
        <w:rPr>
          <w:rFonts w:ascii="Times New Roman" w:cs="Times New Roman" w:eastAsia="Times New Roman" w:hAnsi="Times New Roman"/>
          <w:sz w:val="18"/>
          <w:szCs w:val="18"/>
          <w:color w:val="auto"/>
        </w:rPr>
        <w:t>—On April 11, 2023, NCM LLC filed a voluntary petition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reorganization with a prearranged Chapter 11 plan under Chapter 11 of Title 11 of the United States Code in the Bankruptcy Code in the Bankruptcy Court (the “Chapter 11 Case”). During the Chapter 11 Case, the Company was deemed to no longer control NCM LLC for accounting purposes and NCM LLC was deconsolidated from the Company’s financial statements prospectively as of April 11, 2023. NCM LLC does not have a readily determinable fair value. Upon the deconsolidation of NCM LLC, the original cost of the investment was valued based upon NCM, Inc.'s ownership of the secured debt of NCM LLC and the estimation of the enterprise value of NCM LLC utilizing a combination of a market approach and income approach. The market approach relied upon a comparison with guideline public companies and entails selecting relevant financial information of the subject company and capitalizing those amounts using valuation multiples that are based on empirical market observation. The income approach relied upon an analysis of NCM LLC’s projected economic earnings discounted to present value. Significant assumptions utilized within these analyses include the weighted average cost of capital and NCM LLC’s forecasted cash flows.</w:t>
      </w:r>
    </w:p>
    <w:p>
      <w:pPr>
        <w:spacing w:after="0" w:line="81" w:lineRule="exact"/>
        <w:rPr>
          <w:sz w:val="20"/>
          <w:szCs w:val="20"/>
          <w:color w:val="auto"/>
        </w:rPr>
      </w:pPr>
    </w:p>
    <w:p>
      <w:pPr>
        <w:ind w:right="80" w:firstLine="614"/>
        <w:spacing w:after="0" w:line="254" w:lineRule="auto"/>
        <w:rPr>
          <w:sz w:val="20"/>
          <w:szCs w:val="20"/>
          <w:color w:val="auto"/>
        </w:rPr>
      </w:pPr>
      <w:r>
        <w:rPr>
          <w:rFonts w:ascii="Times New Roman" w:cs="Times New Roman" w:eastAsia="Times New Roman" w:hAnsi="Times New Roman"/>
          <w:sz w:val="18"/>
          <w:szCs w:val="18"/>
          <w:color w:val="auto"/>
        </w:rPr>
        <w:t xml:space="preserve">Upon emergence from bankruptcy, NCM, Inc., regained control and retained 100.0% ownership of NCM LLC, after taking into account elections by the holders of Secured Debt Claims to receive NCM, Inc. common stock in lieu of NCM LLC common units and was therefore reconsolidated into the Company’s financial statements prospectively as of August 7, 2023 akin to an acquisition under </w:t>
      </w:r>
      <w:r>
        <w:rPr>
          <w:rFonts w:ascii="Times New Roman" w:cs="Times New Roman" w:eastAsia="Times New Roman" w:hAnsi="Times New Roman"/>
          <w:sz w:val="18"/>
          <w:szCs w:val="18"/>
          <w:i w:val="1"/>
          <w:iCs w:val="1"/>
          <w:color w:val="auto"/>
        </w:rPr>
        <w:t>ASC 805 – Business Combinations</w:t>
      </w:r>
      <w:r>
        <w:rPr>
          <w:rFonts w:ascii="Times New Roman" w:cs="Times New Roman" w:eastAsia="Times New Roman" w:hAnsi="Times New Roman"/>
          <w:sz w:val="18"/>
          <w:szCs w:val="18"/>
          <w:color w:val="auto"/>
        </w:rPr>
        <w:t>. The acquisition method requires the Company to make significant estimates and assumptions, especially at the acquisition date as the Company allocates the estimated fair values of acquired tangible and intangible assets and the liabilities assumed. The Company also uses our best estimates to determine the useful lives of the tangible and definite-lived intangible assets, which impact the periods over which depreciation and amortization of those assets are recognized. All balances within the Company’s financial statements reflect NCM LLC activity only for the periods while consolidated, including all of the year ended December 26, 2024 and for the year ended December 28, 2023, December 30, 2022 through April 11, 2023 and August 7, 2023 through December 28, 2023.</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17" w:lineRule="exact"/>
        <w:rPr>
          <w:sz w:val="20"/>
          <w:szCs w:val="20"/>
          <w:color w:val="auto"/>
        </w:rPr>
      </w:pPr>
    </w:p>
    <w:p>
      <w:pPr>
        <w:ind w:right="560" w:firstLine="60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Accounting Period</w:t>
      </w:r>
      <w:r>
        <w:rPr>
          <w:rFonts w:ascii="Times New Roman" w:cs="Times New Roman" w:eastAsia="Times New Roman" w:hAnsi="Times New Roman"/>
          <w:sz w:val="18"/>
          <w:szCs w:val="18"/>
          <w:color w:val="auto"/>
        </w:rPr>
        <w:t>—The Company has a 52-week or 53-week fiscal year ending on the first Thursday after December 25. Fiscal year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contained 52 weeks and 2024 contained 52 weeks. Throughout this document, the fiscal years are referred to as set forth below:</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 in</w:t>
            </w:r>
          </w:p>
        </w:tc>
        <w:tc>
          <w:tcPr>
            <w:tcW w:w="0" w:type="dxa"/>
            <w:vAlign w:val="bottom"/>
          </w:tcPr>
          <w:p>
            <w:pPr>
              <w:spacing w:after="0"/>
              <w:rPr>
                <w:sz w:val="1"/>
                <w:szCs w:val="1"/>
                <w:color w:val="auto"/>
              </w:rPr>
            </w:pPr>
          </w:p>
        </w:tc>
      </w:tr>
      <w:tr>
        <w:trPr>
          <w:trHeight w:val="173"/>
        </w:trPr>
        <w:tc>
          <w:tcPr>
            <w:tcW w:w="90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this Document</w:t>
            </w:r>
          </w:p>
        </w:tc>
        <w:tc>
          <w:tcPr>
            <w:tcW w:w="0" w:type="dxa"/>
            <w:vAlign w:val="bottom"/>
          </w:tcPr>
          <w:p>
            <w:pPr>
              <w:spacing w:after="0"/>
              <w:rPr>
                <w:sz w:val="1"/>
                <w:szCs w:val="1"/>
                <w:color w:val="auto"/>
              </w:rPr>
            </w:pPr>
          </w:p>
        </w:tc>
      </w:tr>
      <w:tr>
        <w:trPr>
          <w:trHeight w:val="210"/>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26, 2024</w:t>
            </w:r>
          </w:p>
        </w:tc>
        <w:tc>
          <w:tcPr>
            <w:tcW w:w="222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34"/>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28, 2023</w:t>
            </w:r>
          </w:p>
        </w:tc>
        <w:tc>
          <w:tcPr>
            <w:tcW w:w="22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100" w:firstLine="60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color w:val="auto"/>
        </w:rPr>
        <w:t>—The Company derives revenue principally from the sale of advertising to national, regional and local businesses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our cinema advertising and entertainment show seen on movie screens across the U.S., as well as on our LEN, a series of strategically-placed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screens located in movie theater lobbies, as well as other forms of advertising, promotions and experiences in theater lobbies. In addition, the Company sells data and digital advertising, including through </w:t>
      </w:r>
      <w:r>
        <w:rPr>
          <w:rFonts w:ascii="Times New Roman" w:cs="Times New Roman" w:eastAsia="Times New Roman" w:hAnsi="Times New Roman"/>
          <w:sz w:val="18"/>
          <w:szCs w:val="18"/>
          <w:i w:val="1"/>
          <w:iCs w:val="1"/>
          <w:color w:val="auto"/>
        </w:rPr>
        <w:t>NCM Boost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Boomerang</w:t>
      </w:r>
      <w:r>
        <w:rPr>
          <w:rFonts w:ascii="Times New Roman" w:cs="Times New Roman" w:eastAsia="Times New Roman" w:hAnsi="Times New Roman"/>
          <w:sz w:val="18"/>
          <w:szCs w:val="18"/>
          <w:color w:val="auto"/>
        </w:rPr>
        <w:t>, through NCM’s digital gaming products, which can be played on the mobile apps and through partnerships with certain internet platforms. Further the Company sells advertising in a variety of complementary out of home venues. The Company also has a long-term agreement to exhibit the advertising of the ESA Parties’ beverage suppliers. The Company considers the terms of each arrangement to determine the appropriate accounting treatment as more fully discussed in Note 2—</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Operating Costs</w:t>
      </w:r>
      <w:r>
        <w:rPr>
          <w:rFonts w:ascii="Times New Roman" w:cs="Times New Roman" w:eastAsia="Times New Roman" w:hAnsi="Times New Roman"/>
          <w:sz w:val="18"/>
          <w:szCs w:val="18"/>
          <w:color w:val="auto"/>
        </w:rPr>
        <w:t>—The Company classifies its core operating expenses within the following categories on the audited Consolidated Statements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w:t>
      </w:r>
    </w:p>
    <w:p>
      <w:pPr>
        <w:spacing w:after="0" w:line="97" w:lineRule="exact"/>
        <w:rPr>
          <w:sz w:val="20"/>
          <w:szCs w:val="20"/>
          <w:color w:val="auto"/>
        </w:rPr>
      </w:pPr>
    </w:p>
    <w:p>
      <w:pPr>
        <w:ind w:right="120" w:firstLine="608"/>
        <w:spacing w:after="0" w:line="261" w:lineRule="auto"/>
        <w:rPr>
          <w:sz w:val="20"/>
          <w:szCs w:val="20"/>
          <w:color w:val="auto"/>
        </w:rPr>
      </w:pPr>
      <w:r>
        <w:rPr>
          <w:rFonts w:ascii="Times New Roman" w:cs="Times New Roman" w:eastAsia="Times New Roman" w:hAnsi="Times New Roman"/>
          <w:sz w:val="18"/>
          <w:szCs w:val="18"/>
          <w:i w:val="1"/>
          <w:iCs w:val="1"/>
          <w:color w:val="auto"/>
        </w:rPr>
        <w:t>Network operating costs</w:t>
      </w:r>
      <w:r>
        <w:rPr>
          <w:rFonts w:ascii="Times New Roman" w:cs="Times New Roman" w:eastAsia="Times New Roman" w:hAnsi="Times New Roman"/>
          <w:sz w:val="18"/>
          <w:szCs w:val="18"/>
          <w:color w:val="auto"/>
        </w:rPr>
        <w:t>—This balance relates to advertising fulfillment-related operating costs primarily consisting of personnel costs, satellite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bandwidth, repairs and other costs of maintaining and operating the digital network as well as preparing advertising and other content for transmission across the digital network. To a lesser extent, this balance also includes production costs of non-digital advertising and revenue share and per patron based fees due to certain sales partners.</w:t>
      </w:r>
    </w:p>
    <w:p>
      <w:pPr>
        <w:spacing w:after="0" w:line="72" w:lineRule="exact"/>
        <w:rPr>
          <w:sz w:val="20"/>
          <w:szCs w:val="20"/>
          <w:color w:val="auto"/>
        </w:rPr>
      </w:pPr>
    </w:p>
    <w:p>
      <w:pPr>
        <w:ind w:right="160" w:firstLine="608"/>
        <w:spacing w:after="0" w:line="261" w:lineRule="auto"/>
        <w:rPr>
          <w:sz w:val="20"/>
          <w:szCs w:val="20"/>
          <w:color w:val="auto"/>
        </w:rPr>
      </w:pPr>
      <w:r>
        <w:rPr>
          <w:rFonts w:ascii="Times New Roman" w:cs="Times New Roman" w:eastAsia="Times New Roman" w:hAnsi="Times New Roman"/>
          <w:sz w:val="18"/>
          <w:szCs w:val="18"/>
          <w:i w:val="1"/>
          <w:iCs w:val="1"/>
          <w:color w:val="auto"/>
        </w:rPr>
        <w:t>ESA Parties and network affiliate fees</w:t>
      </w:r>
      <w:r>
        <w:rPr>
          <w:rFonts w:ascii="Times New Roman" w:cs="Times New Roman" w:eastAsia="Times New Roman" w:hAnsi="Times New Roman"/>
          <w:sz w:val="18"/>
          <w:szCs w:val="18"/>
          <w:color w:val="auto"/>
        </w:rPr>
        <w:t>—This balance relates to fees the Company pays its ESA Parties and network affiliates in return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to advertise in their theaters. For the ESA Parties, these fees are comprised of a payment per theater attendee, a payment for post-showtime advertising, a payment per digital screen and a payment per digital cinema projector equipped in the theaters, all of which escalate over time, and revenue share for the Platinum Spot, when sold. For network affiliates, this fee can be a revenue share and/or a per patron based fee.</w:t>
      </w:r>
    </w:p>
    <w:p>
      <w:pPr>
        <w:spacing w:after="0" w:line="72" w:lineRule="exact"/>
        <w:rPr>
          <w:sz w:val="20"/>
          <w:szCs w:val="20"/>
          <w:color w:val="auto"/>
        </w:rPr>
      </w:pPr>
    </w:p>
    <w:p>
      <w:pPr>
        <w:ind w:right="60" w:firstLine="608"/>
        <w:spacing w:after="0" w:line="261" w:lineRule="auto"/>
        <w:rPr>
          <w:sz w:val="20"/>
          <w:szCs w:val="20"/>
          <w:color w:val="auto"/>
        </w:rPr>
      </w:pPr>
      <w:r>
        <w:rPr>
          <w:rFonts w:ascii="Times New Roman" w:cs="Times New Roman" w:eastAsia="Times New Roman" w:hAnsi="Times New Roman"/>
          <w:sz w:val="18"/>
          <w:szCs w:val="18"/>
          <w:i w:val="1"/>
          <w:iCs w:val="1"/>
          <w:color w:val="auto"/>
        </w:rPr>
        <w:t>Selling and marketing costs</w:t>
      </w:r>
      <w:r>
        <w:rPr>
          <w:rFonts w:ascii="Times New Roman" w:cs="Times New Roman" w:eastAsia="Times New Roman" w:hAnsi="Times New Roman"/>
          <w:sz w:val="18"/>
          <w:szCs w:val="18"/>
          <w:color w:val="auto"/>
        </w:rPr>
        <w:t>—This balance consists primarily of sales personnel costs including sales commissions and selling related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as travel, barter and bad debt expense; marketing expenses including research subscriptions and studies and production costs for internal segments shown within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lease expense for the Company’s sales offices and costs associated with digital inventory, including revenue shares paid to DOOH and other partners.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4" w:lineRule="exact"/>
        <w:rPr>
          <w:sz w:val="20"/>
          <w:szCs w:val="20"/>
          <w:color w:val="auto"/>
        </w:rPr>
      </w:pPr>
    </w:p>
    <w:p>
      <w:pPr>
        <w:ind w:right="80" w:firstLine="608"/>
        <w:spacing w:after="0" w:line="267" w:lineRule="auto"/>
        <w:rPr>
          <w:sz w:val="20"/>
          <w:szCs w:val="20"/>
          <w:color w:val="auto"/>
        </w:rPr>
      </w:pPr>
      <w:r>
        <w:rPr>
          <w:rFonts w:ascii="Times New Roman" w:cs="Times New Roman" w:eastAsia="Times New Roman" w:hAnsi="Times New Roman"/>
          <w:sz w:val="18"/>
          <w:szCs w:val="18"/>
          <w:i w:val="1"/>
          <w:iCs w:val="1"/>
          <w:color w:val="auto"/>
        </w:rPr>
        <w:t>Administrative and other costs</w:t>
      </w:r>
      <w:r>
        <w:rPr>
          <w:rFonts w:ascii="Times New Roman" w:cs="Times New Roman" w:eastAsia="Times New Roman" w:hAnsi="Times New Roman"/>
          <w:sz w:val="18"/>
          <w:szCs w:val="18"/>
          <w:color w:val="auto"/>
        </w:rPr>
        <w:t>—This balance consists of personnel costs for the Company’s executives as well as administrative functions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legal, information technology and accounting, lease expense for the Company’s headquarters, legal and professional fees, cloud computing costs for the Company’s cinema advertising management system and repairs and maintenance costs.</w:t>
      </w:r>
    </w:p>
    <w:p>
      <w:pPr>
        <w:spacing w:after="0" w:line="63" w:lineRule="exact"/>
        <w:rPr>
          <w:sz w:val="20"/>
          <w:szCs w:val="20"/>
          <w:color w:val="auto"/>
        </w:rPr>
      </w:pPr>
    </w:p>
    <w:p>
      <w:pPr>
        <w:ind w:right="80" w:firstLine="60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Cash and Cash Equivalents</w:t>
      </w:r>
      <w:r>
        <w:rPr>
          <w:rFonts w:ascii="Times New Roman" w:cs="Times New Roman" w:eastAsia="Times New Roman" w:hAnsi="Times New Roman"/>
          <w:sz w:val="18"/>
          <w:szCs w:val="18"/>
          <w:color w:val="auto"/>
        </w:rPr>
        <w:t>—All highly liquid debt instruments and investments purchased with an original maturity of three months or less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classified as cash equivalents and are considered available-for-sale securities. The Company held cash balances in a bank in excess of the federally insured limits or in the form of a money market demand account with a major financial institution as of December 26, 2024 and as of December 28, 2023. The Company has elected the fair value option for valuing its cash equivalents. The cash equivalents are valued at fair value at each balance sheet date and the change in value from the prior period is recognized within “Other non-operating income, net” on the audited Consolidated Statements of Operations.</w:t>
      </w:r>
    </w:p>
    <w:p>
      <w:pPr>
        <w:spacing w:after="0" w:line="71" w:lineRule="exact"/>
        <w:rPr>
          <w:sz w:val="20"/>
          <w:szCs w:val="20"/>
          <w:color w:val="auto"/>
        </w:rPr>
      </w:pPr>
    </w:p>
    <w:p>
      <w:pPr>
        <w:ind w:firstLine="60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Restricted Cash</w:t>
      </w:r>
      <w:r>
        <w:rPr>
          <w:rFonts w:ascii="Times New Roman" w:cs="Times New Roman" w:eastAsia="Times New Roman" w:hAnsi="Times New Roman"/>
          <w:sz w:val="18"/>
          <w:szCs w:val="18"/>
          <w:color w:val="auto"/>
        </w:rPr>
        <w:t>— The Company’s restricted cash balance was $3.0 million and $3.0 million for the years ended December 26, 2024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28, 2023, respectively. The balance is related to unsettled, agreed upon payments to NCM LLC’s unsecured creditors within the escrow accounts and “Accounts payable” on the audited Consolidated Balance Sheets.</w:t>
      </w:r>
    </w:p>
    <w:p>
      <w:pPr>
        <w:spacing w:after="0" w:line="63" w:lineRule="exact"/>
        <w:rPr>
          <w:sz w:val="20"/>
          <w:szCs w:val="20"/>
          <w:color w:val="auto"/>
        </w:rPr>
      </w:pPr>
    </w:p>
    <w:p>
      <w:pPr>
        <w:ind w:right="200" w:firstLine="60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Marketable Securities</w:t>
      </w:r>
      <w:r>
        <w:rPr>
          <w:rFonts w:ascii="Times New Roman" w:cs="Times New Roman" w:eastAsia="Times New Roman" w:hAnsi="Times New Roman"/>
          <w:sz w:val="18"/>
          <w:szCs w:val="18"/>
          <w:color w:val="auto"/>
        </w:rPr>
        <w:t>—The Company’s marketable securities are classified as available-for-sale and are reported at fair value. The fair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substantially all securities is determined by quoted market information and pricing models using inputs based upon market information, including contractual terms, market prices and yield curves. The estimated fair value of securities for which there are no quoted market prices is based on similar types of securities that are traded in the market. The change in value from the prior period is recognized within “Other non-operating income, net” on the audited Consolidated Statements of Operations.</w:t>
      </w:r>
    </w:p>
    <w:p>
      <w:pPr>
        <w:spacing w:after="0" w:line="71" w:lineRule="exact"/>
        <w:rPr>
          <w:sz w:val="20"/>
          <w:szCs w:val="20"/>
          <w:color w:val="auto"/>
        </w:rPr>
      </w:pPr>
    </w:p>
    <w:p>
      <w:pPr>
        <w:ind w:right="80" w:firstLine="60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Customers</w:t>
      </w:r>
      <w:r>
        <w:rPr>
          <w:rFonts w:ascii="Times New Roman" w:cs="Times New Roman" w:eastAsia="Times New Roman" w:hAnsi="Times New Roman"/>
          <w:sz w:val="18"/>
          <w:szCs w:val="18"/>
          <w:color w:val="auto"/>
        </w:rPr>
        <w:t>—The risk of credit loss related to the Company's trade receivables and unbilled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receivables balances is accounted for through the allowance for credit losses, a contra asset account which reduces the net receivables balance. The allowance for credit losses balance is determined by pooling the Company's receivables with similar risk characteristics, specifically by type of customer (national or local/ regional) and then age of receivable and applying historical write-off percentages to these pools in order to determine the amount of expected credit losses as of the balance sheet date. National receivables are with large advertising agencies with strong reputations in the advertising industry and clients with stable financial positions and good credit ratings, represent larger receivables balances per customer and have significantly lower historical and expected credit loss patterns. Local and regional receivables are with smaller companies sometimes with less credit history and represent smaller receivable balances per customer and higher historical and expected credit loss patterns. The Company has smaller contracts with many local clients that are not individually significant. The Company also considers current economic conditions and trends to determine whether adjustments to historical loss rates are necessary. The Company also reserves for specific receivable balances that it expects to write off based on known concerns regarding the financial health of the customer. Receivables are written off when management determines amounts are uncollectib</w:t>
      </w:r>
      <w:r>
        <w:rPr>
          <w:rFonts w:ascii="Times New Roman" w:cs="Times New Roman" w:eastAsia="Times New Roman" w:hAnsi="Times New Roman"/>
          <w:sz w:val="18"/>
          <w:szCs w:val="18"/>
          <w:color w:val="404040"/>
        </w:rPr>
        <w:t>le.</w:t>
      </w:r>
      <w:r>
        <w:rPr>
          <w:rFonts w:ascii="Times New Roman" w:cs="Times New Roman" w:eastAsia="Times New Roman" w:hAnsi="Times New Roman"/>
          <w:sz w:val="18"/>
          <w:szCs w:val="18"/>
          <w:color w:val="auto"/>
        </w:rPr>
        <w:t xml:space="preserve"> The Company had one agency through which it sourced advertising revenue that accounted for 14.7% of the Company’s gross outstanding receivable balance as of December 26, 2024. The Company had no agencies through which it sourced advertising revenue that accounted for more than 10% of the Company’s gross outstanding receivable balance as of December 28, 2023. During the year ended December 26, 2024, the Company did not have a customer that accounted for 10% or more of the Company's revenue. During the year ended December 28, 2023, the Company had one customer that accounted for 11.2% of the Company's revenue.</w:t>
      </w:r>
    </w:p>
    <w:p>
      <w:pPr>
        <w:spacing w:after="0" w:line="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Receivables consisted of the following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20" w:type="dxa"/>
            <w:vAlign w:val="bottom"/>
            <w:tcBorders>
              <w:bottom w:val="single" w:sz="8" w:color="auto"/>
            </w:tcBorders>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December 26, 2024</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2023</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accounts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83.2</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98.0</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5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0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85.3</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96.6</w:t>
            </w:r>
          </w:p>
        </w:tc>
      </w:tr>
      <w:tr>
        <w:trPr>
          <w:trHeight w:val="20"/>
        </w:trPr>
        <w:tc>
          <w:tcPr>
            <w:tcW w:w="7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-170815</wp:posOffset>
            </wp:positionV>
            <wp:extent cx="1117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79" w:lineRule="exact"/>
        <w:rPr>
          <w:sz w:val="20"/>
          <w:szCs w:val="20"/>
          <w:color w:val="auto"/>
        </w:rPr>
      </w:pPr>
    </w:p>
    <w:p>
      <w:pPr>
        <w:ind w:right="40" w:firstLine="60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Property and Equipment</w:t>
      </w:r>
      <w:r>
        <w:rPr>
          <w:rFonts w:ascii="Times New Roman" w:cs="Times New Roman" w:eastAsia="Times New Roman" w:hAnsi="Times New Roman"/>
          <w:sz w:val="18"/>
          <w:szCs w:val="18"/>
          <w:color w:val="auto"/>
        </w:rPr>
        <w:t>—Property and equipment is stated at cost, net of accumulated depreciation or amortization. Generally, the equipment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with the digital network of the ESA Party theaters is owned by the ESA Parties, while the equipment associated with network affiliate theaters is owned by the Company. Major renewals and improvements are capitalized, while replacements, maintenance and repairs that do not improve or extend the lives of the respective assets are expensed as incurred. The Company records depreciation using the straight-line method over the following estimated useful lives: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726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3-10 years</w:t>
            </w:r>
          </w:p>
        </w:tc>
      </w:tr>
      <w:tr>
        <w:trPr>
          <w:trHeight w:val="21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72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2-10 years</w:t>
            </w:r>
          </w:p>
        </w:tc>
      </w:tr>
      <w:tr>
        <w:trPr>
          <w:trHeight w:val="21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726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Lesser of lease term or asset life</w:t>
            </w:r>
          </w:p>
        </w:tc>
      </w:tr>
      <w:tr>
        <w:trPr>
          <w:trHeight w:val="945"/>
        </w:trPr>
        <w:tc>
          <w:tcPr>
            <w:tcW w:w="3980" w:type="dxa"/>
            <w:vAlign w:val="bottom"/>
          </w:tcPr>
          <w:p>
            <w:pPr>
              <w:spacing w:after="0"/>
              <w:rPr>
                <w:sz w:val="24"/>
                <w:szCs w:val="24"/>
                <w:color w:val="auto"/>
              </w:rPr>
            </w:pPr>
          </w:p>
        </w:tc>
        <w:tc>
          <w:tcPr>
            <w:tcW w:w="726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63</w:t>
            </w:r>
          </w:p>
        </w:tc>
      </w:tr>
      <w:tr>
        <w:trPr>
          <w:trHeight w:val="358"/>
        </w:trPr>
        <w:tc>
          <w:tcPr>
            <w:tcW w:w="3980" w:type="dxa"/>
            <w:vAlign w:val="bottom"/>
            <w:tcBorders>
              <w:bottom w:val="single" w:sz="8" w:color="9A9A9A"/>
            </w:tcBorders>
          </w:tcPr>
          <w:p>
            <w:pPr>
              <w:spacing w:after="0"/>
              <w:rPr>
                <w:sz w:val="24"/>
                <w:szCs w:val="24"/>
                <w:color w:val="auto"/>
              </w:rPr>
            </w:pPr>
          </w:p>
        </w:tc>
        <w:tc>
          <w:tcPr>
            <w:tcW w:w="7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7" w:lineRule="exact"/>
        <w:rPr>
          <w:sz w:val="20"/>
          <w:szCs w:val="20"/>
          <w:color w:val="auto"/>
        </w:rPr>
      </w:pPr>
    </w:p>
    <w:p>
      <w:pPr>
        <w:ind w:right="60" w:firstLine="608"/>
        <w:spacing w:after="0" w:line="253" w:lineRule="auto"/>
        <w:rPr>
          <w:sz w:val="20"/>
          <w:szCs w:val="20"/>
          <w:color w:val="auto"/>
        </w:rPr>
      </w:pPr>
      <w:r>
        <w:rPr>
          <w:rFonts w:ascii="Times New Roman" w:cs="Times New Roman" w:eastAsia="Times New Roman" w:hAnsi="Times New Roman"/>
          <w:sz w:val="18"/>
          <w:szCs w:val="18"/>
          <w:color w:val="auto"/>
        </w:rPr>
        <w:t>Software and website development costs developed or obtained for internal use are accounted for in accordance with ASC 350—</w:t>
      </w:r>
      <w:r>
        <w:rPr>
          <w:rFonts w:ascii="Times New Roman" w:cs="Times New Roman" w:eastAsia="Times New Roman" w:hAnsi="Times New Roman"/>
          <w:sz w:val="18"/>
          <w:szCs w:val="18"/>
          <w:i w:val="1"/>
          <w:iCs w:val="1"/>
          <w:color w:val="auto"/>
        </w:rPr>
        <w:t>Internal 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Software </w:t>
      </w:r>
      <w:r>
        <w:rPr>
          <w:rFonts w:ascii="Times New Roman" w:cs="Times New Roman" w:eastAsia="Times New Roman" w:hAnsi="Times New Roman"/>
          <w:sz w:val="18"/>
          <w:szCs w:val="18"/>
          <w:color w:val="auto"/>
        </w:rPr>
        <w:t>and ASC 350–</w:t>
      </w:r>
      <w:r>
        <w:rPr>
          <w:rFonts w:ascii="Times New Roman" w:cs="Times New Roman" w:eastAsia="Times New Roman" w:hAnsi="Times New Roman"/>
          <w:sz w:val="18"/>
          <w:szCs w:val="18"/>
          <w:i w:val="1"/>
          <w:iCs w:val="1"/>
          <w:color w:val="auto"/>
        </w:rPr>
        <w:t xml:space="preserve"> Website Development Costs</w:t>
      </w:r>
      <w:r>
        <w:rPr>
          <w:rFonts w:ascii="Times New Roman" w:cs="Times New Roman" w:eastAsia="Times New Roman" w:hAnsi="Times New Roman"/>
          <w:sz w:val="18"/>
          <w:szCs w:val="18"/>
          <w:color w:val="auto"/>
        </w:rPr>
        <w:t>. The subtopics require the capitalization of certain costs incurred in developing or obtaining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internal use. Software costs related primarily to the Company’s cinema advertising management system, digital products, digital network distribution system (DCS), enterprise resource planning system and website development costs, which are included in equipment, and are depreciated over three to ten years. As of December 26, 2024 and December 28, 2023, the Company had a net book value of $9.1 million and $11.1 million, respectively, of capitalized software and website development costs. Depreciation expense related to software and website development was approximately $2.4 million and $1.8 million for the years ended December 26, 2024 and December 28, 2023, respectively. The subtopics also require the capitalization of certain implementation costs related to qualifying Cloud Computing Arrangements (“CCAs”) upon adoption of ASU 2018-15— </w:t>
      </w:r>
      <w:r>
        <w:rPr>
          <w:rFonts w:ascii="Times New Roman" w:cs="Times New Roman" w:eastAsia="Times New Roman" w:hAnsi="Times New Roman"/>
          <w:sz w:val="18"/>
          <w:szCs w:val="18"/>
          <w:i w:val="1"/>
          <w:iCs w:val="1"/>
          <w:color w:val="auto"/>
        </w:rPr>
        <w:t>Intangibles - Goodwill and Other</w:t>
      </w:r>
    </w:p>
    <w:p>
      <w:pPr>
        <w:spacing w:after="0" w:line="3" w:lineRule="exact"/>
        <w:rPr>
          <w:sz w:val="20"/>
          <w:szCs w:val="20"/>
          <w:color w:val="auto"/>
        </w:rPr>
      </w:pPr>
    </w:p>
    <w:p>
      <w:pPr>
        <w:ind w:right="80" w:firstLine="8"/>
        <w:spacing w:after="0" w:line="251" w:lineRule="auto"/>
        <w:tabs>
          <w:tab w:leader="none" w:pos="10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Customer’s Accounting for Implementation Costs Incurred in a Cloud Computing Arrangement That Is a Service Contract </w:t>
      </w:r>
      <w:r>
        <w:rPr>
          <w:rFonts w:ascii="Times New Roman" w:cs="Times New Roman" w:eastAsia="Times New Roman" w:hAnsi="Times New Roman"/>
          <w:sz w:val="18"/>
          <w:szCs w:val="18"/>
          <w:color w:val="auto"/>
        </w:rPr>
        <w:t>as of September 28, 2018.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December 26, 2024 and December 28, 2023 the Company had a net book value of $4.3 million and $4.5 million of capitalized implementation costs for CCAs, respectively, recorded within “Other assets” in the Consolidated Balance Sheets. These costs primarily relate to the Company's hosted cinema advertising management system which was implemented in January 2021. Depreciation expense related to capitalized implementation costs for CCAs was approximately $0.6 million and $0.5 million for the years ended December 26, 2024 and December 28, 2023, respectively. These costs are amortized to “Administrative and other costs” within the audited Consolidated Statements of Operations over the life of the hosting arrangement beginning at implementation. For the years ended December 26, 2024 and December 28, 2023, the Company recorded $3.3 million and $3.0 million in research and development expense, respectively.</w:t>
      </w:r>
    </w:p>
    <w:p>
      <w:pPr>
        <w:spacing w:after="0" w:line="84" w:lineRule="exact"/>
        <w:rPr>
          <w:sz w:val="20"/>
          <w:szCs w:val="20"/>
          <w:color w:val="auto"/>
        </w:rPr>
      </w:pPr>
    </w:p>
    <w:p>
      <w:pPr>
        <w:ind w:right="20" w:firstLine="608"/>
        <w:spacing w:after="0" w:line="267" w:lineRule="auto"/>
        <w:rPr>
          <w:sz w:val="20"/>
          <w:szCs w:val="20"/>
          <w:color w:val="auto"/>
        </w:rPr>
      </w:pPr>
      <w:r>
        <w:rPr>
          <w:rFonts w:ascii="Times New Roman" w:cs="Times New Roman" w:eastAsia="Times New Roman" w:hAnsi="Times New Roman"/>
          <w:sz w:val="18"/>
          <w:szCs w:val="18"/>
          <w:color w:val="auto"/>
        </w:rPr>
        <w:t xml:space="preserve">The Company assesses impairment of property and equipment pursuant with ASC 360 –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This includes determining if certain triggering events have occurred that could affect the value of an asset. The Company did not record any losses related to property and equipment during the years ended December 26, 2024 and December 28, 2023, respectively.</w:t>
      </w:r>
    </w:p>
    <w:p>
      <w:pPr>
        <w:spacing w:after="0" w:line="63" w:lineRule="exact"/>
        <w:rPr>
          <w:sz w:val="20"/>
          <w:szCs w:val="20"/>
          <w:color w:val="auto"/>
        </w:rPr>
      </w:pPr>
    </w:p>
    <w:p>
      <w:pPr>
        <w:ind w:firstLine="60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Intangible Assets</w:t>
      </w:r>
      <w:r>
        <w:rPr>
          <w:rFonts w:ascii="Times New Roman" w:cs="Times New Roman" w:eastAsia="Times New Roman" w:hAnsi="Times New Roman"/>
          <w:sz w:val="18"/>
          <w:szCs w:val="18"/>
          <w:color w:val="auto"/>
        </w:rPr>
        <w:t>—The Company’s intangible assets consist of contractual rights to provide its services within the theaters under the ESAs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network affiliate agreements, customer relationships developed and maintained by the Company’s sales force and trademarks held and used by the Company. The intangible assets are stated at their estimated fair values upon the reconsolidation of NCM LLC on August 7, 2023 as further described within Note 5—</w:t>
      </w:r>
      <w:r>
        <w:rPr>
          <w:rFonts w:ascii="Times New Roman" w:cs="Times New Roman" w:eastAsia="Times New Roman" w:hAnsi="Times New Roman"/>
          <w:sz w:val="18"/>
          <w:szCs w:val="18"/>
          <w:i w:val="1"/>
          <w:iCs w:val="1"/>
          <w:color w:val="auto"/>
        </w:rPr>
        <w:t>Reconsolidation of NCM LLC,</w:t>
      </w:r>
      <w:r>
        <w:rPr>
          <w:rFonts w:ascii="Times New Roman" w:cs="Times New Roman" w:eastAsia="Times New Roman" w:hAnsi="Times New Roman"/>
          <w:sz w:val="18"/>
          <w:szCs w:val="18"/>
          <w:color w:val="auto"/>
        </w:rPr>
        <w:t xml:space="preserve"> net of accumulated amortization. The Company records amortization using the straight-line method over the estimated useful life of the intangibles, corresponding to the expected term of the ESAs, the average renewable term of the contracts with the network affiliates and industry standard lives for customer relationships and trademarks. Intangible assets are tested for impairment whenever events or changes in circumstances indicate the carrying value may not be fully recoverable. In its impairment testing, the Company estimates the fair value of the intangible asset by determining the estimated future cash flows associated with the ESAs, network affiliate agreements and trademarks or the estimated replacement cost of the customer relationships. If after determining that gross cash flows are insufficient to recover the asset, the estimated fair value is less than the carrying value, the intangible asset is written down to its estimated fair value. Significant judgment is involved in estimating long-term cash flow forecasts and replacement costs.</w:t>
      </w:r>
    </w:p>
    <w:p>
      <w:pPr>
        <w:spacing w:after="0" w:line="74" w:lineRule="exact"/>
        <w:rPr>
          <w:sz w:val="20"/>
          <w:szCs w:val="20"/>
          <w:color w:val="auto"/>
        </w:rPr>
      </w:pPr>
    </w:p>
    <w:p>
      <w:pPr>
        <w:ind w:right="140" w:firstLine="60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Amounts Due to/from ESA Parties</w:t>
      </w:r>
      <w:r>
        <w:rPr>
          <w:rFonts w:ascii="Times New Roman" w:cs="Times New Roman" w:eastAsia="Times New Roman" w:hAnsi="Times New Roman"/>
          <w:sz w:val="18"/>
          <w:szCs w:val="18"/>
          <w:color w:val="auto"/>
        </w:rPr>
        <w:t>—Amounts due to/from ESA Parties include amounts due for the theater access fees and revenue share, offset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 receivable for advertising time purchased by the ESA Parties on behalf of their beverage concessionaire, plus any amounts outstanding under other contractually obligated payments. Payments to or received from the ESA Parties against outstanding balances are made monthly. Available cash distributions are made quarterly contingent upon the ESA Parties’ ownership of NCM LLC membership units, the Company's compliance with the covenants outlined within the 2023 Revolving Credit Facility and in accordance with the NCM LLC Operating Agreement.</w:t>
      </w:r>
    </w:p>
    <w:p>
      <w:pPr>
        <w:spacing w:after="0" w:line="71" w:lineRule="exact"/>
        <w:rPr>
          <w:sz w:val="20"/>
          <w:szCs w:val="20"/>
          <w:color w:val="auto"/>
        </w:rPr>
      </w:pPr>
    </w:p>
    <w:p>
      <w:pPr>
        <w:ind w:right="40" w:firstLine="60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—Income taxes are accounted for under the asset and liability method, which requires recognition of deferred tax assets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differences are expected to be recovered or settled pursuant to the provisions of ASC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effect of a change in tax rates on deferred tax assets and liabilities is recognized in income in the period that includes the enactment date.</w:t>
      </w:r>
    </w:p>
    <w:p>
      <w:pPr>
        <w:spacing w:after="0" w:line="75" w:lineRule="exact"/>
        <w:rPr>
          <w:sz w:val="20"/>
          <w:szCs w:val="20"/>
          <w:color w:val="auto"/>
        </w:rPr>
      </w:pPr>
    </w:p>
    <w:p>
      <w:pPr>
        <w:ind w:right="20" w:firstLine="608"/>
        <w:spacing w:after="0" w:line="256" w:lineRule="auto"/>
        <w:rPr>
          <w:sz w:val="20"/>
          <w:szCs w:val="20"/>
          <w:color w:val="auto"/>
        </w:rPr>
      </w:pPr>
      <w:r>
        <w:rPr>
          <w:rFonts w:ascii="Times New Roman" w:cs="Times New Roman" w:eastAsia="Times New Roman" w:hAnsi="Times New Roman"/>
          <w:sz w:val="18"/>
          <w:szCs w:val="18"/>
          <w:color w:val="auto"/>
        </w:rPr>
        <w:t>The Company records a valuation allowance if it is deemed more likely than not that all or a portion of its deferred income tax assets will not be realized, which will be assessed on an on-going basis. Only the portion of deferred income tax assets deemed more likely than not to be realized are considered within the calculation of the payable to the ESA Parties under the TRA which is equal to 90% of the Company’s actual tax benefit realized from the tax amortization of the basis difference for qualifying deferred income tax assets. Refer to Note 7—</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 the audited Consolidated Financial Statements for discussion of changes within the Company's valuation allowance on its deferred tax assets during the years ended December 26, 2024 and December 28, 2023.</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ind w:right="40" w:firstLine="608"/>
        <w:spacing w:after="0" w:line="261" w:lineRule="auto"/>
        <w:rPr>
          <w:sz w:val="20"/>
          <w:szCs w:val="20"/>
          <w:color w:val="auto"/>
        </w:rPr>
      </w:pPr>
      <w:r>
        <w:rPr>
          <w:rFonts w:ascii="Times New Roman" w:cs="Times New Roman" w:eastAsia="Times New Roman" w:hAnsi="Times New Roman"/>
          <w:sz w:val="18"/>
          <w:szCs w:val="18"/>
          <w:color w:val="auto"/>
        </w:rPr>
        <w:t>In addition, income tax rules and regulations are subject to interpretation and the application of those rules and regulations require judgment by the Company and may be challenged by the taxation authorities. The Company follows ASC 740-10-25, which requires the use of a two-step approach for recognizing and measuring tax benefits taken or expected to be taken in a tax return and disclosures regarding uncertainties in income tax positions. Only tax positions that meet the more likely than not recognition threshold are recognized.</w:t>
      </w:r>
    </w:p>
    <w:p>
      <w:pPr>
        <w:spacing w:after="0" w:line="72" w:lineRule="exact"/>
        <w:rPr>
          <w:sz w:val="20"/>
          <w:szCs w:val="20"/>
          <w:color w:val="auto"/>
        </w:rPr>
      </w:pPr>
    </w:p>
    <w:p>
      <w:pPr>
        <w:ind w:right="20" w:firstLine="608"/>
        <w:spacing w:after="0" w:line="261" w:lineRule="auto"/>
        <w:rPr>
          <w:sz w:val="20"/>
          <w:szCs w:val="20"/>
          <w:color w:val="auto"/>
        </w:rPr>
      </w:pPr>
      <w:r>
        <w:rPr>
          <w:rFonts w:ascii="Times New Roman" w:cs="Times New Roman" w:eastAsia="Times New Roman" w:hAnsi="Times New Roman"/>
          <w:sz w:val="18"/>
          <w:szCs w:val="18"/>
          <w:color w:val="auto"/>
        </w:rPr>
        <w:t>The Company recognizes the tax benefits from uncertain tax positions only when it is more likely than not, based on the technical merits of the position, the tax position will be sustained upon examination, including the resolution of any related appeals or litigation. The tax benefits recognized in the Consolidated Financial Statements from such a position are measured as the largest benefit that has a greater than fifty percent likelihood of being realized upon ultimate resolution. The Company recognizes interest and penalties related to uncertain tax positions in income tax expense.</w:t>
      </w:r>
    </w:p>
    <w:p>
      <w:pPr>
        <w:spacing w:after="0" w:line="68" w:lineRule="exact"/>
        <w:rPr>
          <w:sz w:val="20"/>
          <w:szCs w:val="20"/>
          <w:color w:val="auto"/>
        </w:rPr>
      </w:pPr>
    </w:p>
    <w:p>
      <w:pPr>
        <w:ind w:right="220" w:firstLine="60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Debt Issuance Costs</w:t>
      </w:r>
      <w:r>
        <w:rPr>
          <w:rFonts w:ascii="Times New Roman" w:cs="Times New Roman" w:eastAsia="Times New Roman" w:hAnsi="Times New Roman"/>
          <w:sz w:val="18"/>
          <w:szCs w:val="18"/>
          <w:color w:val="auto"/>
        </w:rPr>
        <w:t>—In relation to the issuance of outstanding debt discussed in Note 10—</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there is a balance of $1.6 million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$2.2 million in deferred financing costs as of December 26, 2024 and December 28, 2023, respectively. The debt issuance costs are being amortized on a straight-line basis over the terms of the underlying obligations and are included in interest on borrowings, which approximates the effective interest method. Debt issuance costs are written-off in the event that the underlying debt is extinguished through partial or full repayment of the obligation.</w:t>
      </w:r>
    </w:p>
    <w:p>
      <w:pPr>
        <w:spacing w:after="0" w:line="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changes in debt issuance costs are as follows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4"/>
          </w:tcPr>
          <w:p>
            <w:pPr>
              <w:jc w:val="right"/>
              <w:ind w:right="1333"/>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142"/>
        </w:trPr>
        <w:tc>
          <w:tcPr>
            <w:tcW w:w="7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December 26, 2024</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2023</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issuance costs</w:t>
            </w:r>
          </w:p>
        </w:tc>
        <w:tc>
          <w:tcPr>
            <w:tcW w:w="140" w:type="dxa"/>
            <w:vAlign w:val="bottom"/>
          </w:tcPr>
          <w:p>
            <w:pPr>
              <w:spacing w:after="0"/>
              <w:rPr>
                <w:sz w:val="18"/>
                <w:szCs w:val="18"/>
                <w:color w:val="auto"/>
              </w:rPr>
            </w:pPr>
          </w:p>
        </w:tc>
        <w:tc>
          <w:tcPr>
            <w:tcW w:w="15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Deconsolidation of NCM LLC</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Reconsolidation for NCM LLC</w:t>
            </w:r>
          </w:p>
        </w:tc>
        <w:tc>
          <w:tcPr>
            <w:tcW w:w="140" w:type="dxa"/>
            <w:vAlign w:val="bottom"/>
          </w:tcPr>
          <w:p>
            <w:pPr>
              <w:spacing w:after="0"/>
              <w:rPr>
                <w:sz w:val="18"/>
                <w:szCs w:val="18"/>
                <w:color w:val="auto"/>
              </w:rPr>
            </w:pPr>
          </w:p>
        </w:tc>
        <w:tc>
          <w:tcPr>
            <w:tcW w:w="15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7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-170815</wp:posOffset>
            </wp:positionV>
            <wp:extent cx="1117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79" w:lineRule="exact"/>
        <w:rPr>
          <w:sz w:val="20"/>
          <w:szCs w:val="20"/>
          <w:color w:val="auto"/>
        </w:rPr>
      </w:pPr>
    </w:p>
    <w:p>
      <w:pPr>
        <w:ind w:right="40" w:firstLine="60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Share-Based Compensation</w:t>
      </w:r>
      <w:r>
        <w:rPr>
          <w:rFonts w:ascii="Times New Roman" w:cs="Times New Roman" w:eastAsia="Times New Roman" w:hAnsi="Times New Roman"/>
          <w:sz w:val="18"/>
          <w:szCs w:val="18"/>
          <w:color w:val="auto"/>
        </w:rPr>
        <w:t>—During 2024, the Company issued restricted stock units to certain employees and its independent directors.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restricted stock unit grants for Company management vest upon the achievement of Company performance measures, market conditions and/or service conditions, while non-management grants vest only upon the achievement of service conditions. During 2023, the Company issued stock options and restricted stock units which vest upon the achievement of Company three-year cumulative performance measures and service conditions or only service conditions. The Company recognizes share-based compensation net of an estimated forfeiture rate. Compensation expense of restricted stock units that vest upon the achievement of Company performance measures is based on management’s financial projections and the probability of achieving the projections, which requires considerable judgment. A cumulative adjustment is recorded to share-based compensation expense in periods that management changes its estimate of the number of shares expected to vest. Ultimately, the Company adjusts the expense recognized to reflect the actual vested shares following the resolution of the performance conditions. Compensation expense of restricted stock units that vest upon achievement of certain market conditions is based on an estimate of the fair value of the granted restricted stock units on the grant date utilizing the Monte Carlo model, which requires considerable judgment. The fair value of the granted restricted stock units is expensed over an estimated derived service period, which also requires considerable judgment. In accordance with </w:t>
      </w:r>
      <w:r>
        <w:rPr>
          <w:rFonts w:ascii="Times New Roman" w:cs="Times New Roman" w:eastAsia="Times New Roman" w:hAnsi="Times New Roman"/>
          <w:sz w:val="18"/>
          <w:szCs w:val="18"/>
          <w:i w:val="1"/>
          <w:iCs w:val="1"/>
          <w:color w:val="auto"/>
        </w:rPr>
        <w:t>ASC 718—Stock Compensation</w:t>
      </w:r>
      <w:r>
        <w:rPr>
          <w:rFonts w:ascii="Times New Roman" w:cs="Times New Roman" w:eastAsia="Times New Roman" w:hAnsi="Times New Roman"/>
          <w:sz w:val="18"/>
          <w:szCs w:val="18"/>
          <w:color w:val="auto"/>
        </w:rPr>
        <w:t>, the Company does not adjust the expense recognized to reflect the actual vested shares following the resolution of the market condition. Dividends are accrued when declared on unvested restricted stock units that are expected to vest and are only paid with respect to shares that actually vest.</w:t>
      </w:r>
    </w:p>
    <w:p>
      <w:pPr>
        <w:spacing w:after="0" w:line="81" w:lineRule="exact"/>
        <w:rPr>
          <w:sz w:val="20"/>
          <w:szCs w:val="20"/>
          <w:color w:val="auto"/>
        </w:rPr>
      </w:pPr>
    </w:p>
    <w:p>
      <w:pPr>
        <w:ind w:right="240" w:firstLine="608"/>
        <w:spacing w:after="0" w:line="261" w:lineRule="auto"/>
        <w:rPr>
          <w:sz w:val="20"/>
          <w:szCs w:val="20"/>
          <w:color w:val="auto"/>
        </w:rPr>
      </w:pPr>
      <w:r>
        <w:rPr>
          <w:rFonts w:ascii="Times New Roman" w:cs="Times New Roman" w:eastAsia="Times New Roman" w:hAnsi="Times New Roman"/>
          <w:sz w:val="18"/>
          <w:szCs w:val="18"/>
          <w:color w:val="auto"/>
        </w:rPr>
        <w:t xml:space="preserve">Compensation cost of stock options is based on the estimated grant date fair value using the Black-Scholes option pricing model, which requires that the Company make estimates of various factors. Under the fair value recognition provisions of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the Company recognizes share-based compensation net of an estimated forfeiture rate, and therefore only recognizes compensation cost for those shares expected to vest over the requisite service period of the award. Refer to Note 11—</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xml:space="preserve"> for more information.</w:t>
      </w:r>
    </w:p>
    <w:p>
      <w:pPr>
        <w:spacing w:after="0" w:line="68" w:lineRule="exact"/>
        <w:rPr>
          <w:sz w:val="20"/>
          <w:szCs w:val="20"/>
          <w:color w:val="auto"/>
        </w:rPr>
      </w:pPr>
    </w:p>
    <w:p>
      <w:pPr>
        <w:ind w:right="60" w:firstLine="60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Share Repurchase Program</w:t>
      </w:r>
      <w:r>
        <w:rPr>
          <w:rFonts w:ascii="Times New Roman" w:cs="Times New Roman" w:eastAsia="Times New Roman" w:hAnsi="Times New Roman"/>
          <w:sz w:val="18"/>
          <w:szCs w:val="18"/>
          <w:color w:val="auto"/>
        </w:rPr>
        <w:t>—On March 18, 2024, the Board of Directors of the Company approved a stock repurchase program under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Company is authorized to use assets of the Company to repurchase up to $100.0 million of shares of the 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 During the year ended December 26, 2024, 2,524,991 shares were repurchased on the open market. In accordance with </w:t>
      </w:r>
      <w:r>
        <w:rPr>
          <w:rFonts w:ascii="Times New Roman" w:cs="Times New Roman" w:eastAsia="Times New Roman" w:hAnsi="Times New Roman"/>
          <w:sz w:val="18"/>
          <w:szCs w:val="18"/>
          <w:i w:val="1"/>
          <w:iCs w:val="1"/>
          <w:color w:val="auto"/>
        </w:rPr>
        <w:t>ASC 505 —Equity</w:t>
      </w:r>
      <w:r>
        <w:rPr>
          <w:rFonts w:ascii="Times New Roman" w:cs="Times New Roman" w:eastAsia="Times New Roman" w:hAnsi="Times New Roman"/>
          <w:sz w:val="18"/>
          <w:szCs w:val="18"/>
          <w:color w:val="auto"/>
        </w:rPr>
        <w:t>, the Company elected to retire the shares. Upon the retirement of these shares, the excess over par value paid, inclusive of direct costs, of $13.4 million was recorded as a reduction to retained earnings for the year ended December 26, 2024.</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5" w:name="page66"/>
    <w:bookmarkEnd w:id="6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2" w:lineRule="exact"/>
        <w:rPr>
          <w:sz w:val="20"/>
          <w:szCs w:val="20"/>
          <w:color w:val="auto"/>
        </w:rPr>
      </w:pPr>
    </w:p>
    <w:p>
      <w:pPr>
        <w:ind w:right="100" w:firstLine="60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Fair Value Measurements</w:t>
      </w:r>
      <w:r>
        <w:rPr>
          <w:rFonts w:ascii="Times New Roman" w:cs="Times New Roman" w:eastAsia="Times New Roman" w:hAnsi="Times New Roman"/>
          <w:sz w:val="18"/>
          <w:szCs w:val="18"/>
          <w:color w:val="auto"/>
        </w:rPr>
        <w:t>—Fair value is the price that would be received from selling an asset or paid to transfer a liability in an orderly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117" w:lineRule="exact"/>
        <w:rPr>
          <w:sz w:val="20"/>
          <w:szCs w:val="20"/>
          <w:color w:val="auto"/>
        </w:rPr>
      </w:pPr>
    </w:p>
    <w:p>
      <w:pPr>
        <w:ind w:left="620"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Observable inputs other than quoted prices in active markets for identical assets and liabilities,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inactive markets, or other inputs that are observable or can be corroborated by observable market data for substantially the full term of the assets or liabilities.</w:t>
      </w:r>
    </w:p>
    <w:p>
      <w:pPr>
        <w:spacing w:after="0" w:line="65" w:lineRule="exact"/>
        <w:rPr>
          <w:sz w:val="20"/>
          <w:szCs w:val="20"/>
          <w:color w:val="auto"/>
        </w:rPr>
      </w:pPr>
    </w:p>
    <w:p>
      <w:pPr>
        <w:ind w:left="620"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Inputs that are generally unobservable and typically reflect management’s estimate of assumptions that market participants would use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the asset or liability.</w:t>
      </w:r>
    </w:p>
    <w:p>
      <w:pPr>
        <w:spacing w:after="0" w:line="48" w:lineRule="exact"/>
        <w:rPr>
          <w:sz w:val="20"/>
          <w:szCs w:val="20"/>
          <w:color w:val="auto"/>
        </w:rPr>
      </w:pPr>
    </w:p>
    <w:p>
      <w:pPr>
        <w:ind w:right="60" w:firstLine="60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Segment Reporting</w:t>
      </w:r>
      <w:r>
        <w:rPr>
          <w:rFonts w:ascii="Times New Roman" w:cs="Times New Roman" w:eastAsia="Times New Roman" w:hAnsi="Times New Roman"/>
          <w:sz w:val="18"/>
          <w:szCs w:val="18"/>
          <w:color w:val="auto"/>
        </w:rPr>
        <w:t>—Advertising is the principal business activity of the Company and is the Company’s only operating and reportable segment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requirements of ASC 280—</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The Company’s chief executive officer is the chief operating decision maker who reviews financial information on a consolidated basis for purposes of allocating resources and evaluating financial performance. The accounting policies of the one operating and reportable segment are the same as those described in the summary of significant accounting policies. All segment revenues related to services performed within the United States. The Company’s segment assets are generated and domiciled within the United States.</w:t>
      </w:r>
    </w:p>
    <w:p>
      <w:pPr>
        <w:spacing w:after="0" w:line="75" w:lineRule="exact"/>
        <w:rPr>
          <w:sz w:val="20"/>
          <w:szCs w:val="20"/>
          <w:color w:val="auto"/>
        </w:rPr>
      </w:pPr>
    </w:p>
    <w:p>
      <w:pPr>
        <w:ind w:firstLine="608"/>
        <w:spacing w:after="0" w:line="254" w:lineRule="auto"/>
        <w:rPr>
          <w:sz w:val="20"/>
          <w:szCs w:val="20"/>
          <w:color w:val="auto"/>
        </w:rPr>
      </w:pPr>
      <w:r>
        <w:rPr>
          <w:rFonts w:ascii="Times New Roman" w:cs="Times New Roman" w:eastAsia="Times New Roman" w:hAnsi="Times New Roman"/>
          <w:sz w:val="18"/>
          <w:szCs w:val="18"/>
          <w:color w:val="auto"/>
        </w:rPr>
        <w:t>The chief operating decision maker assesses performance for the one operating and reportable segment and decides how to allocate resources using consolidated net (loss) income, as presented on the Consolidated Statement of Operations as ‘Consolidated net (loss) income’, among other measures. Consolidated net (loss) income is presented herein as the primary measure as it most closely aligns with US GAAP. The chief operating decision maker uses consolidated net (loss) income to decide whether to utilize profits to invest in the Company or to recommend actions to the Board of Directors such as stock repurchases or future dividends. Consolidated net (loss) income is also utilized to monitor actual results as compared to budgeted expectations to assess the performance of the one operating and reportable segment and in establishing management’s compensation. The Company’s significant segment expenses are consistent with the operating expense financial statement line items as presented within the Consolidated Statement of Operations. The Company’s other segment items are consistent with the non-operating income and expense financial statement line items as presented within the Consolidated Statement of Operations.</w:t>
      </w:r>
    </w:p>
    <w:p>
      <w:pPr>
        <w:spacing w:after="0" w:line="80" w:lineRule="exact"/>
        <w:rPr>
          <w:sz w:val="20"/>
          <w:szCs w:val="20"/>
          <w:color w:val="auto"/>
        </w:rPr>
      </w:pPr>
    </w:p>
    <w:p>
      <w:pPr>
        <w:ind w:right="60" w:firstLine="608"/>
        <w:spacing w:after="0" w:line="266" w:lineRule="auto"/>
        <w:rPr>
          <w:sz w:val="20"/>
          <w:szCs w:val="20"/>
          <w:color w:val="auto"/>
        </w:rPr>
      </w:pPr>
      <w:r>
        <w:rPr>
          <w:rFonts w:ascii="Times New Roman" w:cs="Times New Roman" w:eastAsia="Times New Roman" w:hAnsi="Times New Roman"/>
          <w:sz w:val="18"/>
          <w:szCs w:val="18"/>
          <w:color w:val="auto"/>
        </w:rPr>
        <w:t>The measure of segment assets used to allocate resources is total assets as reported on the Consolidated Balance Sheets, inclusive of cash and cash equivalents as well as accounts receivable as reported on the Consolidated Balance Sheets as ‘Cash and cash equivalents’ and ‘Receivables, net of allowance’, respectively.</w:t>
      </w:r>
    </w:p>
    <w:p>
      <w:pPr>
        <w:spacing w:after="0" w:line="64" w:lineRule="exact"/>
        <w:rPr>
          <w:sz w:val="20"/>
          <w:szCs w:val="20"/>
          <w:color w:val="auto"/>
        </w:rPr>
      </w:pPr>
    </w:p>
    <w:p>
      <w:pPr>
        <w:ind w:right="60" w:firstLine="60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Capital Expenditures</w:t>
      </w:r>
      <w:r>
        <w:rPr>
          <w:rFonts w:ascii="Times New Roman" w:cs="Times New Roman" w:eastAsia="Times New Roman" w:hAnsi="Times New Roman"/>
          <w:sz w:val="18"/>
          <w:szCs w:val="18"/>
          <w:color w:val="auto"/>
        </w:rPr>
        <w:t>—Capital expenditures include digital applications being developed primarily by the Company’s programmers and outside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consultants, capitalized software development or upgrades for the Company’s Digital Content Software, audience targeting and data management systems, cinema advertising management system, equipment required for the Company’s Customer Experience Center and content production and post-production facilities, office leasehold improvements, desktop equipment for use by employees, and in certain cases, the costs necessary to install equipment at or digitize all or a portion of a network affiliate’s theaters when they are added to the Company’s network. Capital expenditures for the year ended December 26, 2024 were $5.8 million compared to $3.3 million for the year ended December 28, 2023.</w:t>
      </w:r>
    </w:p>
    <w:p>
      <w:pPr>
        <w:spacing w:after="0" w:line="74" w:lineRule="exact"/>
        <w:rPr>
          <w:sz w:val="20"/>
          <w:szCs w:val="20"/>
          <w:color w:val="auto"/>
        </w:rPr>
      </w:pPr>
    </w:p>
    <w:p>
      <w:pPr>
        <w:ind w:right="120" w:firstLine="60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Consolidation</w:t>
      </w:r>
      <w:r>
        <w:rPr>
          <w:rFonts w:ascii="Times New Roman" w:cs="Times New Roman" w:eastAsia="Times New Roman" w:hAnsi="Times New Roman"/>
          <w:sz w:val="18"/>
          <w:szCs w:val="18"/>
          <w:color w:val="auto"/>
        </w:rPr>
        <w:t>—NCM, Inc. consolidates the accounts of NCM LLC under the provisions of ASC 810—</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(“ASC 810”).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Standards Update 2015-2, Consolidation (Topic 810): Amendments to the Consolidation Analysis (“ASU 2015-2”), a limited partnership is a variable interest entity unless a simple majority or lower threshold of all limited partners unrelated to the general partner have kick-out or participating rights. The non-managing members of NCM LLC do not have dissolution rights or removal rights. NCM, Inc. has evaluated the provisions of the NCM LLC membership agreement and has concluded that the various rights of the non-managing members are not substantive participating rights under ASC 810, as they do not limit NCM, Inc.’s ability to make decisions in the ordinary course of business. The Company concluded that NCM LLC is a variable interest entity and determined that NCM, Inc. should consolidate the accounts of NCM LLC pursuant to ASU 2015-2 because 1) it has the power to direct the activities of NCM LLC in its role as managing member and 2) NCM, Inc. has the obligation to absorb losses of, or the right to receive benefits from NCM LLC, that could potentially be significant provided its 100.0% ownership in NCM LLC. Upon NCM LLC’s emergence from bankruptcy, it was determined that NCM, Inc. continues to hold the current rights that give it power to direct activities of NCM LLC that most significantly impact NCM LLC’s economic performance and that NCM, Inc. continues to have the rights to receive the significant benefits or the obligations to absorb potentially significant losses, resulting in NCM, Inc. having a controlling financial interest in NCM LLC. As a result, NCM, Inc. was deemed to be the primary beneficiary of NCM LLC and the Company has consolidated NCM LLC under the variable interest entity provisions of ASC 810—</w:t>
      </w:r>
      <w:r>
        <w:rPr>
          <w:rFonts w:ascii="Times New Roman" w:cs="Times New Roman" w:eastAsia="Times New Roman" w:hAnsi="Times New Roman"/>
          <w:sz w:val="18"/>
          <w:szCs w:val="18"/>
          <w:i w:val="1"/>
          <w:iCs w:val="1"/>
          <w:color w:val="auto"/>
        </w:rPr>
        <w:t>Consolidation.</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ind w:right="540" w:firstLine="60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NCM, Inc.’s equity resulting from net income attributable to NCM, Inc. and transfers to or from noncontrolling interests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December 26, 2024</w:t>
            </w: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2023</w:t>
            </w: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NCM, Inc.</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705.2</w:t>
            </w: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NCM LLC equity issued for purchase of intangible asset</w:t>
            </w:r>
          </w:p>
        </w:tc>
        <w:tc>
          <w:tcPr>
            <w:tcW w:w="160" w:type="dxa"/>
            <w:vAlign w:val="bottom"/>
          </w:tcPr>
          <w:p>
            <w:pPr>
              <w:spacing w:after="0"/>
              <w:rPr>
                <w:sz w:val="18"/>
                <w:szCs w:val="18"/>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and other impacts of NCM LLC ownership changes</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redemption of NCM LLC common membership units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NCM, Inc. investment in NCM LLC</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shares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241.3</w:t>
            </w:r>
          </w:p>
        </w:tc>
        <w:tc>
          <w:tcPr>
            <w:tcW w:w="0" w:type="dxa"/>
            <w:vAlign w:val="bottom"/>
          </w:tcPr>
          <w:p>
            <w:pPr>
              <w:spacing w:after="0"/>
              <w:rPr>
                <w:sz w:val="1"/>
                <w:szCs w:val="1"/>
                <w:color w:val="auto"/>
              </w:rPr>
            </w:pPr>
          </w:p>
        </w:tc>
      </w:tr>
      <w:tr>
        <w:trPr>
          <w:trHeight w:val="191"/>
        </w:trPr>
        <w:tc>
          <w:tcPr>
            <w:tcW w:w="770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Change from net (loss) income attributable to NCM, Inc. and transfers from</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360" w:type="dxa"/>
            <w:vAlign w:val="bottom"/>
            <w:vMerge w:val="restart"/>
            <w:shd w:val="clear" w:color="auto" w:fill="CFF0FC"/>
          </w:tcPr>
          <w:p>
            <w:pPr>
              <w:spacing w:after="0"/>
              <w:rPr>
                <w:sz w:val="16"/>
                <w:szCs w:val="16"/>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977.5</w:t>
            </w:r>
          </w:p>
        </w:tc>
        <w:tc>
          <w:tcPr>
            <w:tcW w:w="0" w:type="dxa"/>
            <w:vAlign w:val="bottom"/>
          </w:tcPr>
          <w:p>
            <w:pPr>
              <w:spacing w:after="0"/>
              <w:rPr>
                <w:sz w:val="1"/>
                <w:szCs w:val="1"/>
                <w:color w:val="auto"/>
              </w:rPr>
            </w:pPr>
          </w:p>
        </w:tc>
      </w:tr>
      <w:tr>
        <w:trPr>
          <w:trHeight w:val="234"/>
        </w:trPr>
        <w:tc>
          <w:tcPr>
            <w:tcW w:w="770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vMerge w:val="continue"/>
            <w:shd w:val="clear" w:color="auto" w:fill="CFF0FC"/>
          </w:tcPr>
          <w:p>
            <w:pPr>
              <w:spacing w:after="0"/>
              <w:rPr>
                <w:sz w:val="20"/>
                <w:szCs w:val="20"/>
                <w:color w:val="auto"/>
              </w:rPr>
            </w:pPr>
          </w:p>
        </w:tc>
        <w:tc>
          <w:tcPr>
            <w:tcW w:w="1500" w:type="dxa"/>
            <w:vAlign w:val="bottom"/>
            <w:tcBorders>
              <w:bottom w:val="single" w:sz="8" w:color="auto"/>
            </w:tcBorders>
            <w:vMerge w:val="continue"/>
            <w:shd w:val="clear" w:color="auto" w:fill="CFF0FC"/>
          </w:tcPr>
          <w:p>
            <w:pPr>
              <w:spacing w:after="0"/>
              <w:rPr>
                <w:sz w:val="20"/>
                <w:szCs w:val="20"/>
                <w:color w:val="auto"/>
              </w:rPr>
            </w:pPr>
          </w:p>
        </w:tc>
        <w:tc>
          <w:tcPr>
            <w:tcW w:w="360" w:type="dxa"/>
            <w:vAlign w:val="bottom"/>
            <w:tcBorders>
              <w:bottom w:val="single" w:sz="8" w:color="CFF0FC"/>
            </w:tcBorders>
            <w:vMerge w:val="continue"/>
            <w:shd w:val="clear" w:color="auto" w:fill="CFF0FC"/>
          </w:tcPr>
          <w:p>
            <w:pPr>
              <w:spacing w:after="0"/>
              <w:rPr>
                <w:sz w:val="20"/>
                <w:szCs w:val="20"/>
                <w:color w:val="auto"/>
              </w:rPr>
            </w:pPr>
          </w:p>
        </w:tc>
        <w:tc>
          <w:tcPr>
            <w:tcW w:w="120" w:type="dxa"/>
            <w:vAlign w:val="bottom"/>
            <w:tcBorders>
              <w:bottom w:val="single" w:sz="8" w:color="auto"/>
            </w:tcBorders>
            <w:vMerge w:val="continue"/>
            <w:shd w:val="clear" w:color="auto" w:fill="CFF0FC"/>
          </w:tcPr>
          <w:p>
            <w:pPr>
              <w:spacing w:after="0"/>
              <w:rPr>
                <w:sz w:val="20"/>
                <w:szCs w:val="20"/>
                <w:color w:val="auto"/>
              </w:rPr>
            </w:pPr>
          </w:p>
        </w:tc>
        <w:tc>
          <w:tcPr>
            <w:tcW w:w="140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-25400</wp:posOffset>
            </wp:positionV>
            <wp:extent cx="22288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22288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20" w:firstLine="608"/>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No. 2023-07, Improvements to Reportable Segment Disclosures (“ASU 2023-07”), which establishes segment disclosure requirements in addition to modifying and eliminating certain existing requirements. Under the new guidance, entities must disclose incremental segment information on an annual and interim basis to enable investors to develop more decision-useful financial analyses. This guidance is effective for issuances over periods beginning on and after December 15, 2023. The Company adopted this standard effective December 26, 2024 and included the necessary incremental disclosures within Note 1</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xml:space="preserve"> surrounding the Company's chief operating decision maker and significant segment measures utilized in their decision making. These additional disclosures did not have a material impact on the Company’s Consolidated Financial Statements.</w:t>
      </w:r>
    </w:p>
    <w:p>
      <w:pPr>
        <w:spacing w:after="0" w:line="81" w:lineRule="exact"/>
        <w:rPr>
          <w:sz w:val="20"/>
          <w:szCs w:val="20"/>
          <w:color w:val="auto"/>
        </w:rPr>
      </w:pPr>
    </w:p>
    <w:p>
      <w:pPr>
        <w:ind w:right="80" w:firstLine="608"/>
        <w:spacing w:after="0" w:line="256" w:lineRule="auto"/>
        <w:rPr>
          <w:sz w:val="20"/>
          <w:szCs w:val="20"/>
          <w:color w:val="auto"/>
        </w:rPr>
      </w:pPr>
      <w:r>
        <w:rPr>
          <w:rFonts w:ascii="Times New Roman" w:cs="Times New Roman" w:eastAsia="Times New Roman" w:hAnsi="Times New Roman"/>
          <w:sz w:val="18"/>
          <w:szCs w:val="18"/>
          <w:color w:val="auto"/>
        </w:rPr>
        <w:t>In January 2024, the FASB issued Accounting Standards Update No. 2023-09, Income Tax Disclosures (“ASU 2023-09”), which establishes new income tax disclosure requirements in addition to modifying and eliminating certain existing requirements. Under the new guidance, entities must consistently categorize and provide greater disaggregation of information in the rate reconciliation. They must also further disaggregate income taxes paid. This guidance is effective for issuances on annual periods beginning on and after December 15, 2024. The Company adopted this standard prospectively effective December 26, 2024 and included incremental disclosures within Note 7</w:t>
      </w:r>
      <w:r>
        <w:rPr>
          <w:rFonts w:ascii="Times New Roman" w:cs="Times New Roman" w:eastAsia="Times New Roman" w:hAnsi="Times New Roman"/>
          <w:sz w:val="18"/>
          <w:szCs w:val="18"/>
          <w:i w:val="1"/>
          <w:iCs w:val="1"/>
          <w:color w:val="auto"/>
        </w:rPr>
        <w:t>— Income Taxes</w:t>
      </w:r>
      <w:r>
        <w:rPr>
          <w:rFonts w:ascii="Times New Roman" w:cs="Times New Roman" w:eastAsia="Times New Roman" w:hAnsi="Times New Roman"/>
          <w:sz w:val="18"/>
          <w:szCs w:val="18"/>
          <w:color w:val="auto"/>
        </w:rPr>
        <w:t>. These additional disclosures did not have a material impact on the Company’s Consolidated Financial Statements.</w:t>
      </w:r>
    </w:p>
    <w:p>
      <w:pPr>
        <w:spacing w:after="0" w:line="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Company did not adopt any other accounting pronouncements during the year ended December 26,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right="80" w:firstLine="608"/>
        <w:spacing w:after="0" w:line="282" w:lineRule="auto"/>
        <w:rPr>
          <w:sz w:val="20"/>
          <w:szCs w:val="20"/>
          <w:color w:val="auto"/>
        </w:rPr>
      </w:pPr>
      <w:r>
        <w:rPr>
          <w:rFonts w:ascii="Times New Roman" w:cs="Times New Roman" w:eastAsia="Times New Roman" w:hAnsi="Times New Roman"/>
          <w:sz w:val="18"/>
          <w:szCs w:val="18"/>
          <w:color w:val="auto"/>
        </w:rPr>
        <w:t>The Company has considered all other recently issued accounting pronouncements and does not believe the adoption of such pronouncements will have a material impact on its Consolidated Financial Statements or notes thereto.</w:t>
      </w:r>
    </w:p>
    <w:p>
      <w:pPr>
        <w:spacing w:after="0" w:line="50" w:lineRule="exact"/>
        <w:rPr>
          <w:sz w:val="20"/>
          <w:szCs w:val="20"/>
          <w:color w:val="auto"/>
        </w:rPr>
      </w:pPr>
    </w:p>
    <w:p>
      <w:pPr>
        <w:ind w:left="840" w:hanging="832"/>
        <w:spacing w:after="0"/>
        <w:tabs>
          <w:tab w:leader="none" w:pos="8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100" w:firstLine="614"/>
        <w:spacing w:after="0" w:line="257" w:lineRule="auto"/>
        <w:rPr>
          <w:sz w:val="20"/>
          <w:szCs w:val="20"/>
          <w:color w:val="auto"/>
        </w:rPr>
      </w:pPr>
      <w:r>
        <w:rPr>
          <w:rFonts w:ascii="Times New Roman" w:cs="Times New Roman" w:eastAsia="Times New Roman" w:hAnsi="Times New Roman"/>
          <w:sz w:val="18"/>
          <w:szCs w:val="18"/>
          <w:color w:val="auto"/>
        </w:rPr>
        <w:t xml:space="preserve">The Company derives revenue principally from the sale of advertising to national, regional and local businesses in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our cinema advertising and entertainment show seen on movie screens across the U.S., as well as on our LEN, a series of strategically-placed screens located in movie theater lobbies, as well as other forms of advertising, promotions and experiences in theater lobbies. In addition, the Company sells data and digital advertising, including through NCM Boost and NCM's digital gaming products which can be played on the mobile app and through partnerships with certain internet platforms. Further the Company sells advertising in a variety of complementary out of home venues. The Company also has a long-term agreement to exhibit the advertising of the ESA Parties’ beverage suppliers.</w:t>
      </w:r>
    </w:p>
    <w:p>
      <w:pPr>
        <w:spacing w:after="0" w:line="76" w:lineRule="exact"/>
        <w:rPr>
          <w:sz w:val="20"/>
          <w:szCs w:val="20"/>
          <w:color w:val="auto"/>
        </w:rPr>
      </w:pPr>
    </w:p>
    <w:p>
      <w:pPr>
        <w:ind w:firstLine="614"/>
        <w:spacing w:after="0" w:line="254" w:lineRule="auto"/>
        <w:rPr>
          <w:sz w:val="20"/>
          <w:szCs w:val="20"/>
          <w:color w:val="auto"/>
        </w:rPr>
      </w:pPr>
      <w:r>
        <w:rPr>
          <w:rFonts w:ascii="Times New Roman" w:cs="Times New Roman" w:eastAsia="Times New Roman" w:hAnsi="Times New Roman"/>
          <w:sz w:val="18"/>
          <w:szCs w:val="18"/>
          <w:color w:val="auto"/>
        </w:rPr>
        <w:t xml:space="preserve">National and regional advertising, including advertising under the beverage concessionaire and courtesy PSA agreements, are sold on a CPM basis. The Company predominantly recognizes national and regional advertising over time as impressions (or theater attendees) are delivered. National advertising is also sold to content partners. The content partners provide the Company with original entertainment content segments, typically 90 seconds in length, that are entertaining, informative or educational in nature in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and they make commitments to buy a portion of the Company’s advertising inventory at a specified CPM. The Company recognizes revenue for the content segments ratably over time as the content segments air. Local advertising is sold on a per-screen, per-week basis and to a lesser extent on a CPM basis. The Company recognizes local on-screen advertising revenue over the period in which the advertising airs as dictated by the underlying sales contracts. When sold separately, LEN advertising and lobby promotions are sold based on length and breadth of the promotion. The Company recognizes revenue derived from lobby network and promotions over time when the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advertising is displayed in theater lobbies. The Company sells data and digital advertising on a CPM basis as well. The Company recognizes revenue from branded entertainment websites and mobile applications over time as the data or digital impressions are served. This revenue for these products is presented within National and Local and regional advertising below.</w:t>
      </w:r>
    </w:p>
    <w:p>
      <w:pPr>
        <w:spacing w:after="0" w:line="68" w:lineRule="exact"/>
        <w:rPr>
          <w:sz w:val="20"/>
          <w:szCs w:val="20"/>
          <w:color w:val="auto"/>
        </w:rPr>
      </w:pPr>
    </w:p>
    <w:p>
      <w:pPr>
        <w:ind w:right="40" w:firstLine="614"/>
        <w:spacing w:after="0" w:line="258" w:lineRule="auto"/>
        <w:rPr>
          <w:sz w:val="20"/>
          <w:szCs w:val="20"/>
          <w:color w:val="auto"/>
        </w:rPr>
      </w:pPr>
      <w:r>
        <w:rPr>
          <w:rFonts w:ascii="Times New Roman" w:cs="Times New Roman" w:eastAsia="Times New Roman" w:hAnsi="Times New Roman"/>
          <w:sz w:val="18"/>
          <w:szCs w:val="18"/>
          <w:color w:val="auto"/>
        </w:rPr>
        <w:t>Customer contracts may also include multiple advertising services to reach the moviegoer at multiple points during a theater experience. The Company considers each of these advertising services to represent distinct performance obligations of the contract and allocates a portion of the transaction price to each service based upon the standalone selling price of the service. When standalone selling prices are not readily observable, the Company allocates the transaction price based upon all information that is reasonably available and maximizes the use of observable inputs. Methods utilized include the adjusted market and expected cost-plus margin approaches.</w:t>
      </w:r>
    </w:p>
    <w:p>
      <w:pPr>
        <w:spacing w:after="0" w:line="75" w:lineRule="exact"/>
        <w:rPr>
          <w:sz w:val="20"/>
          <w:szCs w:val="20"/>
          <w:color w:val="auto"/>
        </w:rPr>
      </w:pPr>
    </w:p>
    <w:p>
      <w:pPr>
        <w:ind w:right="60" w:firstLine="614"/>
        <w:spacing w:after="0" w:line="254" w:lineRule="auto"/>
        <w:rPr>
          <w:sz w:val="20"/>
          <w:szCs w:val="20"/>
          <w:color w:val="auto"/>
        </w:rPr>
      </w:pPr>
      <w:r>
        <w:rPr>
          <w:rFonts w:ascii="Times New Roman" w:cs="Times New Roman" w:eastAsia="Times New Roman" w:hAnsi="Times New Roman"/>
          <w:sz w:val="18"/>
          <w:szCs w:val="18"/>
          <w:color w:val="auto"/>
        </w:rPr>
        <w:t>The Company enters into barter transactions that exchange advertising program time for products and services used principally for selling and marketing activities, as well as for equity interests. The Company records barter transactions at the estimated fair value of the products and services received if that can be reasonably estimated. If the fair value of the products and services received cannot be reasonably estimated, the Company utilizes the stand-alone selling price of the advertising services in the underlying contract. Revenue for advertising barter transactions is recognized when advertising is provided, and products and services received are charged to expense when used or investments as received, as applicable. Revenue from barter transactions for the years ended December 26, 2024 and December 28, 2023 was $0.5 million and $0.1 million, respectively. Expense recorded from barter transactions for the years ended December 26, 2024 and December 28, 2023 was $0.3 million and $0.1 million, respectively. This expense is included within “Selling and marketing costs” on the audited Consolidated Statements of Operations.</w:t>
      </w:r>
    </w:p>
    <w:p>
      <w:pPr>
        <w:spacing w:after="0" w:line="84" w:lineRule="exact"/>
        <w:rPr>
          <w:sz w:val="20"/>
          <w:szCs w:val="20"/>
          <w:color w:val="auto"/>
        </w:rPr>
      </w:pPr>
    </w:p>
    <w:p>
      <w:pPr>
        <w:ind w:right="40" w:firstLine="614"/>
        <w:spacing w:after="0" w:line="258" w:lineRule="auto"/>
        <w:rPr>
          <w:sz w:val="20"/>
          <w:szCs w:val="20"/>
          <w:color w:val="auto"/>
        </w:rPr>
      </w:pPr>
      <w:r>
        <w:rPr>
          <w:rFonts w:ascii="Times New Roman" w:cs="Times New Roman" w:eastAsia="Times New Roman" w:hAnsi="Times New Roman"/>
          <w:sz w:val="18"/>
          <w:szCs w:val="18"/>
          <w:color w:val="auto"/>
        </w:rPr>
        <w:t>The Company recognizes revenue as the performance obligation for the advertising services is satisfied. Invoices are generated following the processing of each revenue contract and payment is due from the customer within 30 days of the invoice date. Customers select to pay the invoice in full at the start of a contract or through mutually agreed upon installments over the course of the contract. The Company records deferred revenue when cash payments are received, or invoices are issued, in advance of revenue being earned. Deferred revenue is classified as a current liability as it is expected to be earned within the next twelve months.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jc w:val="both"/>
        <w:ind w:right="100" w:firstLine="608"/>
        <w:spacing w:after="0" w:line="266" w:lineRule="auto"/>
        <w:rPr>
          <w:sz w:val="20"/>
          <w:szCs w:val="20"/>
          <w:color w:val="auto"/>
        </w:rPr>
      </w:pPr>
      <w:r>
        <w:rPr>
          <w:rFonts w:ascii="Times New Roman" w:cs="Times New Roman" w:eastAsia="Times New Roman" w:hAnsi="Times New Roman"/>
          <w:sz w:val="18"/>
          <w:szCs w:val="18"/>
          <w:color w:val="auto"/>
        </w:rPr>
        <w:t>The Company disaggregates revenue based upon the type of customer: national; local and regional; beverage concessionaire; and management fee reimbursement revenue related to NCM LLC. This method of disaggregation is in alignment with how revenue is reviewed by management and discussed with and historically disclosed to investors.</w:t>
      </w:r>
    </w:p>
    <w:p>
      <w:pPr>
        <w:spacing w:after="0" w:line="68" w:lineRule="exact"/>
        <w:rPr>
          <w:sz w:val="20"/>
          <w:szCs w:val="20"/>
          <w:color w:val="auto"/>
        </w:rPr>
      </w:pPr>
    </w:p>
    <w:p>
      <w:pPr>
        <w:ind w:right="580" w:firstLine="608"/>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 from contracts with customers for the years ended December 26, 2024 and December 28, 2023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4"/>
          </w:tcPr>
          <w:p>
            <w:pPr>
              <w:jc w:val="right"/>
              <w:ind w:right="1353"/>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142"/>
        </w:trPr>
        <w:tc>
          <w:tcPr>
            <w:tcW w:w="7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December 26, 2024</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2023</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National advertising 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188.0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114.8</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and regional advertising revenue</w:t>
            </w:r>
          </w:p>
        </w:tc>
        <w:tc>
          <w:tcPr>
            <w:tcW w:w="140" w:type="dxa"/>
            <w:vAlign w:val="bottom"/>
          </w:tcPr>
          <w:p>
            <w:pPr>
              <w:spacing w:after="0"/>
              <w:rPr>
                <w:sz w:val="18"/>
                <w:szCs w:val="18"/>
                <w:color w:val="auto"/>
              </w:rPr>
            </w:pPr>
          </w:p>
        </w:tc>
        <w:tc>
          <w:tcPr>
            <w:tcW w:w="15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ESA advertising revenue from beverage concessionaire agreements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 reimbursement</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10.1</w:t>
            </w: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240.8</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Unbilled Accounts Receivable</w:t>
      </w:r>
    </w:p>
    <w:p>
      <w:pPr>
        <w:spacing w:after="0" w:line="121" w:lineRule="exact"/>
        <w:rPr>
          <w:sz w:val="20"/>
          <w:szCs w:val="20"/>
          <w:color w:val="auto"/>
        </w:rPr>
      </w:pPr>
    </w:p>
    <w:p>
      <w:pPr>
        <w:ind w:right="160" w:firstLine="608"/>
        <w:spacing w:after="0" w:line="258" w:lineRule="auto"/>
        <w:rPr>
          <w:sz w:val="20"/>
          <w:szCs w:val="20"/>
          <w:color w:val="auto"/>
        </w:rPr>
      </w:pPr>
      <w:r>
        <w:rPr>
          <w:rFonts w:ascii="Times New Roman" w:cs="Times New Roman" w:eastAsia="Times New Roman" w:hAnsi="Times New Roman"/>
          <w:sz w:val="18"/>
          <w:szCs w:val="18"/>
          <w:color w:val="auto"/>
        </w:rPr>
        <w:t>Revenue recognized in the year ended December 26, 2024 that was included within the Deferred Revenue balance as of December 28, 2023 was $9.8 million. Revenue recognized in the year ended December 28, 2023 that was included within the Deferred Revenue balance as of December 29, 2022 was $8.6 million. Unbilled accounts receivable is classified as a current asset as it is expected to be billed within the next twelve months. As of December 26, 2024 and December 28, 2023, the Company had $2.5 million and $0.8 million, respectively, in unbilled accounts receivable, included within the accounts receivable balance.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Practical Expedients and Exemptions</w:t>
      </w:r>
    </w:p>
    <w:p>
      <w:pPr>
        <w:spacing w:after="0" w:line="121" w:lineRule="exact"/>
        <w:rPr>
          <w:sz w:val="20"/>
          <w:szCs w:val="20"/>
          <w:color w:val="auto"/>
        </w:rPr>
      </w:pPr>
    </w:p>
    <w:p>
      <w:pPr>
        <w:ind w:right="440" w:firstLine="614"/>
        <w:spacing w:after="0" w:line="266" w:lineRule="auto"/>
        <w:rPr>
          <w:sz w:val="20"/>
          <w:szCs w:val="20"/>
          <w:color w:val="auto"/>
        </w:rPr>
      </w:pPr>
      <w:r>
        <w:rPr>
          <w:rFonts w:ascii="Times New Roman" w:cs="Times New Roman" w:eastAsia="Times New Roman" w:hAnsi="Times New Roman"/>
          <w:sz w:val="18"/>
          <w:szCs w:val="18"/>
          <w:color w:val="auto"/>
        </w:rPr>
        <w:t>The Company does not have any significant contracts with terms in excess of one year that are noncancellable as of December 26, 2024. Agreements with a duration less than one year are not disclosed as the Company elected to use the practical expedient in ASC 606-10-50-14 for those contracts. In addition, the Company’s contracts longer than one year that are cancellable are not included within this disclosure.</w:t>
      </w:r>
    </w:p>
    <w:p>
      <w:pPr>
        <w:spacing w:after="0" w:line="68" w:lineRule="exact"/>
        <w:rPr>
          <w:sz w:val="20"/>
          <w:szCs w:val="20"/>
          <w:color w:val="auto"/>
        </w:rPr>
      </w:pPr>
    </w:p>
    <w:p>
      <w:pPr>
        <w:ind w:right="240" w:firstLine="608"/>
        <w:spacing w:after="0" w:line="282" w:lineRule="auto"/>
        <w:rPr>
          <w:sz w:val="20"/>
          <w:szCs w:val="20"/>
          <w:color w:val="auto"/>
        </w:rPr>
      </w:pPr>
      <w:r>
        <w:rPr>
          <w:rFonts w:ascii="Times New Roman" w:cs="Times New Roman" w:eastAsia="Times New Roman" w:hAnsi="Times New Roman"/>
          <w:sz w:val="18"/>
          <w:szCs w:val="18"/>
          <w:color w:val="auto"/>
        </w:rPr>
        <w:t>The Company expenses sales commissions when incurred as the amortization period would have been one year or less. These costs are recorded within “Selling and marketing costs” in the audited Consolidated Statements of Operations. In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addition, the Company does not disclose the value of unsatisfied performance obligations for contracts with an original expected length of one year or less. The Company also does not adjust the transaction price for the effects of a significant financing component, as the Company expects, at contract inception, that the period between when the Company performs services and when the customer pays for the Company's service will be one year or less.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21" w:lineRule="exact"/>
        <w:rPr>
          <w:sz w:val="20"/>
          <w:szCs w:val="20"/>
          <w:color w:val="auto"/>
        </w:rPr>
      </w:pPr>
    </w:p>
    <w:p>
      <w:pPr>
        <w:ind w:right="180" w:firstLine="608"/>
        <w:spacing w:after="0" w:line="266" w:lineRule="auto"/>
        <w:rPr>
          <w:sz w:val="20"/>
          <w:szCs w:val="20"/>
          <w:color w:val="auto"/>
        </w:rPr>
      </w:pPr>
      <w:r>
        <w:rPr>
          <w:rFonts w:ascii="Times New Roman" w:cs="Times New Roman" w:eastAsia="Times New Roman" w:hAnsi="Times New Roman"/>
          <w:sz w:val="18"/>
          <w:szCs w:val="18"/>
          <w:color w:val="auto"/>
        </w:rPr>
        <w:t>The allowance for credit losses balance is determined separately for each pool of the Company's receivables with similar risk characteristics. The Company has determined that two pools, national customers and local/ regional customers, is appropriate. The changes within the allowance for credit losses balances for the years ended December 26, 2024 and December 28, 2023 were as follows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42"/>
        </w:trPr>
        <w:tc>
          <w:tcPr>
            <w:tcW w:w="49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900" w:type="dxa"/>
            <w:vAlign w:val="bottom"/>
            <w:tcBorders>
              <w:bottom w:val="single" w:sz="8" w:color="auto"/>
            </w:tcBorders>
            <w:gridSpan w:val="4"/>
          </w:tcPr>
          <w:p>
            <w:pPr>
              <w:jc w:val="right"/>
              <w:ind w:right="921"/>
              <w:spacing w:after="0" w:line="142" w:lineRule="exact"/>
              <w:rPr>
                <w:sz w:val="20"/>
                <w:szCs w:val="20"/>
                <w:color w:val="auto"/>
              </w:rPr>
            </w:pPr>
            <w:r>
              <w:rPr>
                <w:rFonts w:ascii="Times New Roman" w:cs="Times New Roman" w:eastAsia="Times New Roman" w:hAnsi="Times New Roman"/>
                <w:sz w:val="14"/>
                <w:szCs w:val="14"/>
                <w:b w:val="1"/>
                <w:bCs w:val="1"/>
                <w:color w:val="auto"/>
              </w:rPr>
              <w:t>December 26, 2024</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4"/>
          </w:tcPr>
          <w:p>
            <w:pPr>
              <w:jc w:val="right"/>
              <w:ind w:right="960"/>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2023</w:t>
            </w:r>
          </w:p>
        </w:tc>
      </w:tr>
      <w:tr>
        <w:trPr>
          <w:trHeight w:val="117"/>
        </w:trPr>
        <w:tc>
          <w:tcPr>
            <w:tcW w:w="4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jc w:val="center"/>
              <w:ind w:right="181"/>
              <w:spacing w:after="0" w:line="118" w:lineRule="exact"/>
              <w:rPr>
                <w:sz w:val="20"/>
                <w:szCs w:val="20"/>
                <w:color w:val="auto"/>
              </w:rPr>
            </w:pPr>
            <w:r>
              <w:rPr>
                <w:rFonts w:ascii="Times New Roman" w:cs="Times New Roman" w:eastAsia="Times New Roman" w:hAnsi="Times New Roman"/>
                <w:sz w:val="13"/>
                <w:szCs w:val="13"/>
                <w:b w:val="1"/>
                <w:bCs w:val="1"/>
                <w:color w:val="auto"/>
              </w:rPr>
              <w:t>Allowance for</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jc w:val="center"/>
              <w:ind w:right="181"/>
              <w:spacing w:after="0" w:line="118" w:lineRule="exact"/>
              <w:rPr>
                <w:sz w:val="20"/>
                <w:szCs w:val="20"/>
                <w:color w:val="auto"/>
              </w:rPr>
            </w:pPr>
            <w:r>
              <w:rPr>
                <w:rFonts w:ascii="Times New Roman" w:cs="Times New Roman" w:eastAsia="Times New Roman" w:hAnsi="Times New Roman"/>
                <w:sz w:val="13"/>
                <w:szCs w:val="13"/>
                <w:b w:val="1"/>
                <w:bCs w:val="1"/>
                <w:color w:val="auto"/>
              </w:rPr>
              <w:t>Allowance for</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jc w:val="center"/>
              <w:ind w:right="221"/>
              <w:spacing w:after="0" w:line="118" w:lineRule="exact"/>
              <w:rPr>
                <w:sz w:val="20"/>
                <w:szCs w:val="20"/>
                <w:color w:val="auto"/>
              </w:rPr>
            </w:pPr>
            <w:r>
              <w:rPr>
                <w:rFonts w:ascii="Times New Roman" w:cs="Times New Roman" w:eastAsia="Times New Roman" w:hAnsi="Times New Roman"/>
                <w:sz w:val="13"/>
                <w:szCs w:val="13"/>
                <w:b w:val="1"/>
                <w:bCs w:val="1"/>
                <w:color w:val="auto"/>
              </w:rPr>
              <w:t>Allowance for</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Allowance for</w:t>
            </w:r>
          </w:p>
        </w:tc>
      </w:tr>
      <w:tr>
        <w:trPr>
          <w:trHeight w:val="148"/>
        </w:trPr>
        <w:tc>
          <w:tcPr>
            <w:tcW w:w="4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National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Local/ Regional</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National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Local/ Regional</w:t>
            </w:r>
          </w:p>
        </w:tc>
      </w:tr>
      <w:tr>
        <w:trPr>
          <w:trHeight w:val="148"/>
        </w:trPr>
        <w:tc>
          <w:tcPr>
            <w:tcW w:w="4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Customer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Customer</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Customer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Customer</w:t>
            </w:r>
          </w:p>
        </w:tc>
      </w:tr>
      <w:tr>
        <w:trPr>
          <w:trHeight w:val="173"/>
        </w:trPr>
        <w:tc>
          <w:tcPr>
            <w:tcW w:w="49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Receivables</w:t>
            </w:r>
          </w:p>
        </w:tc>
      </w:tr>
      <w:tr>
        <w:trPr>
          <w:trHeight w:val="20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80" w:type="dxa"/>
            <w:vAlign w:val="bottom"/>
          </w:tcPr>
          <w:p>
            <w:pPr>
              <w:spacing w:after="0"/>
              <w:rPr>
                <w:sz w:val="18"/>
                <w:szCs w:val="18"/>
                <w:color w:val="auto"/>
              </w:rPr>
            </w:pP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4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0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4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-170815</wp:posOffset>
            </wp:positionV>
            <wp:extent cx="946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-170815</wp:posOffset>
            </wp:positionV>
            <wp:extent cx="939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939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9" w:lineRule="exact"/>
        <w:rPr>
          <w:sz w:val="20"/>
          <w:szCs w:val="20"/>
          <w:color w:val="auto"/>
        </w:rPr>
      </w:pPr>
    </w:p>
    <w:p>
      <w:pPr>
        <w:ind w:left="840" w:hanging="832"/>
        <w:spacing w:after="0"/>
        <w:tabs>
          <w:tab w:leader="none" w:pos="8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INCOME PER SHARE</w:t>
      </w:r>
    </w:p>
    <w:p>
      <w:pPr>
        <w:spacing w:after="0" w:line="121" w:lineRule="exact"/>
        <w:rPr>
          <w:sz w:val="20"/>
          <w:szCs w:val="20"/>
          <w:color w:val="auto"/>
        </w:rPr>
      </w:pPr>
    </w:p>
    <w:p>
      <w:pPr>
        <w:ind w:right="40" w:firstLine="614"/>
        <w:spacing w:after="0" w:line="261" w:lineRule="auto"/>
        <w:rPr>
          <w:sz w:val="20"/>
          <w:szCs w:val="20"/>
          <w:color w:val="auto"/>
        </w:rPr>
      </w:pPr>
      <w:r>
        <w:rPr>
          <w:rFonts w:ascii="Times New Roman" w:cs="Times New Roman" w:eastAsia="Times New Roman" w:hAnsi="Times New Roman"/>
          <w:sz w:val="18"/>
          <w:szCs w:val="18"/>
          <w:color w:val="auto"/>
        </w:rPr>
        <w:t>Basic income (loss) per share is computed on the basis of the weighted average number of common shares outstanding. Diluted income (loss) per share is computed on the basis of the weighted average number of common shares outstanding plus the effect of potentially dilutive common stock options, restricted stock and exchangeable NCM LLC common units using the treasury stock method. The components of basic and diluted income (loss) per NCM, Inc. share are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4"/>
          </w:tcPr>
          <w:p>
            <w:pPr>
              <w:jc w:val="right"/>
              <w:ind w:right="1333"/>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December 26, 2024</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2023</w:t>
            </w:r>
          </w:p>
        </w:tc>
        <w:tc>
          <w:tcPr>
            <w:tcW w:w="0" w:type="dxa"/>
            <w:vAlign w:val="bottom"/>
          </w:tcPr>
          <w:p>
            <w:pPr>
              <w:spacing w:after="0"/>
              <w:rPr>
                <w:sz w:val="1"/>
                <w:szCs w:val="1"/>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NCM, Inc. (in millions)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705.2</w:t>
            </w:r>
          </w:p>
        </w:tc>
        <w:tc>
          <w:tcPr>
            <w:tcW w:w="0" w:type="dxa"/>
            <w:vAlign w:val="bottom"/>
          </w:tcPr>
          <w:p>
            <w:pPr>
              <w:spacing w:after="0"/>
              <w:rPr>
                <w:sz w:val="1"/>
                <w:szCs w:val="1"/>
                <w:color w:val="auto"/>
              </w:rPr>
            </w:pPr>
          </w:p>
        </w:tc>
      </w:tr>
      <w:tr>
        <w:trPr>
          <w:trHeight w:val="197"/>
        </w:trPr>
        <w:tc>
          <w:tcPr>
            <w:tcW w:w="77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95,865,998</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47,882,944</w:t>
            </w:r>
          </w:p>
        </w:tc>
        <w:tc>
          <w:tcPr>
            <w:tcW w:w="0" w:type="dxa"/>
            <w:vAlign w:val="bottom"/>
          </w:tcPr>
          <w:p>
            <w:pPr>
              <w:spacing w:after="0"/>
              <w:rPr>
                <w:sz w:val="1"/>
                <w:szCs w:val="1"/>
                <w:color w:val="auto"/>
              </w:rPr>
            </w:pPr>
          </w:p>
        </w:tc>
      </w:tr>
      <w:tr>
        <w:trPr>
          <w:trHeight w:val="198"/>
        </w:trPr>
        <w:tc>
          <w:tcPr>
            <w:tcW w:w="77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Add: Dilutive effect of stock options, restricted stock, and exchangeable NCM</w:t>
            </w:r>
          </w:p>
        </w:tc>
        <w:tc>
          <w:tcPr>
            <w:tcW w:w="140" w:type="dxa"/>
            <w:vAlign w:val="bottom"/>
          </w:tcPr>
          <w:p>
            <w:pPr>
              <w:spacing w:after="0"/>
              <w:rPr>
                <w:sz w:val="17"/>
                <w:szCs w:val="17"/>
                <w:color w:val="auto"/>
              </w:rPr>
            </w:pPr>
          </w:p>
        </w:tc>
        <w:tc>
          <w:tcPr>
            <w:tcW w:w="1540" w:type="dxa"/>
            <w:vAlign w:val="bottom"/>
            <w:vMerge w:val="restart"/>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691,639</w:t>
            </w:r>
          </w:p>
        </w:tc>
        <w:tc>
          <w:tcPr>
            <w:tcW w:w="0" w:type="dxa"/>
            <w:vAlign w:val="bottom"/>
          </w:tcPr>
          <w:p>
            <w:pPr>
              <w:spacing w:after="0"/>
              <w:rPr>
                <w:sz w:val="1"/>
                <w:szCs w:val="1"/>
                <w:color w:val="auto"/>
              </w:rPr>
            </w:pPr>
          </w:p>
        </w:tc>
      </w:tr>
      <w:tr>
        <w:trPr>
          <w:trHeight w:val="221"/>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LLC common membership units</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95,865,998</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48,574,583</w:t>
            </w:r>
          </w:p>
        </w:tc>
        <w:tc>
          <w:tcPr>
            <w:tcW w:w="0" w:type="dxa"/>
            <w:vAlign w:val="bottom"/>
          </w:tcPr>
          <w:p>
            <w:pPr>
              <w:spacing w:after="0"/>
              <w:rPr>
                <w:sz w:val="1"/>
                <w:szCs w:val="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(Loss) income per NCM, Inc. share:</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(0.23 )</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14.73</w:t>
            </w:r>
          </w:p>
        </w:tc>
        <w:tc>
          <w:tcPr>
            <w:tcW w:w="0" w:type="dxa"/>
            <w:vAlign w:val="bottom"/>
          </w:tcPr>
          <w:p>
            <w:pPr>
              <w:spacing w:after="0"/>
              <w:rPr>
                <w:sz w:val="1"/>
                <w:szCs w:val="1"/>
                <w:color w:val="auto"/>
              </w:rPr>
            </w:pPr>
          </w:p>
        </w:tc>
      </w:tr>
      <w:tr>
        <w:trPr>
          <w:trHeight w:val="23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(0.23 )</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-1159510</wp:posOffset>
            </wp:positionV>
            <wp:extent cx="1117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-1142365</wp:posOffset>
            </wp:positionV>
            <wp:extent cx="1117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-448310</wp:posOffset>
            </wp:positionV>
            <wp:extent cx="1117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-431165</wp:posOffset>
            </wp:positionV>
            <wp:extent cx="1117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65" w:lineRule="exact"/>
        <w:rPr>
          <w:sz w:val="20"/>
          <w:szCs w:val="20"/>
          <w:color w:val="auto"/>
        </w:rPr>
      </w:pPr>
    </w:p>
    <w:p>
      <w:pPr>
        <w:ind w:firstLine="614"/>
        <w:spacing w:after="0" w:line="256" w:lineRule="auto"/>
        <w:rPr>
          <w:sz w:val="20"/>
          <w:szCs w:val="20"/>
          <w:color w:val="auto"/>
        </w:rPr>
      </w:pPr>
      <w:r>
        <w:rPr>
          <w:rFonts w:ascii="Times New Roman" w:cs="Times New Roman" w:eastAsia="Times New Roman" w:hAnsi="Times New Roman"/>
          <w:sz w:val="18"/>
          <w:szCs w:val="18"/>
          <w:color w:val="auto"/>
        </w:rPr>
        <w:t>The effect of the 5,715 weighted average exchangeable NCM LLC common membership units held by the ESA Parties for the year ended December 26, 2024 was excluded from the calculation of diluted weighted average shares and earnings per NCM, Inc. share as it was antidilutive. The weighted average exchangeable NCM LLC common membership units held by the ESA Parties for the year ended December 28, 2023 was 685,404 and are included in diluted weighted average shares. In addition, there were 5,671,341 and 979,176, stock options and non-vested (restricted) shares for the years ended December 26, 2024 and December 28, 2023, respectively, excluded from the calculation as they were antidilutive. The Company’s non-vested (restricted) shares do not meet the definition of a participating security as the dividends will not be paid if the shares do not vest.</w:t>
      </w:r>
    </w:p>
    <w:p>
      <w:pPr>
        <w:spacing w:after="0" w:line="79" w:lineRule="exact"/>
        <w:rPr>
          <w:sz w:val="20"/>
          <w:szCs w:val="20"/>
          <w:color w:val="auto"/>
        </w:rPr>
      </w:pPr>
    </w:p>
    <w:p>
      <w:pPr>
        <w:ind w:right="420" w:firstLine="614"/>
        <w:spacing w:after="0" w:line="261" w:lineRule="auto"/>
        <w:rPr>
          <w:sz w:val="20"/>
          <w:szCs w:val="20"/>
          <w:color w:val="auto"/>
        </w:rPr>
      </w:pPr>
      <w:r>
        <w:rPr>
          <w:rFonts w:ascii="Times New Roman" w:cs="Times New Roman" w:eastAsia="Times New Roman" w:hAnsi="Times New Roman"/>
          <w:sz w:val="18"/>
          <w:szCs w:val="18"/>
          <w:color w:val="auto"/>
        </w:rPr>
        <w:t>On August 3, 2023, the Company effected a one-for-ten (1:10) reverse stock split of its common stock, par value $0.01 per share. The reverse stock split, which was authorized by its Board of Directors, was approved by the Company’s stockholders on August 2, 2023. The reverse stock split reduced the number of outstanding shares of the Company’s common stock from 174,112,385 shares as of August 3, 2023, to 17,411,323 shares outstanding post-split.</w:t>
      </w:r>
    </w:p>
    <w:p>
      <w:pPr>
        <w:spacing w:after="0" w:line="68" w:lineRule="exact"/>
        <w:rPr>
          <w:sz w:val="20"/>
          <w:szCs w:val="20"/>
          <w:color w:val="auto"/>
        </w:rPr>
      </w:pPr>
    </w:p>
    <w:p>
      <w:pPr>
        <w:ind w:left="840" w:hanging="832"/>
        <w:spacing w:after="0"/>
        <w:tabs>
          <w:tab w:leader="none" w:pos="8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following is a summary of property and equipment, at cost less accumulated depreciation (in millions):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20" w:type="dxa"/>
            <w:vAlign w:val="bottom"/>
            <w:tcBorders>
              <w:bottom w:val="single" w:sz="8" w:color="auto"/>
            </w:tcBorders>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December 26, 2024</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2023</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 computer hardware and software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17.0</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Pr>
          <w:p>
            <w:pPr>
              <w:spacing w:after="0"/>
              <w:rPr>
                <w:sz w:val="18"/>
                <w:szCs w:val="18"/>
                <w:color w:val="auto"/>
              </w:rPr>
            </w:pPr>
          </w:p>
        </w:tc>
        <w:tc>
          <w:tcPr>
            <w:tcW w:w="15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0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Pr>
          <w:p>
            <w:pPr>
              <w:spacing w:after="0"/>
              <w:rPr>
                <w:sz w:val="18"/>
                <w:szCs w:val="18"/>
                <w:color w:val="auto"/>
              </w:rPr>
            </w:pPr>
          </w:p>
        </w:tc>
        <w:tc>
          <w:tcPr>
            <w:tcW w:w="15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16.4</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15.8</w:t>
            </w:r>
          </w:p>
        </w:tc>
      </w:tr>
      <w:tr>
        <w:trPr>
          <w:trHeight w:val="20"/>
        </w:trPr>
        <w:tc>
          <w:tcPr>
            <w:tcW w:w="7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-453390</wp:posOffset>
            </wp:positionV>
            <wp:extent cx="1117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1117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79" w:lineRule="exact"/>
        <w:rPr>
          <w:sz w:val="20"/>
          <w:szCs w:val="20"/>
          <w:color w:val="auto"/>
        </w:rPr>
      </w:pPr>
    </w:p>
    <w:p>
      <w:pPr>
        <w:ind w:left="840" w:hanging="832"/>
        <w:spacing w:after="0"/>
        <w:tabs>
          <w:tab w:leader="none" w:pos="8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RECONSOLIDATION OF NCM LLC</w:t>
      </w:r>
    </w:p>
    <w:p>
      <w:pPr>
        <w:spacing w:after="0" w:line="121" w:lineRule="exact"/>
        <w:rPr>
          <w:sz w:val="20"/>
          <w:szCs w:val="20"/>
          <w:color w:val="auto"/>
        </w:rPr>
      </w:pPr>
    </w:p>
    <w:p>
      <w:pPr>
        <w:ind w:firstLine="614"/>
        <w:spacing w:after="0" w:line="253" w:lineRule="auto"/>
        <w:rPr>
          <w:sz w:val="20"/>
          <w:szCs w:val="20"/>
          <w:color w:val="auto"/>
        </w:rPr>
      </w:pPr>
      <w:r>
        <w:rPr>
          <w:rFonts w:ascii="Times New Roman" w:cs="Times New Roman" w:eastAsia="Times New Roman" w:hAnsi="Times New Roman"/>
          <w:sz w:val="18"/>
          <w:szCs w:val="18"/>
          <w:color w:val="auto"/>
        </w:rPr>
        <w:t>Upon filing the Chapter 11 Case and in accordance with applicable GAAP, the Company concluded that NCM, Inc. no longer controlled NCM LLC for accounting purposes as of April 11, 2023 (the “Petition Date”), the date on which NCM LLC filed its Chapter 11 petition, as NCM LLC was under the control of the Bankruptcy Court, and therefore, NCM LLC was deconsolidated from the Company’s consolidated financial statements prospectively, resulting in a $557.7 million gain recorded in “Gain on deconsolidation of affiliate” in the Consolidated Statement of Operations. The recorded gain was measured as the excess of the estimated fair value of the investment in NCM LLC retained over the Net Liabilities of NCM LLC as of April 11, 2023. The investment of NCM LLC was measured at cost minus any impairment in accordance with the measurement alternative outlined in ASC 321—</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Securities</w:t>
      </w:r>
      <w:r>
        <w:rPr>
          <w:rFonts w:ascii="Times New Roman" w:cs="Times New Roman" w:eastAsia="Times New Roman" w:hAnsi="Times New Roman"/>
          <w:sz w:val="18"/>
          <w:szCs w:val="18"/>
          <w:color w:val="auto"/>
        </w:rPr>
        <w:t>. While NCM LLC remained in bankruptcy, NCM, Inc. accounted for the retained equity interest in NCM LLC at cost less impairment,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any, plus or minus changes resulting from observable price changes in orderly market transactions. Upon the deconsolidation of NCM LLC, the original cost of the investment was valued based upon NCM, Inc.'s ownership of the secured debt of NCM LLC and an estimation of the enterprise value of NCM LLC developed utilizing discounted cash flows and comparable company analysis as of the Petition Date. Significant assumptions utilized within these analyses included the weighted average cost of capital and NCM LLC’s forecasted cash flows.</w:t>
      </w:r>
    </w:p>
    <w:p>
      <w:pPr>
        <w:spacing w:after="0" w:line="84" w:lineRule="exact"/>
        <w:rPr>
          <w:sz w:val="20"/>
          <w:szCs w:val="20"/>
          <w:color w:val="auto"/>
        </w:rPr>
      </w:pPr>
    </w:p>
    <w:p>
      <w:pPr>
        <w:ind w:right="100" w:firstLine="614"/>
        <w:spacing w:after="0" w:line="258" w:lineRule="auto"/>
        <w:rPr>
          <w:sz w:val="20"/>
          <w:szCs w:val="20"/>
          <w:color w:val="auto"/>
        </w:rPr>
      </w:pPr>
      <w:r>
        <w:rPr>
          <w:rFonts w:ascii="Times New Roman" w:cs="Times New Roman" w:eastAsia="Times New Roman" w:hAnsi="Times New Roman"/>
          <w:sz w:val="18"/>
          <w:szCs w:val="18"/>
          <w:color w:val="auto"/>
        </w:rPr>
        <w:t>On August 7, 2023, NCM LLC emerged from bankruptcy and NCM, Inc. contributed $15.0 million in cash to NCM LLC in exchange for 2.8% of additional ownership of NCM LLC in accordance with the NCMI Capital Contribution and $0.5 million to assist with payments to unsecured creditors in accordance with the settlement with the unsecured creditors. NCM, Inc. also issued 83,421,135 shares to the secured creditors in accordance with the NCMI 9019 Settlement and terms of the Plan with a fair value of $245.3 million based on the closing stock price of $2.94. Upon NCM LLC’s emergence from bankruptcy, NCM, Inc. retained 100.0% of NCM LLC, regained control of and reconsolidated NCM LLC.</w:t>
      </w:r>
    </w:p>
    <w:p>
      <w:pPr>
        <w:spacing w:after="0" w:line="73" w:lineRule="exact"/>
        <w:rPr>
          <w:sz w:val="20"/>
          <w:szCs w:val="20"/>
          <w:color w:val="auto"/>
        </w:rPr>
      </w:pPr>
    </w:p>
    <w:p>
      <w:pPr>
        <w:ind w:right="140" w:firstLine="614"/>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accounted for the NCM LLC reconsolidation as a business combination under </w:t>
      </w:r>
      <w:r>
        <w:rPr>
          <w:rFonts w:ascii="Times New Roman" w:cs="Times New Roman" w:eastAsia="Times New Roman" w:hAnsi="Times New Roman"/>
          <w:sz w:val="18"/>
          <w:szCs w:val="18"/>
          <w:i w:val="1"/>
          <w:iCs w:val="1"/>
          <w:color w:val="auto"/>
        </w:rPr>
        <w:t>ASC 805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accordingly, the purchase price was allocated to the assets acquired and liabilities assumed based on their estimated fair values as of the date of reconsolidation, the Effective Date. The determination of fair values required management to make significant estimates and assumptions.</w:t>
      </w:r>
    </w:p>
    <w:p>
      <w:pPr>
        <w:spacing w:after="0" w:line="67" w:lineRule="exact"/>
        <w:rPr>
          <w:sz w:val="20"/>
          <w:szCs w:val="20"/>
          <w:color w:val="auto"/>
        </w:rPr>
      </w:pPr>
    </w:p>
    <w:p>
      <w:pPr>
        <w:ind w:right="80" w:firstLine="61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NCM LLC and fair values of the assets acquired and liabilities assumed as of the reconsolidation date (in millions):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80" w:type="dxa"/>
            <w:vAlign w:val="bottom"/>
            <w:gridSpan w:val="2"/>
          </w:tcPr>
          <w:p>
            <w:pPr>
              <w:jc w:val="right"/>
              <w:ind w:right="2240"/>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tc>
        <w:tc>
          <w:tcPr>
            <w:tcW w:w="1220" w:type="dxa"/>
            <w:vAlign w:val="bottom"/>
          </w:tcPr>
          <w:p>
            <w:pPr>
              <w:spacing w:after="0"/>
              <w:rPr>
                <w:sz w:val="18"/>
                <w:szCs w:val="18"/>
                <w:color w:val="auto"/>
              </w:rPr>
            </w:pPr>
          </w:p>
        </w:tc>
      </w:tr>
      <w:tr>
        <w:trPr>
          <w:trHeight w:val="238"/>
        </w:trPr>
        <w:tc>
          <w:tcPr>
            <w:tcW w:w="3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80" w:type="dxa"/>
            <w:vAlign w:val="bottom"/>
            <w:gridSpan w:val="2"/>
          </w:tcPr>
          <w:p>
            <w:pPr>
              <w:jc w:val="right"/>
              <w:ind w:right="202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1220" w:type="dxa"/>
            <w:vAlign w:val="bottom"/>
          </w:tcPr>
          <w:p>
            <w:pPr>
              <w:spacing w:after="0"/>
              <w:rPr>
                <w:sz w:val="20"/>
                <w:szCs w:val="20"/>
                <w:color w:val="auto"/>
              </w:rPr>
            </w:pPr>
          </w:p>
        </w:tc>
      </w:tr>
      <w:tr>
        <w:trPr>
          <w:trHeight w:val="297"/>
        </w:trPr>
        <w:tc>
          <w:tcPr>
            <w:tcW w:w="3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3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assets acquired:</w:t>
            </w:r>
          </w:p>
        </w:tc>
        <w:tc>
          <w:tcPr>
            <w:tcW w:w="59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3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67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49.6</w:t>
            </w:r>
          </w:p>
        </w:tc>
      </w:tr>
      <w:tr>
        <w:trPr>
          <w:trHeight w:val="216"/>
        </w:trPr>
        <w:tc>
          <w:tcPr>
            <w:tcW w:w="32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xml:space="preserve">Receivables, net </w:t>
            </w:r>
            <w:r>
              <w:rPr>
                <w:rFonts w:ascii="Times New Roman" w:cs="Times New Roman" w:eastAsia="Times New Roman" w:hAnsi="Times New Roman"/>
                <w:sz w:val="18"/>
                <w:szCs w:val="18"/>
                <w:i w:val="1"/>
                <w:iCs w:val="1"/>
                <w:color w:val="auto"/>
              </w:rPr>
              <w:t>(1)</w:t>
            </w:r>
          </w:p>
        </w:tc>
        <w:tc>
          <w:tcPr>
            <w:tcW w:w="59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74.8</w:t>
            </w:r>
          </w:p>
        </w:tc>
      </w:tr>
      <w:tr>
        <w:trPr>
          <w:trHeight w:val="216"/>
        </w:trPr>
        <w:tc>
          <w:tcPr>
            <w:tcW w:w="3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32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9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3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investments</w:t>
            </w:r>
          </w:p>
        </w:tc>
        <w:tc>
          <w:tcPr>
            <w:tcW w:w="5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32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Debt issuance costs, net</w:t>
            </w:r>
          </w:p>
        </w:tc>
        <w:tc>
          <w:tcPr>
            <w:tcW w:w="59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3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Fair value of intangible assets</w:t>
            </w:r>
          </w:p>
        </w:tc>
        <w:tc>
          <w:tcPr>
            <w:tcW w:w="5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415.0</w:t>
            </w:r>
          </w:p>
        </w:tc>
      </w:tr>
      <w:tr>
        <w:trPr>
          <w:trHeight w:val="216"/>
        </w:trPr>
        <w:tc>
          <w:tcPr>
            <w:tcW w:w="32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59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32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assets acquired</w:t>
            </w:r>
          </w:p>
        </w:tc>
        <w:tc>
          <w:tcPr>
            <w:tcW w:w="5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574.7</w:t>
            </w:r>
          </w:p>
        </w:tc>
      </w:tr>
      <w:tr>
        <w:trPr>
          <w:trHeight w:val="216"/>
        </w:trPr>
        <w:tc>
          <w:tcPr>
            <w:tcW w:w="3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liabilities assumed:</w:t>
            </w:r>
          </w:p>
        </w:tc>
        <w:tc>
          <w:tcPr>
            <w:tcW w:w="59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3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Amounts due to members, net</w:t>
            </w:r>
          </w:p>
        </w:tc>
        <w:tc>
          <w:tcPr>
            <w:tcW w:w="5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16"/>
        </w:trPr>
        <w:tc>
          <w:tcPr>
            <w:tcW w:w="32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59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16"/>
        </w:trPr>
        <w:tc>
          <w:tcPr>
            <w:tcW w:w="3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5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16"/>
        </w:trPr>
        <w:tc>
          <w:tcPr>
            <w:tcW w:w="32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59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(37.3 )</w:t>
            </w:r>
          </w:p>
        </w:tc>
      </w:tr>
      <w:tr>
        <w:trPr>
          <w:trHeight w:val="216"/>
        </w:trPr>
        <w:tc>
          <w:tcPr>
            <w:tcW w:w="3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5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16"/>
        </w:trPr>
        <w:tc>
          <w:tcPr>
            <w:tcW w:w="32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9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16"/>
        </w:trPr>
        <w:tc>
          <w:tcPr>
            <w:tcW w:w="3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5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32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59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10"/>
        </w:trPr>
        <w:tc>
          <w:tcPr>
            <w:tcW w:w="32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59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(91.3 )</w:t>
            </w:r>
          </w:p>
        </w:tc>
      </w:tr>
      <w:tr>
        <w:trPr>
          <w:trHeight w:val="249"/>
        </w:trPr>
        <w:tc>
          <w:tcPr>
            <w:tcW w:w="3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NCM LLC</w:t>
            </w:r>
          </w:p>
        </w:tc>
        <w:tc>
          <w:tcPr>
            <w:tcW w:w="678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483.4</w:t>
            </w:r>
          </w:p>
        </w:tc>
      </w:tr>
      <w:tr>
        <w:trPr>
          <w:trHeight w:val="115"/>
        </w:trPr>
        <w:tc>
          <w:tcPr>
            <w:tcW w:w="3000" w:type="dxa"/>
            <w:vAlign w:val="bottom"/>
            <w:tcBorders>
              <w:top w:val="single" w:sz="8" w:color="CFF0FC"/>
              <w:bottom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5980" w:type="dxa"/>
            <w:vAlign w:val="bottom"/>
            <w:tcBorders>
              <w:top w:val="single" w:sz="8" w:color="CFF0FC"/>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r>
    </w:tbl>
    <w:p>
      <w:pPr>
        <w:spacing w:after="0" w:line="90" w:lineRule="exact"/>
        <w:rPr>
          <w:sz w:val="20"/>
          <w:szCs w:val="20"/>
          <w:color w:val="auto"/>
        </w:rPr>
      </w:pPr>
    </w:p>
    <w:p>
      <w:pPr>
        <w:jc w:val="both"/>
        <w:ind w:left="1000" w:right="180" w:hanging="379"/>
        <w:spacing w:after="0" w:line="266" w:lineRule="auto"/>
        <w:tabs>
          <w:tab w:leader="none" w:pos="100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Includes a valuation adjustment recorded during the three months ended December 28, 2023 that decreased accounts receivable, net by $0.2 million. There have been no adjustments to the purchase price and fair value estimates presented in the year ended December 26, 2024, and these amounts are final.</w:t>
      </w:r>
    </w:p>
    <w:p>
      <w:pPr>
        <w:spacing w:after="0" w:line="68" w:lineRule="exact"/>
        <w:rPr>
          <w:sz w:val="20"/>
          <w:szCs w:val="20"/>
          <w:color w:val="auto"/>
        </w:rPr>
      </w:pPr>
    </w:p>
    <w:p>
      <w:pPr>
        <w:ind w:right="340" w:firstLine="614"/>
        <w:spacing w:after="0" w:line="282" w:lineRule="auto"/>
        <w:rPr>
          <w:sz w:val="20"/>
          <w:szCs w:val="20"/>
          <w:color w:val="auto"/>
        </w:rPr>
      </w:pPr>
      <w:r>
        <w:rPr>
          <w:rFonts w:ascii="Times New Roman" w:cs="Times New Roman" w:eastAsia="Times New Roman" w:hAnsi="Times New Roman"/>
          <w:sz w:val="18"/>
          <w:szCs w:val="18"/>
          <w:color w:val="auto"/>
        </w:rPr>
        <w:t>The identifiable intangible assets of $415.0 million are subject to amortization. The following table summarizes the major classes of intangible assets acquired and their respective weighted-average estimated useful lives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Useful Life (years)</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Exhibitor service agreements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250.0</w:t>
            </w:r>
          </w:p>
        </w:tc>
        <w:tc>
          <w:tcPr>
            <w:tcW w:w="18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Network affiliates agreements</w:t>
            </w:r>
          </w:p>
        </w:tc>
        <w:tc>
          <w:tcPr>
            <w:tcW w:w="120" w:type="dxa"/>
            <w:vAlign w:val="bottom"/>
          </w:tcPr>
          <w:p>
            <w:pPr>
              <w:spacing w:after="0"/>
              <w:rPr>
                <w:sz w:val="18"/>
                <w:szCs w:val="18"/>
                <w:color w:val="auto"/>
              </w:rPr>
            </w:pPr>
          </w:p>
        </w:tc>
        <w:tc>
          <w:tcPr>
            <w:tcW w:w="1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75.0</w:t>
            </w:r>
          </w:p>
        </w:tc>
        <w:tc>
          <w:tcPr>
            <w:tcW w:w="1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75.0</w:t>
            </w:r>
          </w:p>
        </w:tc>
        <w:tc>
          <w:tcPr>
            <w:tcW w:w="18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15.0</w:t>
            </w:r>
          </w:p>
        </w:tc>
        <w:tc>
          <w:tcPr>
            <w:tcW w:w="1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8.0</w:t>
            </w:r>
          </w:p>
        </w:tc>
      </w:tr>
      <w:tr>
        <w:trPr>
          <w:trHeight w:val="250"/>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415.0</w:t>
            </w:r>
          </w:p>
        </w:tc>
        <w:tc>
          <w:tcPr>
            <w:tcW w:w="12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83" w:lineRule="exact"/>
        <w:rPr>
          <w:sz w:val="20"/>
          <w:szCs w:val="20"/>
          <w:color w:val="auto"/>
        </w:rPr>
      </w:pPr>
    </w:p>
    <w:p>
      <w:pPr>
        <w:ind w:firstLine="614"/>
        <w:spacing w:after="0" w:line="255" w:lineRule="auto"/>
        <w:rPr>
          <w:sz w:val="20"/>
          <w:szCs w:val="20"/>
          <w:color w:val="auto"/>
        </w:rPr>
      </w:pPr>
      <w:r>
        <w:rPr>
          <w:rFonts w:ascii="Times New Roman" w:cs="Times New Roman" w:eastAsia="Times New Roman" w:hAnsi="Times New Roman"/>
          <w:sz w:val="18"/>
          <w:szCs w:val="18"/>
          <w:color w:val="auto"/>
        </w:rPr>
        <w:t>The estimated fair values of the ESAs, network affiliate agreements and trademarks were estimated using the income approach. The multi-period excess earnings method starts with a forecast of all of the expected future net cash flows associated with the asset. The forecasts are then adjusted to present value by applying an appropriate discount rate that reflects the risks associated with the company specific cash flow streams. Significant assumptions utilized within the income approach include the weighted average cost of capital and forecasted cash flows. The estimated fair values of the customer relationships were estimated using the cost approach. The cost approach included estimating the investment required to replace the contracts with customers, with significant assumptions including the replacement cost. The Company elected the practical expedients allowed in ASC 805-20-30-29a in estimating the fair value of the contract liabilities assumed.</w:t>
      </w:r>
    </w:p>
    <w:p>
      <w:pPr>
        <w:spacing w:after="0" w:line="81" w:lineRule="exact"/>
        <w:rPr>
          <w:sz w:val="20"/>
          <w:szCs w:val="20"/>
          <w:color w:val="auto"/>
        </w:rPr>
      </w:pPr>
    </w:p>
    <w:p>
      <w:pPr>
        <w:ind w:right="80" w:firstLine="614"/>
        <w:spacing w:after="0" w:line="256" w:lineRule="auto"/>
        <w:rPr>
          <w:sz w:val="20"/>
          <w:szCs w:val="20"/>
          <w:color w:val="auto"/>
        </w:rPr>
      </w:pPr>
      <w:r>
        <w:rPr>
          <w:rFonts w:ascii="Times New Roman" w:cs="Times New Roman" w:eastAsia="Times New Roman" w:hAnsi="Times New Roman"/>
          <w:sz w:val="18"/>
          <w:szCs w:val="18"/>
          <w:color w:val="auto"/>
        </w:rPr>
        <w:t>Upon NCM LLC’s emergence from the Chapter 11 Case, NCM, Inc. remeasured the value of the investment in NCM LLC to the estimated fair value calculated as NCM, Inc.’s percentage ownership of NCM LLC, due to NCM, Inc.’s ownership of the secured debt of NCM LLC and the NCMI Capital Contribution, multiplied by the fair value of NCM LLC as of the Effective Date of $483.4 million. The value of the cost investment of NCM LLC immediately prior to the Effective Date was $11.9 million based upon NCM, Inc.’s ownership of the secured debt of NCM LLC and an estimation of the enterprise value of NCM LLC developed utilizing discounted cash flows and comparable company analysis as of the Petition Date. The increase in the fair value resulted in a gain on remeasurement of the investment in NCM LLC of $35.5 million during the year ended December 28, 2023.</w:t>
      </w:r>
    </w:p>
    <w:p>
      <w:pPr>
        <w:spacing w:after="0" w:line="79" w:lineRule="exact"/>
        <w:rPr>
          <w:sz w:val="20"/>
          <w:szCs w:val="20"/>
          <w:color w:val="auto"/>
        </w:rPr>
      </w:pPr>
    </w:p>
    <w:p>
      <w:pPr>
        <w:ind w:right="160" w:firstLine="614"/>
        <w:spacing w:after="0" w:line="258" w:lineRule="auto"/>
        <w:rPr>
          <w:sz w:val="20"/>
          <w:szCs w:val="20"/>
          <w:color w:val="auto"/>
        </w:rPr>
      </w:pPr>
      <w:r>
        <w:rPr>
          <w:rFonts w:ascii="Times New Roman" w:cs="Times New Roman" w:eastAsia="Times New Roman" w:hAnsi="Times New Roman"/>
          <w:sz w:val="18"/>
          <w:szCs w:val="18"/>
          <w:color w:val="auto"/>
        </w:rPr>
        <w:t>Upon reconsolidation, NCM, Inc. recorded the fair values of the assets acquired and liabilities assumed as of the reconsolidation date and the investment in NCM LLC was further adjusted to the full purchase price value of $483.4 million. The difference between the purchase price of NCM LLC and the fair value of NCM, Inc.’s investment in NCM LLC as calculated above, the $15.5 million of cash contributed by NCM, Inc. (consisting of $0.5 million related to the General Unsecured Claim Pool and $15.0 million under the NCMI Capital Contribution) and the shares issued to NCM LLC’s secured lenders of $245.3 million resulted in a gain of $167.8 million upon the reconsolidation of NCM LLC during the year</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ended December 28, 2023. The Company recognized a gain due to the variance between the fair value of NCM LLC’s assets and liabilities and NCM, Inc.’s depressed stock price on the Effective Date and the NCM, Inc. shares retained by the existing shareholders as part of the NCMI 9019 Settlement. Prior to the Effective Date, NCM, Inc.’s stock price was negatively impacted beginning with the COVID-19 pandemic followed by Cineworld’s bankruptcy proceeding and NCM LLC’s Chapter 11 Case, as well as by other socioeconomic factors.</w:t>
      </w:r>
    </w:p>
    <w:p>
      <w:pPr>
        <w:spacing w:after="0" w:line="72" w:lineRule="exact"/>
        <w:rPr>
          <w:sz w:val="20"/>
          <w:szCs w:val="20"/>
          <w:color w:val="auto"/>
        </w:rPr>
      </w:pPr>
    </w:p>
    <w:p>
      <w:pPr>
        <w:ind w:right="180" w:firstLine="614"/>
        <w:spacing w:after="0" w:line="266" w:lineRule="auto"/>
        <w:rPr>
          <w:sz w:val="20"/>
          <w:szCs w:val="20"/>
          <w:color w:val="auto"/>
        </w:rPr>
      </w:pPr>
      <w:r>
        <w:rPr>
          <w:rFonts w:ascii="Times New Roman" w:cs="Times New Roman" w:eastAsia="Times New Roman" w:hAnsi="Times New Roman"/>
          <w:sz w:val="18"/>
          <w:szCs w:val="18"/>
          <w:color w:val="auto"/>
        </w:rPr>
        <w:t>The Company’s Consolidated Statements of Operations include total net revenues and net loss attributable to NCM LLC of $155.1 million and $42.0 million, respectively, for the total of the consolidated periods of December 30, 2022 through April 11, 2023 and August 7, 2023 through December 28,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 (Unaudited)</w:t>
      </w:r>
    </w:p>
    <w:p>
      <w:pPr>
        <w:spacing w:after="0" w:line="121" w:lineRule="exact"/>
        <w:rPr>
          <w:sz w:val="20"/>
          <w:szCs w:val="20"/>
          <w:color w:val="auto"/>
        </w:rPr>
      </w:pPr>
    </w:p>
    <w:p>
      <w:pPr>
        <w:ind w:right="160" w:firstLine="614"/>
        <w:spacing w:after="0" w:line="261" w:lineRule="auto"/>
        <w:rPr>
          <w:sz w:val="20"/>
          <w:szCs w:val="20"/>
          <w:color w:val="auto"/>
        </w:rPr>
      </w:pPr>
      <w:r>
        <w:rPr>
          <w:rFonts w:ascii="Times New Roman" w:cs="Times New Roman" w:eastAsia="Times New Roman" w:hAnsi="Times New Roman"/>
          <w:sz w:val="18"/>
          <w:szCs w:val="18"/>
          <w:color w:val="auto"/>
        </w:rPr>
        <w:t>The following table presents unaudited pro forma financial information as if the NCM LLC reconsolidation had occurred on December 31, 2021. The unaudited pro forma results reflect adjustments for depreciation of acquired property and equipment, amortization of acquired intangible assets and amortization of acquired debt issuance costs. The unaudited pro forma financial information is presented for informational purposes only and is not necessarily indicative of future operations or results had the NCM LLC reconsolidation been completed as of December 31, 2021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4"/>
          </w:tcPr>
          <w:p>
            <w:pPr>
              <w:jc w:val="right"/>
              <w:ind w:right="1356"/>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142"/>
        </w:trPr>
        <w:tc>
          <w:tcPr>
            <w:tcW w:w="7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2023</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December 29, 2022</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259.8</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249.2</w:t>
            </w: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(200.5 )</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755.9</w:t>
            </w:r>
          </w:p>
        </w:tc>
      </w:tr>
    </w:tbl>
    <w:p>
      <w:pPr>
        <w:spacing w:after="0" w:line="81" w:lineRule="exact"/>
        <w:rPr>
          <w:sz w:val="20"/>
          <w:szCs w:val="20"/>
          <w:color w:val="auto"/>
        </w:rPr>
      </w:pPr>
    </w:p>
    <w:p>
      <w:pPr>
        <w:ind w:left="840" w:hanging="832"/>
        <w:spacing w:after="0"/>
        <w:tabs>
          <w:tab w:leader="none" w:pos="8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ind w:right="40" w:firstLine="614"/>
        <w:spacing w:after="0" w:line="254" w:lineRule="auto"/>
        <w:rPr>
          <w:sz w:val="20"/>
          <w:szCs w:val="20"/>
          <w:color w:val="auto"/>
        </w:rPr>
      </w:pPr>
      <w:r>
        <w:rPr>
          <w:rFonts w:ascii="Times New Roman" w:cs="Times New Roman" w:eastAsia="Times New Roman" w:hAnsi="Times New Roman"/>
          <w:sz w:val="18"/>
          <w:szCs w:val="18"/>
          <w:color w:val="auto"/>
        </w:rPr>
        <w:t xml:space="preserve">The Company’s intangible assets consist of contractual rights to provide its services within the theaters under the ESAs and network affiliates agreements, customer relationships developed and maintained by the Company’s sales force and trademarks held and used by the Company. The intangible assets are stated at their estimated fair values upon the reconsolidation of NCM LLC on August 7, 2023 as further described within Note 5— </w:t>
      </w:r>
      <w:r>
        <w:rPr>
          <w:rFonts w:ascii="Times New Roman" w:cs="Times New Roman" w:eastAsia="Times New Roman" w:hAnsi="Times New Roman"/>
          <w:sz w:val="18"/>
          <w:szCs w:val="18"/>
          <w:i w:val="1"/>
          <w:iCs w:val="1"/>
          <w:color w:val="auto"/>
        </w:rPr>
        <w:t xml:space="preserve">Reconsolidation of NCM LLC, </w:t>
      </w:r>
      <w:r>
        <w:rPr>
          <w:rFonts w:ascii="Times New Roman" w:cs="Times New Roman" w:eastAsia="Times New Roman" w:hAnsi="Times New Roman"/>
          <w:sz w:val="18"/>
          <w:szCs w:val="18"/>
          <w:color w:val="auto"/>
        </w:rPr>
        <w:t>net of accumulated amortization. The Company records amortization using the straight-line method over the contractual life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intangibles, corresponding to the term of the ESAs, the average renewable term of the contract with the network affiliates and industry standard lives for customer relationships and trademarks. In accordance with </w:t>
      </w:r>
      <w:r>
        <w:rPr>
          <w:rFonts w:ascii="Times New Roman" w:cs="Times New Roman" w:eastAsia="Times New Roman" w:hAnsi="Times New Roman"/>
          <w:sz w:val="18"/>
          <w:szCs w:val="18"/>
          <w:i w:val="1"/>
          <w:iCs w:val="1"/>
          <w:color w:val="auto"/>
        </w:rPr>
        <w:t>ASC 360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the Company continuously monitors the performance of the underlying assets for potential triggering events suggesting an impairment review should be performed. No such triggering events were identified in the period since the reconsolidation of NCM LLC on August 7, 2023.</w:t>
      </w:r>
    </w:p>
    <w:p>
      <w:pPr>
        <w:spacing w:after="0" w:line="80" w:lineRule="exact"/>
        <w:rPr>
          <w:sz w:val="20"/>
          <w:szCs w:val="20"/>
          <w:color w:val="auto"/>
        </w:rPr>
      </w:pPr>
    </w:p>
    <w:p>
      <w:pPr>
        <w:ind w:right="40" w:firstLine="60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Common Unit Adjustments—</w:t>
      </w:r>
      <w:r>
        <w:rPr>
          <w:rFonts w:ascii="Times New Roman" w:cs="Times New Roman" w:eastAsia="Times New Roman" w:hAnsi="Times New Roman"/>
          <w:sz w:val="18"/>
          <w:szCs w:val="18"/>
          <w:color w:val="auto"/>
        </w:rPr>
        <w:t>In accordance with NCM LLC’s Common Unit Adjustment Agreement, on an annual basis NCM LLC determines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amount of common membership units to be issued to or returned by AMC and Cinemark based on theater additions, new builds or dispositions during the previous year. In the event AMC or Cinemark does not have sufficient common membership units to return, the adjustment is satisfied in cash in an amount calculated pursuant to NCM LLC’s Common Unit Adjustment Agreement. In addition, NCM LLC’s Common Unit Adjustment Agreement requires that a Common Unit Adjustment occur for either AMC or Cinemark if its acquisition or disposition of theaters, in a single transaction or cumulatively since the most recent Common Unit Adjustment, results in an attendance increase or decrease in excess of two percent of the annual total attendance at the prior adjustment date. Upon the issuance of common membership units, the Company records an addition to the intangible asset related to AMC and Cinemark’s respective ESAs equal to the fair market value of NCM, Inc.’s publicly traded stock as of the date on which the common membership units were issued. The NCM LLC common membership units are fully convertible into NCM, Inc.’s common stock.</w:t>
      </w:r>
    </w:p>
    <w:p>
      <w:pPr>
        <w:spacing w:after="0" w:line="84" w:lineRule="exact"/>
        <w:rPr>
          <w:sz w:val="20"/>
          <w:szCs w:val="20"/>
          <w:color w:val="auto"/>
        </w:rPr>
      </w:pPr>
    </w:p>
    <w:p>
      <w:pPr>
        <w:ind w:right="80" w:firstLine="608"/>
        <w:spacing w:after="0" w:line="258" w:lineRule="auto"/>
        <w:rPr>
          <w:sz w:val="20"/>
          <w:szCs w:val="20"/>
          <w:color w:val="auto"/>
        </w:rPr>
      </w:pPr>
      <w:r>
        <w:rPr>
          <w:rFonts w:ascii="Times New Roman" w:cs="Times New Roman" w:eastAsia="Times New Roman" w:hAnsi="Times New Roman"/>
          <w:sz w:val="18"/>
          <w:szCs w:val="18"/>
          <w:color w:val="auto"/>
        </w:rPr>
        <w:t>During the quarter ended June 27, 2024, in accordance with the Common Unit Adjustment Agreement, NCM LLC issued 135,473 common membership units to AMC and Cinemark, with a net impact of $0.7 million to the intangible asset. On April 16, 2024, the Company elected to satisfy a redemption request from Cinemark for all of their outstanding common membership units through a cash settlement as provided in NCM LLC’s Operating Agreement. This redemption reduced Cinemark’s ownership interest in NCM LLC to 0.0% as of April 16, 2024 while AMC’s ownership interest is de minimis.</w:t>
      </w:r>
    </w:p>
    <w:p>
      <w:pPr>
        <w:spacing w:after="0" w:line="75" w:lineRule="exact"/>
        <w:rPr>
          <w:sz w:val="20"/>
          <w:szCs w:val="20"/>
          <w:color w:val="auto"/>
        </w:rPr>
      </w:pPr>
    </w:p>
    <w:p>
      <w:pPr>
        <w:ind w:right="100" w:firstLine="608"/>
        <w:spacing w:after="0" w:line="266" w:lineRule="auto"/>
        <w:rPr>
          <w:sz w:val="20"/>
          <w:szCs w:val="20"/>
          <w:color w:val="auto"/>
        </w:rPr>
      </w:pPr>
      <w:r>
        <w:rPr>
          <w:rFonts w:ascii="Times New Roman" w:cs="Times New Roman" w:eastAsia="Times New Roman" w:hAnsi="Times New Roman"/>
          <w:sz w:val="18"/>
          <w:szCs w:val="18"/>
          <w:color w:val="auto"/>
        </w:rPr>
        <w:t>Pursuant to and in connection with the Chapter 11 Case during the year ended December 28, 2023, NCM LLC did not issue common membership units to Cinemark for the rights to exclusive access to the theater screens and attendees added, net of dispositions, to NCM LLC’s network for the 2022 fiscal year and the 16,581,829 units issued to AMC were issued and cancelled on the Effective Date.</w:t>
      </w:r>
    </w:p>
    <w:p>
      <w:pPr>
        <w:spacing w:after="0" w:line="64" w:lineRule="exact"/>
        <w:rPr>
          <w:sz w:val="20"/>
          <w:szCs w:val="20"/>
          <w:color w:val="auto"/>
        </w:rPr>
      </w:pPr>
    </w:p>
    <w:p>
      <w:pPr>
        <w:ind w:right="120" w:firstLine="60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Integration Payments and Other Encumbered Theater Payments—</w:t>
      </w:r>
      <w:r>
        <w:rPr>
          <w:rFonts w:ascii="Times New Roman" w:cs="Times New Roman" w:eastAsia="Times New Roman" w:hAnsi="Times New Roman"/>
          <w:sz w:val="18"/>
          <w:szCs w:val="18"/>
          <w:color w:val="auto"/>
        </w:rPr>
        <w:t>If an existing on-screen advertising agreement with an alternative provider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place with respect to any acquired theaters, the ESA Parties may elect to receive common membership units related to those encumbered theaters in connection with the Common Unit Adjustment. If the ESA Parties make this election, then they are required to make payments on a quarterly basis in arrears in accordance with certain run-out provisions pursuant to the ESAs (“integration payments”). Because the Carmike Cinemas, Inc. (“Carmike”) theaters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acquired by AMC are subject to an existing on-screen advertising agreement with an alternative provider, AMC will make integration payments to NCM LLC. The integration payments will continue until the earlier of (i) the date the theaters are transferred to NCM LLC’s network or (ii) the expiration of the ESA. Integration payments are calculated based upon the advertising cash flow that the Company would have generated if it had exclusive access to sell advertising in the theaters with pre-existing advertising agreements. The ESA additionally entitles NCM LLC to payments related to the ESA Parties’ on-screen advertising commitments under their beverage concessionaire agreements for encumbered theaters (“encumbered theater payments”). These payments are also accounted for as a reduction to the intangible asset. If common membership units are issued to an ESA Party for newly acquired theaters that are subject to an existing on-screen advertising agreement with an alternative provider, the amortization of the intangible asset commences after the existing agreement expires and NCM LLC can utilize the theaters for all of its services.</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is a summary of the Company’s intangible asset’s activity (in millions) during December 26, 2024 and December 28, 2023: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Integration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encumbered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79"/>
              <w:spacing w:after="0" w:line="147"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 xml:space="preserve">Additions </w:t>
            </w:r>
            <w:r>
              <w:rPr>
                <w:rFonts w:ascii="Times New Roman" w:cs="Times New Roman" w:eastAsia="Times New Roman" w:hAnsi="Times New Roman"/>
                <w:sz w:val="14"/>
                <w:szCs w:val="14"/>
                <w:b w:val="1"/>
                <w:bCs w:val="1"/>
                <w:i w:val="1"/>
                <w:iCs w:val="1"/>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Disposals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61"/>
              <w:spacing w:after="0" w:line="147" w:lineRule="exact"/>
              <w:rPr>
                <w:sz w:val="20"/>
                <w:szCs w:val="20"/>
                <w:color w:val="auto"/>
              </w:rPr>
            </w:pPr>
            <w:r>
              <w:rPr>
                <w:rFonts w:ascii="Times New Roman" w:cs="Times New Roman" w:eastAsia="Times New Roman" w:hAnsi="Times New Roman"/>
                <w:sz w:val="14"/>
                <w:szCs w:val="14"/>
                <w:b w:val="1"/>
                <w:bCs w:val="1"/>
                <w:color w:val="auto"/>
              </w:rPr>
              <w:t>theater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39"/>
              <w:spacing w:after="0" w:line="147"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 xml:space="preserve">payments </w:t>
            </w:r>
            <w:r>
              <w:rPr>
                <w:rFonts w:ascii="Times New Roman" w:cs="Times New Roman" w:eastAsia="Times New Roman" w:hAnsi="Times New Roman"/>
                <w:sz w:val="14"/>
                <w:szCs w:val="14"/>
                <w:b w:val="1"/>
                <w:bCs w:val="1"/>
                <w:i w:val="1"/>
                <w:iCs w:val="1"/>
                <w:color w:val="auto"/>
              </w:rPr>
              <w:t>(2)</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9"/>
        </w:trPr>
        <w:tc>
          <w:tcPr>
            <w:tcW w:w="3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carrying amount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409.3</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403.6</w:t>
            </w:r>
          </w:p>
        </w:tc>
        <w:tc>
          <w:tcPr>
            <w:tcW w:w="0" w:type="dxa"/>
            <w:vAlign w:val="bottom"/>
          </w:tcPr>
          <w:p>
            <w:pPr>
              <w:spacing w:after="0"/>
              <w:rPr>
                <w:sz w:val="1"/>
                <w:szCs w:val="1"/>
                <w:color w:val="auto"/>
              </w:rPr>
            </w:pPr>
          </w:p>
        </w:tc>
      </w:tr>
      <w:tr>
        <w:trPr>
          <w:trHeight w:val="21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(52.8 )</w:t>
            </w:r>
          </w:p>
        </w:tc>
        <w:tc>
          <w:tcPr>
            <w:tcW w:w="0" w:type="dxa"/>
            <w:vAlign w:val="bottom"/>
          </w:tcPr>
          <w:p>
            <w:pPr>
              <w:spacing w:after="0"/>
              <w:rPr>
                <w:sz w:val="1"/>
                <w:szCs w:val="1"/>
                <w:color w:val="auto"/>
              </w:rPr>
            </w:pPr>
          </w:p>
        </w:tc>
      </w:tr>
      <w:tr>
        <w:trPr>
          <w:trHeight w:val="249"/>
        </w:trPr>
        <w:tc>
          <w:tcPr>
            <w:tcW w:w="33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394.3</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350.8</w:t>
            </w:r>
          </w:p>
        </w:tc>
        <w:tc>
          <w:tcPr>
            <w:tcW w:w="0" w:type="dxa"/>
            <w:vAlign w:val="bottom"/>
          </w:tcPr>
          <w:p>
            <w:pPr>
              <w:spacing w:after="0"/>
              <w:rPr>
                <w:sz w:val="1"/>
                <w:szCs w:val="1"/>
                <w:color w:val="auto"/>
              </w:rPr>
            </w:pPr>
          </w:p>
        </w:tc>
      </w:tr>
      <w:tr>
        <w:trPr>
          <w:trHeight w:val="226"/>
        </w:trPr>
        <w:tc>
          <w:tcPr>
            <w:tcW w:w="3000" w:type="dxa"/>
            <w:vAlign w:val="bottom"/>
            <w:tcBorders>
              <w:top w:val="single" w:sz="8" w:color="CFF0FC"/>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Integration</w:t>
            </w:r>
          </w:p>
        </w:tc>
        <w:tc>
          <w:tcPr>
            <w:tcW w:w="1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encumbered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79"/>
              <w:spacing w:after="0" w:line="147"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 xml:space="preserve">Additions </w:t>
            </w:r>
            <w:r>
              <w:rPr>
                <w:rFonts w:ascii="Times New Roman" w:cs="Times New Roman" w:eastAsia="Times New Roman" w:hAnsi="Times New Roman"/>
                <w:sz w:val="14"/>
                <w:szCs w:val="14"/>
                <w:b w:val="1"/>
                <w:bCs w:val="1"/>
                <w:i w:val="1"/>
                <w:iCs w:val="1"/>
                <w:color w:val="auto"/>
              </w:rPr>
              <w:t>(3)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 xml:space="preserve">Disposals </w:t>
            </w:r>
            <w:r>
              <w:rPr>
                <w:rFonts w:ascii="Times New Roman" w:cs="Times New Roman" w:eastAsia="Times New Roman" w:hAnsi="Times New Roman"/>
                <w:sz w:val="14"/>
                <w:szCs w:val="14"/>
                <w:b w:val="1"/>
                <w:bCs w:val="1"/>
                <w:i w:val="1"/>
                <w:iCs w:val="1"/>
                <w:color w:val="auto"/>
              </w:rPr>
              <w:t>(4)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61"/>
              <w:spacing w:after="0" w:line="147" w:lineRule="exact"/>
              <w:rPr>
                <w:sz w:val="20"/>
                <w:szCs w:val="20"/>
                <w:color w:val="auto"/>
              </w:rPr>
            </w:pPr>
            <w:r>
              <w:rPr>
                <w:rFonts w:ascii="Times New Roman" w:cs="Times New Roman" w:eastAsia="Times New Roman" w:hAnsi="Times New Roman"/>
                <w:sz w:val="14"/>
                <w:szCs w:val="14"/>
                <w:b w:val="1"/>
                <w:bCs w:val="1"/>
                <w:color w:val="auto"/>
              </w:rPr>
              <w:t>theater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39"/>
              <w:spacing w:after="0" w:line="147"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 xml:space="preserve">payments </w:t>
            </w:r>
            <w:r>
              <w:rPr>
                <w:rFonts w:ascii="Times New Roman" w:cs="Times New Roman" w:eastAsia="Times New Roman" w:hAnsi="Times New Roman"/>
                <w:sz w:val="14"/>
                <w:szCs w:val="14"/>
                <w:b w:val="1"/>
                <w:bCs w:val="1"/>
                <w:i w:val="1"/>
                <w:iCs w:val="1"/>
                <w:color w:val="auto"/>
              </w:rPr>
              <w:t>(2)</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0"/>
        </w:trPr>
        <w:tc>
          <w:tcPr>
            <w:tcW w:w="3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carrying amount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856.9</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415.8</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(857.4 )</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409.3</w:t>
            </w:r>
          </w:p>
        </w:tc>
        <w:tc>
          <w:tcPr>
            <w:tcW w:w="0" w:type="dxa"/>
            <w:vAlign w:val="bottom"/>
          </w:tcPr>
          <w:p>
            <w:pPr>
              <w:spacing w:after="0"/>
              <w:rPr>
                <w:sz w:val="1"/>
                <w:szCs w:val="1"/>
                <w:color w:val="auto"/>
              </w:rPr>
            </w:pPr>
          </w:p>
        </w:tc>
      </w:tr>
      <w:tr>
        <w:trPr>
          <w:trHeight w:val="216"/>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(270.2 )</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277.6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49"/>
        </w:trPr>
        <w:tc>
          <w:tcPr>
            <w:tcW w:w="33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586.7</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415.8</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(579.8 )</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394.3</w:t>
            </w:r>
          </w:p>
        </w:tc>
        <w:tc>
          <w:tcPr>
            <w:tcW w:w="0" w:type="dxa"/>
            <w:vAlign w:val="bottom"/>
          </w:tcPr>
          <w:p>
            <w:pPr>
              <w:spacing w:after="0"/>
              <w:rPr>
                <w:sz w:val="1"/>
                <w:szCs w:val="1"/>
                <w:color w:val="auto"/>
              </w:rPr>
            </w:pPr>
          </w:p>
        </w:tc>
      </w:tr>
      <w:tr>
        <w:trPr>
          <w:trHeight w:val="116"/>
        </w:trPr>
        <w:tc>
          <w:tcPr>
            <w:tcW w:w="3000" w:type="dxa"/>
            <w:vAlign w:val="bottom"/>
            <w:tcBorders>
              <w:top w:val="single" w:sz="8" w:color="CFF0FC"/>
              <w:bottom w:val="single" w:sz="8" w:color="auto"/>
            </w:tcBorders>
          </w:tcPr>
          <w:p>
            <w:pPr>
              <w:spacing w:after="0"/>
              <w:rPr>
                <w:sz w:val="10"/>
                <w:szCs w:val="10"/>
                <w:color w:val="auto"/>
              </w:rPr>
            </w:pPr>
          </w:p>
        </w:tc>
        <w:tc>
          <w:tcPr>
            <w:tcW w:w="3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-1122045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-1105535</wp:posOffset>
            </wp:positionV>
            <wp:extent cx="768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-1122045</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-1105535</wp:posOffset>
            </wp:positionV>
            <wp:extent cx="774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-1122045</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-1105535</wp:posOffset>
            </wp:positionV>
            <wp:extent cx="768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-1122045</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-1105535</wp:posOffset>
            </wp:positionV>
            <wp:extent cx="774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-1122045</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-1105535</wp:posOffset>
            </wp:positionV>
            <wp:extent cx="768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-119380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-102235</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-119380</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-102235</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-119380</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-102235</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-119380</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-102235</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-119380</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-102235</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0" w:lineRule="exact"/>
        <w:rPr>
          <w:sz w:val="20"/>
          <w:szCs w:val="20"/>
          <w:color w:val="auto"/>
        </w:rPr>
      </w:pPr>
    </w:p>
    <w:p>
      <w:pPr>
        <w:ind w:left="1000" w:right="180" w:hanging="379"/>
        <w:spacing w:after="0" w:line="282" w:lineRule="auto"/>
        <w:tabs>
          <w:tab w:leader="none" w:pos="1000"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During the quarter ended June 27, 2024, in accordance with the Common Unit Adjustment Agreement, NCM LLC issued 135,473 common membership units to AMC and Cinemark, with a net impact of $0.7 million to the intangible asset.</w:t>
      </w:r>
    </w:p>
    <w:p>
      <w:pPr>
        <w:spacing w:after="0" w:line="53" w:lineRule="exact"/>
        <w:rPr>
          <w:rFonts w:ascii="Times New Roman" w:cs="Times New Roman" w:eastAsia="Times New Roman" w:hAnsi="Times New Roman"/>
          <w:sz w:val="18"/>
          <w:szCs w:val="18"/>
          <w:i w:val="1"/>
          <w:iCs w:val="1"/>
          <w:color w:val="auto"/>
        </w:rPr>
      </w:pPr>
    </w:p>
    <w:p>
      <w:pPr>
        <w:ind w:left="1000" w:right="240" w:hanging="379"/>
        <w:spacing w:after="0" w:line="256" w:lineRule="auto"/>
        <w:tabs>
          <w:tab w:leader="none" w:pos="1000"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Carmike theaters had pre-existing advertising agreements for some of the theaters it owned prior to their acquisitions by AMC. As a result, AMC will make integration and other encumbered theater payments over the remaining term of those agreements. For the year ended December 26, 2024 and December 28, 2023, NCM LLC recorded a reduction to net intangible assets of $6.4 million and $6.0 million, respectively, related to integration and other encumbered theater payments due from AMC. During the year ended December 26, 2024 and December 28, 2023, AMC and Cinemark paid a total of $1.2 million and $4.2 million, respectively, related to integration and other encumbered theater payments.</w:t>
      </w:r>
    </w:p>
    <w:p>
      <w:pPr>
        <w:spacing w:after="0" w:line="77" w:lineRule="exact"/>
        <w:rPr>
          <w:rFonts w:ascii="Times New Roman" w:cs="Times New Roman" w:eastAsia="Times New Roman" w:hAnsi="Times New Roman"/>
          <w:sz w:val="18"/>
          <w:szCs w:val="18"/>
          <w:i w:val="1"/>
          <w:iCs w:val="1"/>
          <w:color w:val="auto"/>
        </w:rPr>
      </w:pPr>
    </w:p>
    <w:p>
      <w:pPr>
        <w:ind w:left="1000" w:right="20" w:hanging="379"/>
        <w:spacing w:after="0" w:line="267" w:lineRule="auto"/>
        <w:tabs>
          <w:tab w:leader="none" w:pos="1000"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On August 7, 2023, NCM, Inc. reconsolidated NCM LLC’s intangible assets of $415.0 million. Refer to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Reconsolidation of NCM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LLC </w:t>
      </w:r>
      <w:r>
        <w:rPr>
          <w:rFonts w:ascii="Times New Roman" w:cs="Times New Roman" w:eastAsia="Times New Roman" w:hAnsi="Times New Roman"/>
          <w:sz w:val="18"/>
          <w:szCs w:val="18"/>
          <w:color w:val="auto"/>
        </w:rPr>
        <w:t>for further information. Additionally, there were $0.8 million in upfront payments made to network affiliates prior to the deconsolidation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NCM LLC on April 11, 2023.</w:t>
      </w:r>
    </w:p>
    <w:p>
      <w:pPr>
        <w:spacing w:after="0" w:line="65" w:lineRule="exact"/>
        <w:rPr>
          <w:rFonts w:ascii="Times New Roman" w:cs="Times New Roman" w:eastAsia="Times New Roman" w:hAnsi="Times New Roman"/>
          <w:sz w:val="18"/>
          <w:szCs w:val="18"/>
          <w:i w:val="1"/>
          <w:iCs w:val="1"/>
          <w:color w:val="auto"/>
        </w:rPr>
      </w:pPr>
    </w:p>
    <w:p>
      <w:pPr>
        <w:ind w:left="1000" w:right="40" w:hanging="379"/>
        <w:spacing w:after="0" w:line="284" w:lineRule="auto"/>
        <w:tabs>
          <w:tab w:leader="none" w:pos="1000"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April 11, 2023, the intangible asset balance of NCM LLC was deconsolidated from NCM, Inc. Refer to Note 5—</w:t>
      </w:r>
      <w:r>
        <w:rPr>
          <w:rFonts w:ascii="Times New Roman" w:cs="Times New Roman" w:eastAsia="Times New Roman" w:hAnsi="Times New Roman"/>
          <w:sz w:val="18"/>
          <w:szCs w:val="18"/>
          <w:i w:val="1"/>
          <w:iCs w:val="1"/>
          <w:color w:val="auto"/>
        </w:rPr>
        <w:t>Reconsolidation of NCM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LLC </w:t>
      </w:r>
      <w:r>
        <w:rPr>
          <w:rFonts w:ascii="Times New Roman" w:cs="Times New Roman" w:eastAsia="Times New Roman" w:hAnsi="Times New Roman"/>
          <w:sz w:val="18"/>
          <w:szCs w:val="18"/>
          <w:color w:val="auto"/>
        </w:rPr>
        <w:t>for further information.</w:t>
      </w:r>
    </w:p>
    <w:p>
      <w:pPr>
        <w:spacing w:after="0" w:line="52" w:lineRule="exact"/>
        <w:rPr>
          <w:sz w:val="20"/>
          <w:szCs w:val="20"/>
          <w:color w:val="auto"/>
        </w:rPr>
      </w:pPr>
    </w:p>
    <w:p>
      <w:pPr>
        <w:ind w:right="220" w:firstLine="614"/>
        <w:spacing w:after="0" w:line="282" w:lineRule="auto"/>
        <w:rPr>
          <w:sz w:val="20"/>
          <w:szCs w:val="20"/>
          <w:color w:val="auto"/>
        </w:rPr>
      </w:pPr>
      <w:r>
        <w:rPr>
          <w:rFonts w:ascii="Times New Roman" w:cs="Times New Roman" w:eastAsia="Times New Roman" w:hAnsi="Times New Roman"/>
          <w:sz w:val="18"/>
          <w:szCs w:val="18"/>
          <w:color w:val="auto"/>
        </w:rPr>
        <w:t>As of December 26, 2024 and December 28, 2023, the Company’s intangible assets related to the ESA Parties, net of accumulated amortization, was $212.3 million and $236.7 million, respectively, with weighted average remaining lives of 11.6 years and 12.6 years, respectively.</w:t>
      </w:r>
    </w:p>
    <w:p>
      <w:pPr>
        <w:spacing w:after="0" w:line="54" w:lineRule="exact"/>
        <w:rPr>
          <w:sz w:val="20"/>
          <w:szCs w:val="20"/>
          <w:color w:val="auto"/>
        </w:rPr>
      </w:pPr>
    </w:p>
    <w:p>
      <w:pPr>
        <w:ind w:right="720" w:firstLine="614"/>
        <w:spacing w:after="0" w:line="312" w:lineRule="auto"/>
        <w:rPr>
          <w:sz w:val="20"/>
          <w:szCs w:val="20"/>
          <w:color w:val="auto"/>
        </w:rPr>
      </w:pPr>
      <w:r>
        <w:rPr>
          <w:rFonts w:ascii="Times New Roman" w:cs="Times New Roman" w:eastAsia="Times New Roman" w:hAnsi="Times New Roman"/>
          <w:sz w:val="17"/>
          <w:szCs w:val="17"/>
          <w:color w:val="auto"/>
        </w:rPr>
        <w:t>As of December 26, 2024 and December 28, 2023, the Company’s intangible assets related to the network affiliates, net of accumulated amortization, was $68.5 million and $73.2 million, respectively, with weighted average remaining lives of 14.6 years and 15.6 years, respectively.</w:t>
      </w:r>
    </w:p>
    <w:p>
      <w:pPr>
        <w:spacing w:after="0" w:line="32" w:lineRule="exact"/>
        <w:rPr>
          <w:sz w:val="20"/>
          <w:szCs w:val="20"/>
          <w:color w:val="auto"/>
        </w:rPr>
      </w:pPr>
    </w:p>
    <w:p>
      <w:pPr>
        <w:ind w:right="240" w:firstLine="614"/>
        <w:spacing w:after="0" w:line="282" w:lineRule="auto"/>
        <w:rPr>
          <w:sz w:val="20"/>
          <w:szCs w:val="20"/>
          <w:color w:val="auto"/>
        </w:rPr>
      </w:pPr>
      <w:r>
        <w:rPr>
          <w:rFonts w:ascii="Times New Roman" w:cs="Times New Roman" w:eastAsia="Times New Roman" w:hAnsi="Times New Roman"/>
          <w:sz w:val="18"/>
          <w:szCs w:val="18"/>
          <w:color w:val="auto"/>
        </w:rPr>
        <w:t>As of December 26, 2024 and December 28, 2023, the Company’s intangible assets related to the customer relationships, was $57.6 million and $70.1 million, respectively, with weighted average remaining lives of 4.6 years and 5.6 years, respectively.</w:t>
      </w:r>
    </w:p>
    <w:p>
      <w:pPr>
        <w:spacing w:after="0" w:line="54" w:lineRule="exact"/>
        <w:rPr>
          <w:sz w:val="20"/>
          <w:szCs w:val="20"/>
          <w:color w:val="auto"/>
        </w:rPr>
      </w:pPr>
    </w:p>
    <w:p>
      <w:pPr>
        <w:ind w:right="340" w:firstLine="614"/>
        <w:spacing w:after="0" w:line="282" w:lineRule="auto"/>
        <w:rPr>
          <w:sz w:val="20"/>
          <w:szCs w:val="20"/>
          <w:color w:val="auto"/>
        </w:rPr>
      </w:pPr>
      <w:r>
        <w:rPr>
          <w:rFonts w:ascii="Times New Roman" w:cs="Times New Roman" w:eastAsia="Times New Roman" w:hAnsi="Times New Roman"/>
          <w:sz w:val="18"/>
          <w:szCs w:val="18"/>
          <w:color w:val="auto"/>
        </w:rPr>
        <w:t>As of December 26, 2024 and December 28, 2023, the Company’s intangible assets related to trademark, was $12.4 million and $14.3 million, respectively, with weighted average remaining lives of 6.6 years and 7.6 years, respectively.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686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000" w:type="dxa"/>
            <w:vAlign w:val="bottom"/>
          </w:tcPr>
          <w:p>
            <w:pPr>
              <w:spacing w:after="0"/>
              <w:rPr>
                <w:sz w:val="20"/>
                <w:szCs w:val="20"/>
                <w:color w:val="auto"/>
              </w:rPr>
            </w:pPr>
          </w:p>
        </w:tc>
        <w:tc>
          <w:tcPr>
            <w:tcW w:w="686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21"/>
        </w:trPr>
        <w:tc>
          <w:tcPr>
            <w:tcW w:w="8860" w:type="dxa"/>
            <w:vAlign w:val="bottom"/>
            <w:gridSpan w:val="4"/>
          </w:tcPr>
          <w:p>
            <w:pPr>
              <w:ind w:left="620"/>
              <w:spacing w:after="0"/>
              <w:rPr>
                <w:sz w:val="20"/>
                <w:szCs w:val="20"/>
                <w:color w:val="auto"/>
              </w:rPr>
            </w:pPr>
            <w:r>
              <w:rPr>
                <w:rFonts w:ascii="Times New Roman" w:cs="Times New Roman" w:eastAsia="Times New Roman" w:hAnsi="Times New Roman"/>
                <w:sz w:val="18"/>
                <w:szCs w:val="18"/>
                <w:color w:val="auto"/>
              </w:rPr>
              <w:t>The estimated aggregate amortization expense for each of the five succeeding years is as follows (in millions):</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2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58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tcPr>
          <w:p>
            <w:pPr>
              <w:jc w:val="right"/>
              <w:ind w:right="1073"/>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23"/>
                <w:szCs w:val="23"/>
                <w:color w:val="auto"/>
              </w:rPr>
            </w:pPr>
          </w:p>
        </w:tc>
      </w:tr>
      <w:tr>
        <w:trPr>
          <w:trHeight w:val="210"/>
        </w:trPr>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860" w:type="dxa"/>
            <w:vAlign w:val="bottom"/>
            <w:gridSpan w:val="3"/>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FF0FC"/>
          </w:tcPr>
          <w:p>
            <w:pPr>
              <w:spacing w:after="0"/>
              <w:rPr>
                <w:sz w:val="18"/>
                <w:szCs w:val="18"/>
                <w:color w:val="auto"/>
              </w:rPr>
            </w:pPr>
          </w:p>
        </w:tc>
      </w:tr>
      <w:tr>
        <w:trPr>
          <w:trHeight w:val="216"/>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86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8"/>
                <w:szCs w:val="18"/>
                <w:color w:val="auto"/>
              </w:rPr>
            </w:pPr>
          </w:p>
        </w:tc>
      </w:tr>
      <w:tr>
        <w:trPr>
          <w:trHeight w:val="216"/>
        </w:trPr>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860" w:type="dxa"/>
            <w:vAlign w:val="bottom"/>
            <w:gridSpan w:val="3"/>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FF0FC"/>
          </w:tcPr>
          <w:p>
            <w:pPr>
              <w:spacing w:after="0"/>
              <w:rPr>
                <w:sz w:val="18"/>
                <w:szCs w:val="18"/>
                <w:color w:val="auto"/>
              </w:rPr>
            </w:pPr>
          </w:p>
        </w:tc>
      </w:tr>
      <w:tr>
        <w:trPr>
          <w:trHeight w:val="216"/>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86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8"/>
                <w:szCs w:val="18"/>
                <w:color w:val="auto"/>
              </w:rPr>
            </w:pPr>
          </w:p>
        </w:tc>
      </w:tr>
      <w:tr>
        <w:trPr>
          <w:trHeight w:val="216"/>
        </w:trPr>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860" w:type="dxa"/>
            <w:vAlign w:val="bottom"/>
            <w:gridSpan w:val="3"/>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FF0FC"/>
          </w:tcPr>
          <w:p>
            <w:pPr>
              <w:spacing w:after="0"/>
              <w:rPr>
                <w:sz w:val="18"/>
                <w:szCs w:val="18"/>
                <w:color w:val="auto"/>
              </w:rPr>
            </w:pPr>
          </w:p>
        </w:tc>
      </w:tr>
      <w:tr>
        <w:trPr>
          <w:trHeight w:val="23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86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20"/>
                <w:szCs w:val="20"/>
                <w:color w:val="auto"/>
              </w:rPr>
            </w:pPr>
          </w:p>
        </w:tc>
      </w:tr>
    </w:tbl>
    <w:p>
      <w:pPr>
        <w:spacing w:after="0" w:line="81" w:lineRule="exact"/>
        <w:rPr>
          <w:sz w:val="20"/>
          <w:szCs w:val="20"/>
          <w:color w:val="auto"/>
        </w:rPr>
      </w:pPr>
    </w:p>
    <w:p>
      <w:pPr>
        <w:ind w:left="840" w:hanging="832"/>
        <w:spacing w:after="0"/>
        <w:tabs>
          <w:tab w:leader="none" w:pos="8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320" w:firstLine="608"/>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U.S. and various states. The Company’s tax returns for the calendar years 2021 through 2023 remain open to examination by the IRS in their entirety. With respect to state taxing jurisdictions, the Company’s tax returns for calendar years ended 2020 through 2023 are eligible for examination by various state revenue services.</w:t>
      </w:r>
    </w:p>
    <w:p>
      <w:pPr>
        <w:spacing w:after="0" w:line="64" w:lineRule="exact"/>
        <w:rPr>
          <w:sz w:val="20"/>
          <w:szCs w:val="20"/>
          <w:color w:val="auto"/>
        </w:rPr>
      </w:pPr>
    </w:p>
    <w:p>
      <w:pPr>
        <w:ind w:right="40" w:firstLine="60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Tax Receivable Agreement</w:t>
      </w:r>
      <w:r>
        <w:rPr>
          <w:rFonts w:ascii="Times New Roman" w:cs="Times New Roman" w:eastAsia="Times New Roman" w:hAnsi="Times New Roman"/>
          <w:sz w:val="18"/>
          <w:szCs w:val="18"/>
          <w:color w:val="auto"/>
        </w:rPr>
        <w:t>—On the IPO date, NCM, Inc. and the ESA Parties entered into a TRA. Under the terms of this agreement, NCM, Inc.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make cash payments to the ESA Parties in amounts equal to 90% of NCM, Inc.’s actual tax benefit realized from the tax amortization of the intangible assets described below. For purposes of the TRA, cash savings in income and franchise tax will be computed by comparing NCM, Inc.’s actual income and franchise tax liability to the amount of such taxes that NCM, Inc. would have been required to pay had there been no increase in NCM, Inc.’s proportionate share of tax basis in NCM LLC’s tangible and intangible assets and had the TRA not been entered into. The TRA applies to NCM, Inc.’s taxable years up to and including the 30th anniversary date of the offering. For the 2022 tax year, the Company paid the ESA Parties $0.0 million in the year ended December 28, 2023. For the 2023 tax year, the Company paid the ESA Parties $0.0 million in the year ended December 26, 2024. For the 2024 tax year, the Company expects to pay $4.1 million in 2025 to the ESA Parties.</w:t>
      </w:r>
    </w:p>
    <w:p>
      <w:pPr>
        <w:spacing w:after="0" w:line="81" w:lineRule="exact"/>
        <w:rPr>
          <w:sz w:val="20"/>
          <w:szCs w:val="20"/>
          <w:color w:val="auto"/>
        </w:rPr>
      </w:pPr>
    </w:p>
    <w:p>
      <w:pPr>
        <w:ind w:right="20" w:firstLine="608"/>
        <w:spacing w:after="0" w:line="253" w:lineRule="auto"/>
        <w:rPr>
          <w:sz w:val="20"/>
          <w:szCs w:val="20"/>
          <w:color w:val="auto"/>
        </w:rPr>
      </w:pPr>
      <w:r>
        <w:rPr>
          <w:rFonts w:ascii="Times New Roman" w:cs="Times New Roman" w:eastAsia="Times New Roman" w:hAnsi="Times New Roman"/>
          <w:sz w:val="18"/>
          <w:szCs w:val="18"/>
          <w:color w:val="auto"/>
        </w:rPr>
        <w:t>NCM, Inc. recorded a long-term payable to the ESA Parties related to the TRA. The Company recorded an increase of $4.2 million and $24.2 million to the “Payable to ESA Parties under the tax receivable agreement” during the years ended December 26, 2024 and December 28, 2023, respectively. The increase in the payable under the TRA during the year ended December 26, 2024 was driven primarily by a change in calculation methodology to also include forecasted book income for the next two years in addition to the current year, due to management’s ability to more accurately forecast following the conclusion of the COVID-19 pandemic. The increase in the year ended December 28, 2023 was primarily due to the increase in NCM, Inc.’s ownership percentage of NCM LLC. The ownership related changes to the “Payable to ESA Parties under the tax receivable agreement” were recorded within “Additional paid in capital, deficit” on the Consolidated Balance Sheet and the non-ownership related changes were recorded within “Non-operating income” within the Consolidated Statements of Operations. For the year ended December 28, 2023, following the Regal Termination Agreement whereby Regal waived all rights and interests as to the TRA, the Company reduced the “Payable under the TRA” on the Consolidated Balance Sheets for the amounts expected to be owed to Regal. This decrease was ultimately offset by the increase in the ‘Payable under the TRA’ on the Consolidated Balance Sheets due to the additional basis created upon the revaluation and reconsolidation of NCM LLC on the Effective Date.</w:t>
      </w:r>
    </w:p>
    <w:p>
      <w:pPr>
        <w:spacing w:after="0" w:line="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r>
        <w:rPr>
          <w:rFonts w:ascii="Times New Roman" w:cs="Times New Roman" w:eastAsia="Times New Roman" w:hAnsi="Times New Roman"/>
          <w:sz w:val="18"/>
          <w:szCs w:val="18"/>
          <w:color w:val="auto"/>
        </w:rPr>
        <w:t>—The Company's total income taxes are as follows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4"/>
          </w:tcPr>
          <w:p>
            <w:pPr>
              <w:ind w:left="116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0" w:type="dxa"/>
            <w:vAlign w:val="bottom"/>
          </w:tcPr>
          <w:p>
            <w:pPr>
              <w:spacing w:after="0"/>
              <w:rPr>
                <w:sz w:val="1"/>
                <w:szCs w:val="1"/>
                <w:color w:val="auto"/>
              </w:rPr>
            </w:pPr>
          </w:p>
        </w:tc>
      </w:tr>
      <w:tr>
        <w:trPr>
          <w:trHeight w:val="142"/>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December 26, 2024</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2023</w:t>
            </w:r>
          </w:p>
        </w:tc>
        <w:tc>
          <w:tcPr>
            <w:tcW w:w="0" w:type="dxa"/>
            <w:vAlign w:val="bottom"/>
          </w:tcPr>
          <w:p>
            <w:pPr>
              <w:spacing w:after="0"/>
              <w:rPr>
                <w:sz w:val="1"/>
                <w:szCs w:val="1"/>
                <w:color w:val="auto"/>
              </w:rPr>
            </w:pPr>
          </w:p>
        </w:tc>
      </w:tr>
      <w:tr>
        <w:trPr>
          <w:trHeight w:val="209"/>
        </w:trPr>
        <w:tc>
          <w:tcPr>
            <w:tcW w:w="7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State </w:t>
            </w:r>
            <w:r>
              <w:rPr>
                <w:rFonts w:ascii="Times New Roman" w:cs="Times New Roman" w:eastAsia="Times New Roman" w:hAnsi="Times New Roman"/>
                <w:sz w:val="18"/>
                <w:szCs w:val="18"/>
                <w:i w:val="1"/>
                <w:iCs w:val="1"/>
                <w:color w:val="auto"/>
              </w:rPr>
              <w:t>(1)</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deferred income tax expense</w:t>
            </w: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provision on Consolidated Statements of Operation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-170815</wp:posOffset>
            </wp:positionV>
            <wp:extent cx="1117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10" w:lineRule="exact"/>
        <w:rPr>
          <w:sz w:val="20"/>
          <w:szCs w:val="20"/>
          <w:color w:val="auto"/>
        </w:rPr>
      </w:pPr>
    </w:p>
    <w:p>
      <w:pPr>
        <w:ind w:left="1000" w:right="420" w:hanging="379"/>
        <w:spacing w:after="0" w:line="282" w:lineRule="auto"/>
        <w:tabs>
          <w:tab w:leader="none" w:pos="1000"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majority of the current income tax expense relates to taxes in Colorado, California and New Jersey for the year ended December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19030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4" w:lineRule="exact"/>
        <w:rPr>
          <w:sz w:val="20"/>
          <w:szCs w:val="20"/>
          <w:color w:val="auto"/>
        </w:rPr>
      </w:pPr>
    </w:p>
    <w:p>
      <w:pPr>
        <w:ind w:right="200" w:firstLine="614"/>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taxes as reported and the amount computed by multiplying income before taxes, less noncontrolling interest, by the U.S. federal statutory rate of 21.0% as of December 26, 2024 and December 28,</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52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3000" w:type="dxa"/>
            <w:vAlign w:val="bottom"/>
          </w:tcPr>
          <w:p>
            <w:pPr>
              <w:spacing w:after="0"/>
              <w:rPr>
                <w:sz w:val="20"/>
                <w:szCs w:val="20"/>
                <w:color w:val="auto"/>
              </w:rPr>
            </w:pPr>
          </w:p>
        </w:tc>
        <w:tc>
          <w:tcPr>
            <w:tcW w:w="52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621"/>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 was (in millions):</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300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00" w:type="dxa"/>
            <w:vAlign w:val="bottom"/>
            <w:tcBorders>
              <w:bottom w:val="single" w:sz="8" w:color="auto"/>
            </w:tcBorders>
          </w:tcPr>
          <w:p>
            <w:pPr>
              <w:spacing w:after="0"/>
              <w:rPr>
                <w:sz w:val="23"/>
                <w:szCs w:val="23"/>
                <w:color w:val="auto"/>
              </w:rPr>
            </w:pPr>
          </w:p>
        </w:tc>
      </w:tr>
      <w:tr>
        <w:trPr>
          <w:trHeight w:val="142"/>
        </w:trPr>
        <w:tc>
          <w:tcPr>
            <w:tcW w:w="30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3"/>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December 26, 2024</w:t>
            </w:r>
          </w:p>
        </w:tc>
        <w:tc>
          <w:tcPr>
            <w:tcW w:w="1100" w:type="dxa"/>
            <w:vAlign w:val="bottom"/>
            <w:tcBorders>
              <w:bottom w:val="single" w:sz="8" w:color="auto"/>
            </w:tcBorders>
          </w:tcPr>
          <w:p>
            <w:pPr>
              <w:spacing w:after="0"/>
              <w:rPr>
                <w:sz w:val="12"/>
                <w:szCs w:val="12"/>
                <w:color w:val="auto"/>
              </w:rPr>
            </w:pPr>
          </w:p>
        </w:tc>
      </w:tr>
      <w:tr>
        <w:trPr>
          <w:trHeight w:val="209"/>
        </w:trPr>
        <w:tc>
          <w:tcPr>
            <w:tcW w:w="7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calculated at federal statutory income tax rate:</w:t>
            </w: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7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1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Noncontrolling interests</w:t>
            </w:r>
          </w:p>
        </w:tc>
        <w:tc>
          <w:tcPr>
            <w:tcW w:w="1080" w:type="dxa"/>
            <w:vAlign w:val="bottom"/>
            <w:shd w:val="clear" w:color="auto" w:fill="CFF0FC"/>
          </w:tcPr>
          <w:p>
            <w:pPr>
              <w:spacing w:after="0"/>
              <w:rPr>
                <w:sz w:val="18"/>
                <w:szCs w:val="18"/>
                <w:color w:val="auto"/>
              </w:rPr>
            </w:pPr>
          </w:p>
        </w:tc>
        <w:tc>
          <w:tcPr>
            <w:tcW w:w="1880" w:type="dxa"/>
            <w:vAlign w:val="bottom"/>
            <w:gridSpan w:val="3"/>
            <w:shd w:val="clear" w:color="auto" w:fill="CFF0FC"/>
          </w:tcPr>
          <w:p>
            <w:pPr>
              <w:jc w:val="right"/>
              <w:ind w:right="1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spacing w:after="0"/>
              <w:rPr>
                <w:sz w:val="18"/>
                <w:szCs w:val="18"/>
                <w:color w:val="auto"/>
              </w:rPr>
            </w:pPr>
          </w:p>
        </w:tc>
      </w:tr>
      <w:tr>
        <w:trPr>
          <w:trHeight w:val="209"/>
        </w:trPr>
        <w:tc>
          <w:tcPr>
            <w:tcW w:w="7180" w:type="dxa"/>
            <w:vAlign w:val="bottom"/>
            <w:tcBorders>
              <w:top w:val="single" w:sz="8" w:color="CFF0FC"/>
            </w:tcBorders>
            <w:gridSpan w:val="2"/>
          </w:tcPr>
          <w:p>
            <w:pPr>
              <w:ind w:left="380"/>
              <w:spacing w:after="0"/>
              <w:rPr>
                <w:sz w:val="20"/>
                <w:szCs w:val="20"/>
                <w:color w:val="auto"/>
              </w:rPr>
            </w:pPr>
            <w:r>
              <w:rPr>
                <w:rFonts w:ascii="Times New Roman" w:cs="Times New Roman" w:eastAsia="Times New Roman" w:hAnsi="Times New Roman"/>
                <w:sz w:val="18"/>
                <w:szCs w:val="18"/>
                <w:color w:val="auto"/>
              </w:rPr>
              <w:t>Income attributable to NCM, Inc.</w:t>
            </w:r>
          </w:p>
        </w:tc>
        <w:tc>
          <w:tcPr>
            <w:tcW w:w="10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4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7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 Federal</w:t>
            </w: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7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1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Executive compensation limitation</w:t>
            </w: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16"/>
        </w:trPr>
        <w:tc>
          <w:tcPr>
            <w:tcW w:w="7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Excess tax deficiency on share-based compensation pay</w:t>
            </w:r>
          </w:p>
        </w:tc>
        <w:tc>
          <w:tcPr>
            <w:tcW w:w="108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71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Dividend equivalents paid on share-based compensation</w:t>
            </w: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16"/>
        </w:trPr>
        <w:tc>
          <w:tcPr>
            <w:tcW w:w="7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16"/>
        </w:trPr>
        <w:tc>
          <w:tcPr>
            <w:tcW w:w="71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xml:space="preserve">Change in the valuation allowance </w:t>
            </w:r>
            <w:r>
              <w:rPr>
                <w:rFonts w:ascii="Times New Roman" w:cs="Times New Roman" w:eastAsia="Times New Roman" w:hAnsi="Times New Roman"/>
                <w:sz w:val="18"/>
                <w:szCs w:val="18"/>
                <w:i w:val="1"/>
                <w:iCs w:val="1"/>
                <w:color w:val="auto"/>
              </w:rPr>
              <w:t>(1)</w:t>
            </w: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16"/>
        </w:trPr>
        <w:tc>
          <w:tcPr>
            <w:tcW w:w="7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Projected executive compensation limitations</w:t>
            </w:r>
          </w:p>
        </w:tc>
        <w:tc>
          <w:tcPr>
            <w:tcW w:w="108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16"/>
        </w:trPr>
        <w:tc>
          <w:tcPr>
            <w:tcW w:w="71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 state and local income taxes, net of federal effect</w:t>
            </w:r>
          </w:p>
        </w:tc>
        <w:tc>
          <w:tcPr>
            <w:tcW w:w="10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09"/>
        </w:trPr>
        <w:tc>
          <w:tcPr>
            <w:tcW w:w="71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0"/>
        </w:trPr>
        <w:tc>
          <w:tcPr>
            <w:tcW w:w="30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15"/>
        </w:trPr>
        <w:tc>
          <w:tcPr>
            <w:tcW w:w="3000" w:type="dxa"/>
            <w:vAlign w:val="bottom"/>
            <w:tcBorders>
              <w:bottom w:val="single" w:sz="8" w:color="auto"/>
            </w:tcBorders>
          </w:tcPr>
          <w:p>
            <w:pPr>
              <w:spacing w:after="0"/>
              <w:rPr>
                <w:sz w:val="10"/>
                <w:szCs w:val="10"/>
                <w:color w:val="auto"/>
              </w:rPr>
            </w:pPr>
          </w:p>
        </w:tc>
        <w:tc>
          <w:tcPr>
            <w:tcW w:w="4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-1645285</wp:posOffset>
            </wp:positionV>
            <wp:extent cx="946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-264795</wp:posOffset>
            </wp:positionV>
            <wp:extent cx="946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6" w:lineRule="exact"/>
        <w:rPr>
          <w:sz w:val="20"/>
          <w:szCs w:val="20"/>
          <w:color w:val="auto"/>
        </w:rPr>
      </w:pPr>
    </w:p>
    <w:p>
      <w:pPr>
        <w:ind w:left="1000" w:right="80" w:hanging="379"/>
        <w:spacing w:after="0" w:line="282" w:lineRule="auto"/>
        <w:tabs>
          <w:tab w:leader="none" w:pos="1000"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Refer to the discussion of changes to the valuation allowance during the year ended December 26, 2024 within the Deferred Tax Assets table below.</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2"/>
        </w:trPr>
        <w:tc>
          <w:tcPr>
            <w:tcW w:w="30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2023</w:t>
            </w:r>
          </w:p>
        </w:tc>
      </w:tr>
      <w:tr>
        <w:trPr>
          <w:trHeight w:val="209"/>
        </w:trPr>
        <w:tc>
          <w:tcPr>
            <w:tcW w:w="8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calculated at federal statutory income tax rate:</w:t>
            </w:r>
          </w:p>
        </w:tc>
        <w:tc>
          <w:tcPr>
            <w:tcW w:w="30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r>
      <w:tr>
        <w:trPr>
          <w:trHeight w:val="216"/>
        </w:trPr>
        <w:tc>
          <w:tcPr>
            <w:tcW w:w="8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146.5</w:t>
            </w:r>
          </w:p>
        </w:tc>
      </w:tr>
      <w:tr>
        <w:trPr>
          <w:trHeight w:val="216"/>
        </w:trPr>
        <w:tc>
          <w:tcPr>
            <w:tcW w:w="89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Noncontrolling interests</w:t>
            </w:r>
          </w:p>
        </w:tc>
        <w:tc>
          <w:tcPr>
            <w:tcW w:w="300" w:type="dxa"/>
            <w:vAlign w:val="bottom"/>
            <w:tcBorders>
              <w:bottom w:val="single" w:sz="8" w:color="auto"/>
            </w:tcBorders>
            <w:shd w:val="clear" w:color="auto" w:fill="CFF0FC"/>
          </w:tcPr>
          <w:p>
            <w:pPr>
              <w:spacing w:after="0"/>
              <w:rPr>
                <w:sz w:val="18"/>
                <w:szCs w:val="18"/>
                <w:color w:val="auto"/>
              </w:rPr>
            </w:pPr>
          </w:p>
        </w:tc>
        <w:tc>
          <w:tcPr>
            <w:tcW w:w="2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8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Income attributable to NCM, Inc.</w:t>
            </w:r>
          </w:p>
        </w:tc>
        <w:tc>
          <w:tcPr>
            <w:tcW w:w="300" w:type="dxa"/>
            <w:vAlign w:val="bottom"/>
          </w:tcPr>
          <w:p>
            <w:pPr>
              <w:spacing w:after="0"/>
              <w:rPr>
                <w:sz w:val="18"/>
                <w:szCs w:val="18"/>
                <w:color w:val="auto"/>
              </w:rPr>
            </w:pPr>
          </w:p>
        </w:tc>
        <w:tc>
          <w:tcPr>
            <w:tcW w:w="2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148.3</w:t>
            </w:r>
          </w:p>
        </w:tc>
      </w:tr>
      <w:tr>
        <w:trPr>
          <w:trHeight w:val="216"/>
        </w:trPr>
        <w:tc>
          <w:tcPr>
            <w:tcW w:w="89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year change to enacted federal and state rate</w:t>
            </w:r>
          </w:p>
        </w:tc>
        <w:tc>
          <w:tcPr>
            <w:tcW w:w="30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16"/>
        </w:trPr>
        <w:tc>
          <w:tcPr>
            <w:tcW w:w="8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300" w:type="dxa"/>
            <w:vAlign w:val="bottom"/>
          </w:tcPr>
          <w:p>
            <w:pPr>
              <w:spacing w:after="0"/>
              <w:rPr>
                <w:sz w:val="18"/>
                <w:szCs w:val="18"/>
                <w:color w:val="auto"/>
              </w:rPr>
            </w:pPr>
          </w:p>
        </w:tc>
        <w:tc>
          <w:tcPr>
            <w:tcW w:w="2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89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FF0FC"/>
          </w:tcPr>
          <w:p>
            <w:pPr>
              <w:spacing w:after="0"/>
              <w:rPr>
                <w:sz w:val="18"/>
                <w:szCs w:val="18"/>
                <w:color w:val="auto"/>
              </w:rPr>
            </w:pPr>
          </w:p>
        </w:tc>
        <w:tc>
          <w:tcPr>
            <w:tcW w:w="2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Cancellation of debt income attributable to NCM LLC</w:t>
            </w:r>
          </w:p>
        </w:tc>
        <w:tc>
          <w:tcPr>
            <w:tcW w:w="300" w:type="dxa"/>
            <w:vAlign w:val="bottom"/>
          </w:tcPr>
          <w:p>
            <w:pPr>
              <w:spacing w:after="0"/>
              <w:rPr>
                <w:sz w:val="18"/>
                <w:szCs w:val="18"/>
                <w:color w:val="auto"/>
              </w:rPr>
            </w:pPr>
          </w:p>
        </w:tc>
        <w:tc>
          <w:tcPr>
            <w:tcW w:w="2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89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Deconsolidation effects of NCM LLC</w:t>
            </w:r>
          </w:p>
        </w:tc>
        <w:tc>
          <w:tcPr>
            <w:tcW w:w="30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(37.2 )</w:t>
            </w:r>
          </w:p>
        </w:tc>
      </w:tr>
      <w:tr>
        <w:trPr>
          <w:trHeight w:val="216"/>
        </w:trPr>
        <w:tc>
          <w:tcPr>
            <w:tcW w:w="8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Effects of NCM LLC Bankruptcy</w:t>
            </w:r>
          </w:p>
        </w:tc>
        <w:tc>
          <w:tcPr>
            <w:tcW w:w="3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16"/>
        </w:trPr>
        <w:tc>
          <w:tcPr>
            <w:tcW w:w="89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xml:space="preserve">Tax attribute reduction </w:t>
            </w:r>
            <w:r>
              <w:rPr>
                <w:rFonts w:ascii="Times New Roman" w:cs="Times New Roman" w:eastAsia="Times New Roman" w:hAnsi="Times New Roman"/>
                <w:sz w:val="18"/>
                <w:szCs w:val="18"/>
                <w:i w:val="1"/>
                <w:iCs w:val="1"/>
                <w:color w:val="auto"/>
              </w:rPr>
              <w:t>(1)</w:t>
            </w:r>
          </w:p>
        </w:tc>
        <w:tc>
          <w:tcPr>
            <w:tcW w:w="300" w:type="dxa"/>
            <w:vAlign w:val="bottom"/>
            <w:shd w:val="clear" w:color="auto" w:fill="CFF0FC"/>
          </w:tcPr>
          <w:p>
            <w:pPr>
              <w:spacing w:after="0"/>
              <w:rPr>
                <w:sz w:val="18"/>
                <w:szCs w:val="18"/>
                <w:color w:val="auto"/>
              </w:rPr>
            </w:pPr>
          </w:p>
        </w:tc>
        <w:tc>
          <w:tcPr>
            <w:tcW w:w="2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63.1</w:t>
            </w:r>
          </w:p>
        </w:tc>
      </w:tr>
      <w:tr>
        <w:trPr>
          <w:trHeight w:val="216"/>
        </w:trPr>
        <w:tc>
          <w:tcPr>
            <w:tcW w:w="8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xml:space="preserve">Change in valuation allowance </w:t>
            </w:r>
            <w:r>
              <w:rPr>
                <w:rFonts w:ascii="Times New Roman" w:cs="Times New Roman" w:eastAsia="Times New Roman" w:hAnsi="Times New Roman"/>
                <w:sz w:val="18"/>
                <w:szCs w:val="18"/>
                <w:i w:val="1"/>
                <w:iCs w:val="1"/>
                <w:color w:val="auto"/>
              </w:rPr>
              <w:t>(1)</w:t>
            </w:r>
          </w:p>
        </w:tc>
        <w:tc>
          <w:tcPr>
            <w:tcW w:w="3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(208.4 )</w:t>
            </w:r>
          </w:p>
        </w:tc>
      </w:tr>
      <w:tr>
        <w:trPr>
          <w:trHeight w:val="216"/>
        </w:trPr>
        <w:tc>
          <w:tcPr>
            <w:tcW w:w="89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Executive compensation</w:t>
            </w:r>
          </w:p>
        </w:tc>
        <w:tc>
          <w:tcPr>
            <w:tcW w:w="300" w:type="dxa"/>
            <w:vAlign w:val="bottom"/>
            <w:shd w:val="clear" w:color="auto" w:fill="CFF0FC"/>
          </w:tcPr>
          <w:p>
            <w:pPr>
              <w:spacing w:after="0"/>
              <w:rPr>
                <w:sz w:val="18"/>
                <w:szCs w:val="18"/>
                <w:color w:val="auto"/>
              </w:rPr>
            </w:pPr>
          </w:p>
        </w:tc>
        <w:tc>
          <w:tcPr>
            <w:tcW w:w="2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8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50"/>
        </w:trPr>
        <w:tc>
          <w:tcPr>
            <w:tcW w:w="8940" w:type="dxa"/>
            <w:vAlign w:val="bottom"/>
            <w:tcBorders>
              <w:bottom w:val="single" w:sz="8" w:color="CFF0FC"/>
            </w:tcBorders>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129"/>
        </w:trPr>
        <w:tc>
          <w:tcPr>
            <w:tcW w:w="3000" w:type="dxa"/>
            <w:vAlign w:val="bottom"/>
            <w:tcBorders>
              <w:bottom w:val="single" w:sz="8" w:color="auto"/>
            </w:tcBorders>
          </w:tcPr>
          <w:p>
            <w:pPr>
              <w:spacing w:after="0"/>
              <w:rPr>
                <w:sz w:val="11"/>
                <w:szCs w:val="11"/>
                <w:color w:val="auto"/>
              </w:rPr>
            </w:pPr>
          </w:p>
        </w:tc>
        <w:tc>
          <w:tcPr>
            <w:tcW w:w="5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0" w:type="dxa"/>
            <w:vAlign w:val="bottom"/>
          </w:tcPr>
          <w:p>
            <w:pPr>
              <w:spacing w:after="0"/>
              <w:rPr>
                <w:sz w:val="11"/>
                <w:szCs w:val="11"/>
                <w:color w:val="auto"/>
              </w:rPr>
            </w:pPr>
          </w:p>
        </w:tc>
      </w:tr>
    </w:tbl>
    <w:p>
      <w:pPr>
        <w:spacing w:after="0" w:line="36" w:lineRule="exact"/>
        <w:rPr>
          <w:sz w:val="20"/>
          <w:szCs w:val="20"/>
          <w:color w:val="auto"/>
        </w:rPr>
      </w:pPr>
    </w:p>
    <w:p>
      <w:pPr>
        <w:ind w:left="1000" w:right="80" w:hanging="379"/>
        <w:spacing w:after="0" w:line="282" w:lineRule="auto"/>
        <w:tabs>
          <w:tab w:leader="none" w:pos="1000"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Refer to the discussion of changes to the valuation allowance during the year ended December 28, 2023 within the Deferred Tax Assets table below.</w:t>
      </w:r>
    </w:p>
    <w:p>
      <w:pPr>
        <w:spacing w:after="0" w:line="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w:t>
      </w:r>
      <w:r>
        <w:rPr>
          <w:rFonts w:ascii="Times New Roman" w:cs="Times New Roman" w:eastAsia="Times New Roman" w:hAnsi="Times New Roman"/>
          <w:sz w:val="18"/>
          <w:szCs w:val="18"/>
          <w:color w:val="auto"/>
        </w:rPr>
        <w:t>—Significant components of the Company’s deferred tax assets consisted of the following (in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4"/>
          </w:tcPr>
          <w:p>
            <w:pPr>
              <w:jc w:val="right"/>
              <w:ind w:right="1332"/>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142"/>
        </w:trPr>
        <w:tc>
          <w:tcPr>
            <w:tcW w:w="30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December 26, 2024</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2023</w:t>
            </w:r>
          </w:p>
        </w:tc>
      </w:tr>
      <w:tr>
        <w:trPr>
          <w:trHeight w:val="210"/>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xml:space="preserve">Investment in consolidated subsidiary NCM LLC </w:t>
            </w:r>
            <w:r>
              <w:rPr>
                <w:rFonts w:ascii="Times New Roman" w:cs="Times New Roman" w:eastAsia="Times New Roman" w:hAnsi="Times New Roman"/>
                <w:sz w:val="18"/>
                <w:szCs w:val="18"/>
                <w:i w:val="1"/>
                <w:iCs w:val="1"/>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136.7</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127.1</w:t>
            </w:r>
          </w:p>
        </w:tc>
      </w:tr>
      <w:tr>
        <w:trPr>
          <w:trHeight w:val="216"/>
        </w:trPr>
        <w:tc>
          <w:tcPr>
            <w:tcW w:w="7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xml:space="preserve">Net operating losses </w:t>
            </w:r>
            <w:r>
              <w:rPr>
                <w:rFonts w:ascii="Times New Roman" w:cs="Times New Roman" w:eastAsia="Times New Roman" w:hAnsi="Times New Roman"/>
                <w:sz w:val="18"/>
                <w:szCs w:val="18"/>
                <w:i w:val="1"/>
                <w:iCs w:val="1"/>
                <w:color w:val="auto"/>
              </w:rPr>
              <w:t>(2)</w:t>
            </w:r>
          </w:p>
        </w:tc>
        <w:tc>
          <w:tcPr>
            <w:tcW w:w="140" w:type="dxa"/>
            <w:vAlign w:val="bottom"/>
          </w:tcPr>
          <w:p>
            <w:pPr>
              <w:spacing w:after="0"/>
              <w:rPr>
                <w:sz w:val="18"/>
                <w:szCs w:val="18"/>
                <w:color w:val="auto"/>
              </w:rPr>
            </w:pPr>
          </w:p>
        </w:tc>
        <w:tc>
          <w:tcPr>
            <w:tcW w:w="15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7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bonus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Business interest expense limitation</w:t>
            </w:r>
          </w:p>
        </w:tc>
        <w:tc>
          <w:tcPr>
            <w:tcW w:w="140" w:type="dxa"/>
            <w:vAlign w:val="bottom"/>
          </w:tcPr>
          <w:p>
            <w:pPr>
              <w:spacing w:after="0"/>
              <w:rPr>
                <w:sz w:val="18"/>
                <w:szCs w:val="18"/>
                <w:color w:val="auto"/>
              </w:rPr>
            </w:pPr>
          </w:p>
        </w:tc>
        <w:tc>
          <w:tcPr>
            <w:tcW w:w="15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7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0.4</w:t>
            </w:r>
          </w:p>
        </w:tc>
      </w:tr>
      <w:tr>
        <w:trPr>
          <w:trHeight w:val="210"/>
        </w:trPr>
        <w:tc>
          <w:tcPr>
            <w:tcW w:w="7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40" w:type="dxa"/>
            <w:vAlign w:val="bottom"/>
          </w:tcPr>
          <w:p>
            <w:pPr>
              <w:spacing w:after="0"/>
              <w:rPr>
                <w:sz w:val="18"/>
                <w:szCs w:val="18"/>
                <w:color w:val="auto"/>
              </w:rPr>
            </w:pPr>
          </w:p>
        </w:tc>
        <w:tc>
          <w:tcPr>
            <w:tcW w:w="15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169.1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146.0</w:t>
            </w:r>
          </w:p>
        </w:tc>
      </w:tr>
      <w:tr>
        <w:trPr>
          <w:trHeight w:val="216"/>
        </w:trPr>
        <w:tc>
          <w:tcPr>
            <w:tcW w:w="77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xml:space="preserve">Valuation allowance </w:t>
            </w:r>
            <w:r>
              <w:rPr>
                <w:rFonts w:ascii="Times New Roman" w:cs="Times New Roman" w:eastAsia="Times New Roman" w:hAnsi="Times New Roman"/>
                <w:sz w:val="18"/>
                <w:szCs w:val="18"/>
                <w:i w:val="1"/>
                <w:iCs w:val="1"/>
                <w:color w:val="auto"/>
              </w:rPr>
              <w:t>(3)</w:t>
            </w: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(169.1 )</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(146.0 )</w:t>
            </w:r>
          </w:p>
        </w:tc>
      </w:tr>
      <w:tr>
        <w:trPr>
          <w:trHeight w:val="210"/>
        </w:trPr>
        <w:tc>
          <w:tcPr>
            <w:tcW w:w="7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4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-607695</wp:posOffset>
            </wp:positionV>
            <wp:extent cx="11176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-325120</wp:posOffset>
            </wp:positionV>
            <wp:extent cx="1117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00" w:hanging="379"/>
        <w:spacing w:after="0" w:line="282" w:lineRule="auto"/>
        <w:tabs>
          <w:tab w:leader="none" w:pos="1000"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recognized a deferred tax asset in the amount of $136.7 million and $127.1 million as of December 26, 2024 and December 28, 2023, respectively, associated with the basis difference in our investment in NCM LLC.</w:t>
      </w:r>
    </w:p>
    <w:p>
      <w:pPr>
        <w:spacing w:after="0" w:line="53" w:lineRule="exact"/>
        <w:rPr>
          <w:rFonts w:ascii="Times New Roman" w:cs="Times New Roman" w:eastAsia="Times New Roman" w:hAnsi="Times New Roman"/>
          <w:sz w:val="18"/>
          <w:szCs w:val="18"/>
          <w:i w:val="1"/>
          <w:iCs w:val="1"/>
          <w:color w:val="auto"/>
        </w:rPr>
      </w:pPr>
    </w:p>
    <w:p>
      <w:pPr>
        <w:ind w:left="1000" w:right="20" w:hanging="379"/>
        <w:spacing w:after="0" w:line="266" w:lineRule="auto"/>
        <w:tabs>
          <w:tab w:leader="none" w:pos="1000"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increase within the Net operating losses deferred tax asset from December 28, 2023 to December 26, 2024 was due to a smaller reduction of the Company’s tax attributes in recognition of cancellation of debt income in conjunction with NCM LLC’s emergence from the Chapter 11 Case on August 7, 2023 within the Company's 2023 tax returns than previously estimated as of December 28, 2023.</w:t>
      </w:r>
    </w:p>
    <w:p>
      <w:pPr>
        <w:spacing w:after="0" w:line="67" w:lineRule="exact"/>
        <w:rPr>
          <w:rFonts w:ascii="Times New Roman" w:cs="Times New Roman" w:eastAsia="Times New Roman" w:hAnsi="Times New Roman"/>
          <w:sz w:val="18"/>
          <w:szCs w:val="18"/>
          <w:i w:val="1"/>
          <w:iCs w:val="1"/>
          <w:color w:val="auto"/>
        </w:rPr>
      </w:pPr>
    </w:p>
    <w:p>
      <w:pPr>
        <w:ind w:left="1000" w:right="60" w:hanging="379"/>
        <w:spacing w:after="0" w:line="254" w:lineRule="auto"/>
        <w:tabs>
          <w:tab w:leader="none" w:pos="1000"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evaluated its deferred tax assets as of December 26, 2024 and December 28, 2023 and considered both positive and negative evidence in determining whether it is more likely than not that all or some portion of its deferred tax assets will be realized. The Company generated a three-year cumulative pre-tax book loss during 2021 driven by the impact of the COVID-19 Pandemic on the Company’s operations in 2021 and 2020, the effect of which continued into 2022 and 2023. Given the associated weight assigned to this item as negative evidence within the Company’s analysis, the Company determined it is more-likely-than-not that the Company will not be able to realize certain of the Company’s deferred tax assets and the Company increased the valuation allowance against certain deferred tax assets. Once the Company returns to a more normal operating level and emerges from a three-year cumulative pre-tax book loss position, part or all the valuation allowance is expected to reverse.</w:t>
      </w:r>
    </w:p>
    <w:p>
      <w:pPr>
        <w:spacing w:after="0" w:line="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Income taxes paid</w:t>
      </w:r>
      <w:r>
        <w:rPr>
          <w:rFonts w:ascii="Times New Roman" w:cs="Times New Roman" w:eastAsia="Times New Roman" w:hAnsi="Times New Roman"/>
          <w:sz w:val="18"/>
          <w:szCs w:val="18"/>
          <w:color w:val="auto"/>
        </w:rPr>
        <w:t>—A reconciliation of the income taxes paid for the year ended December 26, 2024 was (in dollars):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2"/>
        </w:trPr>
        <w:tc>
          <w:tcPr>
            <w:tcW w:w="30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December 26, 2024</w:t>
            </w:r>
          </w:p>
        </w:tc>
      </w:tr>
      <w:tr>
        <w:trPr>
          <w:trHeight w:val="209"/>
        </w:trPr>
        <w:tc>
          <w:tcPr>
            <w:tcW w:w="8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30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r>
      <w:tr>
        <w:trPr>
          <w:trHeight w:val="216"/>
        </w:trPr>
        <w:tc>
          <w:tcPr>
            <w:tcW w:w="8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Federal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state and local</w:t>
            </w:r>
          </w:p>
        </w:tc>
        <w:tc>
          <w:tcPr>
            <w:tcW w:w="30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r>
      <w:tr>
        <w:trPr>
          <w:trHeight w:val="216"/>
        </w:trPr>
        <w:tc>
          <w:tcPr>
            <w:tcW w:w="8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xml:space="preserve">Ohio Municipalities </w:t>
            </w:r>
            <w:r>
              <w:rPr>
                <w:rFonts w:ascii="Times New Roman" w:cs="Times New Roman" w:eastAsia="Times New Roman" w:hAnsi="Times New Roman"/>
                <w:sz w:val="18"/>
                <w:szCs w:val="18"/>
                <w:i w:val="1"/>
                <w:iCs w:val="1"/>
                <w:color w:val="auto"/>
              </w:rPr>
              <w:t>(1)</w:t>
            </w:r>
          </w:p>
        </w:tc>
        <w:tc>
          <w:tcPr>
            <w:tcW w:w="300" w:type="dxa"/>
            <w:vAlign w:val="bottom"/>
          </w:tcPr>
          <w:p>
            <w:pPr>
              <w:spacing w:after="0"/>
              <w:rPr>
                <w:sz w:val="18"/>
                <w:szCs w:val="18"/>
                <w:color w:val="auto"/>
              </w:rPr>
            </w:pPr>
          </w:p>
        </w:tc>
        <w:tc>
          <w:tcPr>
            <w:tcW w:w="2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62,356</w:t>
            </w:r>
          </w:p>
        </w:tc>
      </w:tr>
      <w:tr>
        <w:trPr>
          <w:trHeight w:val="216"/>
        </w:trPr>
        <w:tc>
          <w:tcPr>
            <w:tcW w:w="89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 xml:space="preserve">Tennessee </w:t>
            </w:r>
            <w:r>
              <w:rPr>
                <w:rFonts w:ascii="Times New Roman" w:cs="Times New Roman" w:eastAsia="Times New Roman" w:hAnsi="Times New Roman"/>
                <w:sz w:val="18"/>
                <w:szCs w:val="18"/>
                <w:i w:val="1"/>
                <w:iCs w:val="1"/>
                <w:color w:val="auto"/>
              </w:rPr>
              <w:t>(1)</w:t>
            </w:r>
          </w:p>
        </w:tc>
        <w:tc>
          <w:tcPr>
            <w:tcW w:w="300" w:type="dxa"/>
            <w:vAlign w:val="bottom"/>
            <w:shd w:val="clear" w:color="auto" w:fill="CFF0FC"/>
          </w:tcPr>
          <w:p>
            <w:pPr>
              <w:spacing w:after="0"/>
              <w:rPr>
                <w:sz w:val="18"/>
                <w:szCs w:val="18"/>
                <w:color w:val="auto"/>
              </w:rPr>
            </w:pPr>
          </w:p>
        </w:tc>
        <w:tc>
          <w:tcPr>
            <w:tcW w:w="2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5,359</w:t>
            </w:r>
          </w:p>
        </w:tc>
      </w:tr>
      <w:tr>
        <w:trPr>
          <w:trHeight w:val="216"/>
        </w:trPr>
        <w:tc>
          <w:tcPr>
            <w:tcW w:w="8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xml:space="preserve">New Hampshire </w:t>
            </w:r>
            <w:r>
              <w:rPr>
                <w:rFonts w:ascii="Times New Roman" w:cs="Times New Roman" w:eastAsia="Times New Roman" w:hAnsi="Times New Roman"/>
                <w:sz w:val="18"/>
                <w:szCs w:val="18"/>
                <w:i w:val="1"/>
                <w:iCs w:val="1"/>
                <w:color w:val="auto"/>
              </w:rPr>
              <w:t>(1)</w:t>
            </w:r>
          </w:p>
        </w:tc>
        <w:tc>
          <w:tcPr>
            <w:tcW w:w="300" w:type="dxa"/>
            <w:vAlign w:val="bottom"/>
          </w:tcPr>
          <w:p>
            <w:pPr>
              <w:spacing w:after="0"/>
              <w:rPr>
                <w:sz w:val="18"/>
                <w:szCs w:val="18"/>
                <w:color w:val="auto"/>
              </w:rPr>
            </w:pPr>
          </w:p>
        </w:tc>
        <w:tc>
          <w:tcPr>
            <w:tcW w:w="2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18,506</w:t>
            </w:r>
          </w:p>
        </w:tc>
      </w:tr>
      <w:tr>
        <w:trPr>
          <w:trHeight w:val="216"/>
        </w:trPr>
        <w:tc>
          <w:tcPr>
            <w:tcW w:w="89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 xml:space="preserve">Texas </w:t>
            </w:r>
            <w:r>
              <w:rPr>
                <w:rFonts w:ascii="Times New Roman" w:cs="Times New Roman" w:eastAsia="Times New Roman" w:hAnsi="Times New Roman"/>
                <w:sz w:val="18"/>
                <w:szCs w:val="18"/>
                <w:i w:val="1"/>
                <w:iCs w:val="1"/>
                <w:color w:val="auto"/>
              </w:rPr>
              <w:t>(1)</w:t>
            </w:r>
          </w:p>
        </w:tc>
        <w:tc>
          <w:tcPr>
            <w:tcW w:w="30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(8,552 )</w:t>
            </w:r>
          </w:p>
        </w:tc>
      </w:tr>
      <w:tr>
        <w:trPr>
          <w:trHeight w:val="216"/>
        </w:trPr>
        <w:tc>
          <w:tcPr>
            <w:tcW w:w="8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8"/>
                <w:szCs w:val="18"/>
                <w:i w:val="1"/>
                <w:iCs w:val="1"/>
                <w:color w:val="auto"/>
              </w:rPr>
              <w:t>(1)</w:t>
            </w:r>
          </w:p>
        </w:tc>
        <w:tc>
          <w:tcPr>
            <w:tcW w:w="300" w:type="dxa"/>
            <w:vAlign w:val="bottom"/>
          </w:tcPr>
          <w:p>
            <w:pPr>
              <w:spacing w:after="0"/>
              <w:rPr>
                <w:sz w:val="18"/>
                <w:szCs w:val="18"/>
                <w:color w:val="auto"/>
              </w:rPr>
            </w:pPr>
          </w:p>
        </w:tc>
        <w:tc>
          <w:tcPr>
            <w:tcW w:w="2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688</w:t>
            </w:r>
          </w:p>
        </w:tc>
      </w:tr>
      <w:tr>
        <w:trPr>
          <w:trHeight w:val="216"/>
        </w:trPr>
        <w:tc>
          <w:tcPr>
            <w:tcW w:w="89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shd w:val="clear" w:color="auto" w:fill="CFF0FC"/>
          </w:tcPr>
          <w:p>
            <w:pPr>
              <w:spacing w:after="0"/>
              <w:rPr>
                <w:sz w:val="18"/>
                <w:szCs w:val="18"/>
                <w:color w:val="auto"/>
              </w:rPr>
            </w:pPr>
          </w:p>
        </w:tc>
        <w:tc>
          <w:tcPr>
            <w:tcW w:w="20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income tax paid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78,357</w:t>
            </w:r>
          </w:p>
        </w:tc>
      </w:tr>
      <w:tr>
        <w:trPr>
          <w:trHeight w:val="20"/>
        </w:trPr>
        <w:tc>
          <w:tcPr>
            <w:tcW w:w="30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115"/>
        </w:trPr>
        <w:tc>
          <w:tcPr>
            <w:tcW w:w="3000" w:type="dxa"/>
            <w:vAlign w:val="bottom"/>
            <w:tcBorders>
              <w:bottom w:val="single" w:sz="8" w:color="auto"/>
            </w:tcBorders>
          </w:tcPr>
          <w:p>
            <w:pPr>
              <w:spacing w:after="0"/>
              <w:rPr>
                <w:sz w:val="10"/>
                <w:szCs w:val="10"/>
                <w:color w:val="auto"/>
              </w:rPr>
            </w:pPr>
          </w:p>
        </w:tc>
        <w:tc>
          <w:tcPr>
            <w:tcW w:w="5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0" w:type="dxa"/>
            <w:vAlign w:val="bottom"/>
          </w:tcPr>
          <w:p>
            <w:pPr>
              <w:spacing w:after="0"/>
              <w:rPr>
                <w:sz w:val="10"/>
                <w:szCs w:val="10"/>
                <w:color w:val="auto"/>
              </w:rPr>
            </w:pPr>
          </w:p>
        </w:tc>
      </w:tr>
    </w:tbl>
    <w:p>
      <w:pPr>
        <w:spacing w:after="0" w:line="36" w:lineRule="exact"/>
        <w:rPr>
          <w:sz w:val="20"/>
          <w:szCs w:val="20"/>
          <w:color w:val="auto"/>
        </w:rPr>
      </w:pPr>
    </w:p>
    <w:p>
      <w:pPr>
        <w:ind w:left="1000" w:hanging="379"/>
        <w:spacing w:after="0"/>
        <w:tabs>
          <w:tab w:leader="none" w:pos="100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These payments relate to income taxes at NCM, LLC.</w:t>
      </w:r>
    </w:p>
    <w:p>
      <w:pPr>
        <w:spacing w:after="0" w:line="113" w:lineRule="exact"/>
        <w:rPr>
          <w:sz w:val="20"/>
          <w:szCs w:val="20"/>
          <w:color w:val="auto"/>
        </w:rPr>
      </w:pPr>
    </w:p>
    <w:p>
      <w:pPr>
        <w:ind w:right="160" w:firstLine="61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Carryforwards</w:t>
      </w:r>
      <w:r>
        <w:rPr>
          <w:rFonts w:ascii="Times New Roman" w:cs="Times New Roman" w:eastAsia="Times New Roman" w:hAnsi="Times New Roman"/>
          <w:sz w:val="18"/>
          <w:szCs w:val="18"/>
          <w:color w:val="auto"/>
        </w:rPr>
        <w:t>—As of December 26, 2024, the Company had gross federal net operating loss carryforwards of approximately $93.9 million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$93.9 million will be carried forward indefinitely. As of December 26, 2024, the Company had gross state net operating loss carryforwards of approximately $123.9 million, of which $80.1 million will expire between 2024 and 2046 and $43.8 million will be carried forward indefinitely. As of December 26, 2024, the Company had gross federal research and experimentation tax credit carryforwards of approximately $1.5 million, which expire at various dates between 2033 and 2039.</w:t>
      </w:r>
    </w:p>
    <w:p>
      <w:pPr>
        <w:spacing w:after="0" w:line="71" w:lineRule="exact"/>
        <w:rPr>
          <w:sz w:val="20"/>
          <w:szCs w:val="20"/>
          <w:color w:val="auto"/>
        </w:rPr>
      </w:pPr>
    </w:p>
    <w:p>
      <w:pPr>
        <w:ind w:left="840" w:hanging="832"/>
        <w:spacing w:after="0"/>
        <w:tabs>
          <w:tab w:leader="none" w:pos="8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121" w:lineRule="exact"/>
        <w:rPr>
          <w:sz w:val="20"/>
          <w:szCs w:val="20"/>
          <w:color w:val="auto"/>
        </w:rPr>
      </w:pPr>
    </w:p>
    <w:p>
      <w:pPr>
        <w:ind w:right="60" w:firstLine="614"/>
        <w:spacing w:after="0" w:line="266" w:lineRule="auto"/>
        <w:rPr>
          <w:sz w:val="20"/>
          <w:szCs w:val="20"/>
          <w:color w:val="auto"/>
        </w:rPr>
      </w:pPr>
      <w:r>
        <w:rPr>
          <w:rFonts w:ascii="Times New Roman" w:cs="Times New Roman" w:eastAsia="Times New Roman" w:hAnsi="Times New Roman"/>
          <w:sz w:val="18"/>
          <w:szCs w:val="18"/>
          <w:color w:val="auto"/>
        </w:rPr>
        <w:t>As of December 26, 2024, the Company has authorized capital stock of 260,000,000 shares of common stock, par value of $0.01 per share, and 10,000,000 shares of preferred stock, par value of $0.01 per share. There were 95,755,491 shares of common stock issued and outstanding and 50 shares of preferred stock issued and outstanding as of December 26, 2024.</w:t>
      </w:r>
    </w:p>
    <w:p>
      <w:pPr>
        <w:spacing w:after="0" w:line="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holders of NCM, Inc. common stock are entitled to one vote per share on all matters submitted for action by the NCM, Inc.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common stock are entitled to share equally, share for share, in declared dividends.</w:t>
      </w:r>
    </w:p>
    <w:p>
      <w:pPr>
        <w:spacing w:after="0" w:line="99" w:lineRule="exact"/>
        <w:rPr>
          <w:sz w:val="20"/>
          <w:szCs w:val="20"/>
          <w:color w:val="auto"/>
        </w:rPr>
      </w:pPr>
    </w:p>
    <w:p>
      <w:pPr>
        <w:ind w:right="220" w:firstLine="614"/>
        <w:spacing w:after="0" w:line="261"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These additional shares may be used for a variety of corporate purposes, including share-based compensation, future public offerings to raise additional capital, corporate acquisitions and exchange on a one-for-one basis under the ESA Parties’ right to convert their NCM LLC membership units into Company common stock.</w:t>
      </w:r>
    </w:p>
    <w:p>
      <w:pPr>
        <w:spacing w:after="0" w:line="72" w:lineRule="exact"/>
        <w:rPr>
          <w:sz w:val="20"/>
          <w:szCs w:val="20"/>
          <w:color w:val="auto"/>
        </w:rPr>
      </w:pPr>
    </w:p>
    <w:p>
      <w:pPr>
        <w:ind w:firstLine="614"/>
        <w:spacing w:after="0" w:line="258" w:lineRule="auto"/>
        <w:rPr>
          <w:sz w:val="20"/>
          <w:szCs w:val="20"/>
          <w:color w:val="auto"/>
        </w:rPr>
      </w:pPr>
      <w:r>
        <w:rPr>
          <w:rFonts w:ascii="Times New Roman" w:cs="Times New Roman" w:eastAsia="Times New Roman" w:hAnsi="Times New Roman"/>
          <w:sz w:val="18"/>
          <w:szCs w:val="18"/>
          <w:color w:val="auto"/>
        </w:rPr>
        <w:t>Prior to the deconsolidation of NCM LLC on April 11, 2023, in conformity with accounting guidance of the SEC concerning monetary consideration paid to promoters, such as the ESA Parties, in exchange for property conveyed by the promoters, the excess over predecessor cost was treated as a special distribution. Because the ESA Parties had no cost basis in the ESAs, nearly all payments to the ESA Parties with the proceeds of the IPO and related debt, have been accounted for as distributions. The distributions by NCM LLC to the ESA Parties made at the date of the IPO resulted in a consolidated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stockholders’ deficit. As a noncontrolling interest cannot be shown as an asset, the ESA Parties’ interest in NCM LLC’s members equity was included in distributions in excess of paid in capital in the Consolidated Balance Sheets.</w:t>
      </w:r>
    </w:p>
    <w:p>
      <w:pPr>
        <w:spacing w:after="0" w:line="54" w:lineRule="exact"/>
        <w:rPr>
          <w:sz w:val="20"/>
          <w:szCs w:val="20"/>
          <w:color w:val="auto"/>
        </w:rPr>
      </w:pPr>
    </w:p>
    <w:p>
      <w:pPr>
        <w:ind w:right="100" w:firstLine="614"/>
        <w:spacing w:after="0" w:line="256" w:lineRule="auto"/>
        <w:rPr>
          <w:sz w:val="20"/>
          <w:szCs w:val="20"/>
          <w:color w:val="auto"/>
        </w:rPr>
      </w:pPr>
      <w:r>
        <w:rPr>
          <w:rFonts w:ascii="Times New Roman" w:cs="Times New Roman" w:eastAsia="Times New Roman" w:hAnsi="Times New Roman"/>
          <w:sz w:val="18"/>
          <w:szCs w:val="18"/>
          <w:color w:val="auto"/>
        </w:rPr>
        <w:t xml:space="preserve">On April 11, 2023, the historical Equity balances of NCM LLC were deconsolidated from the Consolidated Financial Statements. On August 7, 2023, the Company accounted for the NCM LLC reconsolidation as a business combination under </w:t>
      </w:r>
      <w:r>
        <w:rPr>
          <w:rFonts w:ascii="Times New Roman" w:cs="Times New Roman" w:eastAsia="Times New Roman" w:hAnsi="Times New Roman"/>
          <w:sz w:val="18"/>
          <w:szCs w:val="18"/>
          <w:i w:val="1"/>
          <w:iCs w:val="1"/>
          <w:color w:val="auto"/>
        </w:rPr>
        <w:t>ASC 805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accordingly, the purchase price was allocated to the assets acquired and liabilities assumed based on their estimated fair values as of the date of reconsolidation, the Effective Date, with no allocation to any equity balances. The reconsolidation reduced NCM LLC’s equity balances to $0 and removed the impact of the IPO discussed above. For further information regarding the deconsolidation and reconsolidation of NCM LLC, refer to Note 5 </w:t>
      </w:r>
      <w:r>
        <w:rPr>
          <w:rFonts w:ascii="Times New Roman" w:cs="Times New Roman" w:eastAsia="Times New Roman" w:hAnsi="Times New Roman"/>
          <w:sz w:val="18"/>
          <w:szCs w:val="18"/>
          <w:i w:val="1"/>
          <w:iCs w:val="1"/>
          <w:color w:val="auto"/>
        </w:rPr>
        <w:t>- Reconsolidation of NCM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LLC.</w:t>
      </w:r>
    </w:p>
    <w:p>
      <w:pPr>
        <w:spacing w:after="0" w:line="75" w:lineRule="exact"/>
        <w:rPr>
          <w:sz w:val="20"/>
          <w:szCs w:val="20"/>
          <w:color w:val="auto"/>
        </w:rPr>
      </w:pPr>
    </w:p>
    <w:p>
      <w:pPr>
        <w:ind w:left="840" w:hanging="832"/>
        <w:spacing w:after="0"/>
        <w:tabs>
          <w:tab w:leader="none" w:pos="8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17" w:lineRule="exact"/>
        <w:rPr>
          <w:sz w:val="20"/>
          <w:szCs w:val="20"/>
          <w:color w:val="auto"/>
        </w:rPr>
      </w:pPr>
    </w:p>
    <w:p>
      <w:pPr>
        <w:ind w:right="160" w:firstLine="60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ESA Party and Managing Member Transactions</w:t>
      </w:r>
      <w:r>
        <w:rPr>
          <w:rFonts w:ascii="Times New Roman" w:cs="Times New Roman" w:eastAsia="Times New Roman" w:hAnsi="Times New Roman"/>
          <w:sz w:val="18"/>
          <w:szCs w:val="18"/>
          <w:color w:val="auto"/>
        </w:rPr>
        <w:t>—In connection with NCM, Inc.’s IPO, the Company entered into several agreements to define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regulate the relationships among NCM LLC, NCM, Inc. and AMC, Cinemark and Regal which are outlined below.</w:t>
      </w:r>
    </w:p>
    <w:p>
      <w:pPr>
        <w:spacing w:after="0" w:line="51" w:lineRule="exact"/>
        <w:rPr>
          <w:sz w:val="20"/>
          <w:szCs w:val="20"/>
          <w:color w:val="auto"/>
        </w:rPr>
      </w:pPr>
    </w:p>
    <w:p>
      <w:pPr>
        <w:ind w:right="20" w:firstLine="608"/>
        <w:spacing w:after="0" w:line="254" w:lineRule="auto"/>
        <w:rPr>
          <w:sz w:val="20"/>
          <w:szCs w:val="20"/>
          <w:color w:val="auto"/>
        </w:rPr>
      </w:pPr>
      <w:r>
        <w:rPr>
          <w:rFonts w:ascii="Times New Roman" w:cs="Times New Roman" w:eastAsia="Times New Roman" w:hAnsi="Times New Roman"/>
          <w:sz w:val="18"/>
          <w:szCs w:val="18"/>
          <w:color w:val="auto"/>
        </w:rPr>
        <w:t>AMC has owned less than 5% of NCM LLC, on an as converted basis, since July 2018 and is no longer a related party. AMC remains a party to the ESA, Common Unit Adjustment Agreement and certain other original agreements and is a member under the terms of the NCM LLC Operating Agreement, subject to fulfilling the requirements of Section 3.1 of the NCM LLC Operating Agreement. AMC will continue to participate in the annual Common Unit Adjustment and receive available cash distributions or allocation of earnings and losses in NCM LLC (as long as its ownership in NCM LLC is greater than zero) and theater access fees. Further, AMC will continue to pay beverage revenue, among other things, to NCM LLC. AMC’s ownership percentage does not impact future integration payments and other encumbered theater payments owed to NCM LLC by AMC. On April 1, 2024, in accordance with the Common Unit Adjustment Agreement, NCM LLC issued 3,377 common membership units to AMC. As of December 26, 2024, AMC’s ownership was approximately 0.0% of NCM LLC and 0.0% NCM, Inc.</w:t>
      </w:r>
    </w:p>
    <w:p>
      <w:pPr>
        <w:spacing w:after="0" w:line="84" w:lineRule="exact"/>
        <w:rPr>
          <w:sz w:val="20"/>
          <w:szCs w:val="20"/>
          <w:color w:val="auto"/>
        </w:rPr>
      </w:pPr>
    </w:p>
    <w:p>
      <w:pPr>
        <w:ind w:firstLine="614"/>
        <w:spacing w:after="0" w:line="253" w:lineRule="auto"/>
        <w:rPr>
          <w:sz w:val="20"/>
          <w:szCs w:val="20"/>
          <w:color w:val="auto"/>
        </w:rPr>
      </w:pPr>
      <w:r>
        <w:rPr>
          <w:rFonts w:ascii="Times New Roman" w:cs="Times New Roman" w:eastAsia="Times New Roman" w:hAnsi="Times New Roman"/>
          <w:sz w:val="18"/>
          <w:szCs w:val="18"/>
          <w:color w:val="auto"/>
        </w:rPr>
        <w:t>Cinemark has owned less than 5% of NCM LLC, on an as converted basis, since NCM LLC emerged from bankruptcy on August 7, 2023 and is no longer a related party. Cinemark remains a party to the ESA, Common Unit Adjustment Agreement and certain other original agreements and is a member under the terms of the NCM LLC Operating Agreement, subject to fulfilling the requirements of Section 3.1 of the NCM LLC Operating Agreement. Cinemark will continue to participate in the annual Common Unit Adjustment and receive available cash distributions or allocation of earnings and losses in NCM LLC (as long as its ownership in NCM LLC is greater than zero) and theater access fees. Further, Cinemark will continue to pay beverage revenue, among other things, to NCM LLC. Cinemark’s ownership percentage does not impact future integration payments and other encumbered theater payments owed to NCM LLC by Cinemark. On April 1, 2024, in accordance with the Common Unit Adjustment Agreement, NCM LLC issued 132,096 common membership units to Cinemark. On April 16, 2024, the Company elected to satisfy a redemption request from Cinemark for all of their outstanding common membership units through a cash settlement as provided in NCM LLC’s Operating Agreement. This redemption reduced Cinemark’s ownership interest in NCM LLC to 0.0% as of April 16, 2024. As of December 26, 2024, Cinemark’s ownership was 4.6% of NCM, Inc. and 0.0% of NCM LLC.</w:t>
      </w:r>
    </w:p>
    <w:p>
      <w:pPr>
        <w:spacing w:after="0" w:line="84" w:lineRule="exact"/>
        <w:rPr>
          <w:sz w:val="20"/>
          <w:szCs w:val="20"/>
          <w:color w:val="auto"/>
        </w:rPr>
      </w:pPr>
    </w:p>
    <w:p>
      <w:pPr>
        <w:ind w:right="40" w:firstLine="614"/>
        <w:spacing w:after="0" w:line="254" w:lineRule="auto"/>
        <w:rPr>
          <w:sz w:val="20"/>
          <w:szCs w:val="20"/>
          <w:color w:val="auto"/>
        </w:rPr>
      </w:pPr>
      <w:r>
        <w:rPr>
          <w:rFonts w:ascii="Times New Roman" w:cs="Times New Roman" w:eastAsia="Times New Roman" w:hAnsi="Times New Roman"/>
          <w:sz w:val="18"/>
          <w:szCs w:val="18"/>
          <w:color w:val="auto"/>
        </w:rPr>
        <w:t>On June 3, 2023, NCM LLC entered into the Regal Advertising Agreement and Regal Termination Agreement which became effective on July 14, 2023. Pursuant to the Regal Termination Agreement, Regal rejected and terminated its ESA with NCM LLC. Additionally Regal and Regal’s affiliates’ waived all rights and interests as to the TRA, the Common Unit Adjustment Agreement, the Software License Agreement, the Director Designation Agreement, the Registration Rights Agreement and all the other joint venture agreements described in the NCM LLC Operating Agreement and the Company and NCM LLC, and Regal and Regal’s affiliates waived and released claims against the other party. Regal also agreed to support NCM LLC’s Plan and surrendered all 4,068,381 shares in the Company, totaling $13.0 million, upon the effective date of the Plan. In connection with the Regal Advertising Agreement, NCM LLC and Regal also agreed to dismiss with prejudice the ongoing litigation between the parties related to NCM LLC’s request to enforce certain provisions of the ESA, including the exclusivity provision. Subsequent to July 14, 2023, Regal is no longer an ESA Party or related party to NCM, Inc. or NCM LLC.</w:t>
      </w:r>
    </w:p>
    <w:p>
      <w:pPr>
        <w:spacing w:after="0" w:line="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material agreements with the ESA Parties are as follows:</w:t>
      </w:r>
    </w:p>
    <w:p>
      <w:pPr>
        <w:spacing w:after="0" w:line="113" w:lineRule="exact"/>
        <w:rPr>
          <w:sz w:val="20"/>
          <w:szCs w:val="20"/>
          <w:color w:val="auto"/>
        </w:rPr>
      </w:pPr>
    </w:p>
    <w:p>
      <w:pPr>
        <w:ind w:left="1000" w:right="20" w:hanging="379"/>
        <w:spacing w:after="0" w:line="25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ESAs. </w:t>
      </w:r>
      <w:r>
        <w:rPr>
          <w:rFonts w:ascii="Times New Roman" w:cs="Times New Roman" w:eastAsia="Times New Roman" w:hAnsi="Times New Roman"/>
          <w:sz w:val="18"/>
          <w:szCs w:val="18"/>
          <w:color w:val="auto"/>
        </w:rPr>
        <w:t>Under the ESAs, NCM LLC is the exclusive provider within the United States of advertising services in the ESA Parties’ theaters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(subject to pre-existing contractual obligations and other limited exceptions for the benefit of the ESA Parties). The advertising services include the use of the DCN equipment required to deliver the on-screen advertising and other content included in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use of the LEN and rights to sell and display certain lobby promotions. Further, 30 to 60 seconds of advertising included in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is sold to the ESA Parties to satisfy the ESA Parties’ on-screen advertising commitments under their beverage concessionaire agreements. In consideration for access to the ESA Parties’ theaters, theater patrons, the network</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ind w:left="1000" w:right="60"/>
        <w:spacing w:after="0" w:line="255" w:lineRule="auto"/>
        <w:rPr>
          <w:sz w:val="20"/>
          <w:szCs w:val="20"/>
          <w:color w:val="auto"/>
        </w:rPr>
      </w:pPr>
      <w:r>
        <w:rPr>
          <w:rFonts w:ascii="Times New Roman" w:cs="Times New Roman" w:eastAsia="Times New Roman" w:hAnsi="Times New Roman"/>
          <w:sz w:val="18"/>
          <w:szCs w:val="18"/>
          <w:color w:val="auto"/>
        </w:rPr>
        <w:t>equipment required to display on-screen and LEN video advertising and the use of theaters for lobby promotions, the ESA Parties receive a monthly theater access fee. In conjunction with the 2019 ESA Amendments, NCM LLC also pays Cinemark, and previously Regal, incremental monthly theater access fees and, subject to NCM LLC's use of specified inventory, a revenue share in consideration for NCM LLC's access to certain on-screen advertising inventory after the advertised showtime of a feature film beginning November 1, 2019 and the underlying term of the ESAs were extended until 2041. The ESAs and 2019 ESA Amendments are considered leases with related parties under ASC 842. As described above, the Regal ESA was rejected by Regal in connection with Regal’s Chapter 11 case and terminated by the Regal Termination Agreement.</w:t>
      </w:r>
    </w:p>
    <w:p>
      <w:pPr>
        <w:spacing w:after="0" w:line="77" w:lineRule="exact"/>
        <w:rPr>
          <w:sz w:val="20"/>
          <w:szCs w:val="20"/>
          <w:color w:val="auto"/>
        </w:rPr>
      </w:pPr>
    </w:p>
    <w:p>
      <w:pPr>
        <w:jc w:val="both"/>
        <w:ind w:left="1000" w:right="300" w:hanging="379"/>
        <w:spacing w:after="0" w:line="268"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Common Unit Adjustment Agreement. </w:t>
      </w:r>
      <w:r>
        <w:rPr>
          <w:rFonts w:ascii="Times New Roman" w:cs="Times New Roman" w:eastAsia="Times New Roman" w:hAnsi="Times New Roman"/>
          <w:sz w:val="18"/>
          <w:szCs w:val="18"/>
          <w:color w:val="auto"/>
        </w:rPr>
        <w:t>The Common Unit Adjustment Agreement provides a mechanism for increasing or decreasing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membership units held by the ESA Parties based on the acquisition or construction of new theaters or sale of theaters that are operated by each ESA Party and included in NCM LLC’s network.</w:t>
      </w:r>
    </w:p>
    <w:p>
      <w:pPr>
        <w:spacing w:after="0" w:line="62" w:lineRule="exact"/>
        <w:rPr>
          <w:rFonts w:ascii="Times New Roman" w:cs="Times New Roman" w:eastAsia="Times New Roman" w:hAnsi="Times New Roman"/>
          <w:sz w:val="18"/>
          <w:szCs w:val="18"/>
          <w:color w:val="auto"/>
        </w:rPr>
      </w:pPr>
    </w:p>
    <w:p>
      <w:pPr>
        <w:jc w:val="both"/>
        <w:ind w:left="1000" w:right="140" w:hanging="379"/>
        <w:spacing w:after="0" w:line="291" w:lineRule="auto"/>
        <w:tabs>
          <w:tab w:leader="none" w:pos="10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Common Unit Membership Redemption. </w:t>
      </w:r>
      <w:r>
        <w:rPr>
          <w:rFonts w:ascii="Times New Roman" w:cs="Times New Roman" w:eastAsia="Times New Roman" w:hAnsi="Times New Roman"/>
          <w:sz w:val="17"/>
          <w:szCs w:val="17"/>
          <w:color w:val="auto"/>
        </w:rPr>
        <w:t>The NCM LLC Operating Agreement provides a redemption right of the ESA Parties to exchange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common membership units of NCM LLC for shares of the Company’s common stock on a one-for-one basis, or at the Company’s option, a cash payment based on the three-day variable weighted average closing price of NCM, Inc.’s common stock prior to the redemption date.</w:t>
      </w:r>
    </w:p>
    <w:p>
      <w:pPr>
        <w:spacing w:after="0" w:line="44" w:lineRule="exact"/>
        <w:rPr>
          <w:rFonts w:ascii="Times New Roman" w:cs="Times New Roman" w:eastAsia="Times New Roman" w:hAnsi="Times New Roman"/>
          <w:sz w:val="17"/>
          <w:szCs w:val="17"/>
          <w:color w:val="auto"/>
        </w:rPr>
      </w:pPr>
    </w:p>
    <w:p>
      <w:pPr>
        <w:jc w:val="both"/>
        <w:ind w:left="1000" w:right="340" w:hanging="379"/>
        <w:spacing w:after="0" w:line="291" w:lineRule="auto"/>
        <w:tabs>
          <w:tab w:leader="none" w:pos="10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Tax Receivable Agreement. </w:t>
      </w:r>
      <w:r>
        <w:rPr>
          <w:rFonts w:ascii="Times New Roman" w:cs="Times New Roman" w:eastAsia="Times New Roman" w:hAnsi="Times New Roman"/>
          <w:sz w:val="17"/>
          <w:szCs w:val="17"/>
          <w:color w:val="auto"/>
        </w:rPr>
        <w:t>The TRA provides for the effective payment by NCM, Inc. to the ESA Parties of 90% of the amount of cash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savings, if any, in U.S. federal, state and local income tax or franchise tax that is actually realized as a result of certain increases in NCM, Inc.’s proportionate share of tax basis in NCM LLC’s tangible and intangible assets resulting from the IPO and related transactions.</w:t>
      </w:r>
    </w:p>
    <w:p>
      <w:pPr>
        <w:spacing w:after="0" w:line="44" w:lineRule="exact"/>
        <w:rPr>
          <w:rFonts w:ascii="Times New Roman" w:cs="Times New Roman" w:eastAsia="Times New Roman" w:hAnsi="Times New Roman"/>
          <w:sz w:val="17"/>
          <w:szCs w:val="17"/>
          <w:color w:val="auto"/>
        </w:rPr>
      </w:pPr>
    </w:p>
    <w:p>
      <w:pPr>
        <w:ind w:left="1000" w:right="100" w:hanging="379"/>
        <w:spacing w:after="0" w:line="26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Software License Agreement. </w:t>
      </w:r>
      <w:r>
        <w:rPr>
          <w:rFonts w:ascii="Times New Roman" w:cs="Times New Roman" w:eastAsia="Times New Roman" w:hAnsi="Times New Roman"/>
          <w:sz w:val="18"/>
          <w:szCs w:val="18"/>
          <w:color w:val="auto"/>
        </w:rPr>
        <w:t>At the date of the Company’s IPO, NCM LLC was granted a perpetual, royalty-free license from the ESA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Parties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the ESA Parties, if any.</w:t>
      </w:r>
    </w:p>
    <w:p>
      <w:pPr>
        <w:spacing w:after="0" w:line="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Following is a summary of the related party transactions between the Company and the ESA Parties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Included in the Consolidated Statements of Operations:</w:t>
            </w:r>
          </w:p>
        </w:tc>
        <w:tc>
          <w:tcPr>
            <w:tcW w:w="14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4"/>
          </w:tcPr>
          <w:p>
            <w:pPr>
              <w:jc w:val="right"/>
              <w:ind w:right="1334"/>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60" w:type="dxa"/>
            <w:vAlign w:val="bottom"/>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December 26, 2024</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2023</w:t>
            </w:r>
          </w:p>
        </w:tc>
        <w:tc>
          <w:tcPr>
            <w:tcW w:w="0" w:type="dxa"/>
            <w:vAlign w:val="bottom"/>
          </w:tcPr>
          <w:p>
            <w:pPr>
              <w:spacing w:after="0"/>
              <w:rPr>
                <w:sz w:val="1"/>
                <w:szCs w:val="1"/>
                <w:color w:val="auto"/>
              </w:rPr>
            </w:pPr>
          </w:p>
        </w:tc>
      </w:tr>
      <w:tr>
        <w:trPr>
          <w:trHeight w:val="169"/>
        </w:trPr>
        <w:tc>
          <w:tcPr>
            <w:tcW w:w="200" w:type="dxa"/>
            <w:vAlign w:val="bottom"/>
            <w:shd w:val="clear" w:color="auto" w:fill="CFF0FC"/>
          </w:tcPr>
          <w:p>
            <w:pPr>
              <w:spacing w:after="0"/>
              <w:rPr>
                <w:sz w:val="14"/>
                <w:szCs w:val="14"/>
                <w:color w:val="auto"/>
              </w:rPr>
            </w:pPr>
          </w:p>
        </w:tc>
        <w:tc>
          <w:tcPr>
            <w:tcW w:w="7520" w:type="dxa"/>
            <w:vAlign w:val="bottom"/>
            <w:gridSpan w:val="4"/>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i w:val="1"/>
                <w:iCs w:val="1"/>
                <w:color w:val="auto"/>
              </w:rPr>
              <w:t>(1 )</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i w:val="1"/>
                <w:iCs w:val="1"/>
                <w:color w:val="auto"/>
              </w:rPr>
              <w:t>(1 )</w:t>
            </w:r>
          </w:p>
        </w:tc>
        <w:tc>
          <w:tcPr>
            <w:tcW w:w="0" w:type="dxa"/>
            <w:vAlign w:val="bottom"/>
          </w:tcPr>
          <w:p>
            <w:pPr>
              <w:spacing w:after="0"/>
              <w:rPr>
                <w:sz w:val="1"/>
                <w:szCs w:val="1"/>
                <w:color w:val="auto"/>
              </w:rPr>
            </w:pPr>
          </w:p>
        </w:tc>
      </w:tr>
      <w:tr>
        <w:trPr>
          <w:trHeight w:val="21"/>
        </w:trPr>
        <w:tc>
          <w:tcPr>
            <w:tcW w:w="2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47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75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xml:space="preserve">Beverage concessionaire revenue (included in advertising revenue) </w:t>
            </w:r>
            <w:r>
              <w:rPr>
                <w:rFonts w:ascii="Times New Roman" w:cs="Times New Roman" w:eastAsia="Times New Roman" w:hAnsi="Times New Roman"/>
                <w:sz w:val="18"/>
                <w:szCs w:val="18"/>
                <w:i w:val="1"/>
                <w:iCs w:val="1"/>
                <w:color w:val="auto"/>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0" w:type="dxa"/>
            <w:vAlign w:val="bottom"/>
            <w:shd w:val="clear" w:color="auto" w:fill="CFF0FC"/>
          </w:tcPr>
          <w:p>
            <w:pPr>
              <w:spacing w:after="0"/>
              <w:rPr>
                <w:sz w:val="18"/>
                <w:szCs w:val="18"/>
                <w:color w:val="auto"/>
              </w:rPr>
            </w:pPr>
          </w:p>
        </w:tc>
        <w:tc>
          <w:tcPr>
            <w:tcW w:w="752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xml:space="preserve">Management fee reimbursement </w:t>
            </w:r>
            <w:r>
              <w:rPr>
                <w:rFonts w:ascii="Times New Roman" w:cs="Times New Roman" w:eastAsia="Times New Roman" w:hAnsi="Times New Roman"/>
                <w:sz w:val="18"/>
                <w:szCs w:val="18"/>
                <w:i w:val="1"/>
                <w:iCs w:val="1"/>
                <w:color w:val="auto"/>
              </w:rPr>
              <w:t>(3)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75"/>
        </w:trPr>
        <w:tc>
          <w:tcPr>
            <w:tcW w:w="7720" w:type="dxa"/>
            <w:vAlign w:val="bottom"/>
            <w:gridSpan w:val="5"/>
          </w:tcPr>
          <w:p>
            <w:pPr>
              <w:ind w:left="200"/>
              <w:spacing w:after="0" w:line="176" w:lineRule="exact"/>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shd w:val="clear" w:color="auto" w:fill="CFF0FC"/>
          </w:tcPr>
          <w:p>
            <w:pPr>
              <w:spacing w:after="0"/>
              <w:rPr>
                <w:sz w:val="18"/>
                <w:szCs w:val="18"/>
                <w:color w:val="auto"/>
              </w:rPr>
            </w:pPr>
          </w:p>
        </w:tc>
        <w:tc>
          <w:tcPr>
            <w:tcW w:w="752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xml:space="preserve">ESA Parties and network affiliate fees </w:t>
            </w:r>
            <w:r>
              <w:rPr>
                <w:rFonts w:ascii="Times New Roman" w:cs="Times New Roman" w:eastAsia="Times New Roman" w:hAnsi="Times New Roman"/>
                <w:sz w:val="18"/>
                <w:szCs w:val="18"/>
                <w:i w:val="1"/>
                <w:iCs w:val="1"/>
                <w:color w:val="auto"/>
              </w:rPr>
              <w:t>(4)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35"/>
        </w:trPr>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4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1000" w:right="380" w:hanging="379"/>
        <w:spacing w:after="0" w:line="261" w:lineRule="auto"/>
        <w:tabs>
          <w:tab w:leader="none" w:pos="100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the years ended December 26, 2024 and December 28, 2023, there was no related party activity subsequent to the deconsolidation of NCM LLC on April 11, 2023 for AMC, Cinemark and Regal as they were not considered related parties of NCM, Inc. nor was there any activity following the reconsolidation of NCM LLC on August 7, 2023, as AMC, Cinemark and Regal were no longer considered related parties.</w:t>
      </w:r>
    </w:p>
    <w:p>
      <w:pPr>
        <w:spacing w:after="0" w:line="71" w:lineRule="exact"/>
        <w:rPr>
          <w:rFonts w:ascii="Times New Roman" w:cs="Times New Roman" w:eastAsia="Times New Roman" w:hAnsi="Times New Roman"/>
          <w:sz w:val="18"/>
          <w:szCs w:val="18"/>
          <w:i w:val="1"/>
          <w:iCs w:val="1"/>
          <w:color w:val="auto"/>
        </w:rPr>
      </w:pPr>
    </w:p>
    <w:p>
      <w:pPr>
        <w:ind w:left="1000" w:right="180" w:hanging="379"/>
        <w:spacing w:after="0" w:line="266" w:lineRule="auto"/>
        <w:tabs>
          <w:tab w:leader="none" w:pos="100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the year ended December 28, 2023, Cinemark purchased 60 second and Regal and Cinemark purchased 60 seconds, respectively, of on-screen advertising time (all ESA Parties have a right to purchase up to 90 seconds) from NCM LLC to satisfy their obligations under their beverage concessionaire agreements at a 30 second equivalent CPM rate specified by the ESA.</w:t>
      </w:r>
    </w:p>
    <w:p>
      <w:pPr>
        <w:spacing w:after="0" w:line="67" w:lineRule="exact"/>
        <w:rPr>
          <w:rFonts w:ascii="Times New Roman" w:cs="Times New Roman" w:eastAsia="Times New Roman" w:hAnsi="Times New Roman"/>
          <w:sz w:val="18"/>
          <w:szCs w:val="18"/>
          <w:i w:val="1"/>
          <w:iCs w:val="1"/>
          <w:color w:val="auto"/>
        </w:rPr>
      </w:pPr>
    </w:p>
    <w:p>
      <w:pPr>
        <w:ind w:left="1000" w:right="180" w:hanging="379"/>
        <w:spacing w:after="0" w:line="282" w:lineRule="auto"/>
        <w:tabs>
          <w:tab w:leader="none" w:pos="100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Comprised of payments from NCM LLC to NCM, Inc. for managing NCM LLC during the period where NCM LLC was deconsolidated of April 11, 2023 through August 7, 2023.</w:t>
      </w:r>
    </w:p>
    <w:p>
      <w:pPr>
        <w:spacing w:after="0" w:line="53" w:lineRule="exact"/>
        <w:rPr>
          <w:rFonts w:ascii="Times New Roman" w:cs="Times New Roman" w:eastAsia="Times New Roman" w:hAnsi="Times New Roman"/>
          <w:sz w:val="18"/>
          <w:szCs w:val="18"/>
          <w:i w:val="1"/>
          <w:iCs w:val="1"/>
          <w:color w:val="auto"/>
        </w:rPr>
      </w:pPr>
    </w:p>
    <w:p>
      <w:pPr>
        <w:ind w:left="1000" w:right="240" w:hanging="379"/>
        <w:spacing w:after="0" w:line="266" w:lineRule="auto"/>
        <w:tabs>
          <w:tab w:leader="none" w:pos="100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Comprised of payments per theater attendee, payments per digital screen with respect to the ESA Party theaters included in the Company’s network, payments for access to higher quality digital cinema equipment and payments to Cinemark and Regal for their portion of the Platinum Spot revenue for the utilization of the theaters post-showtime in accordance with the 2019 ESA Amendments.</w:t>
      </w:r>
    </w:p>
    <w:p>
      <w:pPr>
        <w:spacing w:after="0" w:line="68" w:lineRule="exact"/>
        <w:rPr>
          <w:sz w:val="20"/>
          <w:szCs w:val="20"/>
          <w:color w:val="auto"/>
        </w:rPr>
      </w:pPr>
    </w:p>
    <w:p>
      <w:pPr>
        <w:ind w:right="100" w:firstLine="608"/>
        <w:spacing w:after="0" w:line="258" w:lineRule="auto"/>
        <w:rPr>
          <w:sz w:val="20"/>
          <w:szCs w:val="20"/>
          <w:color w:val="auto"/>
        </w:rPr>
      </w:pPr>
      <w:r>
        <w:rPr>
          <w:rFonts w:ascii="Times New Roman" w:cs="Times New Roman" w:eastAsia="Times New Roman" w:hAnsi="Times New Roman"/>
          <w:sz w:val="18"/>
          <w:szCs w:val="18"/>
          <w:color w:val="auto"/>
        </w:rPr>
        <w:t>Pursuant to the terms of the NCM LLC Operating Agreement in place since the completion of the IPO, NCM LLC is required to make mandatory distributions on a proportionate basis to its members of available cash, as defined in the NCM LLC Operating Agreement, on a quarterly basis in arrears, contingent upon the Company's compliance with the covenants outlined within the Revolving Credit Facility 2023. The portion of positive available cash due to ESA Parties is accrued within the “Amounts due to ESA Parties, net” on the audited Consolidated Balance Sheets. The portion of positive available cash due to NCM, Inc. is eliminated upon consolidation. As Cinemark and Regal are no longer related parties, there are no</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related party balances to reflect as of December 26, 2024. The available cash from NCM LLC for the year ended December 26, 2024 and December 28, 2023 were as follows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4"/>
          </w:tcPr>
          <w:p>
            <w:pPr>
              <w:jc w:val="right"/>
              <w:ind w:right="1336"/>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142"/>
        </w:trPr>
        <w:tc>
          <w:tcPr>
            <w:tcW w:w="7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December 26, 2024</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2023</w:t>
            </w:r>
          </w:p>
        </w:tc>
      </w:tr>
      <w:tr>
        <w:trPr>
          <w:trHeight w:val="209"/>
        </w:trPr>
        <w:tc>
          <w:tcPr>
            <w:tcW w:w="7720" w:type="dxa"/>
            <w:vAlign w:val="bottom"/>
            <w:tcBorders>
              <w:bottom w:val="single" w:sz="8" w:color="CFF0FC"/>
            </w:tcBorders>
            <w:shd w:val="clear" w:color="auto" w:fill="CFF0FC"/>
          </w:tcPr>
          <w:p>
            <w:pPr>
              <w:jc w:val="center"/>
              <w:ind w:right="6810"/>
              <w:spacing w:after="0"/>
              <w:rPr>
                <w:sz w:val="20"/>
                <w:szCs w:val="20"/>
                <w:color w:val="auto"/>
              </w:rPr>
            </w:pPr>
            <w:r>
              <w:rPr>
                <w:rFonts w:ascii="Times New Roman" w:cs="Times New Roman" w:eastAsia="Times New Roman" w:hAnsi="Times New Roman"/>
                <w:sz w:val="18"/>
                <w:szCs w:val="18"/>
                <w:color w:val="auto"/>
              </w:rPr>
              <w:t>NCM, Inc.</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46.3</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30.3</w:t>
            </w:r>
          </w:p>
        </w:tc>
      </w:tr>
      <w:tr>
        <w:trPr>
          <w:trHeight w:val="210"/>
        </w:trPr>
        <w:tc>
          <w:tcPr>
            <w:tcW w:w="7720" w:type="dxa"/>
            <w:vAlign w:val="bottom"/>
          </w:tcPr>
          <w:p>
            <w:pPr>
              <w:jc w:val="center"/>
              <w:ind w:right="6850"/>
              <w:spacing w:after="0"/>
              <w:rPr>
                <w:sz w:val="20"/>
                <w:szCs w:val="20"/>
                <w:color w:val="auto"/>
              </w:rPr>
            </w:pPr>
            <w:r>
              <w:rPr>
                <w:rFonts w:ascii="Times New Roman" w:cs="Times New Roman" w:eastAsia="Times New Roman" w:hAnsi="Times New Roman"/>
                <w:sz w:val="18"/>
                <w:szCs w:val="18"/>
                <w:color w:val="auto"/>
                <w:w w:val="99"/>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46.3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30.3</w:t>
            </w:r>
          </w:p>
        </w:tc>
      </w:tr>
      <w:tr>
        <w:trPr>
          <w:trHeight w:val="20"/>
        </w:trPr>
        <w:tc>
          <w:tcPr>
            <w:tcW w:w="7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-170815</wp:posOffset>
            </wp:positionV>
            <wp:extent cx="11176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Company generated available cash by NCM LLC to its related party ESA Parties and NCM, Inc. for the year ended December 26, 2024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$26.2 million ($26.2 million for NCM, Inc.), with negative available cash of $10.2 million generated in the first quarter of 2024 and positive available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$36.4 million generated through the second, third and fourth quarter of 2024. In accordance with the terms of the NCM LLC Operating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positive available cash generated by NCM LLC for the second quarter of 2024, of $1.3 million, was completely offset against the accumulated negative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cash amounts generated in prior years. The cumulative negative available cash balance as of December 26, 2024 is $223.6 million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$165.1 million for NCM, Inc., $56.3 million for Cinemark and $2.2 million for AMC). In accordance with the terms of the NCM LLC Operating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these amounts can only be offset against positive available cash within the second quarter of future years. NCM, Inc. has the option to defer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any available cash distributions payable to NCM, Inc. at its discretion. As of December 26, 2024, NCM LLC owed NCM, Inc. $46.3 million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available cash distributions. NCM LLC generated negative available cash for the nine months ended September 28, 2023 of $50.6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$0.0 million for Cinemark, $0.0 million for Regal and $50.6 million for NCM, Inc.) and positive available cash of $30.3 million (including $0.0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for Cinemark, $0.0 million for Regal and $30.3 million for NCM, Inc.) in the fourth quarter of $30.3 of the year ended December 28, 2023.</w:t>
      </w:r>
    </w:p>
    <w:p>
      <w:pPr>
        <w:spacing w:after="0" w:line="95" w:lineRule="exact"/>
        <w:rPr>
          <w:sz w:val="20"/>
          <w:szCs w:val="20"/>
          <w:color w:val="auto"/>
        </w:rPr>
      </w:pPr>
    </w:p>
    <w:p>
      <w:pPr>
        <w:ind w:right="40" w:firstLine="60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AC JV, LLC Transactions</w:t>
      </w:r>
      <w:r>
        <w:rPr>
          <w:rFonts w:ascii="Times New Roman" w:cs="Times New Roman" w:eastAsia="Times New Roman" w:hAnsi="Times New Roman"/>
          <w:sz w:val="18"/>
          <w:szCs w:val="18"/>
          <w:color w:val="auto"/>
        </w:rPr>
        <w:t>—The Company accounts for its investment in AC JV, LLC under the equity method of accounting in accordance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ASC 323-30, Investments—Equity Method and Joint Ventures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NCM LLC’s investment in AC JV, LLC was $0.8 million and $0.7 million as of December 26, 2024 and December 28, 2023, respectively. NCM LLC received cash distributions from AC JV, LLC of $1.2 million and $0.6 million, during the years ended December 26, 2024 and December 28, 2023, respectively. NCM LLC recorded equity in earnings for AC JV, LLC of $1.2 million and $0.6 million during the years ended December 26, 2024 and December 28, 2023, respectively, which are included in “Other non-operating income, net” in the audited Consolidated Statements of Operations.</w:t>
      </w:r>
    </w:p>
    <w:p>
      <w:pPr>
        <w:spacing w:after="0" w:line="77" w:lineRule="exact"/>
        <w:rPr>
          <w:sz w:val="20"/>
          <w:szCs w:val="20"/>
          <w:color w:val="auto"/>
        </w:rPr>
      </w:pPr>
    </w:p>
    <w:p>
      <w:pPr>
        <w:ind w:left="840" w:hanging="832"/>
        <w:spacing w:after="0"/>
        <w:tabs>
          <w:tab w:leader="none" w:pos="8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BORROWINGS</w:t>
      </w:r>
    </w:p>
    <w:p>
      <w:pPr>
        <w:spacing w:after="0" w:line="121" w:lineRule="exact"/>
        <w:rPr>
          <w:sz w:val="20"/>
          <w:szCs w:val="20"/>
          <w:color w:val="auto"/>
        </w:rPr>
      </w:pPr>
    </w:p>
    <w:p>
      <w:pPr>
        <w:ind w:right="20" w:firstLine="608"/>
        <w:spacing w:after="0" w:line="266" w:lineRule="auto"/>
        <w:rPr>
          <w:sz w:val="20"/>
          <w:szCs w:val="20"/>
          <w:color w:val="auto"/>
        </w:rPr>
      </w:pPr>
      <w:r>
        <w:rPr>
          <w:rFonts w:ascii="Times New Roman" w:cs="Times New Roman" w:eastAsia="Times New Roman" w:hAnsi="Times New Roman"/>
          <w:sz w:val="18"/>
          <w:szCs w:val="18"/>
          <w:color w:val="auto"/>
        </w:rPr>
        <w:t>The commencement of the Chapter 11 Case constituted an event of default and caused the automatic and immediate acceleration of all debt outstanding under or in respect of, NCM LLC’s Credit Agreements and senior notes. As of August 7, 2023, upon emergence from bankruptcy, all historical debt of NCM LLC was discharged and the historical credit agreements were terminated.</w:t>
      </w:r>
    </w:p>
    <w:p>
      <w:pPr>
        <w:spacing w:after="0" w:line="68" w:lineRule="exact"/>
        <w:rPr>
          <w:sz w:val="20"/>
          <w:szCs w:val="20"/>
          <w:color w:val="auto"/>
        </w:rPr>
      </w:pPr>
    </w:p>
    <w:p>
      <w:pPr>
        <w:ind w:right="100" w:firstLine="608"/>
        <w:spacing w:after="0" w:line="282" w:lineRule="auto"/>
        <w:rPr>
          <w:sz w:val="20"/>
          <w:szCs w:val="20"/>
          <w:color w:val="auto"/>
        </w:rPr>
      </w:pPr>
      <w:r>
        <w:rPr>
          <w:rFonts w:ascii="Times New Roman" w:cs="Times New Roman" w:eastAsia="Times New Roman" w:hAnsi="Times New Roman"/>
          <w:sz w:val="18"/>
          <w:szCs w:val="18"/>
          <w:color w:val="auto"/>
        </w:rPr>
        <w:t>The following table summarizes NCM LLC’s total outstanding debt as of December 26, 2024 and December 28, 2023 and the significant terms of its borrowing arrangements: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Borrowings ($ in millions)</w:t>
            </w:r>
          </w:p>
        </w:tc>
        <w:tc>
          <w:tcPr>
            <w:tcW w:w="160" w:type="dxa"/>
            <w:vAlign w:val="bottom"/>
            <w:vMerge w:val="restart"/>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Outstanding Balance as of</w:t>
            </w:r>
          </w:p>
        </w:tc>
        <w:tc>
          <w:tcPr>
            <w:tcW w:w="160" w:type="dxa"/>
            <w:vAlign w:val="bottom"/>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40" w:type="dxa"/>
            <w:vAlign w:val="bottom"/>
            <w:tcBorders>
              <w:bottom w:val="single" w:sz="8" w:color="auto"/>
            </w:tcBorders>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December 26, 2024</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2023</w:t>
            </w:r>
          </w:p>
        </w:tc>
        <w:tc>
          <w:tcPr>
            <w:tcW w:w="160" w:type="dxa"/>
            <w:vAlign w:val="bottom"/>
          </w:tcPr>
          <w:p>
            <w:pPr>
              <w:spacing w:after="0"/>
              <w:rPr>
                <w:sz w:val="12"/>
                <w:szCs w:val="12"/>
                <w:color w:val="auto"/>
              </w:rPr>
            </w:pPr>
          </w:p>
        </w:tc>
        <w:tc>
          <w:tcPr>
            <w:tcW w:w="1900" w:type="dxa"/>
            <w:vAlign w:val="bottom"/>
            <w:tcBorders>
              <w:bottom w:val="single" w:sz="8" w:color="auto"/>
            </w:tcBorders>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Maturity Date</w:t>
            </w:r>
          </w:p>
        </w:tc>
        <w:tc>
          <w:tcPr>
            <w:tcW w:w="100" w:type="dxa"/>
            <w:vAlign w:val="bottom"/>
          </w:tcPr>
          <w:p>
            <w:pPr>
              <w:spacing w:after="0"/>
              <w:rPr>
                <w:sz w:val="12"/>
                <w:szCs w:val="12"/>
                <w:color w:val="auto"/>
              </w:rPr>
            </w:pPr>
          </w:p>
        </w:tc>
        <w:tc>
          <w:tcPr>
            <w:tcW w:w="122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209"/>
        </w:trPr>
        <w:tc>
          <w:tcPr>
            <w:tcW w:w="44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 2023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FF0FC"/>
          </w:tcPr>
          <w:p>
            <w:pPr>
              <w:spacing w:after="0"/>
              <w:rPr>
                <w:sz w:val="18"/>
                <w:szCs w:val="18"/>
                <w:color w:val="auto"/>
              </w:rPr>
            </w:pPr>
          </w:p>
        </w:tc>
        <w:tc>
          <w:tcPr>
            <w:tcW w:w="190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August 7, 2026</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i w:val="1"/>
                <w:iCs w:val="1"/>
                <w:color w:val="auto"/>
              </w:rPr>
              <w:t>(1 )</w:t>
            </w:r>
          </w:p>
        </w:tc>
        <w:tc>
          <w:tcPr>
            <w:tcW w:w="0" w:type="dxa"/>
            <w:vAlign w:val="bottom"/>
          </w:tcPr>
          <w:p>
            <w:pPr>
              <w:spacing w:after="0"/>
              <w:rPr>
                <w:sz w:val="1"/>
                <w:szCs w:val="1"/>
                <w:color w:val="auto"/>
              </w:rPr>
            </w:pPr>
          </w:p>
        </w:tc>
      </w:tr>
      <w:tr>
        <w:trPr>
          <w:trHeight w:val="210"/>
        </w:trPr>
        <w:tc>
          <w:tcPr>
            <w:tcW w:w="4400" w:type="dxa"/>
            <w:vAlign w:val="bottom"/>
            <w:tcBorders>
              <w:top w:val="single" w:sz="8" w:color="CFF0FC"/>
            </w:tcBorders>
            <w:gridSpan w:val="3"/>
          </w:tcPr>
          <w:p>
            <w:pPr>
              <w:ind w:left="200"/>
              <w:spacing w:after="0"/>
              <w:rPr>
                <w:sz w:val="20"/>
                <w:szCs w:val="20"/>
                <w:color w:val="auto"/>
              </w:rPr>
            </w:pPr>
            <w:r>
              <w:rPr>
                <w:rFonts w:ascii="Times New Roman" w:cs="Times New Roman" w:eastAsia="Times New Roman" w:hAnsi="Times New Roman"/>
                <w:sz w:val="18"/>
                <w:szCs w:val="18"/>
                <w:color w:val="auto"/>
              </w:rPr>
              <w:t>Total borrowings</w:t>
            </w: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FF0FC"/>
            </w:tcBorders>
          </w:tcPr>
          <w:p>
            <w:pPr>
              <w:spacing w:after="0"/>
              <w:rPr>
                <w:sz w:val="18"/>
                <w:szCs w:val="18"/>
                <w:color w:val="auto"/>
              </w:rPr>
            </w:pPr>
          </w:p>
        </w:tc>
        <w:tc>
          <w:tcPr>
            <w:tcW w:w="19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0" w:type="dxa"/>
            <w:vAlign w:val="bottom"/>
            <w:gridSpan w:val="3"/>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Less: Debt issuance costs and discounts</w:t>
            </w:r>
          </w:p>
        </w:tc>
        <w:tc>
          <w:tcPr>
            <w:tcW w:w="160" w:type="dxa"/>
            <w:vAlign w:val="bottom"/>
            <w:shd w:val="clear" w:color="auto" w:fill="CFF0FC"/>
          </w:tcPr>
          <w:p>
            <w:pPr>
              <w:spacing w:after="0"/>
              <w:rPr>
                <w:sz w:val="17"/>
                <w:szCs w:val="17"/>
                <w:color w:val="auto"/>
              </w:rPr>
            </w:pPr>
          </w:p>
        </w:tc>
        <w:tc>
          <w:tcPr>
            <w:tcW w:w="152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8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400" w:type="dxa"/>
            <w:vAlign w:val="bottom"/>
            <w:tcBorders>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related to term loans and senior notes</w:t>
            </w: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9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borrowings, net</w:t>
            </w:r>
          </w:p>
        </w:tc>
        <w:tc>
          <w:tcPr>
            <w:tcW w:w="160" w:type="dxa"/>
            <w:vAlign w:val="bottom"/>
          </w:tcPr>
          <w:p>
            <w:pPr>
              <w:spacing w:after="0"/>
              <w:rPr>
                <w:sz w:val="18"/>
                <w:szCs w:val="18"/>
                <w:color w:val="auto"/>
              </w:rPr>
            </w:pPr>
          </w:p>
        </w:tc>
        <w:tc>
          <w:tcPr>
            <w:tcW w:w="15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FF0FC"/>
            </w:tcBorders>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Carrying value of long-term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3000" w:type="dxa"/>
            <w:vAlign w:val="bottom"/>
            <w:tcBorders>
              <w:bottom w:val="single" w:sz="8" w:color="auto"/>
            </w:tcBorders>
          </w:tcPr>
          <w:p>
            <w:pPr>
              <w:spacing w:after="0"/>
              <w:rPr>
                <w:sz w:val="3"/>
                <w:szCs w:val="3"/>
                <w:color w:val="auto"/>
              </w:rPr>
            </w:pPr>
          </w:p>
        </w:tc>
        <w:tc>
          <w:tcPr>
            <w:tcW w:w="1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-908050</wp:posOffset>
            </wp:positionV>
            <wp:extent cx="939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-908050</wp:posOffset>
            </wp:positionV>
            <wp:extent cx="939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-496570</wp:posOffset>
            </wp:positionV>
            <wp:extent cx="939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-496570</wp:posOffset>
            </wp:positionV>
            <wp:extent cx="939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-213995</wp:posOffset>
            </wp:positionV>
            <wp:extent cx="939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-213995</wp:posOffset>
            </wp:positionV>
            <wp:extent cx="939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6" w:lineRule="exact"/>
        <w:rPr>
          <w:sz w:val="20"/>
          <w:szCs w:val="20"/>
          <w:color w:val="auto"/>
        </w:rPr>
      </w:pPr>
    </w:p>
    <w:p>
      <w:pPr>
        <w:ind w:left="1000" w:hanging="379"/>
        <w:spacing w:after="0"/>
        <w:tabs>
          <w:tab w:leader="none" w:pos="1000"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interest rates on the revolving credit facility and term loan are described below.</w:t>
      </w:r>
    </w:p>
    <w:p>
      <w:pPr>
        <w:spacing w:after="0" w:line="113" w:lineRule="exact"/>
        <w:rPr>
          <w:sz w:val="20"/>
          <w:szCs w:val="20"/>
          <w:color w:val="auto"/>
        </w:rPr>
      </w:pPr>
    </w:p>
    <w:p>
      <w:pPr>
        <w:ind w:firstLine="61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 Security and Guarantee Agreement </w:t>
      </w:r>
      <w:r>
        <w:rPr>
          <w:rFonts w:ascii="Times New Roman" w:cs="Times New Roman" w:eastAsia="Times New Roman" w:hAnsi="Times New Roman"/>
          <w:sz w:val="18"/>
          <w:szCs w:val="18"/>
          <w:color w:val="auto"/>
        </w:rPr>
        <w:t>– On August 7, 2023, NCM LLC entered into the Revolving Credit Facility 2023 with CIT Northbridge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 LLC as agent. The Revolving Credit Facility 2023 was an asset backed line facility where the capacity depends upon NCM LLC’s trade accounts receivable balance, as adjusted for aged balances and other considerations, and was secured by a lien on substantially all of assets of NCM LLC. The maximum availability NCM LLC had access to under the Revolving Credit Facility 2023 was $55.0 million. The proceeds of the Revolving Credit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Facility 2023 could be used for, inter alia, working capital and capital expenditures. The Revolving Credit Facility 2023 would have matured on August 7, 2026, but was repaid and terminated on January 24, 2025. Please refer to Note 16–</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The interest rate under the Revolving Credit Facility 2023 was a base rate or SOFR benchmark plus (i) 3.75% if less than 50% of revolving commitments were utilized or (ii) 4.50% if 50% or more of revolving commitments were utilized (utilizing the average revolver usage for the prior calendar month as a benchmark for this determination). The Revolving Credit Facility 2023 also contained a financial maintenance covenant requiring that the fixed charge coverage ratio ending on the last day of each fiscal month was at least 1.1 to 1.0 during a “Trigger Period.” A Trigger Period would have begun upon (i) an event of default or (ii) if availability was less than the greater of (a) $5.0 million and (b) 10% of aggregate revolving commitments. A Trigger Period ended only if (i) no event of default existed for the preceding thirty (30) consecutive days and (ii) availability was greater than both (a) $5.0 million and (b) 10% of aggregate revolving commitments. Upon the effectiveness of the Revolving Credit Facility 2023, NCM LLC immediately drew $10.0 million from the facility, which represented the only amount outstanding under the Revolving Credit Facility 2023, as of December 26, 2024. The full amount was repaid on January 24, 2025. Please refer to Note 16–</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The Revolving Credit Facility 2023 also contained customary representations, warranties, covenants, events of default, terms and conditions, including limitations on liens, incurrence of debt, mergers and significant asset dispositions. As of December 26, 2024, NCM LLC’s maximum availability under the $55.0 million Revolving Credit Facility 2023 was $44.4 million, net of $10.0 million outstanding and net letters of credit of $0.6 million. The weighted-average interest rate on the Revolving Credit Facility 2023 as of December 26, 2024 was 8.4%. Upon execution of the Revolving Credit Facility 2023, NCM LLC recorded $2.4 million as debt issuance costs and received $9.1 million in proceeds.</w:t>
      </w:r>
    </w:p>
    <w:p>
      <w:pPr>
        <w:spacing w:after="0" w:line="88" w:lineRule="exact"/>
        <w:rPr>
          <w:sz w:val="20"/>
          <w:szCs w:val="20"/>
          <w:color w:val="auto"/>
        </w:rPr>
      </w:pPr>
    </w:p>
    <w:p>
      <w:pPr>
        <w:ind w:right="160" w:firstLine="614"/>
        <w:spacing w:after="0" w:line="256" w:lineRule="auto"/>
        <w:rPr>
          <w:sz w:val="20"/>
          <w:szCs w:val="20"/>
          <w:color w:val="auto"/>
        </w:rPr>
      </w:pPr>
      <w:r>
        <w:rPr>
          <w:rFonts w:ascii="Times New Roman" w:cs="Times New Roman" w:eastAsia="Times New Roman" w:hAnsi="Times New Roman"/>
          <w:sz w:val="18"/>
          <w:szCs w:val="18"/>
          <w:color w:val="auto"/>
        </w:rPr>
        <w:t>The Revolving Credit Facility 2023 contained a number of covenants and financial ratio requirements, with which NCM LLC was in compliance at December 26, 2024, including maintaining a fixed charge coverage ratio in excess of 1.1 to 1.0 on a monthly basis while maintaining availability in excess of either (i) $8.25 million or (ii) 15.0% of the aggregate revolver commitments (the “availability thresholds”). NCM LLC was permitted to make quarterly dividend payments and other payments based on the fixed charge coverage ratio and availability thresholds so long as no default or event of default had occurred and continued to occur. Dividend payments and other distributions could have been made if the fixed charge coverage ratio was in excess of 1.1 to 1.0 and availability, after the distribution, was in compliance with the availability thresholds.</w:t>
      </w:r>
    </w:p>
    <w:p>
      <w:pPr>
        <w:spacing w:after="0" w:line="79" w:lineRule="exact"/>
        <w:rPr>
          <w:sz w:val="20"/>
          <w:szCs w:val="20"/>
          <w:color w:val="auto"/>
        </w:rPr>
      </w:pPr>
    </w:p>
    <w:p>
      <w:pPr>
        <w:ind w:right="20" w:firstLine="614"/>
        <w:spacing w:after="0" w:line="255" w:lineRule="auto"/>
        <w:rPr>
          <w:sz w:val="20"/>
          <w:szCs w:val="20"/>
          <w:color w:val="auto"/>
        </w:rPr>
      </w:pPr>
      <w:r>
        <w:rPr>
          <w:rFonts w:ascii="Times New Roman" w:cs="Times New Roman" w:eastAsia="Times New Roman" w:hAnsi="Times New Roman"/>
          <w:sz w:val="18"/>
          <w:szCs w:val="18"/>
          <w:color w:val="auto"/>
        </w:rPr>
        <w:t>There were no borrower distribution restrictions as long as NCM LLC’s fixed coverage ratio was 1.1 to 1.0, NCM LLC maintained availability under the availability thresholds and NCM LLC was in compliance with its debt covenants. If there were borrower distribution restrictions on the payments, NCM LLC could not have declared or paid any dividends, or made any payments on account of NCM LLC or made any other distribution for obligations of NCM LLC. When these restrictions were effective, NCM LLC could still have paid the services fee and reimbursable costs pursuant to terms of a management services agreement, between NCM, Inc. and NCM LLC, in exchange for NCM, Inc. providing specified management services to NCM LLC. NCM LLC could also make payments pursuant to the Common Unit Adjustment Agreement and Tax Receivable Agreement in the amount, and at the time necessary to satisfy the contractual obligations with respect to the actual cash tax benefits payable to NCM LLC’s founding members.</w:t>
      </w:r>
    </w:p>
    <w:p>
      <w:pPr>
        <w:spacing w:after="0" w:line="81" w:lineRule="exact"/>
        <w:rPr>
          <w:sz w:val="20"/>
          <w:szCs w:val="20"/>
          <w:color w:val="auto"/>
        </w:rPr>
      </w:pPr>
    </w:p>
    <w:p>
      <w:pPr>
        <w:ind w:right="160" w:firstLine="614"/>
        <w:spacing w:after="0" w:line="266" w:lineRule="auto"/>
        <w:rPr>
          <w:sz w:val="20"/>
          <w:szCs w:val="20"/>
          <w:color w:val="auto"/>
        </w:rPr>
      </w:pPr>
      <w:r>
        <w:rPr>
          <w:rFonts w:ascii="Times New Roman" w:cs="Times New Roman" w:eastAsia="Times New Roman" w:hAnsi="Times New Roman"/>
          <w:sz w:val="18"/>
          <w:szCs w:val="18"/>
          <w:color w:val="auto"/>
        </w:rPr>
        <w:t>As of December 26, 2024, NCM LLC’s fixed charge coverage ratio was 1.7 to 1.0 (versus the required ratio of 1.1 to 1.0) and had availability under the Revolving Credit Facility 2023 of $44.4 million (versus the applicable availability threshold of $8.25 million). As of December 26, 2024, NCM LLC was in compliance with the financial covenants of the Revolving Credit Facility 2023 described above.</w:t>
      </w:r>
    </w:p>
    <w:p>
      <w:pPr>
        <w:spacing w:after="0" w:line="64" w:lineRule="exact"/>
        <w:rPr>
          <w:sz w:val="20"/>
          <w:szCs w:val="20"/>
          <w:color w:val="auto"/>
        </w:rPr>
      </w:pPr>
    </w:p>
    <w:p>
      <w:pPr>
        <w:ind w:right="580" w:firstLine="61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Future Maturities of Borrowings </w:t>
      </w:r>
      <w:r>
        <w:rPr>
          <w:rFonts w:ascii="Times New Roman" w:cs="Times New Roman" w:eastAsia="Times New Roman" w:hAnsi="Times New Roman"/>
          <w:sz w:val="18"/>
          <w:szCs w:val="18"/>
          <w:color w:val="auto"/>
        </w:rPr>
        <w:t>– The scheduled annual maturities on the Revolving Credit Facility 2023 as of December 26, 2024 are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follows (in millions):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20" w:type="dxa"/>
            <w:vAlign w:val="bottom"/>
            <w:tcBorders>
              <w:bottom w:val="single" w:sz="8" w:color="auto"/>
            </w:tcBorders>
          </w:tcPr>
          <w:p>
            <w:pPr>
              <w:ind w:left="43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9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10.0</w:t>
            </w:r>
          </w:p>
        </w:tc>
      </w:tr>
    </w:tbl>
    <w:p>
      <w:pPr>
        <w:spacing w:after="0" w:line="99" w:lineRule="exact"/>
        <w:rPr>
          <w:sz w:val="20"/>
          <w:szCs w:val="20"/>
          <w:color w:val="auto"/>
        </w:rPr>
      </w:pPr>
    </w:p>
    <w:p>
      <w:pPr>
        <w:ind w:left="840" w:hanging="832"/>
        <w:spacing w:after="0"/>
        <w:tabs>
          <w:tab w:leader="none" w:pos="8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jc w:val="both"/>
        <w:ind w:firstLine="614"/>
        <w:spacing w:after="0" w:line="261" w:lineRule="auto"/>
        <w:rPr>
          <w:sz w:val="20"/>
          <w:szCs w:val="20"/>
          <w:color w:val="auto"/>
        </w:rPr>
      </w:pPr>
      <w:r>
        <w:rPr>
          <w:rFonts w:ascii="Times New Roman" w:cs="Times New Roman" w:eastAsia="Times New Roman" w:hAnsi="Times New Roman"/>
          <w:sz w:val="18"/>
          <w:szCs w:val="18"/>
          <w:color w:val="auto"/>
        </w:rPr>
        <w:t>The NCM, Inc. 2020 Omnibus Equity Incentive Plan (the “2020 Plan”) was approved by NCM, Inc.'s stockholders on April 28, 2020 and approved 7,500,000 shares of common stock available for issuance or delivery under the 2020 Plan and an additional 7,500,000 shares of common stock available for issuance or delivery was approved on May 4, 2022. On August 3, 2023, the Company effected a one-for-ten (1:10) reverse stock split of its common stock, par value $0.01 per share. The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reverse stock split, which was authorized by its Board of Directors, was approved by the Company’s stockholders on August 2, 2023. The reverse stock split reduced the number of outstanding shares of the Company’s 2020 Plan to 1,500,000. NCM, Inc.'s stockholders approved an additional 12,000,000 shares of common stock available for issuance or delivery under the 2020 Plan on November 2, 2023.</w:t>
      </w:r>
    </w:p>
    <w:p>
      <w:pPr>
        <w:spacing w:after="0" w:line="68" w:lineRule="exact"/>
        <w:rPr>
          <w:sz w:val="20"/>
          <w:szCs w:val="20"/>
          <w:color w:val="auto"/>
        </w:rPr>
      </w:pPr>
    </w:p>
    <w:p>
      <w:pPr>
        <w:ind w:right="20" w:firstLine="614"/>
        <w:spacing w:after="0" w:line="254" w:lineRule="auto"/>
        <w:rPr>
          <w:sz w:val="20"/>
          <w:szCs w:val="20"/>
          <w:color w:val="auto"/>
        </w:rPr>
      </w:pPr>
      <w:r>
        <w:rPr>
          <w:rFonts w:ascii="Times New Roman" w:cs="Times New Roman" w:eastAsia="Times New Roman" w:hAnsi="Times New Roman"/>
          <w:sz w:val="18"/>
          <w:szCs w:val="18"/>
          <w:color w:val="auto"/>
        </w:rPr>
        <w:t>The Company began issuing shares under the 2020 Plan in the second quarter of 2020. The 2020 Plan replaced NCM, Inc.’s 2016 Equity Incentive Plan (the “2016 Plan”), which replaced the 2007 Equity Incentive Plan (the “2007 Plan”). The 2020 Plan also includes 2,388,302 shares related to the number of shares reserved for issuance under the 2016 Plan that remained available for grant as of the effective date of the 2020 Plan and the number of shares subject to awards granted under the 2007 Plan as of the effective date of the 2020 Plan, which can become available for grant again upon expiration, termination, cancellation or forfeiture of the original award. As of December 26, 2024, 6,104,880 shares remain available for future grants (assuming 100% achievement of targets on performance-based restricted stock). The types of awards that may be granted under the 2020 Plan include stock options, stock appreciation rights, restricted stock, restricted stock units or other stock based awards. Certain option and share awards provide for accelerated vesting if there is a change in control, as defined in the 2016 Plan and 2020 Plan. Upon vesting of the restricted stock awards or exercise of options, NCM LLC will issue common membership units to the Company equal to the number of shares of the Company’s common stock represented by such awards.</w:t>
      </w:r>
    </w:p>
    <w:p>
      <w:pPr>
        <w:spacing w:after="0" w:line="76" w:lineRule="exact"/>
        <w:rPr>
          <w:sz w:val="20"/>
          <w:szCs w:val="20"/>
          <w:color w:val="auto"/>
        </w:rPr>
      </w:pPr>
    </w:p>
    <w:p>
      <w:pPr>
        <w:jc w:val="both"/>
        <w:ind w:right="140" w:firstLine="61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Compensation Cost</w:t>
      </w:r>
      <w:r>
        <w:rPr>
          <w:rFonts w:ascii="Times New Roman" w:cs="Times New Roman" w:eastAsia="Times New Roman" w:hAnsi="Times New Roman"/>
          <w:sz w:val="18"/>
          <w:szCs w:val="18"/>
          <w:color w:val="auto"/>
        </w:rPr>
        <w:t>—The Company recognized $12.2 million and $4.5 million for the years ended December 26, 2024 and December 28,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of share-based compensation expense within “Network operating costs”, “Selling and marketing costs” and “Administrative and other costs” in the Consolidated Statements of Operations as shown in the table below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4"/>
          </w:tcPr>
          <w:p>
            <w:pPr>
              <w:jc w:val="right"/>
              <w:ind w:right="1334"/>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142"/>
        </w:trPr>
        <w:tc>
          <w:tcPr>
            <w:tcW w:w="7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December 26, 2024</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2023</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costs included in network operating costs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costs included in selling and marketing costs</w:t>
            </w:r>
          </w:p>
        </w:tc>
        <w:tc>
          <w:tcPr>
            <w:tcW w:w="140" w:type="dxa"/>
            <w:vAlign w:val="bottom"/>
          </w:tcPr>
          <w:p>
            <w:pPr>
              <w:spacing w:after="0"/>
              <w:rPr>
                <w:sz w:val="18"/>
                <w:szCs w:val="18"/>
                <w:color w:val="auto"/>
              </w:rPr>
            </w:pPr>
          </w:p>
        </w:tc>
        <w:tc>
          <w:tcPr>
            <w:tcW w:w="15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costs included in administrative and other costs</w:t>
            </w: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3.5</w:t>
            </w:r>
          </w:p>
        </w:tc>
      </w:tr>
      <w:tr>
        <w:trPr>
          <w:trHeight w:val="210"/>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share-based compensation costs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7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-170815</wp:posOffset>
            </wp:positionV>
            <wp:extent cx="11176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83" w:lineRule="exact"/>
        <w:rPr>
          <w:sz w:val="20"/>
          <w:szCs w:val="20"/>
          <w:color w:val="auto"/>
        </w:rPr>
      </w:pPr>
    </w:p>
    <w:p>
      <w:pPr>
        <w:ind w:right="40" w:firstLine="614"/>
        <w:spacing w:after="0" w:line="258" w:lineRule="auto"/>
        <w:rPr>
          <w:sz w:val="20"/>
          <w:szCs w:val="20"/>
          <w:color w:val="auto"/>
        </w:rPr>
      </w:pPr>
      <w:r>
        <w:rPr>
          <w:rFonts w:ascii="Times New Roman" w:cs="Times New Roman" w:eastAsia="Times New Roman" w:hAnsi="Times New Roman"/>
          <w:sz w:val="18"/>
          <w:szCs w:val="18"/>
          <w:color w:val="auto"/>
        </w:rPr>
        <w:t>During the years ended December 26, 2024 and December 28, 2023, $0.0 million and $0.1 million was capitalized, respectively, in a corresponding manner to the capitalization of employee’s salaries for capitalized labor. As of December 26, 2024, there was $0.1 million unrecognized compensation cost related to unvested options, which will be recognized over a remaining period of 0.8 years. As of December 26, 2024, unrecognized compensation cost related to restricted stock units was approximately $10.7 million, which will be recognized over a weighted average remaining period of 1.1 years.</w:t>
      </w:r>
    </w:p>
    <w:p>
      <w:pPr>
        <w:spacing w:after="0" w:line="71" w:lineRule="exact"/>
        <w:rPr>
          <w:sz w:val="20"/>
          <w:szCs w:val="20"/>
          <w:color w:val="auto"/>
        </w:rPr>
      </w:pPr>
    </w:p>
    <w:p>
      <w:pPr>
        <w:ind w:firstLine="61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Stock Options</w:t>
      </w:r>
      <w:r>
        <w:rPr>
          <w:rFonts w:ascii="Times New Roman" w:cs="Times New Roman" w:eastAsia="Times New Roman" w:hAnsi="Times New Roman"/>
          <w:sz w:val="18"/>
          <w:szCs w:val="18"/>
          <w:color w:val="auto"/>
        </w:rPr>
        <w:t>—The Company granted stock options during 2023 that remain unvested as of December 26, 2024. A portion of the stock options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awarded were granted with an exercise price equal to the closing market price of NCM, Inc. common stock on the date the Company’s Board of Directors approved the grant. The remaining portion of stock options awarded were granted with an exercise price in excess of the closing market price of NCM, Inc. common stock on the date the Company’s Board of Directors approved the grant. All options have either 10-year or 15-year contractual terms. The fair value of each option award is estimated on the date of grant using the Black-Scholes option pricing valuation model that uses the assumptions noted in the table below. Expected volatilities are based on implied volatilities from traded options on the Company’s stock, historical volatility of the Company’s stock and other factors. The Company uses historical data to estimate option exercise and employee termination within the valuation model. The expected term of options granted was developed based on historical and peer company data and represents the period of time that options granted are expected to be outstanding. The expected term of the options granted were adjusted to include the Company's cost of equity in order to incorporate the impact of the option's premium price and simulate a lattice model. The risk-free rate for periods within the contractual life of the option is based on the U.S. Treasury yield curve in effect at the time of grant. There were no option awards granted for the year ended December 26, 2024. The following assumptions were used in the valuation of the options for the year ended December 28, 2023:</w:t>
      </w:r>
    </w:p>
    <w:p>
      <w:pPr>
        <w:spacing w:after="0" w:line="93"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7800" w:type="dxa"/>
            <w:vAlign w:val="bottom"/>
          </w:tcPr>
          <w:p>
            <w:pPr>
              <w:spacing w:after="0"/>
              <w:rPr>
                <w:sz w:val="15"/>
                <w:szCs w:val="15"/>
                <w:color w:val="auto"/>
              </w:rPr>
            </w:pPr>
          </w:p>
        </w:tc>
        <w:tc>
          <w:tcPr>
            <w:tcW w:w="18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2"/>
        </w:trPr>
        <w:tc>
          <w:tcPr>
            <w:tcW w:w="7800" w:type="dxa"/>
            <w:vAlign w:val="bottom"/>
          </w:tcPr>
          <w:p>
            <w:pPr>
              <w:spacing w:after="0"/>
              <w:rPr>
                <w:sz w:val="12"/>
                <w:szCs w:val="12"/>
                <w:color w:val="auto"/>
              </w:rPr>
            </w:pPr>
          </w:p>
        </w:tc>
        <w:tc>
          <w:tcPr>
            <w:tcW w:w="1860" w:type="dxa"/>
            <w:vAlign w:val="bottom"/>
            <w:tcBorders>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2023</w:t>
            </w:r>
          </w:p>
        </w:tc>
      </w:tr>
      <w:tr>
        <w:trPr>
          <w:trHeight w:val="210"/>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86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16"/>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86.4 %</w:t>
            </w:r>
          </w:p>
        </w:tc>
      </w:tr>
      <w:tr>
        <w:trPr>
          <w:trHeight w:val="23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r>
    </w:tbl>
    <w:p>
      <w:pPr>
        <w:spacing w:after="0" w:line="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 summary of option award activity as of December 26, 2024, and changes during the year then ended are presented below:</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3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3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13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28, 2023</w:t>
            </w: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234,779</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42.50</w:t>
            </w:r>
          </w:p>
        </w:tc>
        <w:tc>
          <w:tcPr>
            <w:tcW w:w="14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26, 2024</w:t>
            </w:r>
          </w:p>
        </w:tc>
        <w:tc>
          <w:tcPr>
            <w:tcW w:w="12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234,779</w:t>
            </w:r>
          </w:p>
        </w:tc>
        <w:tc>
          <w:tcPr>
            <w:tcW w:w="3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42.50</w:t>
            </w:r>
          </w:p>
        </w:tc>
        <w:tc>
          <w:tcPr>
            <w:tcW w:w="1400" w:type="dxa"/>
            <w:vAlign w:val="bottom"/>
            <w:tcBorders>
              <w:bottom w:val="single" w:sz="8" w:color="CFF0FC"/>
            </w:tcBorders>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5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as of December 26, 2024</w:t>
            </w:r>
          </w:p>
        </w:tc>
        <w:tc>
          <w:tcPr>
            <w:tcW w:w="128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197,416</w:t>
            </w:r>
          </w:p>
        </w:tc>
        <w:tc>
          <w:tcPr>
            <w:tcW w:w="32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line="196" w:lineRule="exact"/>
              <w:rPr>
                <w:sz w:val="20"/>
                <w:szCs w:val="20"/>
                <w:color w:val="auto"/>
              </w:rPr>
            </w:pPr>
            <w:r>
              <w:rPr>
                <w:rFonts w:ascii="Times New Roman" w:cs="Times New Roman" w:eastAsia="Times New Roman" w:hAnsi="Times New Roman"/>
                <w:sz w:val="18"/>
                <w:szCs w:val="18"/>
                <w:color w:val="auto"/>
              </w:rPr>
              <w:t>45.12</w:t>
            </w:r>
          </w:p>
        </w:tc>
        <w:tc>
          <w:tcPr>
            <w:tcW w:w="1400" w:type="dxa"/>
            <w:vAlign w:val="bottom"/>
            <w:gridSpan w:val="2"/>
          </w:tcPr>
          <w:p>
            <w:pPr>
              <w:jc w:val="right"/>
              <w:ind w:right="41"/>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2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December 26, 2024</w:t>
            </w: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234,204</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42.53</w:t>
            </w:r>
          </w:p>
        </w:tc>
        <w:tc>
          <w:tcPr>
            <w:tcW w:w="14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-299720</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-281940</wp:posOffset>
            </wp:positionV>
            <wp:extent cx="857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9" w:lineRule="exact"/>
        <w:rPr>
          <w:sz w:val="20"/>
          <w:szCs w:val="20"/>
          <w:color w:val="auto"/>
        </w:rPr>
      </w:pPr>
    </w:p>
    <w:p>
      <w:pPr>
        <w:ind w:right="20" w:firstLine="61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—Under the non-vested stock program, common stock of the Company may be granted at no cost to officers,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and employees, subject to requisite service and/or financial performance targets. As such restrictions lapse, the award vests in that proportion. The participants are entitled to dividend equivalents, although the sale and transfer of such shares is prohibited and the shares are subject to forfeiture during the restricted period. Additionally, the accrued dividend equivalents are subject to forfeiture during the vesting period should the underlying units not vest. As of December 26, 2024 and December 28, 2023, accrued dividend equivalents totaled $0.0 million and $0.3 million, respectively and during the years ended December 26, 2024 and December 28, 2023, the Company paid $0.3 million and $0.5 million, respectively, for dividend equivalents upon vesting of the restricted stock units. In 2024, the Company issued grants to certain employees under a management incentive plan related to the Company's emergence from the Chapter 11 Case. The structure and size of these grants differed from historical grants. The grants consisted of time-based restricted stock units which vest over a three-year period, with 30% vesting at the end of fiscal year 2024, 7.5% vesting each quarter of 2025 and 10% vesting each quarter of 2026. The grants also included performance-based restricted stock units which vest in three equal tranches, each with a one-year measurement period to the extent that the Company achieves specified non-GAAP targets at the end of each measurement period and market-based restricted stock units which vest at any point before the end of 2026 to the extent that the Company achieves specified shareholder value prior to the end of the measurement period. All RSUs will be settled in shares of the Company’s common stock. The grant date fair value of the time-based and performance-based restricted stock units is based on the closing market price on NCM, Inc. common stock on the date of grant. An annual forfeiture rate of 2-6% was estimated to reflect the potential separation of employees. The grant date fair value of the market-based restricted stock units was calculated using a Monte Carlo simulation model. This model considers various subjective assumptions as inputs which involve inherent uncertainties and the application of our judgment as it relates to market volatilities, the historical volatility of our stock price, risk-free rates and expected life. The RSU awards include the right to receive dividend equivalents, subject to vesting.</w:t>
      </w:r>
    </w:p>
    <w:p>
      <w:pPr>
        <w:spacing w:after="0" w:line="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Additionally, non-employee directors received quarterly grants for a portion of the year which vested immediately with a fair market value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 and received quarterly grants that will vest on the date of the next annual shareholder meeting with a fair market value of $50,000. The number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were determined by utilizing the weighted average closing price of the five days before and five days after the respective quarterly earnings release.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Non-employee directors may choose to elect up to 20% of their quarterly grant in cash. The grant date fair value of restricted stock units is based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market price of NCM, Inc. common stock on the date of grant. The weighted average grant date fair value of non-vested stock was $3.51 and $3.42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26, 2024 and December 28, 2023, respectively. The total fair value of awards that vested during the years ended December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2024 and December 28, 2023 was $9.6 million and $7.1 million, respectively.</w:t>
      </w:r>
    </w:p>
    <w:p>
      <w:pPr>
        <w:spacing w:after="0" w:line="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A summary of restricted stock unit activity as of December 26, 2024, and changes during the year then ended are presented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72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jc w:val="center"/>
              <w:ind w:right="2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center"/>
              <w:ind w:right="2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7"/>
        </w:trPr>
        <w:tc>
          <w:tcPr>
            <w:tcW w:w="7680" w:type="dxa"/>
            <w:vAlign w:val="bottom"/>
          </w:tcPr>
          <w:p>
            <w:pPr>
              <w:spacing w:after="0"/>
              <w:rPr>
                <w:sz w:val="12"/>
                <w:szCs w:val="12"/>
                <w:color w:val="auto"/>
              </w:rPr>
            </w:pPr>
          </w:p>
        </w:tc>
        <w:tc>
          <w:tcPr>
            <w:tcW w:w="1720" w:type="dxa"/>
            <w:vAlign w:val="bottom"/>
          </w:tcPr>
          <w:p>
            <w:pPr>
              <w:jc w:val="center"/>
              <w:ind w:right="37"/>
              <w:spacing w:after="0" w:line="14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center"/>
              <w:ind w:right="298"/>
              <w:spacing w:after="0" w:line="14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5"/>
        </w:trPr>
        <w:tc>
          <w:tcPr>
            <w:tcW w:w="7680" w:type="dxa"/>
            <w:vAlign w:val="bottom"/>
          </w:tcPr>
          <w:p>
            <w:pPr>
              <w:spacing w:after="0"/>
              <w:rPr>
                <w:sz w:val="15"/>
                <w:szCs w:val="15"/>
                <w:color w:val="auto"/>
              </w:rPr>
            </w:pPr>
          </w:p>
        </w:tc>
        <w:tc>
          <w:tcPr>
            <w:tcW w:w="17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 xml:space="preserve">Stock Units </w:t>
            </w:r>
            <w:r>
              <w:rPr>
                <w:rFonts w:ascii="Times New Roman" w:cs="Times New Roman" w:eastAsia="Times New Roman" w:hAnsi="Times New Roman"/>
                <w:sz w:val="14"/>
                <w:szCs w:val="14"/>
                <w:b w:val="1"/>
                <w:bCs w:val="1"/>
                <w:i w:val="1"/>
                <w:iCs w:val="1"/>
                <w:color w:val="auto"/>
              </w:rPr>
              <w:t>(1)</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29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balance as of December 28, 2023</w:t>
            </w:r>
          </w:p>
        </w:tc>
        <w:tc>
          <w:tcPr>
            <w:tcW w:w="1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744,397</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6,500,171</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18"/>
                <w:szCs w:val="18"/>
                <w:i w:val="1"/>
                <w:iCs w:val="1"/>
                <w:color w:val="auto"/>
              </w:rPr>
              <w:t>(2)</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(1,253,912 )</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(554,094 )</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balance as of December 26, 2024</w:t>
            </w:r>
          </w:p>
        </w:tc>
        <w:tc>
          <w:tcPr>
            <w:tcW w:w="17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5,436,562</w:t>
            </w:r>
          </w:p>
        </w:tc>
        <w:tc>
          <w:tcPr>
            <w:tcW w:w="4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8084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151" w:lineRule="exact"/>
        <w:rPr>
          <w:sz w:val="20"/>
          <w:szCs w:val="20"/>
          <w:color w:val="auto"/>
        </w:rPr>
      </w:pPr>
    </w:p>
    <w:p>
      <w:pPr>
        <w:ind w:left="1000" w:right="160" w:hanging="379"/>
        <w:spacing w:after="0" w:line="266" w:lineRule="auto"/>
        <w:tabs>
          <w:tab w:leader="none" w:pos="100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Includes unvested 145,043 shares of performance-based restricted stock units as of December 28, 2023, 3,223,885 shares granted during the year and 269,678 shares forfeited during the year, resulting in 3,053,509 unvested shares of performance-based restricted stock units as of December 26, 2024.</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ind w:left="1000" w:hanging="379"/>
        <w:spacing w:after="0"/>
        <w:tabs>
          <w:tab w:leader="none" w:pos="100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Includes 164 vested shares that were withheld to cover tax obligations and were subsequently canceled.</w:t>
      </w:r>
    </w:p>
    <w:p>
      <w:pPr>
        <w:spacing w:after="0" w:line="117" w:lineRule="exact"/>
        <w:rPr>
          <w:sz w:val="20"/>
          <w:szCs w:val="20"/>
          <w:color w:val="auto"/>
        </w:rPr>
      </w:pPr>
    </w:p>
    <w:p>
      <w:pPr>
        <w:ind w:right="20" w:firstLine="608"/>
        <w:spacing w:after="0" w:line="281" w:lineRule="auto"/>
        <w:rPr>
          <w:sz w:val="20"/>
          <w:szCs w:val="20"/>
          <w:color w:val="auto"/>
        </w:rPr>
      </w:pPr>
      <w:r>
        <w:rPr>
          <w:rFonts w:ascii="Times New Roman" w:cs="Times New Roman" w:eastAsia="Times New Roman" w:hAnsi="Times New Roman"/>
          <w:sz w:val="17"/>
          <w:szCs w:val="17"/>
          <w:color w:val="auto"/>
        </w:rPr>
        <w:t>The above table reflects performance-based restricted stock granted at 100% achievement of performance conditions and as such does not reflect the maximum or minimum number of shares of performance-based restricted stock contingently issuable. No shares of the performance-based restricted stock will be issued if the specified targets are not met. As of December 26, 2024, the total number of restricted stock units that are ultimately expected to vest, after consideration of expected forfeitures and current projections of estimated vesting of performance-based restricted stock units is 2,993,179 shares.</w:t>
      </w:r>
    </w:p>
    <w:p>
      <w:pPr>
        <w:spacing w:after="0" w:line="52" w:lineRule="exact"/>
        <w:rPr>
          <w:sz w:val="20"/>
          <w:szCs w:val="20"/>
          <w:color w:val="auto"/>
        </w:rPr>
      </w:pPr>
    </w:p>
    <w:p>
      <w:pPr>
        <w:ind w:left="840" w:hanging="832"/>
        <w:spacing w:after="0"/>
        <w:tabs>
          <w:tab w:leader="none" w:pos="8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121" w:lineRule="exact"/>
        <w:rPr>
          <w:sz w:val="20"/>
          <w:szCs w:val="20"/>
          <w:color w:val="auto"/>
        </w:rPr>
      </w:pPr>
    </w:p>
    <w:p>
      <w:pPr>
        <w:ind w:right="40" w:firstLine="614"/>
        <w:spacing w:after="0" w:line="256" w:lineRule="auto"/>
        <w:rPr>
          <w:sz w:val="20"/>
          <w:szCs w:val="20"/>
          <w:color w:val="auto"/>
        </w:rPr>
      </w:pPr>
      <w:r>
        <w:rPr>
          <w:rFonts w:ascii="Times New Roman" w:cs="Times New Roman" w:eastAsia="Times New Roman" w:hAnsi="Times New Roman"/>
          <w:sz w:val="18"/>
          <w:szCs w:val="18"/>
          <w:color w:val="auto"/>
        </w:rPr>
        <w:t>The Company sponsors the NCM 401(k) Profit Sharing Plan (the “Plan”) under Section 401(k) of the Internal Revenue Code of 1986, as amended, for the benefit of substantially all full-time employees. The Plan provides that participants may contribute up to 20% of their compensation, subject to Internal Revenue Service limitations. Employee contributions are invested in various investment funds based upon election made by the employee. The Company made discretionary contributions of $0.2 million and $0.0 million during the years ended December 26, 2024 and December 28, 2023, respectively. In response to the COVID-19 Pandemic and Chapter 11 Case, the Company temporarily suspended its match of a portion of employees 401(k) contributions effective April 2020 through December 28, 2023, reinstating at the beginning of 2024.</w:t>
      </w:r>
    </w:p>
    <w:p>
      <w:pPr>
        <w:spacing w:after="0" w:line="75" w:lineRule="exact"/>
        <w:rPr>
          <w:sz w:val="20"/>
          <w:szCs w:val="20"/>
          <w:color w:val="auto"/>
        </w:rPr>
      </w:pPr>
    </w:p>
    <w:p>
      <w:pPr>
        <w:ind w:left="840" w:hanging="832"/>
        <w:spacing w:after="0"/>
        <w:tabs>
          <w:tab w:leader="none" w:pos="8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ind w:firstLine="61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Legal Actions</w:t>
      </w:r>
      <w:r>
        <w:rPr>
          <w:rFonts w:ascii="Times New Roman" w:cs="Times New Roman" w:eastAsia="Times New Roman" w:hAnsi="Times New Roman"/>
          <w:sz w:val="18"/>
          <w:szCs w:val="18"/>
          <w:color w:val="auto"/>
        </w:rPr>
        <w:t>—The Company is subject to claims and legal actions in the ordinary course of business. The Company believes such claims will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a material effect, individually and in aggregate, on its financial position, results of operations or cash flows.</w:t>
      </w:r>
    </w:p>
    <w:p>
      <w:pPr>
        <w:spacing w:after="0" w:line="47" w:lineRule="exact"/>
        <w:rPr>
          <w:sz w:val="20"/>
          <w:szCs w:val="20"/>
          <w:color w:val="auto"/>
        </w:rPr>
      </w:pPr>
    </w:p>
    <w:p>
      <w:pPr>
        <w:ind w:right="140" w:firstLine="61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Operating Commitments-Facilities</w:t>
      </w:r>
      <w:r>
        <w:rPr>
          <w:rFonts w:ascii="Times New Roman" w:cs="Times New Roman" w:eastAsia="Times New Roman" w:hAnsi="Times New Roman"/>
          <w:sz w:val="18"/>
          <w:szCs w:val="18"/>
          <w:color w:val="auto"/>
        </w:rPr>
        <w:t>—The Company has entered into operating lease agreements for its corporate headquarters and other regional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offices. The Company has right-of-use (“ROU”) assets of $12.2 million and short-term and long-term lease liabilities of $1.7 million and $12.5 million, respectively, on the balance sheet as of December 26, 2024 for all material leases with terms longer than twelve months. As of December 28, 2023 the Company had ROU assets of $4.3 million and short-term and long-term lease liabilities of $1.0 million and $5.0 million, respectively, for all material leases with terms longer than twelve months. These balances are included within “Other assets”, “Other current liabilities” and “Other liabilities”, respectively, on the audited Consolidated Balance Sheets. Certain leases were rejected or modified in conjunction with NCM LLC’s Chapter 11 Case and were not included as of December 28, 2023. The Company has options on existing facilities to extend the lease or to terminate part or all of the leased space prior to the lease end date. Certain termination fees would be due upon exercise of the early termination options as outlined within the underlying agreements. None of these options were considered reasonably certain of exercise and thus have not been recognized as part of the ROU assets and lease liabilities. As of December 26, 2024, the Company had a weighted average remaining lease term of 7.4 years on these leases.</w:t>
      </w:r>
    </w:p>
    <w:p>
      <w:pPr>
        <w:spacing w:after="0" w:line="81" w:lineRule="exact"/>
        <w:rPr>
          <w:sz w:val="20"/>
          <w:szCs w:val="20"/>
          <w:color w:val="auto"/>
        </w:rPr>
      </w:pPr>
    </w:p>
    <w:p>
      <w:pPr>
        <w:ind w:right="40" w:firstLine="614"/>
        <w:spacing w:after="0" w:line="282" w:lineRule="auto"/>
        <w:rPr>
          <w:sz w:val="20"/>
          <w:szCs w:val="20"/>
          <w:color w:val="auto"/>
        </w:rPr>
      </w:pPr>
      <w:r>
        <w:rPr>
          <w:rFonts w:ascii="Times New Roman" w:cs="Times New Roman" w:eastAsia="Times New Roman" w:hAnsi="Times New Roman"/>
          <w:sz w:val="18"/>
          <w:szCs w:val="18"/>
          <w:color w:val="auto"/>
        </w:rPr>
        <w:t>The Company has also entered into certain short-term leases with a term of less than one year. These leases are not included within the Company’s ROU assets or lease liabilities due to the Company’s election of the practical expedient in ASC 842-20-25-2 for short-term leases.</w:t>
      </w:r>
    </w:p>
    <w:p>
      <w:pPr>
        <w:spacing w:after="0" w:line="54" w:lineRule="exact"/>
        <w:rPr>
          <w:sz w:val="20"/>
          <w:szCs w:val="20"/>
          <w:color w:val="auto"/>
        </w:rPr>
      </w:pPr>
    </w:p>
    <w:p>
      <w:pPr>
        <w:ind w:right="60" w:firstLine="614"/>
        <w:spacing w:after="0" w:line="266" w:lineRule="auto"/>
        <w:rPr>
          <w:sz w:val="20"/>
          <w:szCs w:val="20"/>
          <w:color w:val="auto"/>
        </w:rPr>
      </w:pPr>
      <w:r>
        <w:rPr>
          <w:rFonts w:ascii="Times New Roman" w:cs="Times New Roman" w:eastAsia="Times New Roman" w:hAnsi="Times New Roman"/>
          <w:sz w:val="18"/>
          <w:szCs w:val="18"/>
          <w:color w:val="auto"/>
        </w:rPr>
        <w:t>During the year ended December 26, 2024 and December 28, 2023, the Company recognized the following components of total lease cost (in millions). These costs are presented within “Selling and marketing costs” and “Administrative and other costs” within the audited Consolidated Statements of Operations depending upon the nature of the use of the facility.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4"/>
          </w:tcPr>
          <w:p>
            <w:pPr>
              <w:ind w:left="1160"/>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142"/>
        </w:trPr>
        <w:tc>
          <w:tcPr>
            <w:tcW w:w="7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December 26, 2024</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2023</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0.5</w:t>
            </w: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83" w:lineRule="exact"/>
        <w:rPr>
          <w:sz w:val="20"/>
          <w:szCs w:val="20"/>
          <w:color w:val="auto"/>
        </w:rPr>
      </w:pPr>
    </w:p>
    <w:p>
      <w:pPr>
        <w:ind w:right="100" w:firstLine="614"/>
        <w:spacing w:after="0" w:line="266" w:lineRule="auto"/>
        <w:rPr>
          <w:sz w:val="20"/>
          <w:szCs w:val="20"/>
          <w:color w:val="auto"/>
        </w:rPr>
      </w:pPr>
      <w:r>
        <w:rPr>
          <w:rFonts w:ascii="Times New Roman" w:cs="Times New Roman" w:eastAsia="Times New Roman" w:hAnsi="Times New Roman"/>
          <w:sz w:val="18"/>
          <w:szCs w:val="18"/>
          <w:color w:val="auto"/>
        </w:rPr>
        <w:t>The Company made lease payments for the year ended December 26, 2024 and December 28, 2023 of $2.0 million and $3.6 million, respectively. These payments are included within cash flows from operating activities within the audited Consolidated Statement of Cash Flows. The minimum lease payments under noncancellable operating leases as of December 26, 2024 were as follows (in millions):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vMerge w:val="restart"/>
          </w:tcPr>
          <w:p>
            <w:pPr>
              <w:ind w:left="43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Minimum Lease</w:t>
            </w:r>
          </w:p>
        </w:tc>
        <w:tc>
          <w:tcPr>
            <w:tcW w:w="0" w:type="dxa"/>
            <w:vAlign w:val="bottom"/>
          </w:tcPr>
          <w:p>
            <w:pPr>
              <w:spacing w:after="0"/>
              <w:rPr>
                <w:sz w:val="1"/>
                <w:szCs w:val="1"/>
                <w:color w:val="auto"/>
              </w:rPr>
            </w:pPr>
          </w:p>
        </w:tc>
      </w:tr>
      <w:tr>
        <w:trPr>
          <w:trHeight w:val="173"/>
        </w:trPr>
        <w:tc>
          <w:tcPr>
            <w:tcW w:w="90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210"/>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9"/>
        </w:trPr>
        <w:tc>
          <w:tcPr>
            <w:tcW w:w="9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 on future lease payments</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50"/>
        </w:trPr>
        <w:tc>
          <w:tcPr>
            <w:tcW w:w="9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liability as of December 26, 2024 per the Consolidated Balance Sheet</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firstLine="614"/>
        <w:spacing w:after="0" w:line="261" w:lineRule="auto"/>
        <w:rPr>
          <w:sz w:val="20"/>
          <w:szCs w:val="20"/>
          <w:color w:val="auto"/>
        </w:rPr>
      </w:pPr>
      <w:r>
        <w:rPr>
          <w:rFonts w:ascii="Times New Roman" w:cs="Times New Roman" w:eastAsia="Times New Roman" w:hAnsi="Times New Roman"/>
          <w:sz w:val="18"/>
          <w:szCs w:val="18"/>
          <w:color w:val="auto"/>
        </w:rPr>
        <w:t>When measuring the ROU assets and lease liabilities recorded, the Company utilized its incremental borrowing rate in order to determine the present value of the lease payments as the leases do not provide an implicit rate. The Company used the rate of interest that it would have paid to borrow on a collateralized basis over a similar term for an amount equal to the lease payments in a similar economic environment. As of December 26, 2024, the Company’s weighted average annual discount rate used to establish the ROU assets and lease liabilities was 4.8%.</w:t>
      </w:r>
    </w:p>
    <w:p>
      <w:pPr>
        <w:spacing w:after="0" w:line="68" w:lineRule="exact"/>
        <w:rPr>
          <w:sz w:val="20"/>
          <w:szCs w:val="20"/>
          <w:color w:val="auto"/>
        </w:rPr>
      </w:pPr>
    </w:p>
    <w:p>
      <w:pPr>
        <w:ind w:right="80" w:firstLine="61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Operating Commitments - ESAs and Affiliate Agreements</w:t>
      </w:r>
      <w:r>
        <w:rPr>
          <w:rFonts w:ascii="Times New Roman" w:cs="Times New Roman" w:eastAsia="Times New Roman" w:hAnsi="Times New Roman"/>
          <w:sz w:val="18"/>
          <w:szCs w:val="18"/>
          <w:color w:val="auto"/>
        </w:rPr>
        <w:t>—The Company has entered into long-term ESAs with the ESA Parties and multi-year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agreements with certain network affiliates, or third-party theater circuits. The ESAs and network affiliate agreements grant NCM LLC exclusive rights in their theaters to sell advertising, subject to limited exceptions. The Company recognizes intangible assets upon issuance of membership units to the ESA Parties in accordance with NCM LLC’s Common Unit Adjustment Agreement and upfront cash payments to the affiliates for the contractual rights to provide the Company’s services within their theaters as further discussed within Note 6—</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These ESAs and network affiliate agreements are considered leases under ASC 842 once the asset is identified and the period of control is determined upon the scheduling of the showtimes by the exhibitors, typically one week prior to the showtime. As such, the leases are considered short-term in nature, specifically less than one month. Within ASC 842, leases with terms of less than one month are exempt from the majority of the accounting and disclosure requirements, including disclosure of short-term lease expense. No ROU assets or lease liabilities were recognized for these agreements and no change to the balance sheet presentation of the intangible assets was necessary. However, the amortization of these intangible assets is considered lease expense and is presented within ‘Amortization expense’ within the Consolidated Statement of Operations. The Company recorded $23.4 million and $16.7 million in amortization of these intangible assets in the years ended December 26, 2024 and December 28, 2023, respectively.</w:t>
      </w:r>
    </w:p>
    <w:p>
      <w:pPr>
        <w:spacing w:after="0" w:line="86" w:lineRule="exact"/>
        <w:rPr>
          <w:sz w:val="20"/>
          <w:szCs w:val="20"/>
          <w:color w:val="auto"/>
        </w:rPr>
      </w:pPr>
    </w:p>
    <w:p>
      <w:pPr>
        <w:ind w:firstLine="614"/>
        <w:spacing w:after="0" w:line="254" w:lineRule="auto"/>
        <w:rPr>
          <w:sz w:val="20"/>
          <w:szCs w:val="20"/>
          <w:color w:val="auto"/>
        </w:rPr>
      </w:pPr>
      <w:r>
        <w:rPr>
          <w:rFonts w:ascii="Times New Roman" w:cs="Times New Roman" w:eastAsia="Times New Roman" w:hAnsi="Times New Roman"/>
          <w:sz w:val="18"/>
          <w:szCs w:val="18"/>
          <w:color w:val="auto"/>
        </w:rPr>
        <w:t>In consideration for NCM LLC’s access to the ESA Parties’ theater attendees for on-screen advertising and use of lobbies and other space within the ESA Parties’ theaters for the LEN and lobby promotions, the ESA Parties receive a monthly theater access fee under the ESAs. The theater access fee is considered lease expense and is composed of a fixed payment per patron, a fixed payment per digital screen (connected to the DCN) and a fee for access to higher quality digital cinema equipment. The payment per theater patron increased by 8% in 2022 and will increase by 8% every five years with the next occurrence in 2027. The payment per digital screen and for digital cinema equipment increases annually by 5%. The theater access fee paid in the aggregate to all ESA Parties cannot be less than 12% of NCM LLC’s aggregate advertising revenue (as defined in the ESA), or it will be adjusted upward to reach this minimum payment. As of December 26, 2024 and December 28, 2023, the Company had no liabilities recorded for the minimum payment, as the theater access fee was in excess of the minimum.</w:t>
      </w:r>
    </w:p>
    <w:p>
      <w:pPr>
        <w:spacing w:after="0" w:line="84" w:lineRule="exact"/>
        <w:rPr>
          <w:sz w:val="20"/>
          <w:szCs w:val="20"/>
          <w:color w:val="auto"/>
        </w:rPr>
      </w:pPr>
    </w:p>
    <w:p>
      <w:pPr>
        <w:ind w:right="60" w:firstLine="614"/>
        <w:spacing w:after="0" w:line="257" w:lineRule="auto"/>
        <w:rPr>
          <w:sz w:val="20"/>
          <w:szCs w:val="20"/>
          <w:color w:val="auto"/>
        </w:rPr>
      </w:pPr>
      <w:r>
        <w:rPr>
          <w:rFonts w:ascii="Times New Roman" w:cs="Times New Roman" w:eastAsia="Times New Roman" w:hAnsi="Times New Roman"/>
          <w:sz w:val="18"/>
          <w:szCs w:val="18"/>
          <w:color w:val="auto"/>
        </w:rPr>
        <w:t xml:space="preserve">Following the 2019 ESA Amendments, Cinemark and Regal (until July 14, 2023, when Regal ceased being a party to an ESA) receive an additional monthly theater access fee beginning November 1, 2019 in consideration for NCM LLC’s access to certain on-screen advertising inventory after the advertised showtime of a feature film. These fees are also based upon a fixed payment per patron of (i) $0.0375 per patron beginning on November 1, 2020, (ii) $0.05 per patron beginning on November 1, 2021, (iii) $0.052 per patron beginning on November 1, 2022 and (iv) increase 8% every five years beginning November 1, 2027. Additionally, following the 2019 ESA Amendments, beginning on November 1, 2019, NCM LLC is entitled to display the Platinum Spot, an additional single unit that is either 30 or 60 seconds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Show in the trailer position directly prior to the one or two trailers preceding the feature film. In consideration for the utilization of the theaters for the Platinum Spots, Cinemark and Regal (until July 14, 2023, when Regal ceased being a party to an ESA) are entitled to receive 25% of all 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w:t>
      </w:r>
    </w:p>
    <w:p>
      <w:pPr>
        <w:spacing w:after="0" w:line="79" w:lineRule="exact"/>
        <w:rPr>
          <w:sz w:val="20"/>
          <w:szCs w:val="20"/>
          <w:color w:val="auto"/>
        </w:rPr>
      </w:pPr>
    </w:p>
    <w:p>
      <w:pPr>
        <w:ind w:right="540" w:firstLine="614"/>
        <w:spacing w:after="0" w:line="282" w:lineRule="auto"/>
        <w:rPr>
          <w:sz w:val="20"/>
          <w:szCs w:val="20"/>
          <w:color w:val="auto"/>
        </w:rPr>
      </w:pPr>
      <w:r>
        <w:rPr>
          <w:rFonts w:ascii="Times New Roman" w:cs="Times New Roman" w:eastAsia="Times New Roman" w:hAnsi="Times New Roman"/>
          <w:sz w:val="18"/>
          <w:szCs w:val="18"/>
          <w:color w:val="auto"/>
        </w:rPr>
        <w:t>The network affiliates compensation is considered variable lease expense and varies by circuit depending upon the agreed upon terms of the network affiliate agreement. The majority of agreements are centered around a revenue share where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agreed upon percentage of the advertising revenue received from a theater’s attendance is paid to the circuit. As part of the network affiliate agreements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entered into in the ordinary course of business under which the Company sells advertising for display in various network affiliate theater chains,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has agreed to certain minimum revenue guarantees on a per attendee basis, which in some cases may exceed the applicable revenue share rate.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network affiliate achieves the attendance or minimum revenue per attendee set forth in their respective agreement, the Company has guaranteed minimum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the network affiliate per attendee if such amount paid under the revenue share arrangement is less than its guaranteed amount. As of December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2024, the maximum potential amount of future payments the Company could be required to make pursuant to the minimum revenue guarantees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$318.1 million over the remaining terms of the network affiliate agreements. These minimum guarantees relate to various affiliate agreements ranging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from one to eight years, prior to any renewal periods of which some are at the option of the Company. During the year ended December 26, 2024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28, 2023 the Company paid $0.1 million and $0.0 million, respectively, related to these minimum guarantees. As of December 26, 2024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28, 2023, the Company had $0.7 million and $0.0 million in liabilities recorded within “Accounts payable” in the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these obligations, as such guarantees are less than the expected share of revenue paid to the affiliate. As the guaranteed minimums are based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upon minimum attendance or affiliate revenue levels, the Company did not incur minimum revenue share fees during the period of time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affiliate's theaters were temporarily closed due to the COVID-19 Pandemic and will not for the remaining duration an affiliate's theater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attendance or revenue levels are low as the minimum levels must first be met by the affiliate.</w:t>
      </w:r>
    </w:p>
    <w:p>
      <w:pPr>
        <w:spacing w:after="0" w:line="95" w:lineRule="exact"/>
        <w:rPr>
          <w:sz w:val="20"/>
          <w:szCs w:val="20"/>
          <w:color w:val="auto"/>
        </w:rPr>
      </w:pPr>
    </w:p>
    <w:p>
      <w:pPr>
        <w:ind w:left="840" w:hanging="832"/>
        <w:spacing w:after="0"/>
        <w:tabs>
          <w:tab w:leader="none" w:pos="8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7" w:lineRule="exact"/>
        <w:rPr>
          <w:sz w:val="20"/>
          <w:szCs w:val="20"/>
          <w:color w:val="auto"/>
        </w:rPr>
      </w:pPr>
    </w:p>
    <w:p>
      <w:pPr>
        <w:jc w:val="both"/>
        <w:ind w:right="60" w:firstLine="61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Non-Recurring Measurements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Certain assets are measured at fair value on a non-recurring basis. These assets are not measured at fair value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ongoing basis but are subject to fair value adjustments in certain circumstances. These assets include long-lived assets, intangible assets, cost and equity method investments and borrowings.</w:t>
      </w:r>
    </w:p>
    <w:p>
      <w:pPr>
        <w:spacing w:after="0" w:line="65" w:lineRule="exact"/>
        <w:rPr>
          <w:sz w:val="20"/>
          <w:szCs w:val="20"/>
          <w:color w:val="auto"/>
        </w:rPr>
      </w:pPr>
    </w:p>
    <w:p>
      <w:pPr>
        <w:ind w:right="40" w:firstLine="614"/>
        <w:spacing w:after="0" w:line="258" w:lineRule="auto"/>
        <w:rPr>
          <w:sz w:val="20"/>
          <w:szCs w:val="20"/>
          <w:color w:val="auto"/>
        </w:rPr>
      </w:pPr>
      <w:r>
        <w:rPr>
          <w:rFonts w:ascii="Times New Roman" w:cs="Times New Roman" w:eastAsia="Times New Roman" w:hAnsi="Times New Roman"/>
          <w:sz w:val="18"/>
          <w:szCs w:val="18"/>
          <w:i w:val="1"/>
          <w:iCs w:val="1"/>
          <w:color w:val="auto"/>
        </w:rPr>
        <w:t>Long-Lived Assets, Intangible Assets and Other Investments</w:t>
      </w:r>
      <w:r>
        <w:rPr>
          <w:rFonts w:ascii="Times New Roman" w:cs="Times New Roman" w:eastAsia="Times New Roman" w:hAnsi="Times New Roman"/>
          <w:sz w:val="18"/>
          <w:szCs w:val="18"/>
          <w:color w:val="auto"/>
        </w:rPr>
        <w:t>—As described in Note 1—</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the Company regularly reviews long-lived assets (primarily property, plant and equipment), intangible assets, investments accounted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under the cost or equity method and notes receivable for impairment whenever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Other investments consisted of the following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20" w:type="dxa"/>
            <w:vAlign w:val="bottom"/>
            <w:tcBorders>
              <w:bottom w:val="single" w:sz="8" w:color="auto"/>
            </w:tcBorders>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December 26, 2024</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2023</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AC JV, LLC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83" w:lineRule="exact"/>
        <w:rPr>
          <w:sz w:val="20"/>
          <w:szCs w:val="20"/>
          <w:color w:val="auto"/>
        </w:rPr>
      </w:pPr>
    </w:p>
    <w:p>
      <w:pPr>
        <w:ind w:right="60" w:firstLine="614"/>
        <w:spacing w:after="0" w:line="254" w:lineRule="auto"/>
        <w:rPr>
          <w:sz w:val="20"/>
          <w:szCs w:val="20"/>
          <w:color w:val="auto"/>
        </w:rPr>
      </w:pPr>
      <w:r>
        <w:rPr>
          <w:rFonts w:ascii="Times New Roman" w:cs="Times New Roman" w:eastAsia="Times New Roman" w:hAnsi="Times New Roman"/>
          <w:sz w:val="18"/>
          <w:szCs w:val="18"/>
          <w:color w:val="auto"/>
        </w:rPr>
        <w:t>The investment in AC JV was initially valued using comparative market multiples. The other investments were recorded based upon the fair value of the services provided in exchange for the investment. Refer to Note 1—</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xml:space="preserve"> for more details. As the inputs to the determination of fair value are based upon non-identical assets and use significant unobservable inputs, they have been classified as Level 3 in the fair value hierarchy. On October 1, 2024, the Company invested $1.0 million in cash to acquire equity interests in an advertising-related company. Additionally, on October 8, 2024, the Company entered into an agreement with an entertainment company to exchange $2.0 million of on-screen advertising inventory to be provided over a three-year term for equity interests. During the years ended December 26, 2024 and December 28, 2023, no observable price changes or impairments have been recorded as a result of the Company’s qualitative assessment of identified events or changes in the circumstances of the remaining investments, which resulted in the investments totaling $3.0 million as of December 26, 2024.</w:t>
      </w:r>
    </w:p>
    <w:p>
      <w:pPr>
        <w:spacing w:after="0" w:line="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—The carrying amount of the Revolving Credit Facility 2023 is considered a reasonable estimate of fair value due to its floating-rate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w:t>
      </w:r>
    </w:p>
    <w:p>
      <w:pPr>
        <w:spacing w:after="0" w:line="95" w:lineRule="exact"/>
        <w:rPr>
          <w:sz w:val="20"/>
          <w:szCs w:val="20"/>
          <w:color w:val="auto"/>
        </w:rPr>
      </w:pPr>
    </w:p>
    <w:p>
      <w:pPr>
        <w:jc w:val="both"/>
        <w:ind w:right="400" w:firstLine="60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Recurring Measurements</w:t>
      </w:r>
      <w:r>
        <w:rPr>
          <w:rFonts w:ascii="Times New Roman" w:cs="Times New Roman" w:eastAsia="Times New Roman" w:hAnsi="Times New Roman"/>
          <w:sz w:val="18"/>
          <w:szCs w:val="18"/>
          <w:color w:val="auto"/>
        </w:rPr>
        <w:t>—All current assets and liabilities are estimated to approximate their fair value due to the short-term nature of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balances. The fair values of the Company’s assets and liabilities measured on a recurring basis pursuant to ASC 820-10 </w:t>
      </w:r>
      <w:r>
        <w:rPr>
          <w:rFonts w:ascii="Times New Roman" w:cs="Times New Roman" w:eastAsia="Times New Roman" w:hAnsi="Times New Roman"/>
          <w:sz w:val="18"/>
          <w:szCs w:val="18"/>
          <w:i w:val="1"/>
          <w:iCs w:val="1"/>
          <w:color w:val="auto"/>
        </w:rPr>
        <w:t>Fair Value Measurements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are as follows (in millions):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0"/>
                <w:szCs w:val="10"/>
                <w:color w:val="auto"/>
              </w:rPr>
            </w:pPr>
          </w:p>
        </w:tc>
        <w:tc>
          <w:tcPr>
            <w:tcW w:w="1380" w:type="dxa"/>
            <w:vAlign w:val="bottom"/>
          </w:tcPr>
          <w:p>
            <w:pPr>
              <w:jc w:val="center"/>
              <w:ind w:right="222"/>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tcPr>
          <w:p>
            <w:pPr>
              <w:jc w:val="center"/>
              <w:ind w:right="302"/>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jc w:val="center"/>
              <w:ind w:right="222"/>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ind w:right="282"/>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12"/>
                <w:szCs w:val="12"/>
                <w:color w:val="auto"/>
              </w:rPr>
            </w:pPr>
          </w:p>
        </w:tc>
        <w:tc>
          <w:tcPr>
            <w:tcW w:w="1380" w:type="dxa"/>
            <w:vAlign w:val="bottom"/>
          </w:tcPr>
          <w:p>
            <w:pPr>
              <w:jc w:val="center"/>
              <w:ind w:right="202"/>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ind w:right="302"/>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December 26,</w:t>
            </w:r>
          </w:p>
        </w:tc>
        <w:tc>
          <w:tcPr>
            <w:tcW w:w="180" w:type="dxa"/>
            <w:vAlign w:val="bottom"/>
          </w:tcPr>
          <w:p>
            <w:pPr>
              <w:spacing w:after="0"/>
              <w:rPr>
                <w:sz w:val="12"/>
                <w:szCs w:val="12"/>
                <w:color w:val="auto"/>
              </w:rPr>
            </w:pPr>
          </w:p>
        </w:tc>
        <w:tc>
          <w:tcPr>
            <w:tcW w:w="1380" w:type="dxa"/>
            <w:vAlign w:val="bottom"/>
          </w:tcPr>
          <w:p>
            <w:pPr>
              <w:jc w:val="center"/>
              <w:ind w:right="222"/>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ind w:right="282"/>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5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18"/>
                <w:szCs w:val="18"/>
                <w:i w:val="1"/>
                <w:iCs w:val="1"/>
                <w:color w:val="auto"/>
              </w:rPr>
              <w:t>(1)</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41.2</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41.2</w:t>
            </w:r>
          </w:p>
        </w:tc>
        <w:tc>
          <w:tcPr>
            <w:tcW w:w="4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xml:space="preserve">Short-term marketable securities </w:t>
            </w:r>
            <w:r>
              <w:rPr>
                <w:rFonts w:ascii="Times New Roman" w:cs="Times New Roman" w:eastAsia="Times New Roman" w:hAnsi="Times New Roman"/>
                <w:sz w:val="18"/>
                <w:szCs w:val="18"/>
                <w:i w:val="1"/>
                <w:iCs w:val="1"/>
                <w:color w:val="auto"/>
              </w:rPr>
              <w:t>(2)</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45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41.2</w:t>
            </w:r>
          </w:p>
        </w:tc>
        <w:tc>
          <w:tcPr>
            <w:tcW w:w="4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0.1</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
        </w:trPr>
        <w:tc>
          <w:tcPr>
            <w:tcW w:w="3000" w:type="dxa"/>
            <w:vAlign w:val="bottom"/>
            <w:tcBorders>
              <w:top w:val="single" w:sz="8" w:color="CFF0FC"/>
              <w:bottom w:val="single" w:sz="8" w:color="auto"/>
            </w:tcBorders>
          </w:tcPr>
          <w:p>
            <w:pPr>
              <w:spacing w:after="0"/>
              <w:rPr>
                <w:sz w:val="3"/>
                <w:szCs w:val="3"/>
                <w:color w:val="auto"/>
              </w:rPr>
            </w:pPr>
          </w:p>
        </w:tc>
        <w:tc>
          <w:tcPr>
            <w:tcW w:w="1540" w:type="dxa"/>
            <w:vAlign w:val="bottom"/>
            <w:tcBorders>
              <w:top w:val="single" w:sz="8" w:color="CFF0FC"/>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160" w:type="dxa"/>
            <w:vAlign w:val="bottom"/>
            <w:tcBorders>
              <w:top w:val="single" w:sz="8" w:color="CFF0FC"/>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160" w:type="dxa"/>
            <w:vAlign w:val="bottom"/>
            <w:tcBorders>
              <w:top w:val="single" w:sz="8" w:color="CFF0FC"/>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40" w:type="dxa"/>
            <w:vAlign w:val="bottom"/>
            <w:tcBorders>
              <w:top w:val="single" w:sz="8" w:color="CFF0FC"/>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-67945</wp:posOffset>
            </wp:positionV>
            <wp:extent cx="1028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-50800</wp:posOffset>
            </wp:positionV>
            <wp:extent cx="1028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-67945</wp:posOffset>
            </wp:positionV>
            <wp:extent cx="1111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-50800</wp:posOffset>
            </wp:positionV>
            <wp:extent cx="1111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-67945</wp:posOffset>
            </wp:positionV>
            <wp:extent cx="15430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-50800</wp:posOffset>
            </wp:positionV>
            <wp:extent cx="15430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4" w:lineRule="exact"/>
        <w:rPr>
          <w:sz w:val="20"/>
          <w:szCs w:val="20"/>
          <w:color w:val="auto"/>
        </w:rPr>
      </w:pPr>
    </w:p>
    <w:p>
      <w:pPr>
        <w:ind w:left="1000" w:right="160" w:hanging="379"/>
        <w:spacing w:after="0" w:line="284" w:lineRule="auto"/>
        <w:tabs>
          <w:tab w:leader="none" w:pos="100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Cash Equivalents</w:t>
      </w:r>
      <w:r>
        <w:rPr>
          <w:rFonts w:ascii="Times New Roman" w:cs="Times New Roman" w:eastAsia="Times New Roman" w:hAnsi="Times New Roman"/>
          <w:sz w:val="18"/>
          <w:szCs w:val="18"/>
          <w:color w:val="auto"/>
        </w:rPr>
        <w:t>—The Company’s cash equivalents are carried at estimated fair value. Cash equivalents consist of money market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Company has classified as Level 1 given the active market for these accounts.</w:t>
      </w:r>
    </w:p>
    <w:p>
      <w:pPr>
        <w:spacing w:after="0" w:line="50" w:lineRule="exact"/>
        <w:rPr>
          <w:rFonts w:ascii="Times New Roman" w:cs="Times New Roman" w:eastAsia="Times New Roman" w:hAnsi="Times New Roman"/>
          <w:sz w:val="18"/>
          <w:szCs w:val="18"/>
          <w:i w:val="1"/>
          <w:iCs w:val="1"/>
          <w:color w:val="auto"/>
        </w:rPr>
      </w:pPr>
    </w:p>
    <w:p>
      <w:pPr>
        <w:ind w:left="1000" w:right="60" w:hanging="379"/>
        <w:spacing w:after="0" w:line="258" w:lineRule="auto"/>
        <w:tabs>
          <w:tab w:leader="none" w:pos="100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Short-Term and Long-Term Marketable Securities</w:t>
      </w:r>
      <w:r>
        <w:rPr>
          <w:rFonts w:ascii="Times New Roman" w:cs="Times New Roman" w:eastAsia="Times New Roman" w:hAnsi="Times New Roman"/>
          <w:sz w:val="18"/>
          <w:szCs w:val="18"/>
          <w:color w:val="auto"/>
        </w:rPr>
        <w:t>—The carrying amount and fair value of the marketable securities are equivalent since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accounts for these instruments at fair value. The Company’s certificates of deposit are valued at cost plus interest. The inputs in the valuation are classified as Level 1 if there is an active market for these securities; however, if an active market does not exist, the inputs are recorded at a lower level in the fair value hierarchy. The value of the certificates of deposit is derived from contractual terms. The inputs to the valuation pricing models are observable, and as such are generally classified as Level 2 in the fair value hierarchy.</w:t>
      </w:r>
    </w:p>
    <w:p>
      <w:pPr>
        <w:spacing w:after="0" w:line="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amortized cost basis, aggregate fair value and maturities of the marketable securities the Company held as of December 26, 2024 are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December 26, 2024</w:t>
            </w:r>
          </w:p>
        </w:tc>
        <w:tc>
          <w:tcPr>
            <w:tcW w:w="1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060" w:type="dxa"/>
            <w:vAlign w:val="bottom"/>
          </w:tcPr>
          <w:p>
            <w:pPr>
              <w:jc w:val="center"/>
              <w:ind w:left="202"/>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left="210"/>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 xml:space="preserve">Maturities </w:t>
            </w:r>
            <w:r>
              <w:rPr>
                <w:rFonts w:ascii="Times New Roman" w:cs="Times New Roman" w:eastAsia="Times New Roman" w:hAnsi="Times New Roman"/>
                <w:sz w:val="14"/>
                <w:szCs w:val="14"/>
                <w:b w:val="1"/>
                <w:bCs w:val="1"/>
                <w:i w:val="1"/>
                <w:iCs w:val="1"/>
                <w:color w:val="auto"/>
              </w:rPr>
              <w:t>(1)</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60" w:type="dxa"/>
            <w:vAlign w:val="bottom"/>
          </w:tcPr>
          <w:p>
            <w:pPr>
              <w:jc w:val="center"/>
              <w:ind w:left="202"/>
              <w:spacing w:after="0" w:line="149" w:lineRule="exact"/>
              <w:rPr>
                <w:sz w:val="20"/>
                <w:szCs w:val="20"/>
                <w:color w:val="auto"/>
              </w:rPr>
            </w:pPr>
            <w:r>
              <w:rPr>
                <w:rFonts w:ascii="Times New Roman" w:cs="Times New Roman" w:eastAsia="Times New Roman" w:hAnsi="Times New Roman"/>
                <w:sz w:val="14"/>
                <w:szCs w:val="14"/>
                <w:b w:val="1"/>
                <w:bCs w:val="1"/>
                <w:color w:val="auto"/>
              </w:rPr>
              <w:t>Cost Basis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left="21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060" w:type="dxa"/>
            <w:vAlign w:val="bottom"/>
            <w:tcBorders>
              <w:bottom w:val="single" w:sz="8" w:color="auto"/>
            </w:tcBorders>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10"/>
        </w:trPr>
        <w:tc>
          <w:tcPr>
            <w:tcW w:w="660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certificates of deposit</w:t>
            </w:r>
          </w:p>
        </w:tc>
        <w:tc>
          <w:tcPr>
            <w:tcW w:w="1060" w:type="dxa"/>
            <w:vAlign w:val="bottom"/>
            <w:shd w:val="clear" w:color="auto" w:fill="CFF0FC"/>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20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0"/>
        </w:trPr>
        <w:tc>
          <w:tcPr>
            <w:tcW w:w="6600" w:type="dxa"/>
            <w:vAlign w:val="bottom"/>
            <w:tcBorders>
              <w:top w:val="single" w:sz="8" w:color="CFF0FC"/>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106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top w:val="single" w:sz="8" w:color="CFF0FC"/>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FF0FC"/>
            </w:tcBorders>
          </w:tcPr>
          <w:p>
            <w:pPr>
              <w:spacing w:after="0"/>
              <w:rPr>
                <w:sz w:val="18"/>
                <w:szCs w:val="18"/>
                <w:color w:val="auto"/>
              </w:rPr>
            </w:pPr>
          </w:p>
        </w:tc>
        <w:tc>
          <w:tcPr>
            <w:tcW w:w="15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060" w:type="dxa"/>
            <w:vAlign w:val="bottom"/>
            <w:shd w:val="clear" w:color="auto" w:fill="CFF0FC"/>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20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3000" w:type="dxa"/>
            <w:vAlign w:val="bottom"/>
            <w:tcBorders>
              <w:top w:val="single" w:sz="8" w:color="CFF0FC"/>
              <w:bottom w:val="single" w:sz="8" w:color="auto"/>
            </w:tcBorders>
          </w:tcPr>
          <w:p>
            <w:pPr>
              <w:spacing w:after="0"/>
              <w:rPr>
                <w:sz w:val="4"/>
                <w:szCs w:val="4"/>
                <w:color w:val="auto"/>
              </w:rPr>
            </w:pPr>
          </w:p>
        </w:tc>
        <w:tc>
          <w:tcPr>
            <w:tcW w:w="3600" w:type="dxa"/>
            <w:vAlign w:val="bottom"/>
            <w:tcBorders>
              <w:top w:val="single" w:sz="8" w:color="CFF0FC"/>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40" w:type="dxa"/>
            <w:vAlign w:val="bottom"/>
            <w:tcBorders>
              <w:top w:val="single" w:sz="8" w:color="CFF0FC"/>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00" w:type="dxa"/>
            <w:vAlign w:val="bottom"/>
            <w:tcBorders>
              <w:top w:val="single" w:sz="8" w:color="CFF0FC"/>
            </w:tcBorders>
          </w:tcPr>
          <w:p>
            <w:pPr>
              <w:spacing w:after="0"/>
              <w:rPr>
                <w:sz w:val="4"/>
                <w:szCs w:val="4"/>
                <w:color w:val="auto"/>
              </w:rPr>
            </w:pPr>
          </w:p>
        </w:tc>
        <w:tc>
          <w:tcPr>
            <w:tcW w:w="1520" w:type="dxa"/>
            <w:vAlign w:val="bottom"/>
            <w:tcBorders>
              <w:top w:val="single" w:sz="8" w:color="CFF0F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-367665</wp:posOffset>
            </wp:positionV>
            <wp:extent cx="939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-367665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-76835</wp:posOffset>
            </wp:positionV>
            <wp:extent cx="939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-59690</wp:posOffset>
            </wp:positionV>
            <wp:extent cx="939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-76835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-59690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 w:lineRule="exact"/>
        <w:rPr>
          <w:sz w:val="20"/>
          <w:szCs w:val="20"/>
          <w:color w:val="auto"/>
        </w:rPr>
      </w:pPr>
    </w:p>
    <w:p>
      <w:pPr>
        <w:ind w:left="1000" w:right="40" w:hanging="379"/>
        <w:spacing w:after="0" w:line="284" w:lineRule="auto"/>
        <w:tabs>
          <w:tab w:leader="none" w:pos="1000" w:val="left"/>
        </w:tabs>
        <w:numPr>
          <w:ilvl w:val="1"/>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Maturities</w:t>
      </w:r>
      <w:r>
        <w:rPr>
          <w:rFonts w:ascii="Times New Roman" w:cs="Times New Roman" w:eastAsia="Times New Roman" w:hAnsi="Times New Roman"/>
          <w:sz w:val="18"/>
          <w:szCs w:val="18"/>
          <w:color w:val="auto"/>
        </w:rPr>
        <w:t>— Securities available for sale include obligations with various contractual maturity dates some of which are greater than one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considers the securities to be liquid and convertible to cash within 30 days.</w:t>
      </w:r>
    </w:p>
    <w:p>
      <w:pPr>
        <w:spacing w:after="0" w:line="48" w:lineRule="exact"/>
        <w:rPr>
          <w:rFonts w:ascii="Times New Roman" w:cs="Times New Roman" w:eastAsia="Times New Roman" w:hAnsi="Times New Roman"/>
          <w:sz w:val="18"/>
          <w:szCs w:val="18"/>
          <w:i w:val="1"/>
          <w:iCs w:val="1"/>
          <w:color w:val="auto"/>
        </w:rPr>
      </w:pPr>
    </w:p>
    <w:p>
      <w:pPr>
        <w:ind w:left="840" w:hanging="832"/>
        <w:spacing w:after="0"/>
        <w:tabs>
          <w:tab w:leader="none" w:pos="8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VALUATION ACCOUNT</w:t>
      </w:r>
    </w:p>
    <w:p>
      <w:pPr>
        <w:spacing w:after="0" w:line="121" w:lineRule="exact"/>
        <w:rPr>
          <w:sz w:val="20"/>
          <w:szCs w:val="20"/>
          <w:color w:val="auto"/>
        </w:rPr>
      </w:pPr>
    </w:p>
    <w:p>
      <w:pPr>
        <w:ind w:right="400" w:firstLine="608"/>
        <w:spacing w:after="0" w:line="282" w:lineRule="auto"/>
        <w:rPr>
          <w:sz w:val="20"/>
          <w:szCs w:val="20"/>
          <w:color w:val="auto"/>
        </w:rPr>
      </w:pPr>
      <w:r>
        <w:rPr>
          <w:rFonts w:ascii="Times New Roman" w:cs="Times New Roman" w:eastAsia="Times New Roman" w:hAnsi="Times New Roman"/>
          <w:sz w:val="18"/>
          <w:szCs w:val="18"/>
          <w:color w:val="auto"/>
        </w:rPr>
        <w:t>The Company’s valuation allowance on deferred tax assets for the years ended December 26, 2024 and December 28, 2023 was as follows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4"/>
          </w:tcPr>
          <w:p>
            <w:pPr>
              <w:jc w:val="right"/>
              <w:ind w:right="1334"/>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142"/>
        </w:trPr>
        <w:tc>
          <w:tcPr>
            <w:tcW w:w="30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December 26, 2024</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2023</w:t>
            </w:r>
          </w:p>
        </w:tc>
      </w:tr>
      <w:tr>
        <w:trPr>
          <w:trHeight w:val="210"/>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 ON DEFERRED TAX ASSETS: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146.0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245.5</w:t>
            </w:r>
          </w:p>
        </w:tc>
      </w:tr>
      <w:tr>
        <w:trPr>
          <w:trHeight w:val="216"/>
        </w:trPr>
        <w:tc>
          <w:tcPr>
            <w:tcW w:w="7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xml:space="preserve">Valuation allowance added </w:t>
            </w:r>
            <w:r>
              <w:rPr>
                <w:rFonts w:ascii="Times New Roman" w:cs="Times New Roman" w:eastAsia="Times New Roman" w:hAnsi="Times New Roman"/>
                <w:sz w:val="18"/>
                <w:szCs w:val="18"/>
                <w:i w:val="1"/>
                <w:iCs w:val="1"/>
                <w:color w:val="auto"/>
              </w:rPr>
              <w:t>(1)</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Valuation allowance reversed</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(99.5 )</w:t>
            </w:r>
          </w:p>
        </w:tc>
      </w:tr>
      <w:tr>
        <w:trPr>
          <w:trHeight w:val="250"/>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169.1</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146.0</w:t>
            </w:r>
          </w:p>
        </w:tc>
      </w:tr>
      <w:tr>
        <w:trPr>
          <w:trHeight w:val="115"/>
        </w:trPr>
        <w:tc>
          <w:tcPr>
            <w:tcW w:w="3000" w:type="dxa"/>
            <w:vAlign w:val="bottom"/>
            <w:tcBorders>
              <w:top w:val="single" w:sz="8" w:color="CFF0FC"/>
              <w:bottom w:val="single" w:sz="8" w:color="auto"/>
            </w:tcBorders>
          </w:tcPr>
          <w:p>
            <w:pPr>
              <w:spacing w:after="0"/>
              <w:rPr>
                <w:sz w:val="10"/>
                <w:szCs w:val="10"/>
                <w:color w:val="auto"/>
              </w:rPr>
            </w:pPr>
          </w:p>
        </w:tc>
        <w:tc>
          <w:tcPr>
            <w:tcW w:w="47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-119380</wp:posOffset>
            </wp:positionV>
            <wp:extent cx="1117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-102235</wp:posOffset>
            </wp:positionV>
            <wp:extent cx="1117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6" w:lineRule="exact"/>
        <w:rPr>
          <w:sz w:val="20"/>
          <w:szCs w:val="20"/>
          <w:color w:val="auto"/>
        </w:rPr>
      </w:pPr>
    </w:p>
    <w:p>
      <w:pPr>
        <w:ind w:left="1000" w:right="420" w:hanging="379"/>
        <w:spacing w:after="0" w:line="282" w:lineRule="auto"/>
        <w:tabs>
          <w:tab w:leader="none" w:pos="1000" w:val="left"/>
        </w:tabs>
        <w:numPr>
          <w:ilvl w:val="1"/>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changes within the valuation allowance during the years ended December 26, 2024 and December 28, 2023 relate to its deferred tax assets which the Company determined it is more-likely-than-not it will not be able to realize before they expire.</w:t>
      </w:r>
    </w:p>
    <w:p>
      <w:pPr>
        <w:spacing w:after="0" w:line="49" w:lineRule="exact"/>
        <w:rPr>
          <w:rFonts w:ascii="Times New Roman" w:cs="Times New Roman" w:eastAsia="Times New Roman" w:hAnsi="Times New Roman"/>
          <w:sz w:val="18"/>
          <w:szCs w:val="18"/>
          <w:i w:val="1"/>
          <w:iCs w:val="1"/>
          <w:color w:val="auto"/>
        </w:rPr>
      </w:pPr>
    </w:p>
    <w:p>
      <w:pPr>
        <w:ind w:left="360" w:hanging="352"/>
        <w:spacing w:after="0"/>
        <w:tabs>
          <w:tab w:leader="none" w:pos="3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7" w:lineRule="exact"/>
        <w:rPr>
          <w:sz w:val="20"/>
          <w:szCs w:val="20"/>
          <w:color w:val="auto"/>
        </w:rPr>
      </w:pPr>
    </w:p>
    <w:p>
      <w:pPr>
        <w:ind w:right="100" w:firstLine="61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Debt Agreement</w:t>
      </w:r>
      <w:r>
        <w:rPr>
          <w:rFonts w:ascii="Times New Roman" w:cs="Times New Roman" w:eastAsia="Times New Roman" w:hAnsi="Times New Roman"/>
          <w:sz w:val="18"/>
          <w:szCs w:val="18"/>
          <w:color w:val="auto"/>
        </w:rPr>
        <w:t>—On January 24, 2025, NCM LLC as borrower, entered into a Loan and Security Agreement with U.S. Bank 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Association, as lender. The agreement provides for a $45.0 million senior secured revolving credit facility that matures on January 24, 2028. In connection with entering into the 2025 Credit Facility, NCM LLC repaid in full</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6" w:name="page87"/>
    <w:bookmarkEnd w:id="8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NATIONAL CINEMEDIA,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6"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$10.0 million balance outstanding as of December 26, 2024 and terminated all commitments under its 2023 Revolving Credit Facility, and in connection with this termination, paid a prepayment fee equal to 1% of the total commitment.</w:t>
      </w:r>
    </w:p>
    <w:p>
      <w:pPr>
        <w:spacing w:after="0" w:line="54" w:lineRule="exact"/>
        <w:rPr>
          <w:sz w:val="20"/>
          <w:szCs w:val="20"/>
          <w:color w:val="auto"/>
        </w:rPr>
      </w:pPr>
    </w:p>
    <w:p>
      <w:pPr>
        <w:ind w:right="40" w:firstLine="614"/>
        <w:spacing w:after="0" w:line="255" w:lineRule="auto"/>
        <w:rPr>
          <w:sz w:val="20"/>
          <w:szCs w:val="20"/>
          <w:color w:val="auto"/>
        </w:rPr>
      </w:pPr>
      <w:r>
        <w:rPr>
          <w:rFonts w:ascii="Times New Roman" w:cs="Times New Roman" w:eastAsia="Times New Roman" w:hAnsi="Times New Roman"/>
          <w:sz w:val="18"/>
          <w:szCs w:val="18"/>
          <w:color w:val="auto"/>
        </w:rPr>
        <w:t>As of March 6, 2025, NCM LLC has not made any borrowings under the 2025 Credit Facility. Borrowings under the 2025 Credit Facility may be used for, among other things, working capital and other general corporate purposes of the Company and bear interest at a floating rate equal to term SOFR (subject to a floor of zero) plus an applicable margin of 2.00%, which is subject to increase by an additional 2.00% upon the occurrence of an event of default. A commitment fee of 0.25% is payable quarterly in arrears based on the average daily amount of the undrawn portion of the commitments under the 2025 Credit Facility for the preceding quarter. The 2025 Credit Facility has a $5.0 million sublimit for the issuance of letters of credit. Fees are payable on outstanding letters of credit at a per annum rate equal to 2.00%, plus certain customary fees payable in connection with the issuance, amendment, renewal and extension of letters of credit and the processing of drawings thereunder.</w:t>
      </w:r>
    </w:p>
    <w:p>
      <w:pPr>
        <w:spacing w:after="0" w:line="81" w:lineRule="exact"/>
        <w:rPr>
          <w:sz w:val="20"/>
          <w:szCs w:val="20"/>
          <w:color w:val="auto"/>
        </w:rPr>
      </w:pPr>
    </w:p>
    <w:p>
      <w:pPr>
        <w:ind w:firstLine="614"/>
        <w:spacing w:after="0" w:line="253" w:lineRule="auto"/>
        <w:rPr>
          <w:sz w:val="20"/>
          <w:szCs w:val="20"/>
          <w:color w:val="auto"/>
        </w:rPr>
      </w:pPr>
      <w:r>
        <w:rPr>
          <w:rFonts w:ascii="Times New Roman" w:cs="Times New Roman" w:eastAsia="Times New Roman" w:hAnsi="Times New Roman"/>
          <w:sz w:val="18"/>
          <w:szCs w:val="18"/>
          <w:color w:val="auto"/>
        </w:rPr>
        <w:t>Certain of NCM LLC’s future subsidiaries (collectively, the “Guarantors”) are required to guarantee the repayment of NCM LLC’s obligations under the 2025 Credit Facility. The obligations of NCM LLC and any such Guarantors with respect to the 2025 Credit Facility are and will be secured by a pledge of substantially all assets of NCM LLC and each of the Guarantors, including, without limitation, accounts receivables, deposit accounts, intellectual property, investment property, inventory, equipment and equity interests in their respective subsidiaries. The 2025 Credit Facility contains affirmative and negative covenants customary for financings of this type, including limitations on the NCM LLC’s and its subsidiaries ability to incur additional debt, grant or permit additional liens, make investments and acquisitions, merge or consolidate with others, dispose of assets, pay dividends and distributions, make equity repurchases, pay subordinated indebtedness and enter into affiliate transactions. In addition, the 2025 Credit Facility contains financial covenants requiring NCM LLC to maintain a maximum leverage ratio of no greater than 2.25 to 1.00 and a minimum fixed charge coverage ratio of no less than 1.50 to 1.00, each measured on a quarterly basis. The 2025 Credit Facility also includes events of default customary for facilities of this type and upon the occurrence of such events of default, subject to customary cure rights, all outstanding loans under the 2025 Credit Facility may be accelerated and/or the Company’s commitments terminated. The 2025 Credit Facility also contains representations, warranties, and events of defaults customary for this type of facility.</w:t>
      </w:r>
    </w:p>
    <w:p>
      <w:pPr>
        <w:spacing w:after="0" w:line="78" w:lineRule="exact"/>
        <w:rPr>
          <w:sz w:val="20"/>
          <w:szCs w:val="20"/>
          <w:color w:val="auto"/>
        </w:rPr>
      </w:pPr>
    </w:p>
    <w:p>
      <w:pPr>
        <w:ind w:firstLine="61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Share Repurchase Program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Subsequent to the year ended December 26, 2024, in accordance with the stock repurchase plan approved on March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18, 2024 by the Company’s Board of Directors, 586,246 shares were repurchased on the open market for $3.8 million. In accordance with </w:t>
      </w:r>
      <w:r>
        <w:rPr>
          <w:rFonts w:ascii="Times New Roman" w:cs="Times New Roman" w:eastAsia="Times New Roman" w:hAnsi="Times New Roman"/>
          <w:sz w:val="18"/>
          <w:szCs w:val="18"/>
          <w:i w:val="1"/>
          <w:iCs w:val="1"/>
          <w:color w:val="auto"/>
        </w:rPr>
        <w:t>ASC 505—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these shares were retired and any excess over par value paid was recorded as a reduction to retained earnings.</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u w:val="single" w:color="auto"/>
          <w:color w:val="auto"/>
        </w:rPr>
        <w:t>Changes in and Disagreements with Accountants on Accounting and Financial Disclosure</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u w:val="single" w:color="auto"/>
          <w:color w:val="auto"/>
        </w:rPr>
        <w:t>Controls and Procedures</w:t>
      </w:r>
    </w:p>
    <w:p>
      <w:pPr>
        <w:spacing w:after="0" w:line="119" w:lineRule="exact"/>
        <w:rPr>
          <w:sz w:val="20"/>
          <w:szCs w:val="20"/>
          <w:color w:val="auto"/>
        </w:rPr>
      </w:pPr>
    </w:p>
    <w:p>
      <w:pPr>
        <w:ind w:right="80" w:firstLine="614"/>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Evaluation of Disclosure Controls and Procedures. </w:t>
      </w:r>
      <w:r>
        <w:rPr>
          <w:rFonts w:ascii="Times New Roman" w:cs="Times New Roman" w:eastAsia="Times New Roman" w:hAnsi="Times New Roman"/>
          <w:sz w:val="17"/>
          <w:szCs w:val="17"/>
          <w:color w:val="auto"/>
        </w:rPr>
        <w:t>The Company maintains disclosure controls and procedures as defined in Rules 13a-15(e)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15d-15(e) of the Securities Exchange Act of 1934, as amended (the “Exchange Act”), that are designed to ensure that information required to be disclosed in the Company’s reports filed under the Exchange Act is recorded, processed, summarized and reported within the time periods specified in the SEC’s rules and forms, and that such information is accumulated and communicated to management, including the Company’s Chief Executive Officer (principal executive officer) and Chief Financial Officer (principal financial officer), as appropriate, to allow timely decisions regarding required disclosure.</w:t>
      </w:r>
    </w:p>
    <w:p>
      <w:pPr>
        <w:spacing w:after="0" w:line="62" w:lineRule="exact"/>
        <w:rPr>
          <w:sz w:val="20"/>
          <w:szCs w:val="20"/>
          <w:color w:val="auto"/>
        </w:rPr>
      </w:pPr>
    </w:p>
    <w:p>
      <w:pPr>
        <w:jc w:val="both"/>
        <w:ind w:right="380" w:firstLine="614"/>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the Chief Executive Officer (CEO) and Chief Financial Officer (CFO), performed an evaluation of the effectiveness of the Company’s disclosure controls and procedures pursuant to Rule 13a-15(e) and 15d-15(e) of the Exchange Act as of December 26, 2024, the end of the period covered by this Annual Report on Form 10-K. Based on such evaluation, the CEO and CFO concluded that the Company’s disclosure controls and procedures were effective.</w:t>
      </w:r>
    </w:p>
    <w:p>
      <w:pPr>
        <w:spacing w:after="0" w:line="70" w:lineRule="exact"/>
        <w:rPr>
          <w:sz w:val="20"/>
          <w:szCs w:val="20"/>
          <w:color w:val="auto"/>
        </w:rPr>
      </w:pPr>
    </w:p>
    <w:p>
      <w:pPr>
        <w:ind w:firstLine="61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Management’s Annual Report on Internal Control over Financial Reporting. </w:t>
      </w:r>
      <w:r>
        <w:rPr>
          <w:rFonts w:ascii="Times New Roman" w:cs="Times New Roman" w:eastAsia="Times New Roman" w:hAnsi="Times New Roman"/>
          <w:sz w:val="18"/>
          <w:szCs w:val="18"/>
          <w:color w:val="auto"/>
        </w:rPr>
        <w:t>Management is responsible for establishing and maintaining adequate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internal control over financial reporting as defined in Exchange Act Rules 13a-15(f) and 15d-15(f). Management evaluated the design and operating effectiveness of the Company’s internal control over financial reporting based on the framework in </w:t>
      </w:r>
      <w:r>
        <w:rPr>
          <w:rFonts w:ascii="Times New Roman" w:cs="Times New Roman" w:eastAsia="Times New Roman" w:hAnsi="Times New Roman"/>
          <w:sz w:val="18"/>
          <w:szCs w:val="18"/>
          <w:i w:val="1"/>
          <w:iCs w:val="1"/>
          <w:color w:val="auto"/>
        </w:rPr>
        <w:t>Internal Control-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 Based on that evaluation, the Company's management concluded that the Company's internal control over financial reporting as of December 26, 2024 was effective.</w:t>
      </w:r>
    </w:p>
    <w:p>
      <w:pPr>
        <w:spacing w:after="0" w:line="77" w:lineRule="exact"/>
        <w:rPr>
          <w:sz w:val="20"/>
          <w:szCs w:val="20"/>
          <w:color w:val="auto"/>
        </w:rPr>
      </w:pPr>
    </w:p>
    <w:p>
      <w:pPr>
        <w:ind w:right="320" w:firstLine="614"/>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spacing w:after="0" w:line="70" w:lineRule="exact"/>
        <w:rPr>
          <w:sz w:val="20"/>
          <w:szCs w:val="20"/>
          <w:color w:val="auto"/>
        </w:rPr>
      </w:pPr>
    </w:p>
    <w:p>
      <w:pPr>
        <w:ind w:right="80" w:firstLine="61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were no changes in our internal control over financial reporting that occurred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quarter ended December 26, 2024 that have materially affected, or are reasonably likely to materially affect, our internal control over financial reporting.</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8" w:name="page89"/>
    <w:bookmarkEnd w:id="88"/>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 National CineMedia,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National CineMedia, Inc. (a Delaware corporation) and subsidiaries (the “Company”) as of December 26, 2024, based on criteria established in the 2013 Internal Control—Integrated Framework issued by the Committee of Sponsoring Organizations of the Treadway Commission (“COSO”). In our opinion, the Company maintained, in all material respects, effective internal control over financial reporting as of December 26, 2024, based on criteria established in the 2013 Internal Control—Integrated Framework issued by COSO.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December 26, 2024, and our report dated March 6, 2025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u w:val="single" w:color="auto"/>
          <w:color w:val="auto"/>
        </w:rPr>
        <w:t>Other Information</w:t>
      </w:r>
    </w:p>
    <w:p>
      <w:pPr>
        <w:spacing w:after="0" w:line="119" w:lineRule="exact"/>
        <w:rPr>
          <w:sz w:val="20"/>
          <w:szCs w:val="20"/>
          <w:color w:val="auto"/>
        </w:rPr>
      </w:pPr>
    </w:p>
    <w:p>
      <w:pPr>
        <w:ind w:right="80" w:firstLine="61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Adoption of 10b5-1 Trading Plans by Our Officers and Directors. </w:t>
      </w:r>
      <w:r>
        <w:rPr>
          <w:rFonts w:ascii="Times New Roman" w:cs="Times New Roman" w:eastAsia="Times New Roman" w:hAnsi="Times New Roman"/>
          <w:sz w:val="18"/>
          <w:szCs w:val="18"/>
          <w:color w:val="auto"/>
        </w:rPr>
        <w:t>The below sets forth written trading plans adopted by certain director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(as defined in SEC Rule 16a-(f)) during the quarter ended December 26, 2024. All of these plans were intended to satisfy the affirmative defense conditions of Rule 10b5-1 under the Exchange Act ( a "Rule 10b5-1 Plan") and were adopted during the quarterly trading window under our Insider Trading Policy. Other than as set forth below, during the three months ended December 26, 2024, none of our directors or executive officers adopted or terminated any contract, instruction or written plan for the purchase or sale of securities that was intended to satisfy the affirmative defense conditions of Rule 10b5-1(c) or any "non-Rule 10b5-1 trading arrangement" (as defined in Item 408(c) of Regulation S-K).</w:t>
      </w:r>
    </w:p>
    <w:p>
      <w:pPr>
        <w:spacing w:after="0" w:line="2" w:lineRule="exact"/>
        <w:rPr>
          <w:sz w:val="20"/>
          <w:szCs w:val="20"/>
          <w:color w:val="auto"/>
        </w:rPr>
      </w:pPr>
    </w:p>
    <w:p>
      <w:pPr>
        <w:ind w:right="220" w:firstLine="614"/>
        <w:spacing w:after="0" w:line="260" w:lineRule="auto"/>
        <w:rPr>
          <w:sz w:val="20"/>
          <w:szCs w:val="20"/>
          <w:color w:val="auto"/>
        </w:rPr>
      </w:pPr>
      <w:r>
        <w:rPr>
          <w:rFonts w:ascii="Times New Roman" w:cs="Times New Roman" w:eastAsia="Times New Roman" w:hAnsi="Times New Roman"/>
          <w:sz w:val="18"/>
          <w:szCs w:val="18"/>
          <w:color w:val="auto"/>
        </w:rPr>
        <w:t>On December 18, 2024, Ronnie Ng, our Chief Financial Officer, adopted a Rule 10b5-1 Plan to sell up to 310,913 shares before the plan expires on January 30, 2026, subject to the satisfaction of specific conditions set forth in the plan.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u w:val="single" w:color="auto"/>
          <w:color w:val="auto"/>
        </w:rPr>
        <w:t>Disclosure Regarding Foreign Jurisdictions that Prevent Inspections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u w:val="single" w:color="auto"/>
          <w:color w:val="auto"/>
        </w:rPr>
        <w:t>Directors, Executive Officers and Corporate Governance</w:t>
      </w:r>
    </w:p>
    <w:p>
      <w:pPr>
        <w:spacing w:after="0" w:line="121" w:lineRule="exact"/>
        <w:rPr>
          <w:sz w:val="20"/>
          <w:szCs w:val="20"/>
          <w:color w:val="auto"/>
        </w:rPr>
      </w:pPr>
    </w:p>
    <w:p>
      <w:pPr>
        <w:ind w:right="140" w:firstLine="61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with respect to our directors is incorporated herein by reference from the Company's 2025 Proxy Statement under the heading “Proposal 1- Election of Directors.”</w:t>
      </w:r>
    </w:p>
    <w:p>
      <w:pPr>
        <w:spacing w:after="0" w:line="54" w:lineRule="exact"/>
        <w:rPr>
          <w:sz w:val="20"/>
          <w:szCs w:val="20"/>
          <w:color w:val="auto"/>
        </w:rPr>
      </w:pPr>
    </w:p>
    <w:p>
      <w:pPr>
        <w:ind w:right="100" w:firstLine="61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our executive officers is set forth in Part I of this Annual Report on Form 10-K under the heading “Information about our Executive Officers” and is incorporated herein by this reference.</w:t>
      </w:r>
    </w:p>
    <w:p>
      <w:pPr>
        <w:spacing w:after="0" w:line="54" w:lineRule="exact"/>
        <w:rPr>
          <w:sz w:val="20"/>
          <w:szCs w:val="20"/>
          <w:color w:val="auto"/>
        </w:rPr>
      </w:pPr>
    </w:p>
    <w:p>
      <w:pPr>
        <w:ind w:right="80" w:firstLine="614"/>
        <w:spacing w:after="0" w:line="258" w:lineRule="auto"/>
        <w:rPr>
          <w:sz w:val="20"/>
          <w:szCs w:val="20"/>
          <w:color w:val="auto"/>
        </w:rPr>
      </w:pPr>
      <w:r>
        <w:rPr>
          <w:rFonts w:ascii="Times New Roman" w:cs="Times New Roman" w:eastAsia="Times New Roman" w:hAnsi="Times New Roman"/>
          <w:sz w:val="18"/>
          <w:szCs w:val="18"/>
          <w:color w:val="auto"/>
        </w:rPr>
        <w:t>Our Board adopted a Code of Business Conduct and Ethics that applies to all of our employees, including our Board of Directors, Chief Executive Officer and principal financial officer. The Code of Business Conduct and Ethics sets forth the Company’s conflict of interest policy, records retention policy and policies for protection of the Company’s property, business opportunities and proprietary information. Our Code of Business Conduct and Ethics is available free of charge on our website at ncm.com under the tab “Investor Relations–Corporate Governance.” We intend to post on our website any amendments to, or waivers from our Code of Business Conduct and Ethics applicable to senior financial executives.</w:t>
      </w:r>
    </w:p>
    <w:p>
      <w:pPr>
        <w:spacing w:after="0" w:line="75" w:lineRule="exact"/>
        <w:rPr>
          <w:sz w:val="20"/>
          <w:szCs w:val="20"/>
          <w:color w:val="auto"/>
        </w:rPr>
      </w:pPr>
    </w:p>
    <w:p>
      <w:pPr>
        <w:ind w:right="100" w:firstLine="614"/>
        <w:spacing w:after="0" w:line="258" w:lineRule="auto"/>
        <w:rPr>
          <w:sz w:val="20"/>
          <w:szCs w:val="20"/>
          <w:color w:val="auto"/>
        </w:rPr>
      </w:pPr>
      <w:r>
        <w:rPr>
          <w:rFonts w:ascii="Times New Roman" w:cs="Times New Roman" w:eastAsia="Times New Roman" w:hAnsi="Times New Roman"/>
          <w:sz w:val="18"/>
          <w:szCs w:val="18"/>
          <w:color w:val="auto"/>
        </w:rPr>
        <w:t>The Company has an insider trading policy, processes and procedures governing transactions in the Company's securities that apply to all Company personnel, including directors, officers, employees and other covered persons. We believe our insider trading policy, processes and procedures are reasonably designed to promote compliance with insider trading laws, rules, regulations and the listing standards applicable to the Company. A copy is filed as Exhibit 19 to this Annual Report on Form 10-K and is available free of charge on our website at ncm.com under the tab “Investor Relations– Corporate Governance.”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u w:val="single" w:color="auto"/>
          <w:color w:val="auto"/>
        </w:rPr>
        <w:t>Executive Compensation</w:t>
      </w:r>
    </w:p>
    <w:p>
      <w:pPr>
        <w:spacing w:after="0" w:line="121" w:lineRule="exact"/>
        <w:rPr>
          <w:sz w:val="20"/>
          <w:szCs w:val="20"/>
          <w:color w:val="auto"/>
        </w:rPr>
      </w:pPr>
    </w:p>
    <w:p>
      <w:pPr>
        <w:ind w:right="420" w:firstLine="61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compensation of executive officers and directors is incorporated herein by reference from the Proxy Statement under the headings “Compensation of Executive Officers” and “Compensation Committee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u w:val="single" w:color="auto"/>
          <w:color w:val="auto"/>
        </w:rPr>
        <w:t>Security Ownership of Certain Beneficial Owners and Management and Related Stockholder Matters</w:t>
      </w:r>
    </w:p>
    <w:p>
      <w:pPr>
        <w:spacing w:after="0" w:line="121" w:lineRule="exact"/>
        <w:rPr>
          <w:sz w:val="20"/>
          <w:szCs w:val="20"/>
          <w:color w:val="auto"/>
        </w:rPr>
      </w:pPr>
    </w:p>
    <w:p>
      <w:pPr>
        <w:ind w:right="640" w:firstLine="608"/>
        <w:spacing w:after="0" w:line="282" w:lineRule="auto"/>
        <w:rPr>
          <w:sz w:val="20"/>
          <w:szCs w:val="20"/>
          <w:color w:val="auto"/>
        </w:rPr>
      </w:pPr>
      <w:r>
        <w:rPr>
          <w:rFonts w:ascii="Times New Roman" w:cs="Times New Roman" w:eastAsia="Times New Roman" w:hAnsi="Times New Roman"/>
          <w:sz w:val="18"/>
          <w:szCs w:val="18"/>
          <w:color w:val="auto"/>
        </w:rPr>
        <w:t>For information with respect to the security ownership of directors, executive officers and holders of more than 5% of a class of our voting securities, refer to the Proxy Statement under the heading “Beneficial Ownership,” which information is incorporated herein by reference.</w:t>
      </w:r>
    </w:p>
    <w:p>
      <w:pPr>
        <w:spacing w:after="0" w:line="54" w:lineRule="exact"/>
        <w:rPr>
          <w:sz w:val="20"/>
          <w:szCs w:val="20"/>
          <w:color w:val="auto"/>
        </w:rPr>
      </w:pPr>
    </w:p>
    <w:p>
      <w:pPr>
        <w:ind w:right="700" w:firstLine="608"/>
        <w:spacing w:after="0" w:line="282" w:lineRule="auto"/>
        <w:rPr>
          <w:sz w:val="20"/>
          <w:szCs w:val="20"/>
          <w:color w:val="auto"/>
        </w:rPr>
      </w:pPr>
      <w:r>
        <w:rPr>
          <w:rFonts w:ascii="Times New Roman" w:cs="Times New Roman" w:eastAsia="Times New Roman" w:hAnsi="Times New Roman"/>
          <w:sz w:val="18"/>
          <w:szCs w:val="18"/>
          <w:color w:val="auto"/>
        </w:rPr>
        <w:t>For Equity Incentive Plan information, refer to the Proxy Statement under the heading “Equity Compensation Plan,” which information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u w:val="single" w:color="auto"/>
          <w:color w:val="auto"/>
        </w:rPr>
        <w:t>Certain Relationships and Related Transactions, and Director Independence</w:t>
      </w:r>
    </w:p>
    <w:p>
      <w:pPr>
        <w:spacing w:after="0" w:line="121" w:lineRule="exact"/>
        <w:rPr>
          <w:sz w:val="20"/>
          <w:szCs w:val="20"/>
          <w:color w:val="auto"/>
        </w:rPr>
      </w:pPr>
    </w:p>
    <w:p>
      <w:pPr>
        <w:ind w:firstLine="608"/>
        <w:spacing w:after="0" w:line="282" w:lineRule="auto"/>
        <w:rPr>
          <w:sz w:val="20"/>
          <w:szCs w:val="20"/>
          <w:color w:val="auto"/>
        </w:rPr>
      </w:pPr>
      <w:r>
        <w:rPr>
          <w:rFonts w:ascii="Times New Roman" w:cs="Times New Roman" w:eastAsia="Times New Roman" w:hAnsi="Times New Roman"/>
          <w:sz w:val="18"/>
          <w:szCs w:val="18"/>
          <w:color w:val="auto"/>
        </w:rPr>
        <w:t>For information with respect to certain relationships and related transactions, refer to the Proxy Statement under the heading “Certain Relationships and Related Party Transactions,” which information is incorporated herein by reference.</w:t>
      </w:r>
    </w:p>
    <w:p>
      <w:pPr>
        <w:spacing w:after="0" w:line="54" w:lineRule="exact"/>
        <w:rPr>
          <w:sz w:val="20"/>
          <w:szCs w:val="20"/>
          <w:color w:val="auto"/>
        </w:rPr>
      </w:pPr>
    </w:p>
    <w:p>
      <w:pPr>
        <w:ind w:right="180" w:firstLine="608"/>
        <w:spacing w:after="0" w:line="282" w:lineRule="auto"/>
        <w:rPr>
          <w:sz w:val="20"/>
          <w:szCs w:val="20"/>
          <w:color w:val="auto"/>
        </w:rPr>
      </w:pPr>
      <w:r>
        <w:rPr>
          <w:rFonts w:ascii="Times New Roman" w:cs="Times New Roman" w:eastAsia="Times New Roman" w:hAnsi="Times New Roman"/>
          <w:sz w:val="18"/>
          <w:szCs w:val="18"/>
          <w:color w:val="auto"/>
        </w:rPr>
        <w:t>For information with respect to director independence, refer to the Proxy Statement under the heading “Proposal 1- Election of Directors,” which information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u w:val="single" w:color="auto"/>
          <w:color w:val="auto"/>
        </w:rPr>
        <w:t>Principal Accounting Fees and Services</w:t>
      </w:r>
    </w:p>
    <w:p>
      <w:pPr>
        <w:spacing w:after="0" w:line="121" w:lineRule="exact"/>
        <w:rPr>
          <w:sz w:val="20"/>
          <w:szCs w:val="20"/>
          <w:color w:val="auto"/>
        </w:rPr>
      </w:pPr>
    </w:p>
    <w:p>
      <w:pPr>
        <w:ind w:right="340" w:firstLine="61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with respect to principal accounting fees and services is incorporated herein by reference from the Proxy Statement under the heading “Fees Paid to Independent Auditors.”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u w:val="single" w:color="auto"/>
          <w:color w:val="auto"/>
        </w:rPr>
        <w:t>Exhibits, Financial Statement Schedules</w:t>
      </w:r>
    </w:p>
    <w:p>
      <w:pPr>
        <w:spacing w:after="0" w:line="121" w:lineRule="exact"/>
        <w:rPr>
          <w:sz w:val="20"/>
          <w:szCs w:val="20"/>
          <w:color w:val="auto"/>
        </w:rPr>
      </w:pPr>
    </w:p>
    <w:p>
      <w:pPr>
        <w:ind w:left="1140" w:right="5380" w:hanging="524"/>
        <w:spacing w:after="0" w:line="375" w:lineRule="auto"/>
        <w:tabs>
          <w:tab w:leader="none" w:pos="87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and (a) (2) Financial statements and financial statement schedules Refer to Index to Financial Statements on page 52.</w:t>
      </w:r>
    </w:p>
    <w:p>
      <w:pPr>
        <w:spacing w:after="0" w:line="1" w:lineRule="exact"/>
        <w:rPr>
          <w:rFonts w:ascii="Times New Roman" w:cs="Times New Roman" w:eastAsia="Times New Roman" w:hAnsi="Times New Roman"/>
          <w:sz w:val="18"/>
          <w:szCs w:val="18"/>
          <w:color w:val="auto"/>
        </w:rPr>
      </w:pPr>
    </w:p>
    <w:p>
      <w:pPr>
        <w:ind w:left="920" w:hanging="304"/>
        <w:spacing w:after="0"/>
        <w:tabs>
          <w:tab w:leader="none" w:pos="9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Refer to Exhibit Index, beginning on page 92.</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 Financial Statement Schedules</w:t>
      </w:r>
    </w:p>
    <w:p>
      <w:pPr>
        <w:spacing w:after="0" w:line="117" w:lineRule="exact"/>
        <w:rPr>
          <w:sz w:val="20"/>
          <w:szCs w:val="20"/>
          <w:color w:val="auto"/>
        </w:rPr>
      </w:pPr>
    </w:p>
    <w:p>
      <w:pPr>
        <w:ind w:left="1140"/>
        <w:spacing w:after="0" w:line="282" w:lineRule="auto"/>
        <w:rPr>
          <w:sz w:val="20"/>
          <w:szCs w:val="20"/>
          <w:color w:val="auto"/>
        </w:rPr>
      </w:pPr>
      <w:r>
        <w:rPr>
          <w:rFonts w:ascii="Times New Roman" w:cs="Times New Roman" w:eastAsia="Times New Roman" w:hAnsi="Times New Roman"/>
          <w:sz w:val="18"/>
          <w:szCs w:val="18"/>
          <w:color w:val="auto"/>
        </w:rPr>
        <w:t>Financial Statement Schedules not included herein have been omitted because they are either not required, not applicable, or the information is otherwise included herein.</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3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Ref.</w:t>
            </w:r>
          </w:p>
        </w:tc>
        <w:tc>
          <w:tcPr>
            <w:tcW w:w="442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4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4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20" w:type="dxa"/>
            <w:vAlign w:val="bottom"/>
            <w:gridSpan w:val="25"/>
          </w:tcPr>
          <w:p>
            <w:pPr>
              <w:spacing w:after="0" w:line="169"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Confirmation Order, dated July 27, 2023.</w:t>
              </w:r>
            </w:hyperlink>
          </w:p>
        </w:tc>
      </w:tr>
      <w:tr>
        <w:trPr>
          <w:trHeight w:val="20"/>
        </w:trPr>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80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4"/>
                <w:szCs w:val="24"/>
                <w:color w:val="auto"/>
              </w:rPr>
            </w:pPr>
          </w:p>
        </w:tc>
        <w:tc>
          <w:tcPr>
            <w:tcW w:w="44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The Bylaws, as amended February 1, 2024.</w:t>
            </w:r>
          </w:p>
        </w:tc>
      </w:tr>
      <w:tr>
        <w:trPr>
          <w:trHeight w:val="20"/>
        </w:trPr>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20" w:type="dxa"/>
            <w:vAlign w:val="bottom"/>
            <w:tcBorders>
              <w:bottom w:val="single" w:sz="8" w:color="0000EE"/>
            </w:tcBorders>
            <w:gridSpan w:val="20"/>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Second Amended and Restated Certificate of Incorporation</w:t>
              </w:r>
            </w:hyperlink>
          </w:p>
        </w:tc>
        <w:tc>
          <w:tcPr>
            <w:tcW w:w="100" w:type="dxa"/>
            <w:vAlign w:val="bottom"/>
            <w:gridSpan w:val="5"/>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20" w:type="dxa"/>
            <w:vAlign w:val="bottom"/>
            <w:gridSpan w:val="25"/>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as amended</w:t>
              </w:r>
            </w:hyperlink>
            <w:r>
              <w:rPr>
                <w:rFonts w:ascii="Times New Roman" w:cs="Times New Roman" w:eastAsia="Times New Roman" w:hAnsi="Times New Roman"/>
                <w:sz w:val="18"/>
                <w:szCs w:val="18"/>
                <w:color w:val="000000"/>
              </w:rPr>
              <w:t>.</w:t>
            </w:r>
          </w:p>
        </w:tc>
      </w:tr>
      <w:tr>
        <w:trPr>
          <w:trHeight w:val="20"/>
        </w:trPr>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Certificate of Designation Series B Preferred Stock, dated</w:t>
              </w:r>
            </w:hyperlink>
          </w:p>
        </w:tc>
        <w:tc>
          <w:tcPr>
            <w:tcW w:w="200" w:type="dxa"/>
            <w:vAlign w:val="bottom"/>
            <w:gridSpan w:val="6"/>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20" w:type="dxa"/>
            <w:vAlign w:val="bottom"/>
            <w:gridSpan w:val="25"/>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August 7, 2023.</w:t>
              </w:r>
            </w:hyperlink>
          </w:p>
        </w:tc>
      </w:tr>
      <w:tr>
        <w:trPr>
          <w:trHeight w:val="20"/>
        </w:trPr>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80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4"/>
                <w:szCs w:val="24"/>
                <w:color w:val="auto"/>
              </w:rPr>
            </w:pPr>
          </w:p>
        </w:tc>
        <w:tc>
          <w:tcPr>
            <w:tcW w:w="44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Description of the Registrant’s Securities</w:t>
            </w:r>
          </w:p>
        </w:tc>
      </w:tr>
      <w:tr>
        <w:trPr>
          <w:trHeight w:val="20"/>
        </w:trPr>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10.1</w:t>
            </w:r>
          </w:p>
        </w:tc>
        <w:tc>
          <w:tcPr>
            <w:tcW w:w="80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4"/>
                <w:szCs w:val="24"/>
                <w:color w:val="auto"/>
              </w:rPr>
            </w:pPr>
          </w:p>
        </w:tc>
        <w:tc>
          <w:tcPr>
            <w:tcW w:w="41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National CineMedia, LLC Third Amended and Restated</w:t>
            </w:r>
          </w:p>
        </w:tc>
        <w:tc>
          <w:tcPr>
            <w:tcW w:w="320" w:type="dxa"/>
            <w:vAlign w:val="bottom"/>
            <w:gridSpan w:val="8"/>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2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Limited Liability Company Operating Agreement dated as of</w:t>
            </w: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4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February 13, 2007, by and among American Multi-Cinema,</w:t>
            </w:r>
          </w:p>
        </w:tc>
        <w:tc>
          <w:tcPr>
            <w:tcW w:w="80" w:type="dxa"/>
            <w:vAlign w:val="bottom"/>
            <w:gridSpan w:val="4"/>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0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Inc., Cinemark Media, Inc., Regal CineMedia Holdings,</w:t>
            </w:r>
          </w:p>
        </w:tc>
        <w:tc>
          <w:tcPr>
            <w:tcW w:w="320" w:type="dxa"/>
            <w:vAlign w:val="bottom"/>
            <w:gridSpan w:val="8"/>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0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LLC and National CineMedia, Inc., as amended through</w:t>
            </w:r>
          </w:p>
        </w:tc>
        <w:tc>
          <w:tcPr>
            <w:tcW w:w="320" w:type="dxa"/>
            <w:vAlign w:val="bottom"/>
            <w:gridSpan w:val="8"/>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March 18, 2024.</w:t>
            </w:r>
          </w:p>
        </w:tc>
        <w:tc>
          <w:tcPr>
            <w:tcW w:w="3180" w:type="dxa"/>
            <w:vAlign w:val="bottom"/>
            <w:gridSpan w:val="20"/>
          </w:tcPr>
          <w:p>
            <w:pPr>
              <w:spacing w:after="0"/>
              <w:rPr>
                <w:sz w:val="17"/>
                <w:szCs w:val="17"/>
                <w:color w:val="auto"/>
              </w:rPr>
            </w:pPr>
          </w:p>
        </w:tc>
      </w:tr>
      <w:tr>
        <w:trPr>
          <w:trHeight w:val="318"/>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10.2</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Amended and Restated Exhibitor Services Agreement dated</w:t>
              </w:r>
            </w:hyperlink>
          </w:p>
        </w:tc>
        <w:tc>
          <w:tcPr>
            <w:tcW w:w="40" w:type="dxa"/>
            <w:vAlign w:val="bottom"/>
            <w:gridSpan w:val="2"/>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as of December 26, 2013, by and between National</w:t>
              </w:r>
            </w:hyperlink>
          </w:p>
        </w:tc>
        <w:tc>
          <w:tcPr>
            <w:tcW w:w="680" w:type="dxa"/>
            <w:vAlign w:val="bottom"/>
            <w:gridSpan w:val="15"/>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CineMedia, LLC and American Multi-Cinema, Inc.</w:t>
              </w:r>
            </w:hyperlink>
          </w:p>
        </w:tc>
        <w:tc>
          <w:tcPr>
            <w:tcW w:w="600" w:type="dxa"/>
            <w:vAlign w:val="bottom"/>
            <w:gridSpan w:val="14"/>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(Portions omitted pursuant to request for confidential</w:t>
              </w:r>
            </w:hyperlink>
          </w:p>
        </w:tc>
        <w:tc>
          <w:tcPr>
            <w:tcW w:w="540" w:type="dxa"/>
            <w:vAlign w:val="bottom"/>
            <w:gridSpan w:val="13"/>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20" w:type="dxa"/>
            <w:vAlign w:val="bottom"/>
            <w:gridSpan w:val="25"/>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treatment and filed separately with the Commission).</w:t>
              </w:r>
            </w:hyperlink>
          </w:p>
        </w:tc>
      </w:tr>
      <w:tr>
        <w:trPr>
          <w:trHeight w:val="20"/>
        </w:trPr>
        <w:tc>
          <w:tcPr>
            <w:tcW w:w="1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right w:val="single" w:sz="8" w:color="0000FF"/>
            </w:tcBorders>
            <w:gridSpan w:val="3"/>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tcBorders>
              <w:right w:val="single" w:sz="8" w:color="0000EE"/>
            </w:tcBorders>
            <w:gridSpan w:val="4"/>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10.2.1</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First Amendment to Amended and Restated Exhibitor</w:t>
              </w:r>
            </w:hyperlink>
          </w:p>
        </w:tc>
        <w:tc>
          <w:tcPr>
            <w:tcW w:w="480" w:type="dxa"/>
            <w:vAlign w:val="bottom"/>
            <w:gridSpan w:val="11"/>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Services Agreement dated as of March 9, 2017, by and</w:t>
              </w:r>
            </w:hyperlink>
          </w:p>
        </w:tc>
        <w:tc>
          <w:tcPr>
            <w:tcW w:w="420" w:type="dxa"/>
            <w:vAlign w:val="bottom"/>
            <w:gridSpan w:val="9"/>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20" w:type="dxa"/>
            <w:vAlign w:val="bottom"/>
            <w:gridSpan w:val="25"/>
          </w:tcPr>
          <w:p>
            <w:pPr>
              <w:spacing w:after="0" w:line="19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between National CineMedia, LLC and American Multi-</w:t>
              </w:r>
            </w:hyperlink>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0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Cinema, Inc.</w:t>
              </w:r>
            </w:hyperlink>
          </w:p>
        </w:tc>
        <w:tc>
          <w:tcPr>
            <w:tcW w:w="320" w:type="dxa"/>
            <w:vAlign w:val="bottom"/>
            <w:gridSpan w:val="8"/>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right w:val="single" w:sz="8" w:color="0000EE"/>
            </w:tcBorders>
            <w:gridSpan w:val="3"/>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10.3</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Amended and Restated Exhibitor Services Agreement dated</w:t>
              </w:r>
            </w:hyperlink>
          </w:p>
        </w:tc>
        <w:tc>
          <w:tcPr>
            <w:tcW w:w="40" w:type="dxa"/>
            <w:vAlign w:val="bottom"/>
            <w:gridSpan w:val="2"/>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as of December 26, 2013, by and between National</w:t>
              </w:r>
            </w:hyperlink>
          </w:p>
        </w:tc>
        <w:tc>
          <w:tcPr>
            <w:tcW w:w="680" w:type="dxa"/>
            <w:vAlign w:val="bottom"/>
            <w:gridSpan w:val="15"/>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CineMedia, LLC and Cinemark USA, Inc. (Portions omitted</w:t>
              </w:r>
            </w:hyperlink>
          </w:p>
        </w:tc>
        <w:tc>
          <w:tcPr>
            <w:tcW w:w="2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pursuant to request for confidential treatment and filed</w:t>
              </w:r>
            </w:hyperlink>
          </w:p>
        </w:tc>
        <w:tc>
          <w:tcPr>
            <w:tcW w:w="440" w:type="dxa"/>
            <w:vAlign w:val="bottom"/>
            <w:gridSpan w:val="10"/>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61">
              <w:r>
                <w:rPr>
                  <w:rFonts w:ascii="Times New Roman" w:cs="Times New Roman" w:eastAsia="Times New Roman" w:hAnsi="Times New Roman"/>
                  <w:sz w:val="18"/>
                  <w:szCs w:val="18"/>
                  <w:color w:val="0000FF"/>
                  <w:w w:val="99"/>
                </w:rPr>
                <w:t>separately with the Commission).</w:t>
              </w:r>
            </w:hyperlink>
          </w:p>
        </w:tc>
        <w:tc>
          <w:tcPr>
            <w:tcW w:w="20" w:type="dxa"/>
            <w:vAlign w:val="bottom"/>
            <w:tcBorders>
              <w:bottom w:val="single" w:sz="8" w:color="0000EE"/>
            </w:tcBorders>
          </w:tcPr>
          <w:p>
            <w:pPr>
              <w:spacing w:after="0"/>
              <w:rPr>
                <w:sz w:val="17"/>
                <w:szCs w:val="17"/>
                <w:color w:val="auto"/>
              </w:rPr>
            </w:pPr>
          </w:p>
        </w:tc>
        <w:tc>
          <w:tcPr>
            <w:tcW w:w="1980" w:type="dxa"/>
            <w:vAlign w:val="bottom"/>
            <w:gridSpan w:val="18"/>
          </w:tcPr>
          <w:p>
            <w:pPr>
              <w:spacing w:after="0"/>
              <w:rPr>
                <w:sz w:val="17"/>
                <w:szCs w:val="17"/>
                <w:color w:val="auto"/>
              </w:rPr>
            </w:pPr>
          </w:p>
        </w:tc>
      </w:tr>
      <w:tr>
        <w:trPr>
          <w:trHeight w:val="318"/>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10.3.1</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First Amendment to Amended and Restated Exhibitor</w:t>
              </w:r>
            </w:hyperlink>
          </w:p>
        </w:tc>
        <w:tc>
          <w:tcPr>
            <w:tcW w:w="480" w:type="dxa"/>
            <w:vAlign w:val="bottom"/>
            <w:gridSpan w:val="11"/>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8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Services Agreement dated as of September 17, 2019, by and</w:t>
              </w:r>
            </w:hyperlink>
          </w:p>
        </w:tc>
        <w:tc>
          <w:tcPr>
            <w:tcW w:w="40" w:type="dxa"/>
            <w:vAlign w:val="bottom"/>
            <w:gridSpan w:val="2"/>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20" w:type="dxa"/>
            <w:vAlign w:val="bottom"/>
            <w:gridSpan w:val="25"/>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between National CineMedia, LLC and Cinemark USA, Inc.</w:t>
              </w:r>
            </w:hyperlink>
          </w:p>
        </w:tc>
      </w:tr>
      <w:tr>
        <w:trPr>
          <w:trHeight w:val="318"/>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10.3.2</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40" w:type="dxa"/>
            <w:vAlign w:val="bottom"/>
            <w:tcBorders>
              <w:top w:val="single" w:sz="8" w:color="0000FF"/>
              <w:bottom w:val="single" w:sz="8" w:color="0000FF"/>
            </w:tcBorders>
            <w:gridSpan w:val="18"/>
          </w:tcPr>
          <w:p>
            <w:pPr>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Second Amendment to Amended and Restated Exhibitor</w:t>
              </w:r>
            </w:hyperlink>
          </w:p>
        </w:tc>
        <w:tc>
          <w:tcPr>
            <w:tcW w:w="220" w:type="dxa"/>
            <w:vAlign w:val="bottom"/>
            <w:tcBorders>
              <w:top w:val="single" w:sz="8" w:color="0000FF"/>
            </w:tcBorders>
            <w:gridSpan w:val="4"/>
          </w:tcPr>
          <w:p>
            <w:pPr>
              <w:spacing w:after="0"/>
              <w:rPr>
                <w:sz w:val="24"/>
                <w:szCs w:val="24"/>
                <w:color w:val="auto"/>
              </w:rPr>
            </w:pPr>
          </w:p>
        </w:tc>
        <w:tc>
          <w:tcPr>
            <w:tcW w:w="60" w:type="dxa"/>
            <w:vAlign w:val="bottom"/>
            <w:gridSpan w:val="3"/>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Services Agreement dated as of July 29, 2022, by and</w:t>
              </w:r>
            </w:hyperlink>
          </w:p>
        </w:tc>
        <w:tc>
          <w:tcPr>
            <w:tcW w:w="500" w:type="dxa"/>
            <w:vAlign w:val="bottom"/>
            <w:gridSpan w:val="12"/>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20" w:type="dxa"/>
            <w:vAlign w:val="bottom"/>
            <w:gridSpan w:val="25"/>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between National CineMedia, LLC and Cinemark USA, Inc.</w:t>
              </w:r>
            </w:hyperlink>
          </w:p>
        </w:tc>
      </w:tr>
      <w:tr>
        <w:trPr>
          <w:trHeight w:val="318"/>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10.4</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20" w:type="dxa"/>
            <w:vAlign w:val="bottom"/>
            <w:tcBorders>
              <w:top w:val="single" w:sz="8" w:color="0000FF"/>
              <w:bottom w:val="single" w:sz="8" w:color="0000FF"/>
            </w:tcBorders>
            <w:gridSpan w:val="20"/>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Common Unit Adjustment Agreement dated as of February</w:t>
              </w:r>
            </w:hyperlink>
          </w:p>
        </w:tc>
        <w:tc>
          <w:tcPr>
            <w:tcW w:w="40" w:type="dxa"/>
            <w:vAlign w:val="bottom"/>
            <w:tcBorders>
              <w:top w:val="single" w:sz="8" w:color="0000FF"/>
            </w:tcBorders>
            <w:gridSpan w:val="2"/>
          </w:tcPr>
          <w:p>
            <w:pPr>
              <w:spacing w:after="0"/>
              <w:rPr>
                <w:sz w:val="24"/>
                <w:szCs w:val="24"/>
                <w:color w:val="auto"/>
              </w:rPr>
            </w:pPr>
          </w:p>
        </w:tc>
        <w:tc>
          <w:tcPr>
            <w:tcW w:w="60" w:type="dxa"/>
            <w:vAlign w:val="bottom"/>
            <w:gridSpan w:val="3"/>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13, 2007, by and among National CineMedia, Inc., National</w:t>
              </w:r>
            </w:hyperlink>
          </w:p>
        </w:tc>
        <w:tc>
          <w:tcPr>
            <w:tcW w:w="60" w:type="dxa"/>
            <w:vAlign w:val="bottom"/>
            <w:gridSpan w:val="3"/>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CineMedia, LLC, Regal CineMedia Holdings, LLC,</w:t>
              </w:r>
            </w:hyperlink>
          </w:p>
        </w:tc>
        <w:tc>
          <w:tcPr>
            <w:tcW w:w="600" w:type="dxa"/>
            <w:vAlign w:val="bottom"/>
            <w:gridSpan w:val="14"/>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American Multi-Cinema, Inc., Cinemark Media, Inc., Regal</w:t>
              </w:r>
            </w:hyperlink>
          </w:p>
        </w:tc>
        <w:tc>
          <w:tcPr>
            <w:tcW w:w="60" w:type="dxa"/>
            <w:vAlign w:val="bottom"/>
            <w:gridSpan w:val="3"/>
          </w:tcPr>
          <w:p>
            <w:pPr>
              <w:spacing w:after="0"/>
              <w:rPr>
                <w:sz w:val="17"/>
                <w:szCs w:val="17"/>
                <w:color w:val="auto"/>
              </w:rPr>
            </w:pPr>
          </w:p>
        </w:tc>
      </w:tr>
    </w:tbl>
    <w:p>
      <w:pPr>
        <w:spacing w:after="0" w:line="9" w:lineRule="exact"/>
        <w:rPr>
          <w:sz w:val="20"/>
          <w:szCs w:val="20"/>
          <w:color w:val="auto"/>
        </w:rPr>
      </w:pPr>
    </w:p>
    <w:p>
      <w:pPr>
        <w:ind w:left="1920" w:right="40"/>
        <w:spacing w:after="0" w:line="266" w:lineRule="auto"/>
        <w:rPr>
          <w:rFonts w:ascii="Times New Roman" w:cs="Times New Roman" w:eastAsia="Times New Roman" w:hAnsi="Times New Roman"/>
          <w:sz w:val="18"/>
          <w:szCs w:val="18"/>
          <w:u w:val="single" w:color="auto"/>
          <w:color w:val="0000FF"/>
        </w:rPr>
      </w:pPr>
      <w:hyperlink r:id="rId264">
        <w:r>
          <w:rPr>
            <w:rFonts w:ascii="Times New Roman" w:cs="Times New Roman" w:eastAsia="Times New Roman" w:hAnsi="Times New Roman"/>
            <w:sz w:val="18"/>
            <w:szCs w:val="18"/>
            <w:u w:val="single" w:color="auto"/>
            <w:color w:val="0000FF"/>
          </w:rPr>
          <w:t>Cinemas, Inc. and Cinemark USA, Inc. (Confidential</w:t>
        </w:r>
      </w:hyperlink>
      <w:r>
        <w:rPr>
          <w:rFonts w:ascii="Times New Roman" w:cs="Times New Roman" w:eastAsia="Times New Roman" w:hAnsi="Times New Roman"/>
          <w:sz w:val="18"/>
          <w:szCs w:val="18"/>
          <w:u w:val="single" w:color="auto"/>
          <w:color w:val="0000FF"/>
        </w:rPr>
        <w:t xml:space="preserve"> </w:t>
      </w:r>
      <w:hyperlink r:id="rId264">
        <w:r>
          <w:rPr>
            <w:rFonts w:ascii="Times New Roman" w:cs="Times New Roman" w:eastAsia="Times New Roman" w:hAnsi="Times New Roman"/>
            <w:sz w:val="18"/>
            <w:szCs w:val="18"/>
            <w:u w:val="single" w:color="auto"/>
            <w:color w:val="0000FF"/>
          </w:rPr>
          <w:t>treatment granted as to certain portions, which portions were</w:t>
        </w:r>
      </w:hyperlink>
      <w:r>
        <w:rPr>
          <w:rFonts w:ascii="Times New Roman" w:cs="Times New Roman" w:eastAsia="Times New Roman" w:hAnsi="Times New Roman"/>
          <w:sz w:val="18"/>
          <w:szCs w:val="18"/>
          <w:u w:val="single" w:color="auto"/>
          <w:color w:val="0000FF"/>
        </w:rPr>
        <w:t xml:space="preserve"> </w:t>
      </w:r>
      <w:hyperlink r:id="rId264">
        <w:r>
          <w:rPr>
            <w:rFonts w:ascii="Times New Roman" w:cs="Times New Roman" w:eastAsia="Times New Roman" w:hAnsi="Times New Roman"/>
            <w:sz w:val="18"/>
            <w:szCs w:val="18"/>
            <w:u w:val="single" w:color="auto"/>
            <w:color w:val="0000FF"/>
          </w:rPr>
          <w:t>omitted and filed separately with the Commission).</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1219835</wp:posOffset>
            </wp:positionH>
            <wp:positionV relativeFrom="paragraph">
              <wp:posOffset>-313055</wp:posOffset>
            </wp:positionV>
            <wp:extent cx="248793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5">
                      <a:extLst>
                        <a:ext uri="{28A0092B-C50C-407E-A947-70E740481C1C}"/>
                      </a:extLst>
                    </a:blip>
                    <a:srcRect/>
                    <a:stretch>
                      <a:fillRect/>
                    </a:stretch>
                  </pic:blipFill>
                  <pic:spPr bwMode="auto">
                    <a:xfrm>
                      <a:off x="0" y="0"/>
                      <a:ext cx="2487930" cy="8890"/>
                    </a:xfrm>
                    <a:prstGeom prst="rect">
                      <a:avLst/>
                    </a:prstGeom>
                    <a:noFill/>
                  </pic:spPr>
                </pic:pic>
              </a:graphicData>
            </a:graphic>
          </wp:anchor>
        </w:drawing>
        <w:drawing>
          <wp:anchor simplePos="0" relativeHeight="251657728" behindDoc="1" locked="0" layoutInCell="0" allowOverlap="1">
            <wp:simplePos x="0" y="0"/>
            <wp:positionH relativeFrom="column">
              <wp:posOffset>1219835</wp:posOffset>
            </wp:positionH>
            <wp:positionV relativeFrom="paragraph">
              <wp:posOffset>-175895</wp:posOffset>
            </wp:positionV>
            <wp:extent cx="280479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6">
                      <a:extLst>
                        <a:ext uri="{28A0092B-C50C-407E-A947-70E740481C1C}"/>
                      </a:extLst>
                    </a:blip>
                    <a:srcRect/>
                    <a:stretch>
                      <a:fillRect/>
                    </a:stretch>
                  </pic:blipFill>
                  <pic:spPr bwMode="auto">
                    <a:xfrm>
                      <a:off x="0" y="0"/>
                      <a:ext cx="2804795" cy="8255"/>
                    </a:xfrm>
                    <a:prstGeom prst="rect">
                      <a:avLst/>
                    </a:prstGeom>
                    <a:noFill/>
                  </pic:spPr>
                </pic:pic>
              </a:graphicData>
            </a:graphic>
          </wp:anchor>
        </w:drawing>
        <w:drawing>
          <wp:anchor simplePos="0" relativeHeight="251657728" behindDoc="1" locked="0" layoutInCell="0" allowOverlap="1">
            <wp:simplePos x="0" y="0"/>
            <wp:positionH relativeFrom="column">
              <wp:posOffset>1219835</wp:posOffset>
            </wp:positionH>
            <wp:positionV relativeFrom="paragraph">
              <wp:posOffset>-38735</wp:posOffset>
            </wp:positionV>
            <wp:extent cx="234505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7">
                      <a:extLst>
                        <a:ext uri="{28A0092B-C50C-407E-A947-70E740481C1C}"/>
                      </a:extLst>
                    </a:blip>
                    <a:srcRect/>
                    <a:stretch>
                      <a:fillRect/>
                    </a:stretch>
                  </pic:blipFill>
                  <pic:spPr bwMode="auto">
                    <a:xfrm>
                      <a:off x="0" y="0"/>
                      <a:ext cx="2345055" cy="889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u w:val="single" w:color="auto"/>
          <w:color w:val="0000FF"/>
        </w:rPr>
      </w:pPr>
    </w:p>
    <w:p>
      <w:pPr>
        <w:spacing w:after="0" w:line="374" w:lineRule="exact"/>
        <w:rPr>
          <w:rFonts w:ascii="Times New Roman" w:cs="Times New Roman" w:eastAsia="Times New Roman" w:hAnsi="Times New Roman"/>
          <w:sz w:val="18"/>
          <w:szCs w:val="18"/>
          <w:u w:val="single" w:color="auto"/>
          <w:color w:val="0000FF"/>
        </w:rPr>
      </w:pPr>
    </w:p>
    <w:p>
      <w:pPr>
        <w:ind w:left="55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0" w:lineRule="exact"/>
        <w:rPr>
          <w:rFonts w:ascii="Times New Roman" w:cs="Times New Roman" w:eastAsia="Times New Roman" w:hAnsi="Times New Roman"/>
          <w:sz w:val="18"/>
          <w:szCs w:val="18"/>
          <w:u w:val="single" w:color="auto"/>
          <w:color w:val="0000FF"/>
        </w:rPr>
      </w:pPr>
    </w:p>
    <w:p>
      <w:pPr>
        <w:spacing w:after="0" w:line="210"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2" w:lineRule="exact"/>
        <w:rPr>
          <w:rFonts w:ascii="Times New Roman" w:cs="Times New Roman" w:eastAsia="Times New Roman" w:hAnsi="Times New Roman"/>
          <w:sz w:val="18"/>
          <w:szCs w:val="18"/>
          <w:u w:val="single" w:color="auto"/>
          <w:color w:val="0000FF"/>
        </w:rPr>
      </w:pPr>
    </w:p>
    <w:tbl>
      <w:tblPr>
        <w:tblLayout w:type="fixed"/>
        <w:tblInd w:w="0" w:type="dxa"/>
        <w:tblCellMar>
          <w:top w:w="0" w:type="dxa"/>
          <w:left w:w="0" w:type="dxa"/>
          <w:bottom w:w="0" w:type="dxa"/>
          <w:right w:w="0" w:type="dxa"/>
        </w:tblCellMar>
      </w:tblPr>
      <w:tr>
        <w:trPr>
          <w:trHeight w:val="128"/>
        </w:trPr>
        <w:tc>
          <w:tcPr>
            <w:tcW w:w="880" w:type="dxa"/>
            <w:vAlign w:val="bottom"/>
            <w:tcBorders>
              <w:top w:val="single" w:sz="8" w:color="auto"/>
            </w:tcBorders>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Form</w:t>
            </w:r>
          </w:p>
        </w:tc>
        <w:tc>
          <w:tcPr>
            <w:tcW w:w="1820" w:type="dxa"/>
            <w:vAlign w:val="bottom"/>
            <w:tcBorders>
              <w:top w:val="single" w:sz="8" w:color="auto"/>
            </w:tcBorders>
            <w:gridSpan w:val="3"/>
          </w:tcPr>
          <w:p>
            <w:pPr>
              <w:ind w:left="300"/>
              <w:spacing w:after="0" w:line="129" w:lineRule="exact"/>
              <w:rPr>
                <w:sz w:val="20"/>
                <w:szCs w:val="20"/>
                <w:color w:val="auto"/>
              </w:rPr>
            </w:pPr>
            <w:r>
              <w:rPr>
                <w:rFonts w:ascii="Times New Roman" w:cs="Times New Roman" w:eastAsia="Times New Roman" w:hAnsi="Times New Roman"/>
                <w:sz w:val="14"/>
                <w:szCs w:val="14"/>
                <w:b w:val="1"/>
                <w:bCs w:val="1"/>
                <w:color w:val="auto"/>
              </w:rPr>
              <w:t>SEC File No.</w:t>
            </w:r>
          </w:p>
        </w:tc>
        <w:tc>
          <w:tcPr>
            <w:tcW w:w="78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320" w:type="dxa"/>
            <w:vAlign w:val="bottom"/>
            <w:tcBorders>
              <w:top w:val="single" w:sz="8" w:color="auto"/>
            </w:tcBorders>
            <w:gridSpan w:val="3"/>
          </w:tcPr>
          <w:p>
            <w:pPr>
              <w:ind w:left="340"/>
              <w:spacing w:after="0" w:line="129" w:lineRule="exact"/>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28"/>
        </w:trPr>
        <w:tc>
          <w:tcPr>
            <w:tcW w:w="220" w:type="dxa"/>
            <w:vAlign w:val="bottom"/>
          </w:tcPr>
          <w:p>
            <w:pPr>
              <w:spacing w:after="0"/>
              <w:rPr>
                <w:sz w:val="19"/>
                <w:szCs w:val="19"/>
                <w:color w:val="auto"/>
              </w:rPr>
            </w:pPr>
          </w:p>
        </w:tc>
        <w:tc>
          <w:tcPr>
            <w:tcW w:w="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001-33296</w:t>
            </w:r>
          </w:p>
        </w:tc>
        <w:tc>
          <w:tcPr>
            <w:tcW w:w="720" w:type="dxa"/>
            <w:vAlign w:val="bottom"/>
          </w:tcPr>
          <w:p>
            <w:pPr>
              <w:spacing w:after="0"/>
              <w:rPr>
                <w:sz w:val="19"/>
                <w:szCs w:val="19"/>
                <w:color w:val="auto"/>
              </w:rPr>
            </w:pPr>
          </w:p>
        </w:tc>
        <w:tc>
          <w:tcPr>
            <w:tcW w:w="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6/27/2023</w:t>
            </w:r>
          </w:p>
        </w:tc>
        <w:tc>
          <w:tcPr>
            <w:tcW w:w="300" w:type="dxa"/>
            <w:vAlign w:val="bottom"/>
          </w:tcPr>
          <w:p>
            <w:pPr>
              <w:spacing w:after="0"/>
              <w:rPr>
                <w:sz w:val="19"/>
                <w:szCs w:val="19"/>
                <w:color w:val="auto"/>
              </w:rPr>
            </w:pPr>
          </w:p>
        </w:tc>
      </w:tr>
      <w:tr>
        <w:trPr>
          <w:trHeight w:val="657"/>
        </w:trPr>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001-33296</w:t>
            </w:r>
          </w:p>
        </w:tc>
        <w:tc>
          <w:tcPr>
            <w:tcW w:w="7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320" w:type="dxa"/>
            <w:vAlign w:val="bottom"/>
          </w:tcPr>
          <w:p>
            <w:pPr>
              <w:spacing w:after="0"/>
              <w:rPr>
                <w:sz w:val="24"/>
                <w:szCs w:val="24"/>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11/7/2023</w:t>
            </w:r>
          </w:p>
        </w:tc>
      </w:tr>
      <w:tr>
        <w:trPr>
          <w:trHeight w:val="554"/>
        </w:trPr>
        <w:tc>
          <w:tcPr>
            <w:tcW w:w="220" w:type="dxa"/>
            <w:vAlign w:val="bottom"/>
          </w:tcPr>
          <w:p>
            <w:pPr>
              <w:spacing w:after="0"/>
              <w:rPr>
                <w:sz w:val="24"/>
                <w:szCs w:val="24"/>
                <w:color w:val="auto"/>
              </w:rPr>
            </w:pPr>
          </w:p>
        </w:tc>
        <w:tc>
          <w:tcPr>
            <w:tcW w:w="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001-33296</w:t>
            </w:r>
          </w:p>
        </w:tc>
        <w:tc>
          <w:tcPr>
            <w:tcW w:w="7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320" w:type="dxa"/>
            <w:vAlign w:val="bottom"/>
          </w:tcPr>
          <w:p>
            <w:pPr>
              <w:spacing w:after="0"/>
              <w:rPr>
                <w:sz w:val="24"/>
                <w:szCs w:val="24"/>
                <w:color w:val="auto"/>
              </w:rPr>
            </w:pPr>
          </w:p>
        </w:tc>
        <w:tc>
          <w:tcPr>
            <w:tcW w:w="1020" w:type="dxa"/>
            <w:vAlign w:val="bottom"/>
            <w:gridSpan w:val="2"/>
          </w:tcPr>
          <w:p>
            <w:pPr>
              <w:jc w:val="center"/>
              <w:ind w:left="256"/>
              <w:spacing w:after="0"/>
              <w:rPr>
                <w:sz w:val="20"/>
                <w:szCs w:val="20"/>
                <w:color w:val="auto"/>
              </w:rPr>
            </w:pPr>
            <w:r>
              <w:rPr>
                <w:rFonts w:ascii="Times New Roman" w:cs="Times New Roman" w:eastAsia="Times New Roman" w:hAnsi="Times New Roman"/>
                <w:sz w:val="18"/>
                <w:szCs w:val="18"/>
                <w:color w:val="auto"/>
                <w:w w:val="99"/>
              </w:rPr>
              <w:t>8/7/2023</w:t>
            </w:r>
          </w:p>
        </w:tc>
        <w:tc>
          <w:tcPr>
            <w:tcW w:w="300" w:type="dxa"/>
            <w:vAlign w:val="bottom"/>
          </w:tcPr>
          <w:p>
            <w:pPr>
              <w:spacing w:after="0"/>
              <w:rPr>
                <w:sz w:val="24"/>
                <w:szCs w:val="24"/>
                <w:color w:val="auto"/>
              </w:rPr>
            </w:pPr>
          </w:p>
        </w:tc>
      </w:tr>
    </w:tbl>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74" w:lineRule="exact"/>
        <w:rPr>
          <w:rFonts w:ascii="Times New Roman" w:cs="Times New Roman" w:eastAsia="Times New Roman" w:hAnsi="Times New Roman"/>
          <w:sz w:val="18"/>
          <w:szCs w:val="18"/>
          <w:u w:val="single" w:color="auto"/>
          <w:color w:val="0000FF"/>
        </w:rPr>
      </w:pPr>
    </w:p>
    <w:p>
      <w:pPr>
        <w:ind w:left="220"/>
        <w:spacing w:after="0"/>
        <w:tabs>
          <w:tab w:leader="none" w:pos="1160" w:val="left"/>
          <w:tab w:leader="none" w:pos="2700" w:val="left"/>
          <w:tab w:leader="none" w:pos="378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001-33296</w:t>
      </w:r>
      <w:r>
        <w:rPr>
          <w:sz w:val="20"/>
          <w:szCs w:val="20"/>
          <w:color w:val="auto"/>
        </w:rPr>
        <w:tab/>
      </w:r>
      <w:r>
        <w:rPr>
          <w:rFonts w:ascii="Times New Roman" w:cs="Times New Roman" w:eastAsia="Times New Roman" w:hAnsi="Times New Roman"/>
          <w:sz w:val="18"/>
          <w:szCs w:val="18"/>
          <w:color w:val="auto"/>
        </w:rPr>
        <w:t>10.2.4</w:t>
      </w:r>
      <w:r>
        <w:rPr>
          <w:sz w:val="20"/>
          <w:szCs w:val="20"/>
          <w:color w:val="auto"/>
        </w:rPr>
        <w:tab/>
      </w:r>
      <w:r>
        <w:rPr>
          <w:rFonts w:ascii="Times New Roman" w:cs="Times New Roman" w:eastAsia="Times New Roman" w:hAnsi="Times New Roman"/>
          <w:sz w:val="17"/>
          <w:szCs w:val="17"/>
          <w:color w:val="auto"/>
        </w:rPr>
        <w:t>2/21/2014</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95" w:lineRule="exact"/>
        <w:rPr>
          <w:rFonts w:ascii="Times New Roman" w:cs="Times New Roman" w:eastAsia="Times New Roman" w:hAnsi="Times New Roman"/>
          <w:sz w:val="18"/>
          <w:szCs w:val="18"/>
          <w:u w:val="single" w:color="auto"/>
          <w:color w:val="0000FF"/>
        </w:rPr>
      </w:pPr>
    </w:p>
    <w:p>
      <w:pPr>
        <w:ind w:left="260"/>
        <w:spacing w:after="0"/>
        <w:tabs>
          <w:tab w:leader="none" w:pos="1160" w:val="left"/>
          <w:tab w:leader="none" w:pos="2760" w:val="left"/>
          <w:tab w:leader="none" w:pos="378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001-33296</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3/15/2017</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79" w:lineRule="exact"/>
        <w:rPr>
          <w:rFonts w:ascii="Times New Roman" w:cs="Times New Roman" w:eastAsia="Times New Roman" w:hAnsi="Times New Roman"/>
          <w:sz w:val="18"/>
          <w:szCs w:val="18"/>
          <w:u w:val="single" w:color="auto"/>
          <w:color w:val="0000FF"/>
        </w:rPr>
      </w:pPr>
    </w:p>
    <w:p>
      <w:pPr>
        <w:ind w:left="220"/>
        <w:spacing w:after="0"/>
        <w:tabs>
          <w:tab w:leader="none" w:pos="1160" w:val="left"/>
          <w:tab w:leader="none" w:pos="2700" w:val="left"/>
          <w:tab w:leader="none" w:pos="378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001-33296</w:t>
      </w:r>
      <w:r>
        <w:rPr>
          <w:sz w:val="20"/>
          <w:szCs w:val="20"/>
          <w:color w:val="auto"/>
        </w:rPr>
        <w:tab/>
      </w:r>
      <w:r>
        <w:rPr>
          <w:rFonts w:ascii="Times New Roman" w:cs="Times New Roman" w:eastAsia="Times New Roman" w:hAnsi="Times New Roman"/>
          <w:sz w:val="18"/>
          <w:szCs w:val="18"/>
          <w:color w:val="auto"/>
        </w:rPr>
        <w:t>10.3.4</w:t>
      </w:r>
      <w:r>
        <w:rPr>
          <w:sz w:val="20"/>
          <w:szCs w:val="20"/>
          <w:color w:val="auto"/>
        </w:rPr>
        <w:tab/>
      </w:r>
      <w:r>
        <w:rPr>
          <w:rFonts w:ascii="Times New Roman" w:cs="Times New Roman" w:eastAsia="Times New Roman" w:hAnsi="Times New Roman"/>
          <w:sz w:val="17"/>
          <w:szCs w:val="17"/>
          <w:color w:val="auto"/>
        </w:rPr>
        <w:t>2/21/2014</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95" w:lineRule="exact"/>
        <w:rPr>
          <w:rFonts w:ascii="Times New Roman" w:cs="Times New Roman" w:eastAsia="Times New Roman" w:hAnsi="Times New Roman"/>
          <w:sz w:val="18"/>
          <w:szCs w:val="18"/>
          <w:u w:val="single" w:color="auto"/>
          <w:color w:val="0000FF"/>
        </w:rPr>
      </w:pPr>
    </w:p>
    <w:tbl>
      <w:tblPr>
        <w:tblLayout w:type="fixed"/>
        <w:tblInd w:w="220" w:type="dxa"/>
        <w:tblCellMar>
          <w:top w:w="0" w:type="dxa"/>
          <w:left w:w="0" w:type="dxa"/>
          <w:bottom w:w="0" w:type="dxa"/>
          <w:right w:w="0" w:type="dxa"/>
        </w:tblCellMar>
      </w:tblPr>
      <w:tr>
        <w:trPr>
          <w:trHeight w:val="234"/>
        </w:trPr>
        <w:tc>
          <w:tcPr>
            <w:tcW w:w="6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001-33296</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9/17/2019</w:t>
            </w:r>
          </w:p>
        </w:tc>
      </w:tr>
      <w:tr>
        <w:trPr>
          <w:trHeight w:val="770"/>
        </w:trPr>
        <w:tc>
          <w:tcPr>
            <w:tcW w:w="6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10-Q</w:t>
            </w: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001-33296</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10.4</w:t>
            </w:r>
          </w:p>
        </w:tc>
        <w:tc>
          <w:tcPr>
            <w:tcW w:w="1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8/8/2022</w:t>
            </w:r>
          </w:p>
        </w:tc>
      </w:tr>
      <w:tr>
        <w:trPr>
          <w:trHeight w:val="769"/>
        </w:trPr>
        <w:tc>
          <w:tcPr>
            <w:tcW w:w="6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001-33296</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10.6</w:t>
            </w:r>
          </w:p>
        </w:tc>
        <w:tc>
          <w:tcPr>
            <w:tcW w:w="1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2/16/2007</w:t>
            </w:r>
          </w:p>
        </w:tc>
      </w:tr>
    </w:tbl>
    <w:p>
      <w:pPr>
        <w:sectPr>
          <w:pgSz w:w="11900" w:h="16838" w:orient="portrait"/>
          <w:cols w:equalWidth="0" w:num="2">
            <w:col w:w="6340" w:space="100"/>
            <w:col w:w="4800"/>
          </w:cols>
          <w:pgMar w:left="320" w:top="1089" w:right="339" w:bottom="1440" w:gutter="0" w:footer="0" w:header="0"/>
        </w:sectPr>
      </w:pPr>
    </w:p>
    <w:bookmarkStart w:id="92" w:name="page93"/>
    <w:bookmarkEnd w:id="92"/>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Ref.</w:t>
            </w:r>
          </w:p>
        </w:tc>
        <w:tc>
          <w:tcPr>
            <w:tcW w:w="4420" w:type="dxa"/>
            <w:vAlign w:val="bottom"/>
            <w:gridSpan w:val="3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4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4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color w:val="auto"/>
                <w:w w:val="95"/>
              </w:rPr>
              <w:t>10.5</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60" w:type="dxa"/>
            <w:vAlign w:val="bottom"/>
            <w:tcBorders>
              <w:bottom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Tax Receivable Agreement dated as of February 13, 2007,</w:t>
              </w:r>
            </w:hyperlink>
          </w:p>
        </w:tc>
        <w:tc>
          <w:tcPr>
            <w:tcW w:w="160" w:type="dxa"/>
            <w:vAlign w:val="bottom"/>
            <w:gridSpan w:val="6"/>
          </w:tcPr>
          <w:p>
            <w:pPr>
              <w:spacing w:after="0"/>
              <w:rPr>
                <w:sz w:val="14"/>
                <w:szCs w:val="14"/>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4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by and among National CineMedia, Inc., National</w:t>
              </w:r>
            </w:hyperlink>
          </w:p>
        </w:tc>
        <w:tc>
          <w:tcPr>
            <w:tcW w:w="780" w:type="dxa"/>
            <w:vAlign w:val="bottom"/>
            <w:gridSpan w:val="19"/>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CineMedia, LLC, Regal CineMedia Holdings, LLC,</w:t>
              </w:r>
            </w:hyperlink>
          </w:p>
        </w:tc>
        <w:tc>
          <w:tcPr>
            <w:tcW w:w="620" w:type="dxa"/>
            <w:vAlign w:val="bottom"/>
            <w:gridSpan w:val="17"/>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Cinemark Media, Inc., Regal Cinemas, Inc., American</w:t>
              </w:r>
            </w:hyperlink>
          </w:p>
        </w:tc>
        <w:tc>
          <w:tcPr>
            <w:tcW w:w="440" w:type="dxa"/>
            <w:vAlign w:val="bottom"/>
            <w:gridSpan w:val="13"/>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2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69">
              <w:r>
                <w:rPr>
                  <w:rFonts w:ascii="Times New Roman" w:cs="Times New Roman" w:eastAsia="Times New Roman" w:hAnsi="Times New Roman"/>
                  <w:sz w:val="18"/>
                  <w:szCs w:val="18"/>
                  <w:color w:val="0000FF"/>
                  <w:w w:val="99"/>
                </w:rPr>
                <w:t>Multi-Cinema, Inc. and Cinemark USA, Inc.</w:t>
              </w:r>
            </w:hyperlink>
          </w:p>
        </w:tc>
        <w:tc>
          <w:tcPr>
            <w:tcW w:w="20" w:type="dxa"/>
            <w:vAlign w:val="bottom"/>
            <w:tcBorders>
              <w:bottom w:val="single" w:sz="8" w:color="0000EE"/>
            </w:tcBorders>
          </w:tcPr>
          <w:p>
            <w:pPr>
              <w:spacing w:after="0"/>
              <w:rPr>
                <w:sz w:val="17"/>
                <w:szCs w:val="17"/>
                <w:color w:val="auto"/>
              </w:rPr>
            </w:pPr>
          </w:p>
        </w:tc>
        <w:tc>
          <w:tcPr>
            <w:tcW w:w="1180" w:type="dxa"/>
            <w:vAlign w:val="bottom"/>
            <w:gridSpan w:val="21"/>
          </w:tcPr>
          <w:p>
            <w:pPr>
              <w:spacing w:after="0"/>
              <w:rPr>
                <w:sz w:val="17"/>
                <w:szCs w:val="17"/>
                <w:color w:val="auto"/>
              </w:rPr>
            </w:pPr>
          </w:p>
        </w:tc>
      </w:tr>
      <w:tr>
        <w:trPr>
          <w:trHeight w:val="318"/>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10.5.1</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Second Amendment to Tax Receivable Agreement effective</w:t>
              </w:r>
            </w:hyperlink>
          </w:p>
        </w:tc>
        <w:tc>
          <w:tcPr>
            <w:tcW w:w="40" w:type="dxa"/>
            <w:vAlign w:val="bottom"/>
            <w:gridSpan w:val="2"/>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6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as of April 29, 2008, by and by and among NCM, Inc. and</w:t>
              </w:r>
            </w:hyperlink>
          </w:p>
        </w:tc>
        <w:tc>
          <w:tcPr>
            <w:tcW w:w="160" w:type="dxa"/>
            <w:vAlign w:val="bottom"/>
            <w:gridSpan w:val="6"/>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National CineMedia, LLC and the Founding Members and</w:t>
              </w:r>
            </w:hyperlink>
          </w:p>
        </w:tc>
        <w:tc>
          <w:tcPr>
            <w:tcW w:w="120" w:type="dxa"/>
            <w:vAlign w:val="bottom"/>
            <w:gridSpan w:val="4"/>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6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the ESA Parties, amending the Tax Receivable Agreement</w:t>
              </w:r>
            </w:hyperlink>
          </w:p>
        </w:tc>
        <w:tc>
          <w:tcPr>
            <w:tcW w:w="160" w:type="dxa"/>
            <w:vAlign w:val="bottom"/>
            <w:gridSpan w:val="6"/>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2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dated as of February 13, 2007 and as first amended by the</w:t>
              </w:r>
            </w:hyperlink>
          </w:p>
        </w:tc>
        <w:tc>
          <w:tcPr>
            <w:tcW w:w="200" w:type="dxa"/>
            <w:vAlign w:val="bottom"/>
            <w:gridSpan w:val="7"/>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2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w w:val="99"/>
              </w:rPr>
            </w:pPr>
            <w:hyperlink r:id="rId270">
              <w:r>
                <w:rPr>
                  <w:rFonts w:ascii="Times New Roman" w:cs="Times New Roman" w:eastAsia="Times New Roman" w:hAnsi="Times New Roman"/>
                  <w:sz w:val="18"/>
                  <w:szCs w:val="18"/>
                  <w:color w:val="0000FF"/>
                  <w:w w:val="99"/>
                </w:rPr>
                <w:t>First Amendment to the Tax Receivable Agreement effective</w:t>
              </w:r>
            </w:hyperlink>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8"/>
              </w:rPr>
            </w:pPr>
            <w:hyperlink r:id="rId270">
              <w:r>
                <w:rPr>
                  <w:rFonts w:ascii="Times New Roman" w:cs="Times New Roman" w:eastAsia="Times New Roman" w:hAnsi="Times New Roman"/>
                  <w:sz w:val="18"/>
                  <w:szCs w:val="18"/>
                  <w:color w:val="0000FF"/>
                  <w:w w:val="98"/>
                </w:rPr>
                <w:t>as of August 7, 2007.</w:t>
              </w:r>
            </w:hyperlink>
          </w:p>
        </w:tc>
        <w:tc>
          <w:tcPr>
            <w:tcW w:w="20" w:type="dxa"/>
            <w:vAlign w:val="bottom"/>
            <w:tcBorders>
              <w:bottom w:val="single" w:sz="8" w:color="0000EE"/>
            </w:tcBorders>
          </w:tcPr>
          <w:p>
            <w:pPr>
              <w:spacing w:after="0"/>
              <w:rPr>
                <w:sz w:val="17"/>
                <w:szCs w:val="17"/>
                <w:color w:val="auto"/>
              </w:rPr>
            </w:pPr>
          </w:p>
        </w:tc>
        <w:tc>
          <w:tcPr>
            <w:tcW w:w="2860" w:type="dxa"/>
            <w:vAlign w:val="bottom"/>
            <w:gridSpan w:val="27"/>
          </w:tcPr>
          <w:p>
            <w:pPr>
              <w:spacing w:after="0"/>
              <w:rPr>
                <w:sz w:val="17"/>
                <w:szCs w:val="17"/>
                <w:color w:val="auto"/>
              </w:rPr>
            </w:pPr>
          </w:p>
        </w:tc>
      </w:tr>
      <w:tr>
        <w:trPr>
          <w:trHeight w:val="318"/>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10.6</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Second Amended and Restated Software License Agreement</w:t>
              </w:r>
            </w:hyperlink>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dated as of February 13, 2007, by and among American</w:t>
              </w:r>
            </w:hyperlink>
          </w:p>
        </w:tc>
        <w:tc>
          <w:tcPr>
            <w:tcW w:w="360" w:type="dxa"/>
            <w:vAlign w:val="bottom"/>
            <w:gridSpan w:val="11"/>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Multi-Cinema, Inc., Regal CineMedia Corporation,</w:t>
              </w:r>
            </w:hyperlink>
          </w:p>
        </w:tc>
        <w:tc>
          <w:tcPr>
            <w:tcW w:w="680" w:type="dxa"/>
            <w:vAlign w:val="bottom"/>
            <w:gridSpan w:val="18"/>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Cinemark USA, Inc., Digital Cinema Implementation</w:t>
              </w:r>
            </w:hyperlink>
          </w:p>
        </w:tc>
        <w:tc>
          <w:tcPr>
            <w:tcW w:w="520" w:type="dxa"/>
            <w:vAlign w:val="bottom"/>
            <w:gridSpan w:val="15"/>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20" w:type="dxa"/>
            <w:vAlign w:val="bottom"/>
            <w:gridSpan w:val="34"/>
          </w:tcPr>
          <w:p>
            <w:pPr>
              <w:spacing w:after="0" w:line="19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Partners, LLC and National CineMedia, LLC.</w:t>
              </w:r>
            </w:hyperlink>
          </w:p>
        </w:tc>
      </w:tr>
      <w:tr>
        <w:trPr>
          <w:trHeight w:val="20"/>
        </w:trPr>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10.7</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Director Designation Agreement dated as of February 13,</w:t>
              </w:r>
            </w:hyperlink>
          </w:p>
        </w:tc>
        <w:tc>
          <w:tcPr>
            <w:tcW w:w="220" w:type="dxa"/>
            <w:vAlign w:val="bottom"/>
            <w:gridSpan w:val="8"/>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8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2007, by and among National CineMedia, Inc., American</w:t>
              </w:r>
            </w:hyperlink>
          </w:p>
        </w:tc>
        <w:tc>
          <w:tcPr>
            <w:tcW w:w="240" w:type="dxa"/>
            <w:vAlign w:val="bottom"/>
            <w:gridSpan w:val="9"/>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Multi-Cinema, Inc., Cinemark Media, Inc. and Regal</w:t>
              </w:r>
            </w:hyperlink>
          </w:p>
        </w:tc>
        <w:tc>
          <w:tcPr>
            <w:tcW w:w="560" w:type="dxa"/>
            <w:vAlign w:val="bottom"/>
            <w:gridSpan w:val="16"/>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8"/>
              </w:rPr>
            </w:pPr>
            <w:hyperlink r:id="rId272">
              <w:r>
                <w:rPr>
                  <w:rFonts w:ascii="Times New Roman" w:cs="Times New Roman" w:eastAsia="Times New Roman" w:hAnsi="Times New Roman"/>
                  <w:sz w:val="18"/>
                  <w:szCs w:val="18"/>
                  <w:color w:val="0000FF"/>
                  <w:w w:val="98"/>
                </w:rPr>
                <w:t>CineMedia Holdings, LLC.</w:t>
              </w:r>
            </w:hyperlink>
          </w:p>
        </w:tc>
        <w:tc>
          <w:tcPr>
            <w:tcW w:w="20" w:type="dxa"/>
            <w:vAlign w:val="bottom"/>
            <w:tcBorders>
              <w:bottom w:val="single" w:sz="8" w:color="0000EE"/>
            </w:tcBorders>
          </w:tcPr>
          <w:p>
            <w:pPr>
              <w:spacing w:after="0"/>
              <w:rPr>
                <w:sz w:val="17"/>
                <w:szCs w:val="17"/>
                <w:color w:val="auto"/>
              </w:rPr>
            </w:pPr>
          </w:p>
        </w:tc>
        <w:tc>
          <w:tcPr>
            <w:tcW w:w="2420" w:type="dxa"/>
            <w:vAlign w:val="bottom"/>
            <w:gridSpan w:val="23"/>
          </w:tcPr>
          <w:p>
            <w:pPr>
              <w:spacing w:after="0"/>
              <w:rPr>
                <w:sz w:val="17"/>
                <w:szCs w:val="17"/>
                <w:color w:val="auto"/>
              </w:rPr>
            </w:pPr>
          </w:p>
        </w:tc>
      </w:tr>
      <w:tr>
        <w:trPr>
          <w:trHeight w:val="318"/>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10.8</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Registration Rights Agreement dated as of February 13,</w:t>
              </w:r>
            </w:hyperlink>
          </w:p>
        </w:tc>
        <w:tc>
          <w:tcPr>
            <w:tcW w:w="340" w:type="dxa"/>
            <w:vAlign w:val="bottom"/>
            <w:gridSpan w:val="10"/>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8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2007, by and among National CineMedia, Inc., American</w:t>
              </w:r>
            </w:hyperlink>
          </w:p>
        </w:tc>
        <w:tc>
          <w:tcPr>
            <w:tcW w:w="240" w:type="dxa"/>
            <w:vAlign w:val="bottom"/>
            <w:gridSpan w:val="9"/>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2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Multi-Cinema, Inc., Regal CineMedia Holdings, LLC and</w:t>
              </w:r>
            </w:hyperlink>
          </w:p>
        </w:tc>
        <w:tc>
          <w:tcPr>
            <w:tcW w:w="200" w:type="dxa"/>
            <w:vAlign w:val="bottom"/>
            <w:gridSpan w:val="7"/>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8"/>
              </w:rPr>
            </w:pPr>
            <w:hyperlink r:id="rId273">
              <w:r>
                <w:rPr>
                  <w:rFonts w:ascii="Times New Roman" w:cs="Times New Roman" w:eastAsia="Times New Roman" w:hAnsi="Times New Roman"/>
                  <w:sz w:val="18"/>
                  <w:szCs w:val="18"/>
                  <w:color w:val="0000FF"/>
                  <w:w w:val="98"/>
                </w:rPr>
                <w:t>Cinemark Media, Inc.</w:t>
              </w:r>
            </w:hyperlink>
          </w:p>
        </w:tc>
        <w:tc>
          <w:tcPr>
            <w:tcW w:w="20" w:type="dxa"/>
            <w:vAlign w:val="bottom"/>
            <w:tcBorders>
              <w:bottom w:val="single" w:sz="8" w:color="0000EE"/>
            </w:tcBorders>
          </w:tcPr>
          <w:p>
            <w:pPr>
              <w:spacing w:after="0"/>
              <w:rPr>
                <w:sz w:val="17"/>
                <w:szCs w:val="17"/>
                <w:color w:val="auto"/>
              </w:rPr>
            </w:pPr>
          </w:p>
        </w:tc>
        <w:tc>
          <w:tcPr>
            <w:tcW w:w="2820" w:type="dxa"/>
            <w:vAlign w:val="bottom"/>
            <w:gridSpan w:val="25"/>
          </w:tcPr>
          <w:p>
            <w:pPr>
              <w:spacing w:after="0"/>
              <w:rPr>
                <w:sz w:val="17"/>
                <w:szCs w:val="17"/>
                <w:color w:val="auto"/>
              </w:rPr>
            </w:pPr>
          </w:p>
        </w:tc>
      </w:tr>
      <w:tr>
        <w:trPr>
          <w:trHeight w:val="318"/>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10.9</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Management Services Agreement dated as of February 13,</w:t>
              </w:r>
            </w:hyperlink>
          </w:p>
        </w:tc>
        <w:tc>
          <w:tcPr>
            <w:tcW w:w="140" w:type="dxa"/>
            <w:vAlign w:val="bottom"/>
            <w:gridSpan w:val="5"/>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2007, by and among National CineMedia, Inc. and National</w:t>
              </w:r>
            </w:hyperlink>
          </w:p>
        </w:tc>
        <w:tc>
          <w:tcPr>
            <w:tcW w:w="60" w:type="dxa"/>
            <w:vAlign w:val="bottom"/>
            <w:gridSpan w:val="3"/>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7"/>
              </w:rPr>
            </w:pPr>
            <w:hyperlink r:id="rId274">
              <w:r>
                <w:rPr>
                  <w:rFonts w:ascii="Times New Roman" w:cs="Times New Roman" w:eastAsia="Times New Roman" w:hAnsi="Times New Roman"/>
                  <w:sz w:val="18"/>
                  <w:szCs w:val="18"/>
                  <w:color w:val="0000FF"/>
                  <w:w w:val="97"/>
                </w:rPr>
                <w:t>CineMedia, LLC.</w:t>
              </w:r>
            </w:hyperlink>
          </w:p>
        </w:tc>
        <w:tc>
          <w:tcPr>
            <w:tcW w:w="20" w:type="dxa"/>
            <w:vAlign w:val="bottom"/>
            <w:tcBorders>
              <w:bottom w:val="single" w:sz="8" w:color="0000EE"/>
            </w:tcBorders>
          </w:tcPr>
          <w:p>
            <w:pPr>
              <w:spacing w:after="0"/>
              <w:rPr>
                <w:sz w:val="17"/>
                <w:szCs w:val="17"/>
                <w:color w:val="auto"/>
              </w:rPr>
            </w:pPr>
          </w:p>
        </w:tc>
        <w:tc>
          <w:tcPr>
            <w:tcW w:w="3120" w:type="dxa"/>
            <w:vAlign w:val="bottom"/>
            <w:gridSpan w:val="30"/>
          </w:tcPr>
          <w:p>
            <w:pPr>
              <w:spacing w:after="0"/>
              <w:rPr>
                <w:sz w:val="17"/>
                <w:szCs w:val="17"/>
                <w:color w:val="auto"/>
              </w:rPr>
            </w:pPr>
          </w:p>
        </w:tc>
      </w:tr>
      <w:tr>
        <w:trPr>
          <w:trHeight w:val="318"/>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10.10</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Restructuring Support Agreement, dated as of April 11,</w:t>
              </w:r>
            </w:hyperlink>
          </w:p>
        </w:tc>
        <w:tc>
          <w:tcPr>
            <w:tcW w:w="380" w:type="dxa"/>
            <w:vAlign w:val="bottom"/>
            <w:gridSpan w:val="12"/>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2023, among the Company, NCM LLC and Consenting</w:t>
              </w:r>
            </w:hyperlink>
          </w:p>
        </w:tc>
        <w:tc>
          <w:tcPr>
            <w:tcW w:w="380" w:type="dxa"/>
            <w:vAlign w:val="bottom"/>
            <w:gridSpan w:val="12"/>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275">
              <w:r>
                <w:rPr>
                  <w:rFonts w:ascii="Times New Roman" w:cs="Times New Roman" w:eastAsia="Times New Roman" w:hAnsi="Times New Roman"/>
                  <w:sz w:val="18"/>
                  <w:szCs w:val="18"/>
                  <w:color w:val="0000FF"/>
                  <w:w w:val="98"/>
                </w:rPr>
                <w:t>Secured Creditors.</w:t>
              </w:r>
            </w:hyperlink>
          </w:p>
        </w:tc>
        <w:tc>
          <w:tcPr>
            <w:tcW w:w="3080" w:type="dxa"/>
            <w:vAlign w:val="bottom"/>
            <w:gridSpan w:val="29"/>
          </w:tcPr>
          <w:p>
            <w:pPr>
              <w:spacing w:after="0"/>
              <w:rPr>
                <w:sz w:val="17"/>
                <w:szCs w:val="17"/>
                <w:color w:val="auto"/>
              </w:rPr>
            </w:pPr>
          </w:p>
        </w:tc>
      </w:tr>
      <w:tr>
        <w:trPr>
          <w:trHeight w:val="318"/>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10.11</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276">
              <w:r>
                <w:rPr>
                  <w:rFonts w:ascii="Times New Roman" w:cs="Times New Roman" w:eastAsia="Times New Roman" w:hAnsi="Times New Roman"/>
                  <w:sz w:val="18"/>
                  <w:szCs w:val="18"/>
                  <w:color w:val="0000FF"/>
                  <w:w w:val="99"/>
                </w:rPr>
                <w:t>Director Designation Agreement, dated as of August 7, 2023,</w:t>
              </w:r>
            </w:hyperlink>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2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among National CineMedia, Inc., the Consenting Creditor</w:t>
              </w:r>
            </w:hyperlink>
          </w:p>
        </w:tc>
        <w:tc>
          <w:tcPr>
            <w:tcW w:w="200" w:type="dxa"/>
            <w:vAlign w:val="bottom"/>
            <w:gridSpan w:val="7"/>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20" w:type="dxa"/>
            <w:vAlign w:val="bottom"/>
            <w:gridSpan w:val="34"/>
          </w:tcPr>
          <w:p>
            <w:pPr>
              <w:spacing w:after="0" w:line="196"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Designation Committee, and Blantyre Capital Limited.</w:t>
              </w:r>
            </w:hyperlink>
          </w:p>
        </w:tc>
      </w:tr>
      <w:tr>
        <w:trPr>
          <w:trHeight w:val="20"/>
        </w:trPr>
        <w:tc>
          <w:tcPr>
            <w:tcW w:w="1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tcBorders>
              <w:right w:val="single" w:sz="8" w:color="0000EE"/>
            </w:tcBorders>
            <w:gridSpan w:val="17"/>
            <w:shd w:val="clear" w:color="auto" w:fill="0000FF"/>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10.12</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Loan, Security and Guarantee Agreement dated as of August</w:t>
              </w:r>
            </w:hyperlink>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7, 2023, by and among National CineMedia, LLC, the</w:t>
              </w:r>
            </w:hyperlink>
          </w:p>
        </w:tc>
        <w:tc>
          <w:tcPr>
            <w:tcW w:w="460" w:type="dxa"/>
            <w:vAlign w:val="bottom"/>
            <w:gridSpan w:val="14"/>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2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w w:val="99"/>
              </w:rPr>
            </w:pPr>
            <w:hyperlink r:id="rId277">
              <w:r>
                <w:rPr>
                  <w:rFonts w:ascii="Times New Roman" w:cs="Times New Roman" w:eastAsia="Times New Roman" w:hAnsi="Times New Roman"/>
                  <w:sz w:val="18"/>
                  <w:szCs w:val="18"/>
                  <w:color w:val="0000FF"/>
                  <w:w w:val="99"/>
                </w:rPr>
                <w:t>certain financial institution party thereto as Lenders, and CIT</w:t>
              </w:r>
            </w:hyperlink>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Northbridge Credit LLC as Agent, Sole Lead Arranger and</w:t>
              </w:r>
            </w:hyperlink>
          </w:p>
        </w:tc>
        <w:tc>
          <w:tcPr>
            <w:tcW w:w="120" w:type="dxa"/>
            <w:vAlign w:val="bottom"/>
            <w:gridSpan w:val="4"/>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20" w:type="dxa"/>
            <w:vAlign w:val="bottom"/>
            <w:gridSpan w:val="34"/>
          </w:tcPr>
          <w:p>
            <w:pPr>
              <w:spacing w:after="0" w:line="196"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Sole Bookrunner.</w:t>
              </w:r>
            </w:hyperlink>
          </w:p>
        </w:tc>
      </w:tr>
      <w:tr>
        <w:trPr>
          <w:trHeight w:val="20"/>
        </w:trPr>
        <w:tc>
          <w:tcPr>
            <w:tcW w:w="1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120" w:type="dxa"/>
            <w:vAlign w:val="bottom"/>
            <w:gridSpan w:val="3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10.13</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Joint Venture Termination and Settlement Agreement, dated</w:t>
              </w:r>
            </w:hyperlink>
          </w:p>
        </w:tc>
        <w:tc>
          <w:tcPr>
            <w:tcW w:w="2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20" w:type="dxa"/>
            <w:vAlign w:val="bottom"/>
            <w:gridSpan w:val="34"/>
          </w:tcPr>
          <w:p>
            <w:pPr>
              <w:spacing w:after="0" w:line="196" w:lineRule="exact"/>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June 3, 2023.</w:t>
              </w:r>
            </w:hyperlink>
          </w:p>
        </w:tc>
      </w:tr>
      <w:tr>
        <w:trPr>
          <w:trHeight w:val="871"/>
        </w:trPr>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Borders>
              <w:top w:val="single" w:sz="8" w:color="0000FF"/>
            </w:tcBorders>
            <w:gridSpan w:val="2"/>
          </w:tcPr>
          <w:p>
            <w:pPr>
              <w:spacing w:after="0"/>
              <w:rPr>
                <w:sz w:val="24"/>
                <w:szCs w:val="24"/>
                <w:color w:val="auto"/>
              </w:rPr>
            </w:pPr>
          </w:p>
        </w:tc>
        <w:tc>
          <w:tcPr>
            <w:tcW w:w="2840" w:type="dxa"/>
            <w:vAlign w:val="bottom"/>
            <w:gridSpan w:val="15"/>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210185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880" w:type="dxa"/>
            <w:vAlign w:val="bottom"/>
            <w:tcBorders>
              <w:top w:val="single" w:sz="8" w:color="auto"/>
            </w:tcBorders>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Form</w:t>
            </w:r>
          </w:p>
        </w:tc>
        <w:tc>
          <w:tcPr>
            <w:tcW w:w="1820" w:type="dxa"/>
            <w:vAlign w:val="bottom"/>
            <w:tcBorders>
              <w:top w:val="single" w:sz="8" w:color="auto"/>
            </w:tcBorders>
            <w:gridSpan w:val="3"/>
          </w:tcPr>
          <w:p>
            <w:pPr>
              <w:ind w:left="300"/>
              <w:spacing w:after="0" w:line="129" w:lineRule="exact"/>
              <w:rPr>
                <w:sz w:val="20"/>
                <w:szCs w:val="20"/>
                <w:color w:val="auto"/>
              </w:rPr>
            </w:pPr>
            <w:r>
              <w:rPr>
                <w:rFonts w:ascii="Times New Roman" w:cs="Times New Roman" w:eastAsia="Times New Roman" w:hAnsi="Times New Roman"/>
                <w:sz w:val="14"/>
                <w:szCs w:val="14"/>
                <w:b w:val="1"/>
                <w:bCs w:val="1"/>
                <w:color w:val="auto"/>
              </w:rPr>
              <w:t>SEC File No.</w:t>
            </w:r>
          </w:p>
        </w:tc>
        <w:tc>
          <w:tcPr>
            <w:tcW w:w="78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320" w:type="dxa"/>
            <w:vAlign w:val="bottom"/>
            <w:tcBorders>
              <w:top w:val="single" w:sz="8" w:color="auto"/>
            </w:tcBorders>
            <w:gridSpan w:val="3"/>
          </w:tcPr>
          <w:p>
            <w:pPr>
              <w:ind w:left="340"/>
              <w:spacing w:after="0" w:line="129" w:lineRule="exact"/>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28"/>
        </w:trPr>
        <w:tc>
          <w:tcPr>
            <w:tcW w:w="220" w:type="dxa"/>
            <w:vAlign w:val="bottom"/>
          </w:tcPr>
          <w:p>
            <w:pPr>
              <w:spacing w:after="0"/>
              <w:rPr>
                <w:sz w:val="19"/>
                <w:szCs w:val="19"/>
                <w:color w:val="auto"/>
              </w:rPr>
            </w:pPr>
          </w:p>
        </w:tc>
        <w:tc>
          <w:tcPr>
            <w:tcW w:w="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001-33296</w:t>
            </w:r>
          </w:p>
        </w:tc>
        <w:tc>
          <w:tcPr>
            <w:tcW w:w="7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0"/>
              </w:rPr>
              <w:t>2/16/2007</w:t>
            </w:r>
          </w:p>
        </w:tc>
        <w:tc>
          <w:tcPr>
            <w:tcW w:w="3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60"/>
        <w:spacing w:after="0"/>
        <w:tabs>
          <w:tab w:leader="none" w:pos="1160" w:val="left"/>
          <w:tab w:leader="none" w:pos="2760" w:val="left"/>
          <w:tab w:leader="none" w:pos="382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001-33296</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5/5/2008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6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001-33296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0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2/16/2007</w:t>
            </w:r>
          </w:p>
        </w:tc>
      </w:tr>
      <w:tr>
        <w:trPr>
          <w:trHeight w:val="1202"/>
        </w:trPr>
        <w:tc>
          <w:tcPr>
            <w:tcW w:w="6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001-33296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0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2/16/2007</w:t>
            </w:r>
          </w:p>
        </w:tc>
      </w:tr>
      <w:tr>
        <w:trPr>
          <w:trHeight w:val="985"/>
        </w:trPr>
        <w:tc>
          <w:tcPr>
            <w:tcW w:w="6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001-33296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0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2/16/2007</w:t>
            </w:r>
          </w:p>
        </w:tc>
      </w:tr>
      <w:tr>
        <w:trPr>
          <w:trHeight w:val="985"/>
        </w:trPr>
        <w:tc>
          <w:tcPr>
            <w:tcW w:w="6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001-33296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0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2/16/2007</w:t>
            </w:r>
          </w:p>
        </w:tc>
      </w:tr>
      <w:tr>
        <w:trPr>
          <w:trHeight w:val="770"/>
        </w:trPr>
        <w:tc>
          <w:tcPr>
            <w:tcW w:w="6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001-33296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4/12/2023</w:t>
            </w:r>
          </w:p>
        </w:tc>
      </w:tr>
      <w:tr>
        <w:trPr>
          <w:trHeight w:val="770"/>
        </w:trPr>
        <w:tc>
          <w:tcPr>
            <w:tcW w:w="6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001-33296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8/7/2023</w:t>
            </w:r>
          </w:p>
        </w:tc>
      </w:tr>
      <w:tr>
        <w:trPr>
          <w:trHeight w:val="769"/>
        </w:trPr>
        <w:tc>
          <w:tcPr>
            <w:tcW w:w="6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001-33296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8/7/2023</w:t>
            </w:r>
          </w:p>
        </w:tc>
      </w:tr>
      <w:tr>
        <w:trPr>
          <w:trHeight w:val="1202"/>
        </w:trPr>
        <w:tc>
          <w:tcPr>
            <w:tcW w:w="6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10-Q</w:t>
            </w: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001-33296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8/1/2023</w:t>
            </w:r>
          </w:p>
        </w:tc>
      </w:tr>
    </w:tbl>
    <w:p>
      <w:pPr>
        <w:sectPr>
          <w:pgSz w:w="11900" w:h="16838" w:orient="portrait"/>
          <w:cols w:equalWidth="0" w:num="2">
            <w:col w:w="6220" w:space="100"/>
            <w:col w:w="4800"/>
          </w:cols>
          <w:pgMar w:left="440" w:top="1087" w:right="339" w:bottom="1440" w:gutter="0" w:footer="0" w:header="0"/>
        </w:sectPr>
      </w:pPr>
    </w:p>
    <w:bookmarkStart w:id="93" w:name="page94"/>
    <w:bookmarkEnd w:id="93"/>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Ref.</w:t>
            </w:r>
          </w:p>
        </w:tc>
        <w:tc>
          <w:tcPr>
            <w:tcW w:w="4420" w:type="dxa"/>
            <w:vAlign w:val="bottom"/>
            <w:gridSpan w:val="2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520" w:type="dxa"/>
            <w:vAlign w:val="bottom"/>
            <w:gridSpan w:val="21"/>
            <w:vMerge w:val="restart"/>
          </w:tcPr>
          <w:p>
            <w:pPr>
              <w:spacing w:after="0" w:line="189" w:lineRule="exact"/>
              <w:rPr>
                <w:rFonts w:ascii="Times New Roman" w:cs="Times New Roman" w:eastAsia="Times New Roman" w:hAnsi="Times New Roman"/>
                <w:sz w:val="18"/>
                <w:szCs w:val="18"/>
                <w:color w:val="0000FF"/>
                <w:w w:val="99"/>
              </w:rPr>
            </w:pPr>
            <w:hyperlink r:id="rId280">
              <w:r>
                <w:rPr>
                  <w:rFonts w:ascii="Times New Roman" w:cs="Times New Roman" w:eastAsia="Times New Roman" w:hAnsi="Times New Roman"/>
                  <w:sz w:val="18"/>
                  <w:szCs w:val="18"/>
                  <w:color w:val="0000FF"/>
                  <w:w w:val="99"/>
                </w:rPr>
                <w:t>Affiliate Transaction Agreement by and between</w:t>
              </w:r>
            </w:hyperlink>
          </w:p>
        </w:tc>
        <w:tc>
          <w:tcPr>
            <w:tcW w:w="180" w:type="dxa"/>
            <w:vAlign w:val="bottom"/>
            <w:gridSpan w:val="5"/>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gridSpan w:val="2"/>
          </w:tcPr>
          <w:p>
            <w:pPr>
              <w:ind w:left="120"/>
              <w:spacing w:after="0" w:line="169" w:lineRule="exact"/>
              <w:rPr>
                <w:sz w:val="20"/>
                <w:szCs w:val="20"/>
                <w:color w:val="auto"/>
              </w:rPr>
            </w:pPr>
            <w:r>
              <w:rPr>
                <w:rFonts w:ascii="Times New Roman" w:cs="Times New Roman" w:eastAsia="Times New Roman" w:hAnsi="Times New Roman"/>
                <w:sz w:val="18"/>
                <w:szCs w:val="18"/>
                <w:color w:val="auto"/>
              </w:rPr>
              <w:t>10.14</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Network</w:t>
              </w:r>
            </w:hyperlink>
          </w:p>
        </w:tc>
        <w:tc>
          <w:tcPr>
            <w:tcW w:w="3520" w:type="dxa"/>
            <w:vAlign w:val="bottom"/>
            <w:tcBorders>
              <w:bottom w:val="single" w:sz="8" w:color="0000FF"/>
            </w:tcBorders>
            <w:gridSpan w:val="21"/>
            <w:vMerge w:val="continue"/>
          </w:tcPr>
          <w:p>
            <w:pPr>
              <w:spacing w:after="0"/>
              <w:rPr>
                <w:sz w:val="14"/>
                <w:szCs w:val="14"/>
                <w:color w:val="auto"/>
              </w:rPr>
            </w:pPr>
          </w:p>
        </w:tc>
        <w:tc>
          <w:tcPr>
            <w:tcW w:w="1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8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National CineMedia, LLC and Regal Cinemas, Inc, dated</w:t>
              </w:r>
            </w:hyperlink>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20" w:type="dxa"/>
            <w:vAlign w:val="bottom"/>
            <w:gridSpan w:val="28"/>
          </w:tcPr>
          <w:p>
            <w:pPr>
              <w:spacing w:after="0" w:line="196"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June 3, 2023.</w:t>
              </w:r>
            </w:hyperlink>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10.15</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Employment Agreement dated as of August 1, 2022, by and</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w w:val="99"/>
              </w:rPr>
            </w:pPr>
            <w:hyperlink r:id="rId281">
              <w:r>
                <w:rPr>
                  <w:rFonts w:ascii="Times New Roman" w:cs="Times New Roman" w:eastAsia="Times New Roman" w:hAnsi="Times New Roman"/>
                  <w:sz w:val="18"/>
                  <w:szCs w:val="18"/>
                  <w:color w:val="0000FF"/>
                  <w:w w:val="99"/>
                </w:rPr>
                <w:t>between National CineMedia, Inc. and Thomas F. Lesinski.+</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10.16</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Employment Agreement dated September 5, 2024 between</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82">
              <w:r>
                <w:rPr>
                  <w:rFonts w:ascii="Times New Roman" w:cs="Times New Roman" w:eastAsia="Times New Roman" w:hAnsi="Times New Roman"/>
                  <w:sz w:val="18"/>
                  <w:szCs w:val="18"/>
                  <w:color w:val="0000FF"/>
                  <w:w w:val="99"/>
                </w:rPr>
                <w:t>National CineMedia, Inc. and Ronnie Y. Ng.+</w:t>
              </w:r>
            </w:hyperlink>
          </w:p>
        </w:tc>
        <w:tc>
          <w:tcPr>
            <w:tcW w:w="10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10.17</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8"/>
              </w:rPr>
            </w:pPr>
            <w:hyperlink r:id="rId283">
              <w:r>
                <w:rPr>
                  <w:rFonts w:ascii="Times New Roman" w:cs="Times New Roman" w:eastAsia="Times New Roman" w:hAnsi="Times New Roman"/>
                  <w:sz w:val="18"/>
                  <w:szCs w:val="18"/>
                  <w:color w:val="0000FF"/>
                  <w:w w:val="98"/>
                </w:rPr>
                <w:t>Employment Agreement, dates May 15, 2024 between</w:t>
              </w:r>
            </w:hyperlink>
          </w:p>
        </w:tc>
        <w:tc>
          <w:tcPr>
            <w:tcW w:w="5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20" w:type="dxa"/>
            <w:vAlign w:val="bottom"/>
            <w:gridSpan w:val="28"/>
          </w:tcPr>
          <w:p>
            <w:pPr>
              <w:spacing w:after="0" w:line="19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National CineMedia, Inc. and Catherine Sullivan.+</w:t>
              </w:r>
            </w:hyperlink>
          </w:p>
        </w:tc>
        <w:tc>
          <w:tcPr>
            <w:tcW w:w="0" w:type="dxa"/>
            <w:vAlign w:val="bottom"/>
          </w:tcPr>
          <w:p>
            <w:pPr>
              <w:spacing w:after="0"/>
              <w:rPr>
                <w:sz w:val="1"/>
                <w:szCs w:val="1"/>
                <w:color w:val="auto"/>
              </w:rPr>
            </w:pPr>
          </w:p>
        </w:tc>
      </w:tr>
      <w:tr>
        <w:trPr>
          <w:trHeight w:val="318"/>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10.18</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8"/>
                <w:szCs w:val="18"/>
                <w:color w:val="0000FF"/>
                <w:w w:val="99"/>
              </w:rPr>
            </w:pPr>
            <w:hyperlink r:id="rId284">
              <w:r>
                <w:rPr>
                  <w:rFonts w:ascii="Times New Roman" w:cs="Times New Roman" w:eastAsia="Times New Roman" w:hAnsi="Times New Roman"/>
                  <w:sz w:val="18"/>
                  <w:szCs w:val="18"/>
                  <w:color w:val="0000FF"/>
                  <w:w w:val="99"/>
                </w:rPr>
                <w:t>Form of Indemnification Agreement.+</w:t>
              </w:r>
            </w:hyperlink>
          </w:p>
        </w:tc>
        <w:tc>
          <w:tcPr>
            <w:tcW w:w="20" w:type="dxa"/>
            <w:vAlign w:val="bottom"/>
            <w:tcBorders>
              <w:top w:val="single" w:sz="8" w:color="0000FF"/>
              <w:bottom w:val="single" w:sz="8" w:color="0000EE"/>
            </w:tcBorders>
          </w:tcPr>
          <w:p>
            <w:pPr>
              <w:spacing w:after="0"/>
              <w:rPr>
                <w:sz w:val="24"/>
                <w:szCs w:val="24"/>
                <w:color w:val="auto"/>
              </w:rPr>
            </w:pPr>
          </w:p>
        </w:tc>
        <w:tc>
          <w:tcPr>
            <w:tcW w:w="860" w:type="dxa"/>
            <w:vAlign w:val="bottom"/>
            <w:tcBorders>
              <w:top w:val="single" w:sz="8" w:color="0000FF"/>
            </w:tcBorders>
            <w:gridSpan w:val="3"/>
          </w:tcPr>
          <w:p>
            <w:pPr>
              <w:spacing w:after="0"/>
              <w:rPr>
                <w:sz w:val="24"/>
                <w:szCs w:val="24"/>
                <w:color w:val="auto"/>
              </w:rPr>
            </w:pPr>
          </w:p>
        </w:tc>
        <w:tc>
          <w:tcPr>
            <w:tcW w:w="7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10.19</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285">
              <w:r>
                <w:rPr>
                  <w:rFonts w:ascii="Times New Roman" w:cs="Times New Roman" w:eastAsia="Times New Roman" w:hAnsi="Times New Roman"/>
                  <w:sz w:val="18"/>
                  <w:szCs w:val="18"/>
                  <w:color w:val="0000FF"/>
                  <w:w w:val="99"/>
                </w:rPr>
                <w:t>Form of Indemnification Agreement (August 2018).+</w:t>
              </w:r>
            </w:hyperlink>
          </w:p>
        </w:tc>
        <w:tc>
          <w:tcPr>
            <w:tcW w:w="20" w:type="dxa"/>
            <w:vAlign w:val="bottom"/>
            <w:tcBorders>
              <w:bottom w:val="single" w:sz="8" w:color="0000EE"/>
            </w:tcBorders>
          </w:tcPr>
          <w:p>
            <w:pPr>
              <w:spacing w:after="0"/>
              <w:rPr>
                <w:sz w:val="24"/>
                <w:szCs w:val="24"/>
                <w:color w:val="auto"/>
              </w:rPr>
            </w:pPr>
          </w:p>
        </w:tc>
        <w:tc>
          <w:tcPr>
            <w:tcW w:w="5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10.20</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gridSpan w:val="28"/>
          </w:tcPr>
          <w:p>
            <w:pPr>
              <w:spacing w:after="0"/>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National CineMedia, Inc. 2007 Equity Incentive Plan.+</w:t>
              </w:r>
            </w:hyperlink>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10.21</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gridSpan w:val="28"/>
          </w:tcPr>
          <w:p>
            <w:pPr>
              <w:spacing w:after="0"/>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National CineMedia, Inc. 2016 Equity Incentive Plan.+</w:t>
              </w:r>
            </w:hyperlink>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10.22</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gridSpan w:val="28"/>
          </w:tcPr>
          <w:p>
            <w:pPr>
              <w:spacing w:after="0"/>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National CineMedia, Inc. 2020 Omnibus Incentive Plan.+</w:t>
              </w:r>
            </w:hyperlink>
          </w:p>
        </w:tc>
        <w:tc>
          <w:tcPr>
            <w:tcW w:w="0" w:type="dxa"/>
            <w:vAlign w:val="bottom"/>
          </w:tcPr>
          <w:p>
            <w:pPr>
              <w:spacing w:after="0"/>
              <w:rPr>
                <w:sz w:val="1"/>
                <w:szCs w:val="1"/>
                <w:color w:val="auto"/>
              </w:rPr>
            </w:pPr>
          </w:p>
        </w:tc>
      </w:tr>
      <w:tr>
        <w:trPr>
          <w:trHeight w:val="318"/>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10.23</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40" w:type="dxa"/>
            <w:vAlign w:val="bottom"/>
            <w:tcBorders>
              <w:top w:val="single" w:sz="8" w:color="0000FF"/>
              <w:bottom w:val="single" w:sz="8" w:color="0000FF"/>
            </w:tcBorders>
            <w:gridSpan w:val="17"/>
          </w:tcPr>
          <w:p>
            <w:pPr>
              <w:spacing w:after="0"/>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First Amendment to the National CineMedia, Inc. 2020</w:t>
              </w:r>
            </w:hyperlink>
          </w:p>
        </w:tc>
        <w:tc>
          <w:tcPr>
            <w:tcW w:w="120" w:type="dxa"/>
            <w:vAlign w:val="bottom"/>
            <w:tcBorders>
              <w:top w:val="single" w:sz="8" w:color="0000FF"/>
            </w:tcBorders>
            <w:gridSpan w:val="2"/>
          </w:tcPr>
          <w:p>
            <w:pPr>
              <w:spacing w:after="0"/>
              <w:rPr>
                <w:sz w:val="24"/>
                <w:szCs w:val="24"/>
                <w:color w:val="auto"/>
              </w:rPr>
            </w:pPr>
          </w:p>
        </w:tc>
        <w:tc>
          <w:tcPr>
            <w:tcW w:w="2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20" w:type="dxa"/>
            <w:vAlign w:val="bottom"/>
            <w:gridSpan w:val="28"/>
          </w:tcPr>
          <w:p>
            <w:pPr>
              <w:spacing w:after="0" w:line="196"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Omnibus Incentive Plan effective as of May 4, 2022.+</w:t>
              </w:r>
            </w:hyperlink>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gridSpan w:val="4"/>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10.24</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Second Amendment to the National CineMedia, Inc. 2020</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3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290">
              <w:r>
                <w:rPr>
                  <w:rFonts w:ascii="Times New Roman" w:cs="Times New Roman" w:eastAsia="Times New Roman" w:hAnsi="Times New Roman"/>
                  <w:sz w:val="18"/>
                  <w:szCs w:val="18"/>
                  <w:color w:val="0000FF"/>
                  <w:w w:val="99"/>
                </w:rPr>
                <w:t>Omnibus Incentive Plan effective as of November 2, 2023.+</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10.25</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gridSpan w:val="28"/>
          </w:tcPr>
          <w:p>
            <w:pPr>
              <w:spacing w:after="0"/>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Form of 2019 Stock Option Agreement.+</w:t>
              </w:r>
            </w:hyperlink>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10.25.1</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gridSpan w:val="28"/>
          </w:tcPr>
          <w:p>
            <w:pPr>
              <w:spacing w:after="0"/>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Form of 2020 Stock Option Agreement.+</w:t>
              </w:r>
            </w:hyperlink>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10.26</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293">
              <w:r>
                <w:rPr>
                  <w:rFonts w:ascii="Times New Roman" w:cs="Times New Roman" w:eastAsia="Times New Roman" w:hAnsi="Times New Roman"/>
                  <w:sz w:val="18"/>
                  <w:szCs w:val="18"/>
                  <w:color w:val="0000FF"/>
                  <w:w w:val="99"/>
                </w:rPr>
                <w:t>Form of Restricted Stock Unit Agreement under the National</w:t>
              </w:r>
            </w:hyperlink>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20" w:type="dxa"/>
            <w:vAlign w:val="bottom"/>
            <w:gridSpan w:val="28"/>
          </w:tcPr>
          <w:p>
            <w:pPr>
              <w:spacing w:after="0" w:line="19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CineMedia, Inc. 2016 Equity Plan.+</w:t>
              </w:r>
            </w:hyperlink>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10.26.1</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294">
              <w:r>
                <w:rPr>
                  <w:rFonts w:ascii="Times New Roman" w:cs="Times New Roman" w:eastAsia="Times New Roman" w:hAnsi="Times New Roman"/>
                  <w:sz w:val="18"/>
                  <w:szCs w:val="18"/>
                  <w:color w:val="0000FF"/>
                  <w:w w:val="99"/>
                </w:rPr>
                <w:t>Form of Restricted Stock Unit Agreement under the National</w:t>
              </w:r>
            </w:hyperlink>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20" w:type="dxa"/>
            <w:vAlign w:val="bottom"/>
            <w:gridSpan w:val="28"/>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CineMedia, Inc. 2016 Equity Plan, amended.+</w:t>
              </w:r>
            </w:hyperlink>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tcBorders>
              <w:right w:val="single" w:sz="8" w:color="0000EE"/>
            </w:tcBorders>
            <w:gridSpan w:val="5"/>
            <w:shd w:val="clear" w:color="auto" w:fill="0000FF"/>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10.26.2</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295">
              <w:r>
                <w:rPr>
                  <w:rFonts w:ascii="Times New Roman" w:cs="Times New Roman" w:eastAsia="Times New Roman" w:hAnsi="Times New Roman"/>
                  <w:sz w:val="18"/>
                  <w:szCs w:val="18"/>
                  <w:color w:val="0000FF"/>
                  <w:w w:val="99"/>
                </w:rPr>
                <w:t>Form of Restricted Stock Unit Agreement under the National</w:t>
              </w:r>
            </w:hyperlink>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20" w:type="dxa"/>
            <w:vAlign w:val="bottom"/>
            <w:gridSpan w:val="28"/>
          </w:tcPr>
          <w:p>
            <w:pPr>
              <w:spacing w:after="0" w:line="19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CineMedia, Inc. 2020 Omnibus Incentive Plan - Director.+</w:t>
              </w:r>
            </w:hyperlink>
          </w:p>
        </w:tc>
        <w:tc>
          <w:tcPr>
            <w:tcW w:w="0" w:type="dxa"/>
            <w:vAlign w:val="bottom"/>
          </w:tcPr>
          <w:p>
            <w:pPr>
              <w:spacing w:after="0"/>
              <w:rPr>
                <w:sz w:val="1"/>
                <w:szCs w:val="1"/>
                <w:color w:val="auto"/>
              </w:rPr>
            </w:pPr>
          </w:p>
        </w:tc>
      </w:tr>
      <w:tr>
        <w:trPr>
          <w:trHeight w:val="317"/>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10.26.3</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20" w:type="dxa"/>
            <w:vAlign w:val="bottom"/>
            <w:tcBorders>
              <w:top w:val="single" w:sz="8" w:color="0000FF"/>
              <w:bottom w:val="single" w:sz="8" w:color="0000FF"/>
            </w:tcBorders>
            <w:gridSpan w:val="22"/>
          </w:tcPr>
          <w:p>
            <w:pPr>
              <w:spacing w:after="0"/>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Form of Restricted Stock Unit Agreement (Time Based) -</w:t>
              </w:r>
            </w:hyperlink>
          </w:p>
        </w:tc>
        <w:tc>
          <w:tcPr>
            <w:tcW w:w="20" w:type="dxa"/>
            <w:vAlign w:val="bottom"/>
            <w:tcBorders>
              <w:top w:val="single" w:sz="8" w:color="0000FF"/>
            </w:tcBorders>
          </w:tcPr>
          <w:p>
            <w:pPr>
              <w:spacing w:after="0"/>
              <w:rPr>
                <w:sz w:val="24"/>
                <w:szCs w:val="24"/>
                <w:color w:val="auto"/>
              </w:rPr>
            </w:pPr>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20" w:type="dxa"/>
            <w:vAlign w:val="bottom"/>
            <w:gridSpan w:val="28"/>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Emergence Grants.+</w:t>
              </w:r>
            </w:hyperlink>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1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10.26.4</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Form of Restricted Stock Unit Agreement (Performance</w:t>
              </w:r>
            </w:hyperlink>
          </w:p>
        </w:tc>
        <w:tc>
          <w:tcPr>
            <w:tcW w:w="3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97">
              <w:r>
                <w:rPr>
                  <w:rFonts w:ascii="Times New Roman" w:cs="Times New Roman" w:eastAsia="Times New Roman" w:hAnsi="Times New Roman"/>
                  <w:sz w:val="18"/>
                  <w:szCs w:val="18"/>
                  <w:color w:val="0000FF"/>
                  <w:w w:val="99"/>
                </w:rPr>
                <w:t>Based) - Emergence Grants.+</w:t>
              </w:r>
            </w:hyperlink>
          </w:p>
        </w:tc>
        <w:tc>
          <w:tcPr>
            <w:tcW w:w="20" w:type="dxa"/>
            <w:vAlign w:val="bottom"/>
            <w:tcBorders>
              <w:bottom w:val="single" w:sz="8" w:color="0000EE"/>
            </w:tcBorders>
          </w:tcPr>
          <w:p>
            <w:pPr>
              <w:spacing w:after="0"/>
              <w:rPr>
                <w:sz w:val="17"/>
                <w:szCs w:val="17"/>
                <w:color w:val="auto"/>
              </w:rPr>
            </w:pPr>
          </w:p>
        </w:tc>
        <w:tc>
          <w:tcPr>
            <w:tcW w:w="22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10.26.5</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4"/>
                <w:szCs w:val="24"/>
                <w:color w:val="auto"/>
              </w:rPr>
            </w:pPr>
          </w:p>
        </w:tc>
        <w:tc>
          <w:tcPr>
            <w:tcW w:w="42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Form of Restricted Stock Unit Agreement (Time Based).+</w:t>
            </w:r>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10.26.6</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Form of Restricted Stock Unit Agreement (Performance</w:t>
            </w:r>
          </w:p>
        </w:tc>
        <w:tc>
          <w:tcPr>
            <w:tcW w:w="3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7"/>
                <w:szCs w:val="17"/>
                <w:color w:val="auto"/>
              </w:rPr>
            </w:pPr>
          </w:p>
        </w:tc>
        <w:tc>
          <w:tcPr>
            <w:tcW w:w="44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Based).+</w:t>
            </w:r>
          </w:p>
        </w:tc>
        <w:tc>
          <w:tcPr>
            <w:tcW w:w="0" w:type="dxa"/>
            <w:vAlign w:val="bottom"/>
          </w:tcPr>
          <w:p>
            <w:pPr>
              <w:spacing w:after="0"/>
              <w:rPr>
                <w:sz w:val="1"/>
                <w:szCs w:val="1"/>
                <w:color w:val="auto"/>
              </w:rPr>
            </w:pPr>
          </w:p>
        </w:tc>
      </w:tr>
      <w:tr>
        <w:trPr>
          <w:trHeight w:val="750"/>
        </w:trPr>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3220" w:type="dxa"/>
            <w:vAlign w:val="bottom"/>
            <w:gridSpan w:val="12"/>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210185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Form</w:t>
            </w:r>
          </w:p>
        </w:tc>
        <w:tc>
          <w:tcPr>
            <w:tcW w:w="1440" w:type="dxa"/>
            <w:vAlign w:val="bottom"/>
            <w:tcBorders>
              <w:top w:val="single" w:sz="8" w:color="auto"/>
            </w:tcBorders>
            <w:gridSpan w:val="3"/>
          </w:tcPr>
          <w:p>
            <w:pPr>
              <w:ind w:left="300"/>
              <w:spacing w:after="0" w:line="129" w:lineRule="exact"/>
              <w:rPr>
                <w:sz w:val="20"/>
                <w:szCs w:val="20"/>
                <w:color w:val="auto"/>
              </w:rPr>
            </w:pPr>
            <w:r>
              <w:rPr>
                <w:rFonts w:ascii="Times New Roman" w:cs="Times New Roman" w:eastAsia="Times New Roman" w:hAnsi="Times New Roman"/>
                <w:sz w:val="14"/>
                <w:szCs w:val="14"/>
                <w:b w:val="1"/>
                <w:bCs w:val="1"/>
                <w:color w:val="auto"/>
              </w:rPr>
              <w:t>SEC File No.</w:t>
            </w:r>
          </w:p>
        </w:tc>
        <w:tc>
          <w:tcPr>
            <w:tcW w:w="3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300" w:type="dxa"/>
            <w:vAlign w:val="bottom"/>
            <w:tcBorders>
              <w:top w:val="single" w:sz="8" w:color="auto"/>
            </w:tcBorders>
            <w:gridSpan w:val="3"/>
          </w:tcPr>
          <w:p>
            <w:pPr>
              <w:ind w:left="320"/>
              <w:spacing w:after="0" w:line="129" w:lineRule="exact"/>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28"/>
        </w:trPr>
        <w:tc>
          <w:tcPr>
            <w:tcW w:w="220" w:type="dxa"/>
            <w:vAlign w:val="bottom"/>
          </w:tcPr>
          <w:p>
            <w:pPr>
              <w:spacing w:after="0"/>
              <w:rPr>
                <w:sz w:val="19"/>
                <w:szCs w:val="19"/>
                <w:color w:val="auto"/>
              </w:rPr>
            </w:pPr>
          </w:p>
        </w:tc>
        <w:tc>
          <w:tcPr>
            <w:tcW w:w="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001-33296</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8/1/2023</w:t>
            </w:r>
          </w:p>
        </w:tc>
        <w:tc>
          <w:tcPr>
            <w:tcW w:w="300" w:type="dxa"/>
            <w:vAlign w:val="bottom"/>
          </w:tcPr>
          <w:p>
            <w:pPr>
              <w:spacing w:after="0"/>
              <w:rPr>
                <w:sz w:val="19"/>
                <w:szCs w:val="19"/>
                <w:color w:val="auto"/>
              </w:rPr>
            </w:pPr>
          </w:p>
        </w:tc>
      </w:tr>
      <w:tr>
        <w:trPr>
          <w:trHeight w:val="751"/>
        </w:trPr>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001-33296</w:t>
            </w:r>
          </w:p>
        </w:tc>
        <w:tc>
          <w:tcPr>
            <w:tcW w:w="340" w:type="dxa"/>
            <w:vAlign w:val="bottom"/>
          </w:tcPr>
          <w:p>
            <w:pPr>
              <w:spacing w:after="0"/>
              <w:rPr>
                <w:sz w:val="24"/>
                <w:szCs w:val="24"/>
                <w:color w:val="auto"/>
              </w:rPr>
            </w:pPr>
          </w:p>
        </w:tc>
        <w:tc>
          <w:tcPr>
            <w:tcW w:w="8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Pr>
          <w:p>
            <w:pPr>
              <w:spacing w:after="0"/>
              <w:rPr>
                <w:sz w:val="24"/>
                <w:szCs w:val="24"/>
                <w:color w:val="auto"/>
              </w:rPr>
            </w:pPr>
          </w:p>
        </w:tc>
        <w:tc>
          <w:tcPr>
            <w:tcW w:w="10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auto"/>
                <w:w w:val="99"/>
              </w:rPr>
              <w:t>8/8/2022</w:t>
            </w:r>
          </w:p>
        </w:tc>
        <w:tc>
          <w:tcPr>
            <w:tcW w:w="300" w:type="dxa"/>
            <w:vAlign w:val="bottom"/>
          </w:tcPr>
          <w:p>
            <w:pPr>
              <w:spacing w:after="0"/>
              <w:rPr>
                <w:sz w:val="24"/>
                <w:szCs w:val="24"/>
                <w:color w:val="auto"/>
              </w:rPr>
            </w:pPr>
          </w:p>
        </w:tc>
      </w:tr>
      <w:tr>
        <w:trPr>
          <w:trHeight w:val="553"/>
        </w:trPr>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001-33296</w:t>
            </w:r>
          </w:p>
        </w:tc>
        <w:tc>
          <w:tcPr>
            <w:tcW w:w="340" w:type="dxa"/>
            <w:vAlign w:val="bottom"/>
          </w:tcPr>
          <w:p>
            <w:pPr>
              <w:spacing w:after="0"/>
              <w:rPr>
                <w:sz w:val="24"/>
                <w:szCs w:val="24"/>
                <w:color w:val="auto"/>
              </w:rPr>
            </w:pPr>
          </w:p>
        </w:tc>
        <w:tc>
          <w:tcPr>
            <w:tcW w:w="8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11/5/2021</w:t>
            </w:r>
          </w:p>
        </w:tc>
      </w:tr>
      <w:tr>
        <w:trPr>
          <w:trHeight w:val="553"/>
        </w:trPr>
        <w:tc>
          <w:tcPr>
            <w:tcW w:w="220" w:type="dxa"/>
            <w:vAlign w:val="bottom"/>
          </w:tcPr>
          <w:p>
            <w:pPr>
              <w:spacing w:after="0"/>
              <w:rPr>
                <w:sz w:val="24"/>
                <w:szCs w:val="24"/>
                <w:color w:val="auto"/>
              </w:rPr>
            </w:pPr>
          </w:p>
        </w:tc>
        <w:tc>
          <w:tcPr>
            <w:tcW w:w="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001-33296</w:t>
            </w:r>
          </w:p>
        </w:tc>
        <w:tc>
          <w:tcPr>
            <w:tcW w:w="340" w:type="dxa"/>
            <w:vAlign w:val="bottom"/>
          </w:tcPr>
          <w:p>
            <w:pPr>
              <w:spacing w:after="0"/>
              <w:rPr>
                <w:sz w:val="24"/>
                <w:szCs w:val="24"/>
                <w:color w:val="auto"/>
              </w:rPr>
            </w:pPr>
          </w:p>
        </w:tc>
        <w:tc>
          <w:tcPr>
            <w:tcW w:w="8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5/15/2024</w:t>
            </w:r>
          </w:p>
        </w:tc>
      </w:tr>
      <w:tr>
        <w:trPr>
          <w:trHeight w:val="553"/>
        </w:trPr>
        <w:tc>
          <w:tcPr>
            <w:tcW w:w="220" w:type="dxa"/>
            <w:vAlign w:val="bottom"/>
          </w:tcPr>
          <w:p>
            <w:pPr>
              <w:spacing w:after="0"/>
              <w:rPr>
                <w:sz w:val="24"/>
                <w:szCs w:val="24"/>
                <w:color w:val="auto"/>
              </w:rPr>
            </w:pPr>
          </w:p>
        </w:tc>
        <w:tc>
          <w:tcPr>
            <w:tcW w:w="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001-33296</w:t>
            </w:r>
          </w:p>
        </w:tc>
        <w:tc>
          <w:tcPr>
            <w:tcW w:w="340" w:type="dxa"/>
            <w:vAlign w:val="bottom"/>
          </w:tcPr>
          <w:p>
            <w:pPr>
              <w:spacing w:after="0"/>
              <w:rPr>
                <w:sz w:val="24"/>
                <w:szCs w:val="24"/>
                <w:color w:val="auto"/>
              </w:rPr>
            </w:pPr>
          </w:p>
        </w:tc>
        <w:tc>
          <w:tcPr>
            <w:tcW w:w="8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2/13/2007</w:t>
            </w:r>
          </w:p>
        </w:tc>
      </w:tr>
      <w:tr>
        <w:trPr>
          <w:trHeight w:val="338"/>
        </w:trPr>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001-33296</w:t>
            </w:r>
          </w:p>
        </w:tc>
        <w:tc>
          <w:tcPr>
            <w:tcW w:w="340" w:type="dxa"/>
            <w:vAlign w:val="bottom"/>
          </w:tcPr>
          <w:p>
            <w:pPr>
              <w:spacing w:after="0"/>
              <w:rPr>
                <w:sz w:val="24"/>
                <w:szCs w:val="24"/>
                <w:color w:val="auto"/>
              </w:rPr>
            </w:pPr>
          </w:p>
        </w:tc>
        <w:tc>
          <w:tcPr>
            <w:tcW w:w="8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Pr>
          <w:p>
            <w:pPr>
              <w:spacing w:after="0"/>
              <w:rPr>
                <w:sz w:val="24"/>
                <w:szCs w:val="24"/>
                <w:color w:val="auto"/>
              </w:rPr>
            </w:pPr>
          </w:p>
        </w:tc>
        <w:tc>
          <w:tcPr>
            <w:tcW w:w="10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auto"/>
                <w:w w:val="99"/>
              </w:rPr>
              <w:t>8/7/2018</w:t>
            </w:r>
          </w:p>
        </w:tc>
        <w:tc>
          <w:tcPr>
            <w:tcW w:w="300" w:type="dxa"/>
            <w:vAlign w:val="bottom"/>
          </w:tcPr>
          <w:p>
            <w:pPr>
              <w:spacing w:after="0"/>
              <w:rPr>
                <w:sz w:val="24"/>
                <w:szCs w:val="24"/>
                <w:color w:val="auto"/>
              </w:rPr>
            </w:pPr>
          </w:p>
        </w:tc>
      </w:tr>
      <w:tr>
        <w:trPr>
          <w:trHeight w:val="338"/>
        </w:trPr>
        <w:tc>
          <w:tcPr>
            <w:tcW w:w="220" w:type="dxa"/>
            <w:vAlign w:val="bottom"/>
          </w:tcPr>
          <w:p>
            <w:pPr>
              <w:spacing w:after="0"/>
              <w:rPr>
                <w:sz w:val="24"/>
                <w:szCs w:val="24"/>
                <w:color w:val="auto"/>
              </w:rPr>
            </w:pPr>
          </w:p>
        </w:tc>
        <w:tc>
          <w:tcPr>
            <w:tcW w:w="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001-33296</w:t>
            </w:r>
          </w:p>
        </w:tc>
        <w:tc>
          <w:tcPr>
            <w:tcW w:w="340" w:type="dxa"/>
            <w:vAlign w:val="bottom"/>
          </w:tcPr>
          <w:p>
            <w:pPr>
              <w:spacing w:after="0"/>
              <w:rPr>
                <w:sz w:val="24"/>
                <w:szCs w:val="24"/>
                <w:color w:val="auto"/>
              </w:rPr>
            </w:pPr>
          </w:p>
        </w:tc>
        <w:tc>
          <w:tcPr>
            <w:tcW w:w="8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rPr>
                <w:sz w:val="24"/>
                <w:szCs w:val="24"/>
                <w:color w:val="auto"/>
              </w:rPr>
            </w:pPr>
          </w:p>
        </w:tc>
        <w:tc>
          <w:tcPr>
            <w:tcW w:w="10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auto"/>
                <w:w w:val="99"/>
              </w:rPr>
              <w:t>5/2/2013</w:t>
            </w:r>
          </w:p>
        </w:tc>
        <w:tc>
          <w:tcPr>
            <w:tcW w:w="300" w:type="dxa"/>
            <w:vAlign w:val="bottom"/>
          </w:tcPr>
          <w:p>
            <w:pPr>
              <w:spacing w:after="0"/>
              <w:rPr>
                <w:sz w:val="24"/>
                <w:szCs w:val="24"/>
                <w:color w:val="auto"/>
              </w:rPr>
            </w:pPr>
          </w:p>
        </w:tc>
      </w:tr>
      <w:tr>
        <w:trPr>
          <w:trHeight w:val="338"/>
        </w:trPr>
        <w:tc>
          <w:tcPr>
            <w:tcW w:w="220" w:type="dxa"/>
            <w:vAlign w:val="bottom"/>
          </w:tcPr>
          <w:p>
            <w:pPr>
              <w:spacing w:after="0"/>
              <w:rPr>
                <w:sz w:val="24"/>
                <w:szCs w:val="24"/>
                <w:color w:val="auto"/>
              </w:rPr>
            </w:pPr>
          </w:p>
        </w:tc>
        <w:tc>
          <w:tcPr>
            <w:tcW w:w="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5"/>
              </w:rPr>
              <w:t>S-8</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001-33296</w:t>
            </w:r>
          </w:p>
        </w:tc>
        <w:tc>
          <w:tcPr>
            <w:tcW w:w="340" w:type="dxa"/>
            <w:vAlign w:val="bottom"/>
          </w:tcPr>
          <w:p>
            <w:pPr>
              <w:spacing w:after="0"/>
              <w:rPr>
                <w:sz w:val="24"/>
                <w:szCs w:val="24"/>
                <w:color w:val="auto"/>
              </w:rPr>
            </w:pPr>
          </w:p>
        </w:tc>
        <w:tc>
          <w:tcPr>
            <w:tcW w:w="84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7"/>
              </w:rPr>
              <w:t>4.1</w:t>
            </w:r>
          </w:p>
        </w:tc>
        <w:tc>
          <w:tcPr>
            <w:tcW w:w="340" w:type="dxa"/>
            <w:vAlign w:val="bottom"/>
          </w:tcPr>
          <w:p>
            <w:pPr>
              <w:spacing w:after="0"/>
              <w:rPr>
                <w:sz w:val="24"/>
                <w:szCs w:val="24"/>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4/29/2016</w:t>
            </w:r>
          </w:p>
        </w:tc>
      </w:tr>
      <w:tr>
        <w:trPr>
          <w:trHeight w:val="338"/>
        </w:trPr>
        <w:tc>
          <w:tcPr>
            <w:tcW w:w="220" w:type="dxa"/>
            <w:vAlign w:val="bottom"/>
          </w:tcPr>
          <w:p>
            <w:pPr>
              <w:spacing w:after="0"/>
              <w:rPr>
                <w:sz w:val="24"/>
                <w:szCs w:val="24"/>
                <w:color w:val="auto"/>
              </w:rPr>
            </w:pPr>
          </w:p>
        </w:tc>
        <w:tc>
          <w:tcPr>
            <w:tcW w:w="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001-33296</w:t>
            </w:r>
          </w:p>
        </w:tc>
        <w:tc>
          <w:tcPr>
            <w:tcW w:w="340" w:type="dxa"/>
            <w:vAlign w:val="bottom"/>
          </w:tcPr>
          <w:p>
            <w:pPr>
              <w:spacing w:after="0"/>
              <w:rPr>
                <w:sz w:val="24"/>
                <w:szCs w:val="24"/>
                <w:color w:val="auto"/>
              </w:rPr>
            </w:pPr>
          </w:p>
        </w:tc>
        <w:tc>
          <w:tcPr>
            <w:tcW w:w="8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rPr>
                <w:sz w:val="24"/>
                <w:szCs w:val="24"/>
                <w:color w:val="auto"/>
              </w:rPr>
            </w:pPr>
          </w:p>
        </w:tc>
        <w:tc>
          <w:tcPr>
            <w:tcW w:w="10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auto"/>
                <w:w w:val="99"/>
              </w:rPr>
              <w:t>5/1/2020</w:t>
            </w:r>
          </w:p>
        </w:tc>
        <w:tc>
          <w:tcPr>
            <w:tcW w:w="300" w:type="dxa"/>
            <w:vAlign w:val="bottom"/>
          </w:tcPr>
          <w:p>
            <w:pPr>
              <w:spacing w:after="0"/>
              <w:rPr>
                <w:sz w:val="24"/>
                <w:szCs w:val="24"/>
                <w:color w:val="auto"/>
              </w:rPr>
            </w:pPr>
          </w:p>
        </w:tc>
      </w:tr>
      <w:tr>
        <w:trPr>
          <w:trHeight w:val="338"/>
        </w:trPr>
        <w:tc>
          <w:tcPr>
            <w:tcW w:w="220" w:type="dxa"/>
            <w:vAlign w:val="bottom"/>
          </w:tcPr>
          <w:p>
            <w:pPr>
              <w:spacing w:after="0"/>
              <w:rPr>
                <w:sz w:val="24"/>
                <w:szCs w:val="24"/>
                <w:color w:val="auto"/>
              </w:rPr>
            </w:pPr>
          </w:p>
        </w:tc>
        <w:tc>
          <w:tcPr>
            <w:tcW w:w="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001-33296</w:t>
            </w:r>
          </w:p>
        </w:tc>
        <w:tc>
          <w:tcPr>
            <w:tcW w:w="340" w:type="dxa"/>
            <w:vAlign w:val="bottom"/>
          </w:tcPr>
          <w:p>
            <w:pPr>
              <w:spacing w:after="0"/>
              <w:rPr>
                <w:sz w:val="24"/>
                <w:szCs w:val="24"/>
                <w:color w:val="auto"/>
              </w:rPr>
            </w:pPr>
          </w:p>
        </w:tc>
        <w:tc>
          <w:tcPr>
            <w:tcW w:w="8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10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auto"/>
                <w:w w:val="99"/>
              </w:rPr>
              <w:t>5/9/2022</w:t>
            </w:r>
          </w:p>
        </w:tc>
        <w:tc>
          <w:tcPr>
            <w:tcW w:w="300" w:type="dxa"/>
            <w:vAlign w:val="bottom"/>
          </w:tcPr>
          <w:p>
            <w:pPr>
              <w:spacing w:after="0"/>
              <w:rPr>
                <w:sz w:val="24"/>
                <w:szCs w:val="24"/>
                <w:color w:val="auto"/>
              </w:rPr>
            </w:pPr>
          </w:p>
        </w:tc>
      </w:tr>
      <w:tr>
        <w:trPr>
          <w:trHeight w:val="553"/>
        </w:trPr>
        <w:tc>
          <w:tcPr>
            <w:tcW w:w="220" w:type="dxa"/>
            <w:vAlign w:val="bottom"/>
          </w:tcPr>
          <w:p>
            <w:pPr>
              <w:spacing w:after="0"/>
              <w:rPr>
                <w:sz w:val="24"/>
                <w:szCs w:val="24"/>
                <w:color w:val="auto"/>
              </w:rPr>
            </w:pPr>
          </w:p>
        </w:tc>
        <w:tc>
          <w:tcPr>
            <w:tcW w:w="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001-33296</w:t>
            </w:r>
          </w:p>
        </w:tc>
        <w:tc>
          <w:tcPr>
            <w:tcW w:w="340" w:type="dxa"/>
            <w:vAlign w:val="bottom"/>
          </w:tcPr>
          <w:p>
            <w:pPr>
              <w:spacing w:after="0"/>
              <w:rPr>
                <w:sz w:val="24"/>
                <w:szCs w:val="24"/>
                <w:color w:val="auto"/>
              </w:rPr>
            </w:pPr>
          </w:p>
        </w:tc>
        <w:tc>
          <w:tcPr>
            <w:tcW w:w="8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11/7/2023</w:t>
            </w:r>
          </w:p>
        </w:tc>
      </w:tr>
      <w:tr>
        <w:trPr>
          <w:trHeight w:val="553"/>
        </w:trPr>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001-33296</w:t>
            </w:r>
          </w:p>
        </w:tc>
        <w:tc>
          <w:tcPr>
            <w:tcW w:w="340" w:type="dxa"/>
            <w:vAlign w:val="bottom"/>
          </w:tcPr>
          <w:p>
            <w:pPr>
              <w:spacing w:after="0"/>
              <w:rPr>
                <w:sz w:val="24"/>
                <w:szCs w:val="24"/>
                <w:color w:val="auto"/>
              </w:rPr>
            </w:pPr>
          </w:p>
        </w:tc>
        <w:tc>
          <w:tcPr>
            <w:tcW w:w="8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11/4/2019</w:t>
            </w:r>
          </w:p>
        </w:tc>
      </w:tr>
      <w:tr>
        <w:trPr>
          <w:trHeight w:val="338"/>
        </w:trPr>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001-33296</w:t>
            </w:r>
          </w:p>
        </w:tc>
        <w:tc>
          <w:tcPr>
            <w:tcW w:w="340" w:type="dxa"/>
            <w:vAlign w:val="bottom"/>
          </w:tcPr>
          <w:p>
            <w:pPr>
              <w:spacing w:after="0"/>
              <w:rPr>
                <w:sz w:val="24"/>
                <w:szCs w:val="24"/>
                <w:color w:val="auto"/>
              </w:rPr>
            </w:pPr>
          </w:p>
        </w:tc>
        <w:tc>
          <w:tcPr>
            <w:tcW w:w="8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Pr>
          <w:p>
            <w:pPr>
              <w:spacing w:after="0"/>
              <w:rPr>
                <w:sz w:val="24"/>
                <w:szCs w:val="24"/>
                <w:color w:val="auto"/>
              </w:rPr>
            </w:pPr>
          </w:p>
        </w:tc>
        <w:tc>
          <w:tcPr>
            <w:tcW w:w="10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auto"/>
                <w:w w:val="99"/>
              </w:rPr>
              <w:t>8/3/2020</w:t>
            </w:r>
          </w:p>
        </w:tc>
        <w:tc>
          <w:tcPr>
            <w:tcW w:w="300" w:type="dxa"/>
            <w:vAlign w:val="bottom"/>
          </w:tcPr>
          <w:p>
            <w:pPr>
              <w:spacing w:after="0"/>
              <w:rPr>
                <w:sz w:val="24"/>
                <w:szCs w:val="24"/>
                <w:color w:val="auto"/>
              </w:rPr>
            </w:pPr>
          </w:p>
        </w:tc>
      </w:tr>
      <w:tr>
        <w:trPr>
          <w:trHeight w:val="338"/>
        </w:trPr>
        <w:tc>
          <w:tcPr>
            <w:tcW w:w="220" w:type="dxa"/>
            <w:vAlign w:val="bottom"/>
          </w:tcPr>
          <w:p>
            <w:pPr>
              <w:spacing w:after="0"/>
              <w:rPr>
                <w:sz w:val="24"/>
                <w:szCs w:val="24"/>
                <w:color w:val="auto"/>
              </w:rPr>
            </w:pPr>
          </w:p>
        </w:tc>
        <w:tc>
          <w:tcPr>
            <w:tcW w:w="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5"/>
              </w:rPr>
              <w:t>S-8</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001-33296</w:t>
            </w:r>
          </w:p>
        </w:tc>
        <w:tc>
          <w:tcPr>
            <w:tcW w:w="340" w:type="dxa"/>
            <w:vAlign w:val="bottom"/>
          </w:tcPr>
          <w:p>
            <w:pPr>
              <w:spacing w:after="0"/>
              <w:rPr>
                <w:sz w:val="24"/>
                <w:szCs w:val="24"/>
                <w:color w:val="auto"/>
              </w:rPr>
            </w:pPr>
          </w:p>
        </w:tc>
        <w:tc>
          <w:tcPr>
            <w:tcW w:w="84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7"/>
              </w:rPr>
              <w:t>4.4</w:t>
            </w:r>
          </w:p>
        </w:tc>
        <w:tc>
          <w:tcPr>
            <w:tcW w:w="340" w:type="dxa"/>
            <w:vAlign w:val="bottom"/>
          </w:tcPr>
          <w:p>
            <w:pPr>
              <w:spacing w:after="0"/>
              <w:rPr>
                <w:sz w:val="24"/>
                <w:szCs w:val="24"/>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4/29/2016</w:t>
            </w:r>
          </w:p>
        </w:tc>
      </w:tr>
      <w:tr>
        <w:trPr>
          <w:trHeight w:val="553"/>
        </w:trPr>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001-33296</w:t>
            </w:r>
          </w:p>
        </w:tc>
        <w:tc>
          <w:tcPr>
            <w:tcW w:w="340" w:type="dxa"/>
            <w:vAlign w:val="bottom"/>
          </w:tcPr>
          <w:p>
            <w:pPr>
              <w:spacing w:after="0"/>
              <w:rPr>
                <w:sz w:val="24"/>
                <w:szCs w:val="24"/>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10.27.2</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2/24/2017</w:t>
            </w:r>
          </w:p>
        </w:tc>
      </w:tr>
      <w:tr>
        <w:trPr>
          <w:trHeight w:val="554"/>
        </w:trPr>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001-33296</w:t>
            </w:r>
          </w:p>
        </w:tc>
        <w:tc>
          <w:tcPr>
            <w:tcW w:w="340" w:type="dxa"/>
            <w:vAlign w:val="bottom"/>
          </w:tcPr>
          <w:p>
            <w:pPr>
              <w:spacing w:after="0"/>
              <w:rPr>
                <w:sz w:val="24"/>
                <w:szCs w:val="24"/>
                <w:color w:val="auto"/>
              </w:rPr>
            </w:pPr>
          </w:p>
        </w:tc>
        <w:tc>
          <w:tcPr>
            <w:tcW w:w="8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tcPr>
          <w:p>
            <w:pPr>
              <w:spacing w:after="0"/>
              <w:rPr>
                <w:sz w:val="24"/>
                <w:szCs w:val="24"/>
                <w:color w:val="auto"/>
              </w:rPr>
            </w:pPr>
          </w:p>
        </w:tc>
        <w:tc>
          <w:tcPr>
            <w:tcW w:w="10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auto"/>
                <w:w w:val="99"/>
              </w:rPr>
              <w:t>8/3/2020</w:t>
            </w:r>
          </w:p>
        </w:tc>
        <w:tc>
          <w:tcPr>
            <w:tcW w:w="300" w:type="dxa"/>
            <w:vAlign w:val="bottom"/>
          </w:tcPr>
          <w:p>
            <w:pPr>
              <w:spacing w:after="0"/>
              <w:rPr>
                <w:sz w:val="24"/>
                <w:szCs w:val="24"/>
                <w:color w:val="auto"/>
              </w:rPr>
            </w:pPr>
          </w:p>
        </w:tc>
      </w:tr>
      <w:tr>
        <w:trPr>
          <w:trHeight w:val="553"/>
        </w:trPr>
        <w:tc>
          <w:tcPr>
            <w:tcW w:w="220" w:type="dxa"/>
            <w:vAlign w:val="bottom"/>
          </w:tcPr>
          <w:p>
            <w:pPr>
              <w:spacing w:after="0"/>
              <w:rPr>
                <w:sz w:val="24"/>
                <w:szCs w:val="24"/>
                <w:color w:val="auto"/>
              </w:rPr>
            </w:pPr>
          </w:p>
        </w:tc>
        <w:tc>
          <w:tcPr>
            <w:tcW w:w="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001-33296</w:t>
            </w:r>
          </w:p>
        </w:tc>
        <w:tc>
          <w:tcPr>
            <w:tcW w:w="340" w:type="dxa"/>
            <w:vAlign w:val="bottom"/>
          </w:tcPr>
          <w:p>
            <w:pPr>
              <w:spacing w:after="0"/>
              <w:rPr>
                <w:sz w:val="24"/>
                <w:szCs w:val="24"/>
                <w:color w:val="auto"/>
              </w:rPr>
            </w:pPr>
          </w:p>
        </w:tc>
        <w:tc>
          <w:tcPr>
            <w:tcW w:w="8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10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auto"/>
                <w:w w:val="99"/>
              </w:rPr>
              <w:t>2/2/2024</w:t>
            </w:r>
          </w:p>
        </w:tc>
        <w:tc>
          <w:tcPr>
            <w:tcW w:w="300" w:type="dxa"/>
            <w:vAlign w:val="bottom"/>
          </w:tcPr>
          <w:p>
            <w:pPr>
              <w:spacing w:after="0"/>
              <w:rPr>
                <w:sz w:val="24"/>
                <w:szCs w:val="24"/>
                <w:color w:val="auto"/>
              </w:rPr>
            </w:pPr>
          </w:p>
        </w:tc>
      </w:tr>
      <w:tr>
        <w:trPr>
          <w:trHeight w:val="553"/>
        </w:trPr>
        <w:tc>
          <w:tcPr>
            <w:tcW w:w="220" w:type="dxa"/>
            <w:vAlign w:val="bottom"/>
          </w:tcPr>
          <w:p>
            <w:pPr>
              <w:spacing w:after="0"/>
              <w:rPr>
                <w:sz w:val="24"/>
                <w:szCs w:val="24"/>
                <w:color w:val="auto"/>
              </w:rPr>
            </w:pPr>
          </w:p>
        </w:tc>
        <w:tc>
          <w:tcPr>
            <w:tcW w:w="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001-33296</w:t>
            </w:r>
          </w:p>
        </w:tc>
        <w:tc>
          <w:tcPr>
            <w:tcW w:w="340" w:type="dxa"/>
            <w:vAlign w:val="bottom"/>
          </w:tcPr>
          <w:p>
            <w:pPr>
              <w:spacing w:after="0"/>
              <w:rPr>
                <w:sz w:val="24"/>
                <w:szCs w:val="24"/>
                <w:color w:val="auto"/>
              </w:rPr>
            </w:pPr>
          </w:p>
        </w:tc>
        <w:tc>
          <w:tcPr>
            <w:tcW w:w="8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rPr>
                <w:sz w:val="24"/>
                <w:szCs w:val="24"/>
                <w:color w:val="auto"/>
              </w:rPr>
            </w:pPr>
          </w:p>
        </w:tc>
        <w:tc>
          <w:tcPr>
            <w:tcW w:w="100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auto"/>
                <w:w w:val="99"/>
              </w:rPr>
              <w:t>2/2/2024</w:t>
            </w:r>
          </w:p>
        </w:tc>
        <w:tc>
          <w:tcPr>
            <w:tcW w:w="300" w:type="dxa"/>
            <w:vAlign w:val="bottom"/>
          </w:tcPr>
          <w:p>
            <w:pPr>
              <w:spacing w:after="0"/>
              <w:rPr>
                <w:sz w:val="24"/>
                <w:szCs w:val="24"/>
                <w:color w:val="auto"/>
              </w:rPr>
            </w:pPr>
          </w:p>
        </w:tc>
      </w:tr>
    </w:tbl>
    <w:p>
      <w:pPr>
        <w:sectPr>
          <w:pgSz w:w="11900" w:h="16838" w:orient="portrait"/>
          <w:cols w:equalWidth="0" w:num="2">
            <w:col w:w="6220" w:space="100"/>
            <w:col w:w="4800"/>
          </w:cols>
          <w:pgMar w:left="440" w:top="1087" w:right="339" w:bottom="1440" w:gutter="0" w:footer="0" w:header="0"/>
        </w:sectPr>
      </w:pPr>
    </w:p>
    <w:bookmarkStart w:id="94" w:name="page95"/>
    <w:bookmarkEnd w:id="94"/>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Ref.</w:t>
            </w:r>
          </w:p>
        </w:tc>
        <w:tc>
          <w:tcPr>
            <w:tcW w:w="4520" w:type="dxa"/>
            <w:vAlign w:val="bottom"/>
            <w:gridSpan w:val="19"/>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24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4520" w:type="dxa"/>
            <w:vAlign w:val="bottom"/>
            <w:gridSpan w:val="19"/>
            <w:vMerge w:val="continue"/>
          </w:tcPr>
          <w:p>
            <w:pPr>
              <w:spacing w:after="0"/>
              <w:rPr>
                <w:sz w:val="11"/>
                <w:szCs w:val="11"/>
                <w:color w:val="auto"/>
              </w:rPr>
            </w:pPr>
          </w:p>
        </w:tc>
        <w:tc>
          <w:tcPr>
            <w:tcW w:w="88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Form</w:t>
            </w:r>
          </w:p>
        </w:tc>
        <w:tc>
          <w:tcPr>
            <w:tcW w:w="1820" w:type="dxa"/>
            <w:vAlign w:val="bottom"/>
            <w:gridSpan w:val="3"/>
          </w:tcPr>
          <w:p>
            <w:pPr>
              <w:ind w:left="300"/>
              <w:spacing w:after="0" w:line="129" w:lineRule="exact"/>
              <w:rPr>
                <w:sz w:val="20"/>
                <w:szCs w:val="20"/>
                <w:color w:val="auto"/>
              </w:rPr>
            </w:pPr>
            <w:r>
              <w:rPr>
                <w:rFonts w:ascii="Times New Roman" w:cs="Times New Roman" w:eastAsia="Times New Roman" w:hAnsi="Times New Roman"/>
                <w:sz w:val="14"/>
                <w:szCs w:val="14"/>
                <w:b w:val="1"/>
                <w:bCs w:val="1"/>
                <w:color w:val="auto"/>
              </w:rPr>
              <w:t>SEC File No.</w:t>
            </w:r>
          </w:p>
        </w:tc>
        <w:tc>
          <w:tcPr>
            <w:tcW w:w="82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280" w:type="dxa"/>
            <w:vAlign w:val="bottom"/>
            <w:gridSpan w:val="3"/>
          </w:tcPr>
          <w:p>
            <w:pPr>
              <w:ind w:left="300"/>
              <w:spacing w:after="0" w:line="129"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10.27</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99">
              <w:r>
                <w:rPr>
                  <w:rFonts w:ascii="Times New Roman" w:cs="Times New Roman" w:eastAsia="Times New Roman" w:hAnsi="Times New Roman"/>
                  <w:sz w:val="18"/>
                  <w:szCs w:val="18"/>
                  <w:color w:val="0000FF"/>
                  <w:w w:val="99"/>
                </w:rPr>
                <w:t>Loan and Security Agreement, dated January 24, 2025.</w:t>
              </w:r>
            </w:hyperlink>
          </w:p>
        </w:tc>
        <w:tc>
          <w:tcPr>
            <w:tcW w:w="540" w:type="dxa"/>
            <w:vAlign w:val="bottom"/>
            <w:gridSpan w:val="7"/>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001-33296</w:t>
            </w:r>
          </w:p>
        </w:tc>
        <w:tc>
          <w:tcPr>
            <w:tcW w:w="7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24"/>
                <w:szCs w:val="24"/>
                <w:color w:val="auto"/>
              </w:rPr>
            </w:pPr>
          </w:p>
        </w:tc>
        <w:tc>
          <w:tcPr>
            <w:tcW w:w="980" w:type="dxa"/>
            <w:vAlign w:val="bottom"/>
            <w:gridSpan w:val="2"/>
          </w:tcPr>
          <w:p>
            <w:pPr>
              <w:jc w:val="center"/>
              <w:ind w:left="215"/>
              <w:spacing w:after="0"/>
              <w:rPr>
                <w:sz w:val="20"/>
                <w:szCs w:val="20"/>
                <w:color w:val="auto"/>
              </w:rPr>
            </w:pPr>
            <w:r>
              <w:rPr>
                <w:rFonts w:ascii="Times New Roman" w:cs="Times New Roman" w:eastAsia="Times New Roman" w:hAnsi="Times New Roman"/>
                <w:sz w:val="18"/>
                <w:szCs w:val="18"/>
                <w:color w:val="auto"/>
              </w:rPr>
              <w:t>1/27/25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19.1</w:t>
            </w:r>
          </w:p>
        </w:tc>
        <w:tc>
          <w:tcPr>
            <w:tcW w:w="80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4"/>
                <w:szCs w:val="24"/>
                <w:color w:val="auto"/>
              </w:rPr>
            </w:pPr>
          </w:p>
        </w:tc>
        <w:tc>
          <w:tcPr>
            <w:tcW w:w="1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Insider Trading Policy</w:t>
            </w:r>
          </w:p>
        </w:tc>
        <w:tc>
          <w:tcPr>
            <w:tcW w:w="2900" w:type="dxa"/>
            <w:vAlign w:val="bottom"/>
            <w:gridSpan w:val="14"/>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21.1</w:t>
            </w:r>
          </w:p>
        </w:tc>
        <w:tc>
          <w:tcPr>
            <w:tcW w:w="80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4"/>
                <w:szCs w:val="24"/>
                <w:color w:val="auto"/>
              </w:rPr>
            </w:pPr>
          </w:p>
        </w:tc>
        <w:tc>
          <w:tcPr>
            <w:tcW w:w="4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List of Subsidiaries.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23.1</w:t>
            </w:r>
          </w:p>
        </w:tc>
        <w:tc>
          <w:tcPr>
            <w:tcW w:w="80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4"/>
                <w:szCs w:val="24"/>
                <w:color w:val="auto"/>
              </w:rPr>
            </w:pPr>
          </w:p>
        </w:tc>
        <w:tc>
          <w:tcPr>
            <w:tcW w:w="4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Consent of Deloitte &amp; Touche LLP.</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23.2</w:t>
            </w:r>
          </w:p>
        </w:tc>
        <w:tc>
          <w:tcPr>
            <w:tcW w:w="80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4"/>
                <w:szCs w:val="24"/>
                <w:color w:val="auto"/>
              </w:rPr>
            </w:pPr>
          </w:p>
        </w:tc>
        <w:tc>
          <w:tcPr>
            <w:tcW w:w="25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Consent of Grant Thornton LLP.</w:t>
            </w:r>
          </w:p>
        </w:tc>
        <w:tc>
          <w:tcPr>
            <w:tcW w:w="1940" w:type="dxa"/>
            <w:vAlign w:val="bottom"/>
            <w:gridSpan w:val="12"/>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24.1</w:t>
            </w:r>
          </w:p>
        </w:tc>
        <w:tc>
          <w:tcPr>
            <w:tcW w:w="80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4"/>
                <w:szCs w:val="24"/>
                <w:color w:val="auto"/>
              </w:rPr>
            </w:pPr>
          </w:p>
        </w:tc>
        <w:tc>
          <w:tcPr>
            <w:tcW w:w="34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Powers of Attorney of National CineMedia, Inc.</w:t>
            </w:r>
          </w:p>
        </w:tc>
        <w:tc>
          <w:tcPr>
            <w:tcW w:w="1040" w:type="dxa"/>
            <w:vAlign w:val="bottom"/>
            <w:gridSpan w:val="9"/>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31.1</w:t>
            </w:r>
          </w:p>
        </w:tc>
        <w:tc>
          <w:tcPr>
            <w:tcW w:w="80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4"/>
                <w:szCs w:val="24"/>
                <w:color w:val="auto"/>
              </w:rPr>
            </w:pPr>
          </w:p>
        </w:tc>
        <w:tc>
          <w:tcPr>
            <w:tcW w:w="40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Rule 13a-14(a) Certification of Chief Executive Officer.</w:t>
            </w:r>
          </w:p>
        </w:tc>
        <w:tc>
          <w:tcPr>
            <w:tcW w:w="46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31.2</w:t>
            </w:r>
          </w:p>
        </w:tc>
        <w:tc>
          <w:tcPr>
            <w:tcW w:w="80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4"/>
                <w:szCs w:val="24"/>
                <w:color w:val="auto"/>
              </w:rPr>
            </w:pPr>
          </w:p>
        </w:tc>
        <w:tc>
          <w:tcPr>
            <w:tcW w:w="4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Rule 13a-14(a) Certification of Chief Financial Officer.</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32.1</w:t>
            </w:r>
          </w:p>
        </w:tc>
        <w:tc>
          <w:tcPr>
            <w:tcW w:w="80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4"/>
                <w:szCs w:val="24"/>
                <w:color w:val="auto"/>
              </w:rPr>
            </w:pPr>
          </w:p>
        </w:tc>
        <w:tc>
          <w:tcPr>
            <w:tcW w:w="43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Pursuant to 18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U.S.C. Section 1350.</w:t>
            </w:r>
          </w:p>
        </w:tc>
        <w:tc>
          <w:tcPr>
            <w:tcW w:w="20" w:type="dxa"/>
            <w:vAlign w:val="bottom"/>
            <w:tcBorders>
              <w:bottom w:val="single" w:sz="8" w:color="0000EE"/>
            </w:tcBorders>
          </w:tcPr>
          <w:p>
            <w:pPr>
              <w:spacing w:after="0"/>
              <w:rPr>
                <w:sz w:val="17"/>
                <w:szCs w:val="17"/>
                <w:color w:val="auto"/>
              </w:rPr>
            </w:pPr>
          </w:p>
        </w:tc>
        <w:tc>
          <w:tcPr>
            <w:tcW w:w="2980" w:type="dxa"/>
            <w:vAlign w:val="bottom"/>
            <w:gridSpan w:val="15"/>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32.2</w:t>
            </w:r>
          </w:p>
        </w:tc>
        <w:tc>
          <w:tcPr>
            <w:tcW w:w="80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4"/>
                <w:szCs w:val="24"/>
                <w:color w:val="auto"/>
              </w:rPr>
            </w:pPr>
          </w:p>
        </w:tc>
        <w:tc>
          <w:tcPr>
            <w:tcW w:w="39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w:t>
            </w:r>
          </w:p>
        </w:tc>
        <w:tc>
          <w:tcPr>
            <w:tcW w:w="560" w:type="dxa"/>
            <w:vAlign w:val="bottom"/>
            <w:gridSpan w:val="8"/>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U.S.C. Section 1350.</w:t>
            </w:r>
          </w:p>
        </w:tc>
        <w:tc>
          <w:tcPr>
            <w:tcW w:w="20" w:type="dxa"/>
            <w:vAlign w:val="bottom"/>
            <w:tcBorders>
              <w:bottom w:val="single" w:sz="8" w:color="0000EE"/>
            </w:tcBorders>
          </w:tcPr>
          <w:p>
            <w:pPr>
              <w:spacing w:after="0"/>
              <w:rPr>
                <w:sz w:val="17"/>
                <w:szCs w:val="17"/>
                <w:color w:val="auto"/>
              </w:rPr>
            </w:pPr>
          </w:p>
        </w:tc>
        <w:tc>
          <w:tcPr>
            <w:tcW w:w="2980" w:type="dxa"/>
            <w:vAlign w:val="bottom"/>
            <w:gridSpan w:val="15"/>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97.1</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300">
              <w:r>
                <w:rPr>
                  <w:rFonts w:ascii="Times New Roman" w:cs="Times New Roman" w:eastAsia="Times New Roman" w:hAnsi="Times New Roman"/>
                  <w:sz w:val="18"/>
                  <w:szCs w:val="18"/>
                  <w:color w:val="0000FF"/>
                  <w:w w:val="99"/>
                </w:rPr>
                <w:t>Incentive Compensation Recoupment Policy</w:t>
              </w:r>
            </w:hyperlink>
          </w:p>
        </w:tc>
        <w:tc>
          <w:tcPr>
            <w:tcW w:w="20" w:type="dxa"/>
            <w:vAlign w:val="bottom"/>
            <w:tcBorders>
              <w:bottom w:val="single" w:sz="8" w:color="0000EE"/>
            </w:tcBorders>
          </w:tcPr>
          <w:p>
            <w:pPr>
              <w:spacing w:after="0"/>
              <w:rPr>
                <w:sz w:val="24"/>
                <w:szCs w:val="24"/>
                <w:color w:val="auto"/>
              </w:rPr>
            </w:pPr>
          </w:p>
        </w:tc>
        <w:tc>
          <w:tcPr>
            <w:tcW w:w="1280" w:type="dxa"/>
            <w:vAlign w:val="bottom"/>
            <w:gridSpan w:val="10"/>
          </w:tcPr>
          <w:p>
            <w:pPr>
              <w:spacing w:after="0"/>
              <w:rPr>
                <w:sz w:val="24"/>
                <w:szCs w:val="24"/>
                <w:color w:val="auto"/>
              </w:rPr>
            </w:pP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001-33296</w:t>
            </w:r>
          </w:p>
        </w:tc>
        <w:tc>
          <w:tcPr>
            <w:tcW w:w="7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97.1</w:t>
            </w:r>
          </w:p>
        </w:tc>
        <w:tc>
          <w:tcPr>
            <w:tcW w:w="360" w:type="dxa"/>
            <w:vAlign w:val="bottom"/>
          </w:tcPr>
          <w:p>
            <w:pPr>
              <w:spacing w:after="0"/>
              <w:rPr>
                <w:sz w:val="24"/>
                <w:szCs w:val="24"/>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3/18/2024</w:t>
            </w:r>
          </w:p>
        </w:tc>
        <w:tc>
          <w:tcPr>
            <w:tcW w:w="0" w:type="dxa"/>
            <w:vAlign w:val="bottom"/>
          </w:tcPr>
          <w:p>
            <w:pPr>
              <w:spacing w:after="0"/>
              <w:rPr>
                <w:sz w:val="1"/>
                <w:szCs w:val="1"/>
                <w:color w:val="auto"/>
              </w:rPr>
            </w:pPr>
          </w:p>
        </w:tc>
      </w:tr>
      <w:tr>
        <w:trPr>
          <w:trHeight w:val="318"/>
        </w:trPr>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99.1</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Modified First Amended Plan of Reorganization Under</w:t>
              </w:r>
            </w:hyperlink>
          </w:p>
        </w:tc>
        <w:tc>
          <w:tcPr>
            <w:tcW w:w="48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001-33296</w:t>
            </w:r>
          </w:p>
        </w:tc>
        <w:tc>
          <w:tcPr>
            <w:tcW w:w="7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360" w:type="dxa"/>
            <w:vAlign w:val="bottom"/>
          </w:tcPr>
          <w:p>
            <w:pPr>
              <w:spacing w:after="0"/>
              <w:rPr>
                <w:sz w:val="24"/>
                <w:szCs w:val="24"/>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6/27/2023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1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301">
              <w:r>
                <w:rPr>
                  <w:rFonts w:ascii="Times New Roman" w:cs="Times New Roman" w:eastAsia="Times New Roman" w:hAnsi="Times New Roman"/>
                  <w:sz w:val="18"/>
                  <w:szCs w:val="18"/>
                  <w:color w:val="0000FF"/>
                  <w:w w:val="99"/>
                </w:rPr>
                <w:t>Chapter 11 of the Bankruptcy Code, dated June 25, 2023.</w:t>
              </w:r>
            </w:hyperlink>
          </w:p>
        </w:tc>
        <w:tc>
          <w:tcPr>
            <w:tcW w:w="20" w:type="dxa"/>
            <w:vAlign w:val="bottom"/>
            <w:tcBorders>
              <w:bottom w:val="single" w:sz="8" w:color="0000EE"/>
            </w:tcBorders>
          </w:tcPr>
          <w:p>
            <w:pPr>
              <w:spacing w:after="0"/>
              <w:rPr>
                <w:sz w:val="17"/>
                <w:szCs w:val="17"/>
                <w:color w:val="auto"/>
              </w:rPr>
            </w:pPr>
          </w:p>
        </w:tc>
        <w:tc>
          <w:tcPr>
            <w:tcW w:w="3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4"/>
                <w:szCs w:val="24"/>
                <w:color w:val="auto"/>
              </w:rPr>
            </w:pPr>
          </w:p>
        </w:tc>
        <w:tc>
          <w:tcPr>
            <w:tcW w:w="45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Linkbase Documents.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920" w:right="4980" w:hanging="1808"/>
        <w:spacing w:after="0" w:line="260" w:lineRule="auto"/>
        <w:tabs>
          <w:tab w:leader="none" w:pos="143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8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u w:val="single" w:color="auto"/>
          <w:color w:val="auto"/>
        </w:rPr>
        <w:t>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95" w:name="page96"/>
    <w:bookmarkEnd w:id="9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1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NATIONAL CINEMEDIA, INC.</w:t>
      </w:r>
    </w:p>
    <w:p>
      <w:pPr>
        <w:spacing w:after="0" w:line="9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(Registrant)</w:t>
      </w:r>
    </w:p>
    <w:p>
      <w:pPr>
        <w:spacing w:after="0" w:line="387" w:lineRule="exact"/>
        <w:rPr>
          <w:sz w:val="20"/>
          <w:szCs w:val="20"/>
          <w:color w:val="auto"/>
        </w:rPr>
      </w:pPr>
    </w:p>
    <w:p>
      <w:pPr>
        <w:ind w:left="300"/>
        <w:spacing w:after="0"/>
        <w:tabs>
          <w:tab w:leader="none" w:pos="980" w:val="left"/>
          <w:tab w:leader="none" w:pos="68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6, 2025</w:t>
      </w:r>
      <w:r>
        <w:rPr>
          <w:sz w:val="20"/>
          <w:szCs w:val="20"/>
          <w:color w:val="auto"/>
        </w:rPr>
        <w:tab/>
      </w:r>
      <w:r>
        <w:rPr>
          <w:rFonts w:ascii="Times New Roman" w:cs="Times New Roman" w:eastAsia="Times New Roman" w:hAnsi="Times New Roman"/>
          <w:sz w:val="17"/>
          <w:szCs w:val="17"/>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34290</wp:posOffset>
            </wp:positionV>
            <wp:extent cx="138874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3">
                      <a:extLst>
                        <a:ext uri="{28A0092B-C50C-407E-A947-70E740481C1C}"/>
                      </a:extLst>
                    </a:blip>
                    <a:srcRect/>
                    <a:stretch>
                      <a:fillRect/>
                    </a:stretch>
                  </pic:blipFill>
                  <pic:spPr bwMode="auto">
                    <a:xfrm>
                      <a:off x="0" y="0"/>
                      <a:ext cx="138874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34290</wp:posOffset>
            </wp:positionV>
            <wp:extent cx="27946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Thomas F. Lesinski</w:t>
      </w:r>
    </w:p>
    <w:p>
      <w:pPr>
        <w:spacing w:after="0" w:line="8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9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9" w:right="479" w:bottom="1440" w:gutter="0" w:footer="0" w:header="0"/>
        </w:sectPr>
      </w:pPr>
    </w:p>
    <w:bookmarkStart w:id="96" w:name="page97"/>
    <w:bookmarkEnd w:id="96"/>
    <w:p>
      <w:pPr>
        <w:ind w:left="620"/>
        <w:spacing w:after="0"/>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 and in the capacities indicated on the 6th day of March, 2025.</w:t>
            </w:r>
          </w:p>
        </w:tc>
        <w:tc>
          <w:tcPr>
            <w:tcW w:w="18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373"/>
        </w:trPr>
        <w:tc>
          <w:tcPr>
            <w:tcW w:w="58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80" w:type="dxa"/>
            <w:vAlign w:val="bottom"/>
          </w:tcPr>
          <w:p>
            <w:pPr>
              <w:spacing w:after="0"/>
              <w:rPr>
                <w:sz w:val="24"/>
                <w:szCs w:val="24"/>
                <w:color w:val="auto"/>
              </w:rPr>
            </w:pPr>
          </w:p>
        </w:tc>
        <w:tc>
          <w:tcPr>
            <w:tcW w:w="418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7"/>
        </w:trPr>
        <w:tc>
          <w:tcPr>
            <w:tcW w:w="58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540"/>
        </w:trPr>
        <w:tc>
          <w:tcPr>
            <w:tcW w:w="580" w:type="dxa"/>
            <w:vAlign w:val="bottom"/>
          </w:tcPr>
          <w:p>
            <w:pPr>
              <w:spacing w:after="0"/>
              <w:rPr>
                <w:sz w:val="24"/>
                <w:szCs w:val="24"/>
                <w:color w:val="auto"/>
              </w:rPr>
            </w:pP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F. Lesinski</w:t>
            </w:r>
          </w:p>
        </w:tc>
        <w:tc>
          <w:tcPr>
            <w:tcW w:w="180" w:type="dxa"/>
            <w:vAlign w:val="bottom"/>
          </w:tcPr>
          <w:p>
            <w:pPr>
              <w:spacing w:after="0"/>
              <w:rPr>
                <w:sz w:val="24"/>
                <w:szCs w:val="24"/>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57"/>
        </w:trPr>
        <w:tc>
          <w:tcPr>
            <w:tcW w:w="580" w:type="dxa"/>
            <w:vAlign w:val="bottom"/>
          </w:tcPr>
          <w:p>
            <w:pPr>
              <w:spacing w:after="0"/>
              <w:rPr>
                <w:sz w:val="22"/>
                <w:szCs w:val="22"/>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Thomas F. Lesinski</w:t>
            </w:r>
          </w:p>
        </w:tc>
        <w:tc>
          <w:tcPr>
            <w:tcW w:w="180" w:type="dxa"/>
            <w:vAlign w:val="bottom"/>
          </w:tcPr>
          <w:p>
            <w:pPr>
              <w:spacing w:after="0"/>
              <w:rPr>
                <w:sz w:val="22"/>
                <w:szCs w:val="22"/>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74"/>
        </w:trPr>
        <w:tc>
          <w:tcPr>
            <w:tcW w:w="580" w:type="dxa"/>
            <w:vAlign w:val="bottom"/>
          </w:tcPr>
          <w:p>
            <w:pPr>
              <w:spacing w:after="0"/>
              <w:rPr>
                <w:sz w:val="24"/>
                <w:szCs w:val="24"/>
                <w:color w:val="auto"/>
              </w:rPr>
            </w:pPr>
          </w:p>
        </w:tc>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Ronnie Ng</w:t>
            </w:r>
          </w:p>
        </w:tc>
        <w:tc>
          <w:tcPr>
            <w:tcW w:w="180" w:type="dxa"/>
            <w:vAlign w:val="bottom"/>
          </w:tcPr>
          <w:p>
            <w:pPr>
              <w:spacing w:after="0"/>
              <w:rPr>
                <w:sz w:val="24"/>
                <w:szCs w:val="24"/>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57"/>
        </w:trPr>
        <w:tc>
          <w:tcPr>
            <w:tcW w:w="580" w:type="dxa"/>
            <w:vAlign w:val="bottom"/>
          </w:tcPr>
          <w:p>
            <w:pPr>
              <w:spacing w:after="0"/>
              <w:rPr>
                <w:sz w:val="22"/>
                <w:szCs w:val="22"/>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Ronnie Ng</w:t>
            </w:r>
          </w:p>
        </w:tc>
        <w:tc>
          <w:tcPr>
            <w:tcW w:w="180" w:type="dxa"/>
            <w:vAlign w:val="bottom"/>
          </w:tcPr>
          <w:p>
            <w:pPr>
              <w:spacing w:after="0"/>
              <w:rPr>
                <w:sz w:val="22"/>
                <w:szCs w:val="22"/>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574"/>
        </w:trPr>
        <w:tc>
          <w:tcPr>
            <w:tcW w:w="58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r>
      <w:tr>
        <w:trPr>
          <w:trHeight w:val="256"/>
        </w:trPr>
        <w:tc>
          <w:tcPr>
            <w:tcW w:w="580" w:type="dxa"/>
            <w:vAlign w:val="bottom"/>
          </w:tcPr>
          <w:p>
            <w:pPr>
              <w:spacing w:after="0"/>
              <w:rPr>
                <w:sz w:val="22"/>
                <w:szCs w:val="22"/>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Lauren Zalaznick</w:t>
            </w:r>
          </w:p>
        </w:tc>
        <w:tc>
          <w:tcPr>
            <w:tcW w:w="180" w:type="dxa"/>
            <w:vAlign w:val="bottom"/>
          </w:tcPr>
          <w:p>
            <w:pPr>
              <w:spacing w:after="0"/>
              <w:rPr>
                <w:sz w:val="22"/>
                <w:szCs w:val="22"/>
                <w:color w:val="auto"/>
              </w:rPr>
            </w:pPr>
          </w:p>
        </w:tc>
        <w:tc>
          <w:tcPr>
            <w:tcW w:w="4180" w:type="dxa"/>
            <w:vAlign w:val="bottom"/>
          </w:tcPr>
          <w:p>
            <w:pPr>
              <w:spacing w:after="0"/>
              <w:rPr>
                <w:sz w:val="22"/>
                <w:szCs w:val="22"/>
                <w:color w:val="auto"/>
              </w:rPr>
            </w:pPr>
          </w:p>
        </w:tc>
      </w:tr>
      <w:tr>
        <w:trPr>
          <w:trHeight w:val="574"/>
        </w:trPr>
        <w:tc>
          <w:tcPr>
            <w:tcW w:w="58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r>
      <w:tr>
        <w:trPr>
          <w:trHeight w:val="257"/>
        </w:trPr>
        <w:tc>
          <w:tcPr>
            <w:tcW w:w="580" w:type="dxa"/>
            <w:vAlign w:val="bottom"/>
          </w:tcPr>
          <w:p>
            <w:pPr>
              <w:spacing w:after="0"/>
              <w:rPr>
                <w:sz w:val="22"/>
                <w:szCs w:val="22"/>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Bernadette Aulestia</w:t>
            </w:r>
          </w:p>
        </w:tc>
        <w:tc>
          <w:tcPr>
            <w:tcW w:w="180" w:type="dxa"/>
            <w:vAlign w:val="bottom"/>
          </w:tcPr>
          <w:p>
            <w:pPr>
              <w:spacing w:after="0"/>
              <w:rPr>
                <w:sz w:val="22"/>
                <w:szCs w:val="22"/>
                <w:color w:val="auto"/>
              </w:rPr>
            </w:pPr>
          </w:p>
        </w:tc>
        <w:tc>
          <w:tcPr>
            <w:tcW w:w="4180" w:type="dxa"/>
            <w:vAlign w:val="bottom"/>
          </w:tcPr>
          <w:p>
            <w:pPr>
              <w:spacing w:after="0"/>
              <w:rPr>
                <w:sz w:val="22"/>
                <w:szCs w:val="22"/>
                <w:color w:val="auto"/>
              </w:rPr>
            </w:pPr>
          </w:p>
        </w:tc>
      </w:tr>
      <w:tr>
        <w:trPr>
          <w:trHeight w:val="574"/>
        </w:trPr>
        <w:tc>
          <w:tcPr>
            <w:tcW w:w="538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4"/>
                <w:szCs w:val="24"/>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r>
      <w:tr>
        <w:trPr>
          <w:trHeight w:val="257"/>
        </w:trPr>
        <w:tc>
          <w:tcPr>
            <w:tcW w:w="580" w:type="dxa"/>
            <w:vAlign w:val="bottom"/>
          </w:tcPr>
          <w:p>
            <w:pPr>
              <w:spacing w:after="0"/>
              <w:rPr>
                <w:sz w:val="22"/>
                <w:szCs w:val="22"/>
                <w:color w:val="auto"/>
              </w:rPr>
            </w:pPr>
          </w:p>
        </w:tc>
        <w:tc>
          <w:tcPr>
            <w:tcW w:w="4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Nicholas Bell</w:t>
            </w:r>
          </w:p>
        </w:tc>
        <w:tc>
          <w:tcPr>
            <w:tcW w:w="180" w:type="dxa"/>
            <w:vAlign w:val="bottom"/>
          </w:tcPr>
          <w:p>
            <w:pPr>
              <w:spacing w:after="0"/>
              <w:rPr>
                <w:sz w:val="22"/>
                <w:szCs w:val="22"/>
                <w:color w:val="auto"/>
              </w:rPr>
            </w:pPr>
          </w:p>
        </w:tc>
        <w:tc>
          <w:tcPr>
            <w:tcW w:w="4180" w:type="dxa"/>
            <w:vAlign w:val="bottom"/>
          </w:tcPr>
          <w:p>
            <w:pPr>
              <w:spacing w:after="0"/>
              <w:rPr>
                <w:sz w:val="22"/>
                <w:szCs w:val="22"/>
                <w:color w:val="auto"/>
              </w:rPr>
            </w:pPr>
          </w:p>
        </w:tc>
      </w:tr>
      <w:tr>
        <w:trPr>
          <w:trHeight w:val="574"/>
        </w:trPr>
        <w:tc>
          <w:tcPr>
            <w:tcW w:w="538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4"/>
                <w:szCs w:val="24"/>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r>
      <w:tr>
        <w:trPr>
          <w:trHeight w:val="257"/>
        </w:trPr>
        <w:tc>
          <w:tcPr>
            <w:tcW w:w="580" w:type="dxa"/>
            <w:vAlign w:val="bottom"/>
          </w:tcPr>
          <w:p>
            <w:pPr>
              <w:spacing w:after="0"/>
              <w:rPr>
                <w:sz w:val="22"/>
                <w:szCs w:val="22"/>
                <w:color w:val="auto"/>
              </w:rPr>
            </w:pPr>
          </w:p>
        </w:tc>
        <w:tc>
          <w:tcPr>
            <w:tcW w:w="4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Glazek</w:t>
            </w:r>
          </w:p>
        </w:tc>
        <w:tc>
          <w:tcPr>
            <w:tcW w:w="180" w:type="dxa"/>
            <w:vAlign w:val="bottom"/>
          </w:tcPr>
          <w:p>
            <w:pPr>
              <w:spacing w:after="0"/>
              <w:rPr>
                <w:sz w:val="22"/>
                <w:szCs w:val="22"/>
                <w:color w:val="auto"/>
              </w:rPr>
            </w:pPr>
          </w:p>
        </w:tc>
        <w:tc>
          <w:tcPr>
            <w:tcW w:w="4180" w:type="dxa"/>
            <w:vAlign w:val="bottom"/>
          </w:tcPr>
          <w:p>
            <w:pPr>
              <w:spacing w:after="0"/>
              <w:rPr>
                <w:sz w:val="22"/>
                <w:szCs w:val="22"/>
                <w:color w:val="auto"/>
              </w:rPr>
            </w:pPr>
          </w:p>
        </w:tc>
      </w:tr>
      <w:tr>
        <w:trPr>
          <w:trHeight w:val="574"/>
        </w:trPr>
        <w:tc>
          <w:tcPr>
            <w:tcW w:w="538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4"/>
                <w:szCs w:val="24"/>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r>
      <w:tr>
        <w:trPr>
          <w:trHeight w:val="257"/>
        </w:trPr>
        <w:tc>
          <w:tcPr>
            <w:tcW w:w="580" w:type="dxa"/>
            <w:vAlign w:val="bottom"/>
          </w:tcPr>
          <w:p>
            <w:pPr>
              <w:spacing w:after="0"/>
              <w:rPr>
                <w:sz w:val="22"/>
                <w:szCs w:val="22"/>
                <w:color w:val="auto"/>
              </w:rPr>
            </w:pPr>
          </w:p>
        </w:tc>
        <w:tc>
          <w:tcPr>
            <w:tcW w:w="4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Juliana F. Hill</w:t>
            </w:r>
          </w:p>
        </w:tc>
        <w:tc>
          <w:tcPr>
            <w:tcW w:w="180" w:type="dxa"/>
            <w:vAlign w:val="bottom"/>
          </w:tcPr>
          <w:p>
            <w:pPr>
              <w:spacing w:after="0"/>
              <w:rPr>
                <w:sz w:val="22"/>
                <w:szCs w:val="22"/>
                <w:color w:val="auto"/>
              </w:rPr>
            </w:pPr>
          </w:p>
        </w:tc>
        <w:tc>
          <w:tcPr>
            <w:tcW w:w="4180" w:type="dxa"/>
            <w:vAlign w:val="bottom"/>
          </w:tcPr>
          <w:p>
            <w:pPr>
              <w:spacing w:after="0"/>
              <w:rPr>
                <w:sz w:val="22"/>
                <w:szCs w:val="22"/>
                <w:color w:val="auto"/>
              </w:rPr>
            </w:pPr>
          </w:p>
        </w:tc>
      </w:tr>
      <w:tr>
        <w:trPr>
          <w:trHeight w:val="574"/>
        </w:trPr>
        <w:tc>
          <w:tcPr>
            <w:tcW w:w="538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4"/>
                <w:szCs w:val="24"/>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r>
      <w:tr>
        <w:trPr>
          <w:trHeight w:val="257"/>
        </w:trPr>
        <w:tc>
          <w:tcPr>
            <w:tcW w:w="580" w:type="dxa"/>
            <w:vAlign w:val="bottom"/>
          </w:tcPr>
          <w:p>
            <w:pPr>
              <w:spacing w:after="0"/>
              <w:rPr>
                <w:sz w:val="22"/>
                <w:szCs w:val="22"/>
                <w:color w:val="auto"/>
              </w:rPr>
            </w:pPr>
          </w:p>
        </w:tc>
        <w:tc>
          <w:tcPr>
            <w:tcW w:w="4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Nathan Lane</w:t>
            </w:r>
          </w:p>
        </w:tc>
        <w:tc>
          <w:tcPr>
            <w:tcW w:w="180" w:type="dxa"/>
            <w:vAlign w:val="bottom"/>
          </w:tcPr>
          <w:p>
            <w:pPr>
              <w:spacing w:after="0"/>
              <w:rPr>
                <w:sz w:val="22"/>
                <w:szCs w:val="22"/>
                <w:color w:val="auto"/>
              </w:rPr>
            </w:pPr>
          </w:p>
        </w:tc>
        <w:tc>
          <w:tcPr>
            <w:tcW w:w="4180" w:type="dxa"/>
            <w:vAlign w:val="bottom"/>
          </w:tcPr>
          <w:p>
            <w:pPr>
              <w:spacing w:after="0"/>
              <w:rPr>
                <w:sz w:val="22"/>
                <w:szCs w:val="22"/>
                <w:color w:val="auto"/>
              </w:rPr>
            </w:pPr>
          </w:p>
        </w:tc>
      </w:tr>
      <w:tr>
        <w:trPr>
          <w:trHeight w:val="574"/>
        </w:trPr>
        <w:tc>
          <w:tcPr>
            <w:tcW w:w="58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r>
      <w:tr>
        <w:trPr>
          <w:trHeight w:val="257"/>
        </w:trPr>
        <w:tc>
          <w:tcPr>
            <w:tcW w:w="580" w:type="dxa"/>
            <w:vAlign w:val="bottom"/>
          </w:tcPr>
          <w:p>
            <w:pPr>
              <w:spacing w:after="0"/>
              <w:rPr>
                <w:sz w:val="22"/>
                <w:szCs w:val="22"/>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Jean-Philippe Maheu</w:t>
            </w:r>
          </w:p>
        </w:tc>
        <w:tc>
          <w:tcPr>
            <w:tcW w:w="180" w:type="dxa"/>
            <w:vAlign w:val="bottom"/>
          </w:tcPr>
          <w:p>
            <w:pPr>
              <w:spacing w:after="0"/>
              <w:rPr>
                <w:sz w:val="22"/>
                <w:szCs w:val="22"/>
                <w:color w:val="auto"/>
              </w:rPr>
            </w:pPr>
          </w:p>
        </w:tc>
        <w:tc>
          <w:tcPr>
            <w:tcW w:w="4180" w:type="dxa"/>
            <w:vAlign w:val="bottom"/>
          </w:tcPr>
          <w:p>
            <w:pPr>
              <w:spacing w:after="0"/>
              <w:rPr>
                <w:sz w:val="22"/>
                <w:szCs w:val="22"/>
                <w:color w:val="auto"/>
              </w:rPr>
            </w:pPr>
          </w:p>
        </w:tc>
      </w:tr>
      <w:tr>
        <w:trPr>
          <w:trHeight w:val="574"/>
        </w:trPr>
        <w:tc>
          <w:tcPr>
            <w:tcW w:w="538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4"/>
                <w:szCs w:val="24"/>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r>
      <w:tr>
        <w:trPr>
          <w:trHeight w:val="257"/>
        </w:trPr>
        <w:tc>
          <w:tcPr>
            <w:tcW w:w="580" w:type="dxa"/>
            <w:vAlign w:val="bottom"/>
          </w:tcPr>
          <w:p>
            <w:pPr>
              <w:spacing w:after="0"/>
              <w:rPr>
                <w:sz w:val="22"/>
                <w:szCs w:val="22"/>
                <w:color w:val="auto"/>
              </w:rPr>
            </w:pPr>
          </w:p>
        </w:tc>
        <w:tc>
          <w:tcPr>
            <w:tcW w:w="4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Joseph Marchese</w:t>
            </w:r>
          </w:p>
        </w:tc>
        <w:tc>
          <w:tcPr>
            <w:tcW w:w="180" w:type="dxa"/>
            <w:vAlign w:val="bottom"/>
          </w:tcPr>
          <w:p>
            <w:pPr>
              <w:spacing w:after="0"/>
              <w:rPr>
                <w:sz w:val="22"/>
                <w:szCs w:val="22"/>
                <w:color w:val="auto"/>
              </w:rPr>
            </w:pPr>
          </w:p>
        </w:tc>
        <w:tc>
          <w:tcPr>
            <w:tcW w:w="4180" w:type="dxa"/>
            <w:vAlign w:val="bottom"/>
          </w:tcPr>
          <w:p>
            <w:pPr>
              <w:spacing w:after="0"/>
              <w:rPr>
                <w:sz w:val="22"/>
                <w:szCs w:val="22"/>
                <w:color w:val="auto"/>
              </w:rPr>
            </w:pPr>
          </w:p>
        </w:tc>
      </w:tr>
      <w:tr>
        <w:trPr>
          <w:trHeight w:val="574"/>
        </w:trPr>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*By:  /s/ Maria Woods</w:t>
            </w:r>
          </w:p>
        </w:tc>
        <w:tc>
          <w:tcPr>
            <w:tcW w:w="180" w:type="dxa"/>
            <w:vAlign w:val="bottom"/>
          </w:tcPr>
          <w:p>
            <w:pPr>
              <w:spacing w:after="0"/>
              <w:rPr>
                <w:sz w:val="24"/>
                <w:szCs w:val="24"/>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Attorney-in-fact</w:t>
            </w:r>
          </w:p>
        </w:tc>
      </w:tr>
      <w:tr>
        <w:trPr>
          <w:trHeight w:val="257"/>
        </w:trPr>
        <w:tc>
          <w:tcPr>
            <w:tcW w:w="580" w:type="dxa"/>
            <w:vAlign w:val="bottom"/>
          </w:tcPr>
          <w:p>
            <w:pPr>
              <w:spacing w:after="0"/>
              <w:rPr>
                <w:sz w:val="22"/>
                <w:szCs w:val="22"/>
                <w:color w:val="auto"/>
              </w:rPr>
            </w:pPr>
          </w:p>
        </w:tc>
        <w:tc>
          <w:tcPr>
            <w:tcW w:w="4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Maria Woods</w:t>
            </w:r>
          </w:p>
        </w:tc>
        <w:tc>
          <w:tcPr>
            <w:tcW w:w="180" w:type="dxa"/>
            <w:vAlign w:val="bottom"/>
          </w:tcPr>
          <w:p>
            <w:pPr>
              <w:spacing w:after="0"/>
              <w:rPr>
                <w:sz w:val="22"/>
                <w:szCs w:val="22"/>
                <w:color w:val="auto"/>
              </w:rPr>
            </w:pPr>
          </w:p>
        </w:tc>
        <w:tc>
          <w:tcPr>
            <w:tcW w:w="418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93" w:right="51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8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0"/>
          <w:szCs w:val="20"/>
          <w:b w:val="1"/>
          <w:bCs w:val="1"/>
          <w:color w:val="auto"/>
        </w:rPr>
        <w:t>BYLAWS</w:t>
      </w:r>
    </w:p>
    <w:p>
      <w:pPr>
        <w:spacing w:after="0" w:line="8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8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9"/>
          <w:szCs w:val="19"/>
          <w:b w:val="1"/>
          <w:bCs w:val="1"/>
          <w:color w:val="auto"/>
        </w:rPr>
        <w:t>NATIONAL CINEMEDIA, INC.</w:t>
      </w:r>
    </w:p>
    <w:p>
      <w:pPr>
        <w:spacing w:after="0" w:line="9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20"/>
          <w:szCs w:val="20"/>
          <w:color w:val="auto"/>
        </w:rPr>
        <w:t>As amended February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892810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98" w:name="page99"/>
    <w:bookmarkEnd w:id="98"/>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INDEX TO AMENDED AND RESTATED BYLAWS</w:t>
      </w:r>
    </w:p>
    <w:p>
      <w:pPr>
        <w:spacing w:after="0" w:line="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OF</w:t>
      </w: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NATIONAL CINEMEDIA, INC.</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Section</w:t>
            </w:r>
          </w:p>
        </w:tc>
        <w:tc>
          <w:tcPr>
            <w:tcW w:w="780" w:type="dxa"/>
            <w:vAlign w:val="bottom"/>
            <w:tcBorders>
              <w:bottom w:val="single" w:sz="8" w:color="auto"/>
            </w:tcBorders>
          </w:tcPr>
          <w:p>
            <w:pPr>
              <w:spacing w:after="0"/>
              <w:rPr>
                <w:sz w:val="22"/>
                <w:szCs w:val="22"/>
                <w:color w:val="auto"/>
              </w:rPr>
            </w:pPr>
          </w:p>
        </w:tc>
        <w:tc>
          <w:tcPr>
            <w:tcW w:w="88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436"/>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ARTICLE I</w:t>
            </w:r>
          </w:p>
        </w:tc>
        <w:tc>
          <w:tcPr>
            <w:tcW w:w="9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Offices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1.01</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Business Offices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8"/>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1.02</w:t>
            </w:r>
          </w:p>
        </w:tc>
        <w:tc>
          <w:tcPr>
            <w:tcW w:w="780" w:type="dxa"/>
            <w:vAlign w:val="bottom"/>
          </w:tcPr>
          <w:p>
            <w:pPr>
              <w:spacing w:after="0"/>
              <w:rPr>
                <w:sz w:val="22"/>
                <w:szCs w:val="22"/>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Registered Office</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430"/>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ARTICLE II</w:t>
            </w:r>
          </w:p>
        </w:tc>
        <w:tc>
          <w:tcPr>
            <w:tcW w:w="96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Stockholders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29"/>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2.01</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Annual Meeting</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2.02</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Special Meetings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29"/>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2.03</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Place of Meeting</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29"/>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2.04</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Notice of Meetings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2.05</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Fixing Date for Determination of Stockholders of Record.</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29"/>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2.06</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Voting List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29"/>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2.07</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Proxies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30"/>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2.08</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Quorum and Manner of Acting</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29"/>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2.09</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Nominations for the Election of Directors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30"/>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2.10</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Other Stockholder Proposals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29"/>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2.11</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Stockholder Action by Written Consent Without a Meeting</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30"/>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2.12</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Conduct of Business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58"/>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2.13</w:t>
            </w:r>
          </w:p>
        </w:tc>
        <w:tc>
          <w:tcPr>
            <w:tcW w:w="780" w:type="dxa"/>
            <w:vAlign w:val="bottom"/>
          </w:tcPr>
          <w:p>
            <w:pPr>
              <w:spacing w:after="0"/>
              <w:rPr>
                <w:sz w:val="22"/>
                <w:szCs w:val="22"/>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Inspector of Elections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430"/>
        </w:trPr>
        <w:tc>
          <w:tcPr>
            <w:tcW w:w="10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III  Board of Directors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30"/>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3.01</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General Powers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30"/>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3.02</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Number, Tenure and Qualifications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29"/>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3.03</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Resignation</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30"/>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3.04</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Regular Meetings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30"/>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3.05</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Special Meetings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30"/>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3.06</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Meetings by Telephone</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29"/>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3.07</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Notice of Meetings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30"/>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3.08</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Quorum and Manner of Acting</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30"/>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3.09</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Action Without a Meeting</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30"/>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3.10</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Executive and Other Committees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29"/>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3.11</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Compensation</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58"/>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3.12</w:t>
            </w:r>
          </w:p>
        </w:tc>
        <w:tc>
          <w:tcPr>
            <w:tcW w:w="780" w:type="dxa"/>
            <w:vAlign w:val="bottom"/>
          </w:tcPr>
          <w:p>
            <w:pPr>
              <w:spacing w:after="0"/>
              <w:rPr>
                <w:sz w:val="22"/>
                <w:szCs w:val="22"/>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Removal of Directors; Vacancies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430"/>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w w:val="97"/>
              </w:rPr>
              <w:t>ARTICLE IV</w:t>
            </w:r>
          </w:p>
        </w:tc>
        <w:tc>
          <w:tcPr>
            <w:tcW w:w="96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Officers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29"/>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4.01</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Number and Qualifications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30"/>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4.02</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Election and Term of Office</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30"/>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4.03</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Compensation</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29"/>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4.04</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Resignation</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30"/>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4.05</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Removal</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29"/>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4.06</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Vacancies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30"/>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4.07</w:t>
            </w:r>
          </w:p>
        </w:tc>
        <w:tc>
          <w:tcPr>
            <w:tcW w:w="780" w:type="dxa"/>
            <w:vAlign w:val="bottom"/>
          </w:tcPr>
          <w:p>
            <w:pPr>
              <w:spacing w:after="0"/>
              <w:rPr>
                <w:sz w:val="19"/>
                <w:szCs w:val="19"/>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Authority and Duties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58"/>
        </w:trPr>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Section 4.08</w:t>
            </w:r>
          </w:p>
        </w:tc>
        <w:tc>
          <w:tcPr>
            <w:tcW w:w="780" w:type="dxa"/>
            <w:vAlign w:val="bottom"/>
          </w:tcPr>
          <w:p>
            <w:pPr>
              <w:spacing w:after="0"/>
              <w:rPr>
                <w:sz w:val="22"/>
                <w:szCs w:val="22"/>
                <w:color w:val="auto"/>
              </w:rPr>
            </w:pPr>
          </w:p>
        </w:tc>
        <w:tc>
          <w:tcPr>
            <w:tcW w:w="88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Surety Bonds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481330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9"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ARTICLE V</w:t>
            </w:r>
          </w:p>
        </w:tc>
        <w:tc>
          <w:tcPr>
            <w:tcW w:w="7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Stock</w:t>
            </w:r>
          </w:p>
        </w:tc>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30"/>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Section 5.01</w:t>
            </w:r>
          </w:p>
        </w:tc>
        <w:tc>
          <w:tcPr>
            <w:tcW w:w="722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Issuance of Shares</w:t>
            </w:r>
          </w:p>
        </w:tc>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29"/>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Section 5.02</w:t>
            </w:r>
          </w:p>
        </w:tc>
        <w:tc>
          <w:tcPr>
            <w:tcW w:w="722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Transfer of Shares</w:t>
            </w:r>
          </w:p>
        </w:tc>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29"/>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Section 5.03</w:t>
            </w:r>
          </w:p>
        </w:tc>
        <w:tc>
          <w:tcPr>
            <w:tcW w:w="722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Registered Holders</w:t>
            </w:r>
          </w:p>
        </w:tc>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30"/>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Section 5.04</w:t>
            </w:r>
          </w:p>
        </w:tc>
        <w:tc>
          <w:tcPr>
            <w:tcW w:w="722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Transfer Agents, Registrars and Paying Agents</w:t>
            </w:r>
          </w:p>
        </w:tc>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58"/>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Section 5.05</w:t>
            </w:r>
          </w:p>
        </w:tc>
        <w:tc>
          <w:tcPr>
            <w:tcW w:w="722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Lost, Stolen or Destroyed Certificates</w:t>
            </w:r>
          </w:p>
        </w:tc>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430"/>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ARTICLE VI</w:t>
            </w:r>
          </w:p>
        </w:tc>
        <w:tc>
          <w:tcPr>
            <w:tcW w:w="72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Indemnification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29"/>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Section 6.01</w:t>
            </w:r>
          </w:p>
        </w:tc>
        <w:tc>
          <w:tcPr>
            <w:tcW w:w="722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Right to Indemnification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58"/>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Section 6.02</w:t>
            </w:r>
          </w:p>
        </w:tc>
        <w:tc>
          <w:tcPr>
            <w:tcW w:w="722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Insurance</w:t>
            </w:r>
          </w:p>
        </w:tc>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430"/>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ARTICLE VII</w:t>
            </w:r>
          </w:p>
        </w:tc>
        <w:tc>
          <w:tcPr>
            <w:tcW w:w="72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Miscellaneous</w:t>
            </w:r>
          </w:p>
        </w:tc>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30"/>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Section 7.01</w:t>
            </w:r>
          </w:p>
        </w:tc>
        <w:tc>
          <w:tcPr>
            <w:tcW w:w="722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Notice by Electronic Transmission</w:t>
            </w:r>
          </w:p>
        </w:tc>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29"/>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Section 7.02</w:t>
            </w:r>
          </w:p>
        </w:tc>
        <w:tc>
          <w:tcPr>
            <w:tcW w:w="722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Waivers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30"/>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Section 7.03</w:t>
            </w:r>
          </w:p>
        </w:tc>
        <w:tc>
          <w:tcPr>
            <w:tcW w:w="722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Presumption of Assent</w:t>
            </w:r>
          </w:p>
        </w:tc>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29"/>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Section 7.04</w:t>
            </w:r>
          </w:p>
        </w:tc>
        <w:tc>
          <w:tcPr>
            <w:tcW w:w="722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Voting of Securities by the Corporation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29"/>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Section 7.05</w:t>
            </w:r>
          </w:p>
        </w:tc>
        <w:tc>
          <w:tcPr>
            <w:tcW w:w="722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Authorized Signatories</w:t>
            </w:r>
          </w:p>
        </w:tc>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30"/>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Section 7.06</w:t>
            </w:r>
          </w:p>
        </w:tc>
        <w:tc>
          <w:tcPr>
            <w:tcW w:w="722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Seal</w:t>
            </w:r>
          </w:p>
        </w:tc>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29"/>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Section 7.07</w:t>
            </w:r>
          </w:p>
        </w:tc>
        <w:tc>
          <w:tcPr>
            <w:tcW w:w="722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Fiscal Year</w:t>
            </w:r>
          </w:p>
        </w:tc>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58"/>
        </w:trPr>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Section 7.08</w:t>
            </w:r>
          </w:p>
        </w:tc>
        <w:tc>
          <w:tcPr>
            <w:tcW w:w="722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Amendments</w:t>
            </w:r>
          </w:p>
        </w:tc>
        <w:tc>
          <w:tcPr>
            <w:tcW w:w="2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481330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2" w:right="359" w:bottom="1440" w:gutter="0" w:footer="0" w:header="0"/>
        </w:sectPr>
      </w:pPr>
    </w:p>
    <w:bookmarkStart w:id="100" w:name="page101"/>
    <w:bookmarkEnd w:id="100"/>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AMENDED AND RESTATED BYLAWS</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OF</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NATIONAL CINEMEDIA, INC.</w:t>
      </w:r>
    </w:p>
    <w:p>
      <w:pPr>
        <w:spacing w:after="0" w:line="19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ARTICLE I</w:t>
      </w:r>
    </w:p>
    <w:p>
      <w:pPr>
        <w:spacing w:after="0" w:line="2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auto"/>
        </w:rPr>
        <w:t>Offices</w:t>
      </w:r>
    </w:p>
    <w:p>
      <w:pPr>
        <w:spacing w:after="0" w:line="194" w:lineRule="exact"/>
        <w:rPr>
          <w:sz w:val="20"/>
          <w:szCs w:val="20"/>
          <w:color w:val="auto"/>
        </w:rPr>
      </w:pPr>
    </w:p>
    <w:p>
      <w:pPr>
        <w:jc w:val="both"/>
        <w:ind w:firstLine="374"/>
        <w:spacing w:after="0" w:line="295" w:lineRule="auto"/>
        <w:rPr>
          <w:sz w:val="20"/>
          <w:szCs w:val="20"/>
          <w:color w:val="auto"/>
        </w:rPr>
      </w:pPr>
      <w:r>
        <w:rPr>
          <w:rFonts w:ascii="Times New Roman" w:cs="Times New Roman" w:eastAsia="Times New Roman" w:hAnsi="Times New Roman"/>
          <w:sz w:val="19"/>
          <w:szCs w:val="19"/>
          <w:color w:val="auto"/>
        </w:rPr>
        <w:t xml:space="preserve">Section 1.01 </w:t>
      </w:r>
      <w:r>
        <w:rPr>
          <w:rFonts w:ascii="Times New Roman" w:cs="Times New Roman" w:eastAsia="Times New Roman" w:hAnsi="Times New Roman"/>
          <w:sz w:val="19"/>
          <w:szCs w:val="19"/>
          <w:u w:val="single" w:color="auto"/>
          <w:color w:val="auto"/>
        </w:rPr>
        <w:t>Business Offices</w:t>
      </w:r>
      <w:r>
        <w:rPr>
          <w:rFonts w:ascii="Times New Roman" w:cs="Times New Roman" w:eastAsia="Times New Roman" w:hAnsi="Times New Roman"/>
          <w:sz w:val="19"/>
          <w:szCs w:val="19"/>
          <w:color w:val="auto"/>
        </w:rPr>
        <w:t>. National CineMedia, Inc. (the “</w:t>
      </w:r>
      <w:r>
        <w:rPr>
          <w:rFonts w:ascii="Times New Roman" w:cs="Times New Roman" w:eastAsia="Times New Roman" w:hAnsi="Times New Roman"/>
          <w:sz w:val="19"/>
          <w:szCs w:val="19"/>
          <w:u w:val="single" w:color="auto"/>
          <w:color w:val="auto"/>
        </w:rPr>
        <w:t>Corporation</w:t>
      </w:r>
      <w:r>
        <w:rPr>
          <w:rFonts w:ascii="Times New Roman" w:cs="Times New Roman" w:eastAsia="Times New Roman" w:hAnsi="Times New Roman"/>
          <w:sz w:val="19"/>
          <w:szCs w:val="19"/>
          <w:color w:val="auto"/>
        </w:rPr>
        <w:t>”) may have such offices, either within or outside Delaware, as the board of directors of the Corporation (the “</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may from time to time determine or as the business of the Corporation may require.</w:t>
      </w:r>
    </w:p>
    <w:p>
      <w:pPr>
        <w:spacing w:after="0" w:line="138" w:lineRule="exact"/>
        <w:rPr>
          <w:sz w:val="20"/>
          <w:szCs w:val="20"/>
          <w:color w:val="auto"/>
        </w:rPr>
      </w:pPr>
    </w:p>
    <w:p>
      <w:pPr>
        <w:ind w:right="560" w:firstLine="374"/>
        <w:spacing w:after="0" w:line="254" w:lineRule="auto"/>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Registered Office</w:t>
      </w:r>
      <w:r>
        <w:rPr>
          <w:rFonts w:ascii="Times New Roman" w:cs="Times New Roman" w:eastAsia="Times New Roman" w:hAnsi="Times New Roman"/>
          <w:sz w:val="20"/>
          <w:szCs w:val="20"/>
          <w:color w:val="auto"/>
        </w:rPr>
        <w:t>. The registered office of the Corporation required by the General Corporation Law of the State of Delaware (the “</w:t>
      </w:r>
      <w:r>
        <w:rPr>
          <w:rFonts w:ascii="Times New Roman" w:cs="Times New Roman" w:eastAsia="Times New Roman" w:hAnsi="Times New Roman"/>
          <w:sz w:val="20"/>
          <w:szCs w:val="20"/>
          <w:u w:val="single" w:color="auto"/>
          <w:color w:val="auto"/>
        </w:rPr>
        <w:t>DGCL</w:t>
      </w:r>
      <w:r>
        <w:rPr>
          <w:rFonts w:ascii="Times New Roman" w:cs="Times New Roman" w:eastAsia="Times New Roman" w:hAnsi="Times New Roman"/>
          <w:sz w:val="20"/>
          <w:szCs w:val="20"/>
          <w:color w:val="auto"/>
        </w:rPr>
        <w:t>”) to be maintained in Delaware shall be as set forth in the certificate of incorporation of the Corporation (the “</w:t>
      </w:r>
      <w:r>
        <w:rPr>
          <w:rFonts w:ascii="Times New Roman" w:cs="Times New Roman" w:eastAsia="Times New Roman" w:hAnsi="Times New Roman"/>
          <w:sz w:val="20"/>
          <w:szCs w:val="20"/>
          <w:u w:val="single" w:color="auto"/>
          <w:color w:val="auto"/>
        </w:rPr>
        <w:t>Certificate of Incorporation</w:t>
      </w:r>
      <w:r>
        <w:rPr>
          <w:rFonts w:ascii="Times New Roman" w:cs="Times New Roman" w:eastAsia="Times New Roman" w:hAnsi="Times New Roman"/>
          <w:sz w:val="20"/>
          <w:szCs w:val="20"/>
          <w:color w:val="auto"/>
        </w:rPr>
        <w:t>”), unless changed as provided by law.</w:t>
      </w:r>
    </w:p>
    <w:p>
      <w:pPr>
        <w:spacing w:after="0" w:line="17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color w:val="auto"/>
        </w:rPr>
        <w:t>ARTICLE II</w:t>
      </w:r>
    </w:p>
    <w:p>
      <w:pPr>
        <w:spacing w:after="0" w:line="2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Stockholders</w:t>
      </w:r>
    </w:p>
    <w:p>
      <w:pPr>
        <w:spacing w:after="0" w:line="194" w:lineRule="exact"/>
        <w:rPr>
          <w:sz w:val="20"/>
          <w:szCs w:val="20"/>
          <w:color w:val="auto"/>
        </w:rPr>
      </w:pPr>
    </w:p>
    <w:p>
      <w:pPr>
        <w:ind w:right="260" w:firstLine="374"/>
        <w:spacing w:after="0" w:line="245" w:lineRule="auto"/>
        <w:rPr>
          <w:sz w:val="20"/>
          <w:szCs w:val="20"/>
          <w:color w:val="auto"/>
        </w:rPr>
      </w:pPr>
      <w:r>
        <w:rPr>
          <w:rFonts w:ascii="Times New Roman" w:cs="Times New Roman" w:eastAsia="Times New Roman" w:hAnsi="Times New Roman"/>
          <w:sz w:val="20"/>
          <w:szCs w:val="20"/>
          <w:color w:val="auto"/>
        </w:rPr>
        <w:t xml:space="preserve">Section 2.01 </w:t>
      </w:r>
      <w:r>
        <w:rPr>
          <w:rFonts w:ascii="Times New Roman" w:cs="Times New Roman" w:eastAsia="Times New Roman" w:hAnsi="Times New Roman"/>
          <w:sz w:val="20"/>
          <w:szCs w:val="20"/>
          <w:u w:val="single" w:color="auto"/>
          <w:color w:val="auto"/>
        </w:rPr>
        <w:t>Annual Meeting</w:t>
      </w:r>
      <w:r>
        <w:rPr>
          <w:rFonts w:ascii="Times New Roman" w:cs="Times New Roman" w:eastAsia="Times New Roman" w:hAnsi="Times New Roman"/>
          <w:sz w:val="20"/>
          <w:szCs w:val="20"/>
          <w:color w:val="auto"/>
        </w:rPr>
        <w:t>. An annual meeting of the stockholders of the Corporation shall be held on such date as may be determined by the Board, for the purpose of electing directors and for the transaction of such other business as may come before such meeting. If the election of directors of the Corporation shall not be held on the day designated for any such meeting, or at any adjournment thereof, the Board shall cause the election to be held at a meeting of the stockholders of the Corporation as soon thereafter as conveniently may be held. Failure to hold an annual meeting of the stockholders of the Corporation as required by these Bylaws shall not invalidate any action taken by the Board or by the officers of the Corporation.</w:t>
      </w:r>
    </w:p>
    <w:p>
      <w:pPr>
        <w:spacing w:after="0" w:line="184" w:lineRule="exact"/>
        <w:rPr>
          <w:sz w:val="20"/>
          <w:szCs w:val="20"/>
          <w:color w:val="auto"/>
        </w:rPr>
      </w:pPr>
    </w:p>
    <w:p>
      <w:pPr>
        <w:ind w:right="120" w:firstLine="374"/>
        <w:spacing w:after="0" w:line="246" w:lineRule="auto"/>
        <w:rPr>
          <w:sz w:val="20"/>
          <w:szCs w:val="20"/>
          <w:color w:val="auto"/>
        </w:rPr>
      </w:pPr>
      <w:r>
        <w:rPr>
          <w:rFonts w:ascii="Times New Roman" w:cs="Times New Roman" w:eastAsia="Times New Roman" w:hAnsi="Times New Roman"/>
          <w:sz w:val="20"/>
          <w:szCs w:val="20"/>
          <w:color w:val="auto"/>
        </w:rPr>
        <w:t xml:space="preserve">Section 2.02 </w:t>
      </w:r>
      <w:r>
        <w:rPr>
          <w:rFonts w:ascii="Times New Roman" w:cs="Times New Roman" w:eastAsia="Times New Roman" w:hAnsi="Times New Roman"/>
          <w:sz w:val="20"/>
          <w:szCs w:val="20"/>
          <w:u w:val="single" w:color="auto"/>
          <w:color w:val="auto"/>
        </w:rPr>
        <w:t>Special Meetings</w:t>
      </w:r>
      <w:r>
        <w:rPr>
          <w:rFonts w:ascii="Times New Roman" w:cs="Times New Roman" w:eastAsia="Times New Roman" w:hAnsi="Times New Roman"/>
          <w:sz w:val="20"/>
          <w:szCs w:val="20"/>
          <w:color w:val="auto"/>
        </w:rPr>
        <w:t>. Special meetings of the stockholders of the Corporation, for any purpose or purposes, unless otherwise prescribed by law or the Certificate of Incorporation, may be called only by the Board pursuant to a resolution approved by the affirmative vote of a majority of the directors of the Corporation then in office. Such resolution of the Board shall state the purpose or purposes of such proposed meeting. Business transacted at any special meetings of the stockholders shall be limited to the purpose or purposes stated in the notice.</w:t>
      </w:r>
    </w:p>
    <w:p>
      <w:pPr>
        <w:spacing w:after="0" w:line="185" w:lineRule="exact"/>
        <w:rPr>
          <w:sz w:val="20"/>
          <w:szCs w:val="20"/>
          <w:color w:val="auto"/>
        </w:rPr>
      </w:pPr>
    </w:p>
    <w:p>
      <w:pPr>
        <w:ind w:right="60" w:firstLine="374"/>
        <w:spacing w:after="0" w:line="249" w:lineRule="auto"/>
        <w:rPr>
          <w:sz w:val="20"/>
          <w:szCs w:val="20"/>
          <w:color w:val="auto"/>
        </w:rPr>
      </w:pPr>
      <w:r>
        <w:rPr>
          <w:rFonts w:ascii="Times New Roman" w:cs="Times New Roman" w:eastAsia="Times New Roman" w:hAnsi="Times New Roman"/>
          <w:sz w:val="20"/>
          <w:szCs w:val="20"/>
          <w:color w:val="auto"/>
        </w:rPr>
        <w:t xml:space="preserve">Section 2.03 </w:t>
      </w:r>
      <w:r>
        <w:rPr>
          <w:rFonts w:ascii="Times New Roman" w:cs="Times New Roman" w:eastAsia="Times New Roman" w:hAnsi="Times New Roman"/>
          <w:sz w:val="20"/>
          <w:szCs w:val="20"/>
          <w:u w:val="single" w:color="auto"/>
          <w:color w:val="auto"/>
        </w:rPr>
        <w:t>Place of Meeting</w:t>
      </w:r>
      <w:r>
        <w:rPr>
          <w:rFonts w:ascii="Times New Roman" w:cs="Times New Roman" w:eastAsia="Times New Roman" w:hAnsi="Times New Roman"/>
          <w:sz w:val="20"/>
          <w:szCs w:val="20"/>
          <w:color w:val="auto"/>
        </w:rPr>
        <w:t>. Each meeting of the stockholders of the Corporation shall be held at such place, either within or outside Delaware, as may be designated in the notice of such meeting, or, if no place is designated in such notice, at the principal office of the Corporation. The Board may, in its sole discretion, determine that a meeting of stockholders shall not be held at any time, but may instead be held solely by means of remote communications in accordance with the DGCL.</w:t>
      </w:r>
    </w:p>
    <w:p>
      <w:pPr>
        <w:spacing w:after="0" w:line="180" w:lineRule="exact"/>
        <w:rPr>
          <w:sz w:val="20"/>
          <w:szCs w:val="20"/>
          <w:color w:val="auto"/>
        </w:rPr>
      </w:pPr>
    </w:p>
    <w:p>
      <w:pPr>
        <w:ind w:right="40" w:firstLine="374"/>
        <w:spacing w:after="0" w:line="243" w:lineRule="auto"/>
        <w:rPr>
          <w:sz w:val="20"/>
          <w:szCs w:val="20"/>
          <w:color w:val="auto"/>
        </w:rPr>
      </w:pPr>
      <w:r>
        <w:rPr>
          <w:rFonts w:ascii="Times New Roman" w:cs="Times New Roman" w:eastAsia="Times New Roman" w:hAnsi="Times New Roman"/>
          <w:sz w:val="20"/>
          <w:szCs w:val="20"/>
          <w:color w:val="auto"/>
        </w:rPr>
        <w:t xml:space="preserve">Section 2.04 </w:t>
      </w:r>
      <w:r>
        <w:rPr>
          <w:rFonts w:ascii="Times New Roman" w:cs="Times New Roman" w:eastAsia="Times New Roman" w:hAnsi="Times New Roman"/>
          <w:sz w:val="20"/>
          <w:szCs w:val="20"/>
          <w:u w:val="single" w:color="auto"/>
          <w:color w:val="auto"/>
        </w:rPr>
        <w:t>Notice of Meetings</w:t>
      </w:r>
      <w:r>
        <w:rPr>
          <w:rFonts w:ascii="Times New Roman" w:cs="Times New Roman" w:eastAsia="Times New Roman" w:hAnsi="Times New Roman"/>
          <w:sz w:val="20"/>
          <w:szCs w:val="20"/>
          <w:color w:val="auto"/>
        </w:rPr>
        <w:t>. Except as otherwise required herein, by the Certificate of Incorporation or by law and whenever stockholders are required or permitted to take any action at a meeting, notice in writing or by electronic transmission of each meeting of the stockholders of the Corporation stating the place, if any, day and hour of such meeting, the means of remote communications, if any, by which stockholders and proxy holders may be deemed to be present in person and vote at such meeting and, in the case of a special meeting of the stockholders of the Corporation, the purpose or purposes for which such meeting is called, shall be given, either personally (including delivery by private courier) or by first class, certified or registered mail, or by electronic transmission, to each stockholder of record entitled to notice of such meeting, not less than 10 nor more than 60 days before the date of such meeting. Such notice shall be deemed to be given, if personally delivered, when delivered to 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1" w:name="page102"/>
    <w:bookmarkEnd w:id="101"/>
    <w:p>
      <w:pPr>
        <w:spacing w:after="0" w:line="255" w:lineRule="auto"/>
        <w:rPr>
          <w:sz w:val="20"/>
          <w:szCs w:val="20"/>
          <w:color w:val="auto"/>
        </w:rPr>
      </w:pPr>
      <w:r>
        <w:rPr>
          <w:rFonts w:ascii="Times New Roman" w:cs="Times New Roman" w:eastAsia="Times New Roman" w:hAnsi="Times New Roman"/>
          <w:sz w:val="19"/>
          <w:szCs w:val="19"/>
          <w:color w:val="auto"/>
        </w:rPr>
        <w:t>stockholder, and, if mailed, when deposited in the United States mail, postage prepaid, directed to the stockholder at his address as it appears on the records of the Corporation, and if by electronic transmission, when posted on an electronic network or directed to the stockholder at an electronic mail address at which the stockholder has consented to receive notice. An affidavit of the secretary or an assistant secretary of the Corporation or of the transfer agent or any other agent of the Corporation that the notice has been given by personal delivery, by mail or by a form of electronic transmission, as applicable, shall, in the absence of fraud, be prima facie evidence of the facts stated therein. If notice of two consecutive annual meetings of the stockholders of the Corporation and all notices of other meetings of the stockholders of the Corporation to any stockholder during the period between such two consecutive annual meetings, or all, and at least two, payments (if sent by first class mail) of dividends or interest on securities of the Corporation during a 12 month period, have been mailed to such person at his address as shown on the records of the Corporation and have been returned undeliverable, the giving of such notice to such person shall not be required until another address for such person is delivered to the Corporation. When a meeting of the stockholders of the Corporation is adjourned to another time or place, if any, notice need not be given of the adjourned meeting if the time and place thereof are announced at the meeting at which the adjournment is taken. At such adjourned meeting the Corporation may transact any business that might have been transacted at the original meeting of the stockholders of the Corporation. If the adjournment is for more than 30 days, or if after the adjournment a new record date is fixed for such adjourned meeting, notice of such adjourned meeting shall be given to each stockholder of record of the Corporation entitled to vote at the meeting in accordance with the foregoing provisions of this Section 2.04.</w:t>
      </w:r>
    </w:p>
    <w:p>
      <w:pPr>
        <w:spacing w:after="0" w:line="177" w:lineRule="exact"/>
        <w:rPr>
          <w:sz w:val="20"/>
          <w:szCs w:val="20"/>
          <w:color w:val="auto"/>
        </w:rPr>
      </w:pPr>
    </w:p>
    <w:p>
      <w:pPr>
        <w:ind w:right="80" w:firstLine="374"/>
        <w:spacing w:after="0" w:line="242" w:lineRule="auto"/>
        <w:rPr>
          <w:sz w:val="20"/>
          <w:szCs w:val="20"/>
          <w:color w:val="auto"/>
        </w:rPr>
      </w:pPr>
      <w:r>
        <w:rPr>
          <w:rFonts w:ascii="Times New Roman" w:cs="Times New Roman" w:eastAsia="Times New Roman" w:hAnsi="Times New Roman"/>
          <w:sz w:val="20"/>
          <w:szCs w:val="20"/>
          <w:color w:val="auto"/>
        </w:rPr>
        <w:t xml:space="preserve">Section 2.05 </w:t>
      </w:r>
      <w:r>
        <w:rPr>
          <w:rFonts w:ascii="Times New Roman" w:cs="Times New Roman" w:eastAsia="Times New Roman" w:hAnsi="Times New Roman"/>
          <w:sz w:val="20"/>
          <w:szCs w:val="20"/>
          <w:u w:val="single" w:color="auto"/>
          <w:color w:val="auto"/>
        </w:rPr>
        <w:t>Fixing Date for Determination of Stockholders of Record</w:t>
      </w:r>
      <w:r>
        <w:rPr>
          <w:rFonts w:ascii="Times New Roman" w:cs="Times New Roman" w:eastAsia="Times New Roman" w:hAnsi="Times New Roman"/>
          <w:sz w:val="20"/>
          <w:szCs w:val="20"/>
          <w:color w:val="auto"/>
        </w:rPr>
        <w:t xml:space="preserve">. For the purpose of determining the stockholders of the Corporation entitled to notice of or to vote at any meeting of the stockholders of the Corporation or any adjournment thereof, or entitled to receive payment of any dividend or other distribution or allotment of any rights, or entitled to exercise any rights in respect of any change, conversion or exchange of capital stock of the Corporation or for any other lawful action, the Board may fix, in advance, a date as the record date for any such determination of stockholders, which date shall not precede the date upon which the record date is adopted by the Board, and which shall not be more than 60 nor less than 10 days before the date of such meeting, and not more than 60 days prior to any other action. If no record date is fixed then the record date shall be, for determining the stockholders of the Corporation entitled to notice of or to vote at a meeting of such stockholders, the close of business on the day next preceding the day on which notice is given, or, if notice is waived, the close of business on the day next preceding the day on which such meeting is held, or, for determining stockholders of the Corporation for any other purpose, the close of business on the day on which the Board adopts the resolution relating thereto. A determination of the stockholders of record of the Corporation entitled to notice of or to vote at a meeting of such stockholders shall apply to any adjournment of such meeting;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Board may fix a new record date for the adjourned meeting.</w:t>
      </w:r>
    </w:p>
    <w:p>
      <w:pPr>
        <w:spacing w:after="0" w:line="187" w:lineRule="exact"/>
        <w:rPr>
          <w:sz w:val="20"/>
          <w:szCs w:val="20"/>
          <w:color w:val="auto"/>
        </w:rPr>
      </w:pPr>
    </w:p>
    <w:p>
      <w:pPr>
        <w:ind w:right="20" w:firstLine="374"/>
        <w:spacing w:after="0" w:line="243" w:lineRule="auto"/>
        <w:rPr>
          <w:sz w:val="20"/>
          <w:szCs w:val="20"/>
          <w:color w:val="auto"/>
        </w:rPr>
      </w:pPr>
      <w:r>
        <w:rPr>
          <w:rFonts w:ascii="Times New Roman" w:cs="Times New Roman" w:eastAsia="Times New Roman" w:hAnsi="Times New Roman"/>
          <w:sz w:val="20"/>
          <w:szCs w:val="20"/>
          <w:color w:val="auto"/>
        </w:rPr>
        <w:t xml:space="preserve">Section 2.06 </w:t>
      </w:r>
      <w:r>
        <w:rPr>
          <w:rFonts w:ascii="Times New Roman" w:cs="Times New Roman" w:eastAsia="Times New Roman" w:hAnsi="Times New Roman"/>
          <w:sz w:val="20"/>
          <w:szCs w:val="20"/>
          <w:u w:val="single" w:color="auto"/>
          <w:color w:val="auto"/>
        </w:rPr>
        <w:t>Voting List</w:t>
      </w:r>
      <w:r>
        <w:rPr>
          <w:rFonts w:ascii="Times New Roman" w:cs="Times New Roman" w:eastAsia="Times New Roman" w:hAnsi="Times New Roman"/>
          <w:sz w:val="20"/>
          <w:szCs w:val="20"/>
          <w:color w:val="auto"/>
        </w:rPr>
        <w:t>. The officer of the Corporation who has charge of the stock ledger of the Corporation shall prepare, or cause to be prepared, at least 10 days before every meeting of the stockholders of the Corporation, a complete list of such stockholders entitled to vote at the meeting, arranged in alphabetical order, and showing the address of each such stockholder and the number of shares of capital stock of the Corporation registered in the name of each such stockholder. Nothing contained in this Section 2.06 shall require the Corporation to include electronic mail addresses or other electronic contact information on such list. Such list shall be open to the examination of any stockholder of the Corporation, for any purpose germane to such meeting, for a period of at least 10 days prior to such meeting, either (a) on a reasonably accessible electronic network, provided that the information required to gain access to such list is provided with the notice of such meeting, or (b) during ordinary business hours, at the principal place of business of the corporation. If the Corporation determines to make the list available on an electronic network, the Corporation may take reasonable steps to ensure that such</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2" w:name="page103"/>
    <w:bookmarkEnd w:id="102"/>
    <w:p>
      <w:pPr>
        <w:ind w:right="40"/>
        <w:spacing w:after="0" w:line="244" w:lineRule="auto"/>
        <w:rPr>
          <w:sz w:val="20"/>
          <w:szCs w:val="20"/>
          <w:color w:val="auto"/>
        </w:rPr>
      </w:pPr>
      <w:r>
        <w:rPr>
          <w:rFonts w:ascii="Times New Roman" w:cs="Times New Roman" w:eastAsia="Times New Roman" w:hAnsi="Times New Roman"/>
          <w:sz w:val="20"/>
          <w:szCs w:val="20"/>
          <w:color w:val="auto"/>
        </w:rPr>
        <w:t>information is available only to stockholders of the Corporation. If such meeting is to be held at a place, the list shall also be produced and kept at the time and place of such meeting during the whole time thereof, and may be inspected by any stockholder of the Corporation who is present. If such meeting is to be held solely by means of remote communication, then the list shall also be open to the examination of any stockholder of the Corporation during the whole time of such meeting on a reasonably accessible electronic network, and the information required to access such list shall be provided with the notice of such meeting. Except as otherwise provided by law, the list of stockholders shall be the only evidence as to which stockholders are entitled to examine to determine the stockholders entitled to vote in person or by proxy at any meeting of the stockholders.</w:t>
      </w:r>
    </w:p>
    <w:p>
      <w:pPr>
        <w:spacing w:after="0" w:line="186" w:lineRule="exact"/>
        <w:rPr>
          <w:sz w:val="20"/>
          <w:szCs w:val="20"/>
          <w:color w:val="auto"/>
        </w:rPr>
      </w:pPr>
    </w:p>
    <w:p>
      <w:pPr>
        <w:ind w:right="20" w:firstLine="374"/>
        <w:spacing w:after="0" w:line="245" w:lineRule="auto"/>
        <w:rPr>
          <w:sz w:val="20"/>
          <w:szCs w:val="20"/>
          <w:color w:val="auto"/>
        </w:rPr>
      </w:pPr>
      <w:r>
        <w:rPr>
          <w:rFonts w:ascii="Times New Roman" w:cs="Times New Roman" w:eastAsia="Times New Roman" w:hAnsi="Times New Roman"/>
          <w:sz w:val="20"/>
          <w:szCs w:val="20"/>
          <w:color w:val="auto"/>
        </w:rPr>
        <w:t xml:space="preserve">Section 2.07 </w:t>
      </w:r>
      <w:r>
        <w:rPr>
          <w:rFonts w:ascii="Times New Roman" w:cs="Times New Roman" w:eastAsia="Times New Roman" w:hAnsi="Times New Roman"/>
          <w:sz w:val="20"/>
          <w:szCs w:val="20"/>
          <w:u w:val="single" w:color="auto"/>
          <w:color w:val="auto"/>
        </w:rPr>
        <w:t>Proxies</w:t>
      </w:r>
      <w:r>
        <w:rPr>
          <w:rFonts w:ascii="Times New Roman" w:cs="Times New Roman" w:eastAsia="Times New Roman" w:hAnsi="Times New Roman"/>
          <w:sz w:val="20"/>
          <w:szCs w:val="20"/>
          <w:color w:val="auto"/>
        </w:rPr>
        <w:t>. Each stockholder of the Corporation entitled to vote at a meeting of stockholders of the Corporation may authorize another person or persons to act for him, her or it by proxy, but no such proxy shall be voted or acted upon after three years from its date, unless the proxy provides for a longer period. Except as otherwise provided by law,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w:t>
      </w:r>
    </w:p>
    <w:p>
      <w:pPr>
        <w:spacing w:after="0" w:line="184" w:lineRule="exact"/>
        <w:rPr>
          <w:sz w:val="20"/>
          <w:szCs w:val="20"/>
          <w:color w:val="auto"/>
        </w:rPr>
      </w:pPr>
    </w:p>
    <w:p>
      <w:pPr>
        <w:ind w:right="20" w:firstLine="374"/>
        <w:spacing w:after="0" w:line="242" w:lineRule="auto"/>
        <w:rPr>
          <w:sz w:val="20"/>
          <w:szCs w:val="20"/>
          <w:color w:val="auto"/>
        </w:rPr>
      </w:pPr>
      <w:r>
        <w:rPr>
          <w:rFonts w:ascii="Times New Roman" w:cs="Times New Roman" w:eastAsia="Times New Roman" w:hAnsi="Times New Roman"/>
          <w:sz w:val="20"/>
          <w:szCs w:val="20"/>
          <w:color w:val="auto"/>
        </w:rPr>
        <w:t xml:space="preserve">Section 2.08 </w:t>
      </w:r>
      <w:r>
        <w:rPr>
          <w:rFonts w:ascii="Times New Roman" w:cs="Times New Roman" w:eastAsia="Times New Roman" w:hAnsi="Times New Roman"/>
          <w:sz w:val="20"/>
          <w:szCs w:val="20"/>
          <w:u w:val="single" w:color="auto"/>
          <w:color w:val="auto"/>
        </w:rPr>
        <w:t>Quorum and Manner of Acting</w:t>
      </w:r>
      <w:r>
        <w:rPr>
          <w:rFonts w:ascii="Times New Roman" w:cs="Times New Roman" w:eastAsia="Times New Roman" w:hAnsi="Times New Roman"/>
          <w:sz w:val="20"/>
          <w:szCs w:val="20"/>
          <w:color w:val="auto"/>
        </w:rPr>
        <w:t>. Except as otherwise provided by law, the Certificate of Incorporation or these Bylaws, at a meeting of stockholders of the Corporation, one-third of the combined voting power of the outstanding shares of capital stock of the Corporation entitled to vote at such meeting, represented in person or by proxy, shall constitute a quorum. If a quorum is present, at all meetings of stockholders for the election of directors, the directors of the Corporation will be elected by the plurality of the votes cast by the holders of shares of Common Stock (as defined in the Certificate of Incorporation). Unless otherwise provided by the Certificate of Incorporation, these Bylaws, the rules or regulations of any stock exchange applicable to the Corporation or applicable law or pursuant to any regulation applicable to the Corporation or its securities, if a quorum is present, the affirmative vote of a majority of the votes held by such shares represented at such meeting at which a quorum is present and entitled to vote on the subject matter shall be the act of such stockholders. In the absence of a quorum, a majority of the shares of capital stock of the Corporation so represented may adjourn such meeting from time to time in accordance with Section 2.04, until a quorum shall be present or represented.</w:t>
      </w:r>
    </w:p>
    <w:p>
      <w:pPr>
        <w:spacing w:after="0" w:line="192" w:lineRule="exact"/>
        <w:rPr>
          <w:sz w:val="20"/>
          <w:szCs w:val="20"/>
          <w:color w:val="auto"/>
        </w:rPr>
      </w:pPr>
    </w:p>
    <w:p>
      <w:pPr>
        <w:ind w:firstLine="374"/>
        <w:spacing w:after="0" w:line="246" w:lineRule="auto"/>
        <w:rPr>
          <w:sz w:val="20"/>
          <w:szCs w:val="20"/>
          <w:color w:val="auto"/>
        </w:rPr>
      </w:pPr>
      <w:r>
        <w:rPr>
          <w:rFonts w:ascii="Times New Roman" w:cs="Times New Roman" w:eastAsia="Times New Roman" w:hAnsi="Times New Roman"/>
          <w:sz w:val="19"/>
          <w:szCs w:val="19"/>
          <w:color w:val="auto"/>
        </w:rPr>
        <w:t xml:space="preserve">Section 2.09 </w:t>
      </w:r>
      <w:r>
        <w:rPr>
          <w:rFonts w:ascii="Times New Roman" w:cs="Times New Roman" w:eastAsia="Times New Roman" w:hAnsi="Times New Roman"/>
          <w:sz w:val="19"/>
          <w:szCs w:val="19"/>
          <w:u w:val="single" w:color="auto"/>
          <w:color w:val="auto"/>
        </w:rPr>
        <w:t>Nominations for the Election of Directors</w:t>
      </w:r>
      <w:r>
        <w:rPr>
          <w:rFonts w:ascii="Times New Roman" w:cs="Times New Roman" w:eastAsia="Times New Roman" w:hAnsi="Times New Roman"/>
          <w:sz w:val="19"/>
          <w:szCs w:val="19"/>
          <w:color w:val="auto"/>
        </w:rPr>
        <w:t>. Except as otherwise provided in the Certificate of Incorporation, nominations for election to the Board must be made by the Board or by a committee appointed by the Board for such purpose or by any stockholder of any outstanding shares of capital stock of the Corporation entitled to vote for the election of directors of the Corporation. Except as otherwise provided in the Certificate of Incorporation, nominations by the stockholders of the Corporation must be preceded by timely notice in writing to the secretary of the Corporation. To be timely, a stockholder’s notice shall be delivered to the secretary of the Corporation at the principal executive offices of the Corporation not later than the close of business on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nor earlier than the close of business on the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prior to the first anniversary of the preceding year’s annual meeting of the stockholders of the Corporation;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in the event that the date of such meeting is advanced more than 30 days prior to, or delayed by more than 70 days after, the anniversary of the preceding year’s annual meeting of the stockholders of the Corporation, a stockholder’s notice to be timely must be so delivered not earlier than the close of business on the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prior to such meeting and not later than the close of business on the later of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prior to such meeting or the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day following the day on which public announcement of the date of such meeting is first made by the Corporation. For purposes of the first annual meeting of stockholders of the Corporation held following the date of these Bylaws, the first anniversary of such annual meeting shall be deemed to be the third Wednesday of May of the following year. Such stockholder’s notice shall set forth:</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3" w:name="page104"/>
    <w:bookmarkEnd w:id="103"/>
    <w:p>
      <w:pPr>
        <w:ind w:left="800" w:hanging="405"/>
        <w:spacing w:after="0"/>
        <w:tabs>
          <w:tab w:leader="none" w:pos="8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each person whom the stockholder proposes to nominate as a director:</w:t>
      </w:r>
    </w:p>
    <w:p>
      <w:pPr>
        <w:spacing w:after="0" w:line="215" w:lineRule="exact"/>
        <w:rPr>
          <w:rFonts w:ascii="Times New Roman" w:cs="Times New Roman" w:eastAsia="Times New Roman" w:hAnsi="Times New Roman"/>
          <w:sz w:val="20"/>
          <w:szCs w:val="20"/>
          <w:color w:val="auto"/>
        </w:rPr>
      </w:pPr>
    </w:p>
    <w:p>
      <w:pPr>
        <w:ind w:left="1140" w:right="100" w:hanging="383"/>
        <w:spacing w:after="0" w:line="254" w:lineRule="auto"/>
        <w:tabs>
          <w:tab w:leader="none" w:pos="1161"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information relating to such person that is required to be disclosed in solicitations of proxies for election of directors in an election contest, or is otherwise required, in each case pursuant to and in accordance with Regulation 14A under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w:t>
      </w:r>
    </w:p>
    <w:p>
      <w:pPr>
        <w:spacing w:after="0" w:line="174"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person’s written consent to being named in the proxy statement as a nominee and to serving as a director if elected; and</w:t>
      </w:r>
    </w:p>
    <w:p>
      <w:pPr>
        <w:spacing w:after="0" w:line="215" w:lineRule="exact"/>
        <w:rPr>
          <w:rFonts w:ascii="Times New Roman" w:cs="Times New Roman" w:eastAsia="Times New Roman" w:hAnsi="Times New Roman"/>
          <w:sz w:val="20"/>
          <w:szCs w:val="20"/>
          <w:color w:val="auto"/>
        </w:rPr>
      </w:pPr>
    </w:p>
    <w:p>
      <w:pPr>
        <w:ind w:left="800" w:hanging="405"/>
        <w:spacing w:after="0"/>
        <w:tabs>
          <w:tab w:leader="none" w:pos="8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stockholder giving the notice and the beneficial owner, if any, on whose behalf the nomination is made:</w:t>
      </w:r>
    </w:p>
    <w:p>
      <w:pPr>
        <w:spacing w:after="0" w:line="21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such stockholder, as they appear on the Corporation’s books, and of such beneficial owner,</w:t>
      </w:r>
    </w:p>
    <w:p>
      <w:pPr>
        <w:spacing w:after="0" w:line="215" w:lineRule="exact"/>
        <w:rPr>
          <w:rFonts w:ascii="Times New Roman" w:cs="Times New Roman" w:eastAsia="Times New Roman" w:hAnsi="Times New Roman"/>
          <w:sz w:val="20"/>
          <w:szCs w:val="20"/>
          <w:color w:val="auto"/>
        </w:rPr>
      </w:pPr>
    </w:p>
    <w:p>
      <w:pPr>
        <w:ind w:left="1140" w:right="740" w:hanging="383"/>
        <w:spacing w:after="0" w:line="269" w:lineRule="auto"/>
        <w:tabs>
          <w:tab w:leader="none" w:pos="1161"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and number of shares of capital stock of the Corporation which are owned beneficially and of record by such stockholder and such beneficial owner,</w:t>
      </w:r>
    </w:p>
    <w:p>
      <w:pPr>
        <w:spacing w:after="0" w:line="159" w:lineRule="exact"/>
        <w:rPr>
          <w:rFonts w:ascii="Times New Roman" w:cs="Times New Roman" w:eastAsia="Times New Roman" w:hAnsi="Times New Roman"/>
          <w:sz w:val="20"/>
          <w:szCs w:val="20"/>
          <w:color w:val="auto"/>
        </w:rPr>
      </w:pPr>
    </w:p>
    <w:p>
      <w:pPr>
        <w:ind w:left="1140" w:right="520" w:hanging="383"/>
        <w:spacing w:after="0" w:line="269" w:lineRule="auto"/>
        <w:tabs>
          <w:tab w:leader="none" w:pos="1161"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that the stockholder is a holder of record of stock of the Corporation entitled to vote at such meeting and intends to appear in person or by proxy at the meeting to propose nomination, and</w:t>
      </w:r>
    </w:p>
    <w:p>
      <w:pPr>
        <w:spacing w:after="0" w:line="15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regarding whether the stockholder or the beneficial owner, if any, intends or is part of a group which intends</w:t>
      </w:r>
    </w:p>
    <w:p>
      <w:pPr>
        <w:spacing w:after="0" w:line="21" w:lineRule="exact"/>
        <w:rPr>
          <w:rFonts w:ascii="Times New Roman" w:cs="Times New Roman" w:eastAsia="Times New Roman" w:hAnsi="Times New Roman"/>
          <w:sz w:val="20"/>
          <w:szCs w:val="20"/>
          <w:color w:val="auto"/>
        </w:rPr>
      </w:pPr>
    </w:p>
    <w:p>
      <w:pPr>
        <w:ind w:left="1140" w:right="380" w:hanging="9"/>
        <w:spacing w:after="0" w:line="242" w:lineRule="auto"/>
        <w:tabs>
          <w:tab w:leader="none" w:pos="1464"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deliver a proxy statement and/or form of proxy to holders of at least the percentage of the Corporation’s outstanding capital stock required to elect the nominee and/or (B) otherwise to solicit proxies from stockholders in support of such nomination.</w:t>
      </w:r>
    </w:p>
    <w:p>
      <w:pPr>
        <w:spacing w:after="0" w:line="187" w:lineRule="exact"/>
        <w:rPr>
          <w:sz w:val="20"/>
          <w:szCs w:val="20"/>
          <w:color w:val="auto"/>
        </w:rPr>
      </w:pPr>
    </w:p>
    <w:p>
      <w:pPr>
        <w:ind w:firstLine="374"/>
        <w:spacing w:after="0" w:line="246" w:lineRule="auto"/>
        <w:rPr>
          <w:sz w:val="20"/>
          <w:szCs w:val="20"/>
          <w:color w:val="auto"/>
        </w:rPr>
      </w:pPr>
      <w:r>
        <w:rPr>
          <w:rFonts w:ascii="Times New Roman" w:cs="Times New Roman" w:eastAsia="Times New Roman" w:hAnsi="Times New Roman"/>
          <w:sz w:val="20"/>
          <w:szCs w:val="20"/>
          <w:color w:val="auto"/>
        </w:rPr>
        <w:t>The foregoing notice requirements shall be deemed satisfied by a stockholder if the stockholder has notified the Corporation of his or her intention to present a proposal at an annual meeting in compliance with Rule 14a-8 (or any successor thereof) promulgated under the Exchange Act and such stockholder’s proposal has been included in a proxy statement that has been prepared by the Corporation to solicit proxies for such annual meeting. The Corporation may require any proposed director nominee to furnish such other information as it may reasonably require to determine the eligibility of such proposed nominee to serve as a director of the Corporation.</w:t>
      </w:r>
    </w:p>
    <w:p>
      <w:pPr>
        <w:spacing w:after="0" w:line="185" w:lineRule="exact"/>
        <w:rPr>
          <w:sz w:val="20"/>
          <w:szCs w:val="20"/>
          <w:color w:val="auto"/>
        </w:rPr>
      </w:pPr>
    </w:p>
    <w:p>
      <w:pPr>
        <w:ind w:right="240" w:firstLine="374"/>
        <w:spacing w:after="0" w:line="269" w:lineRule="auto"/>
        <w:rPr>
          <w:sz w:val="20"/>
          <w:szCs w:val="20"/>
          <w:color w:val="auto"/>
        </w:rPr>
      </w:pPr>
      <w:r>
        <w:rPr>
          <w:rFonts w:ascii="Times New Roman" w:cs="Times New Roman" w:eastAsia="Times New Roman" w:hAnsi="Times New Roman"/>
          <w:sz w:val="20"/>
          <w:szCs w:val="20"/>
          <w:color w:val="auto"/>
        </w:rPr>
        <w:t>The presiding officer of the annual meeting of the stockholders of the Corporation shall have the authority to determine and declare to such meeting that a nomination not preceded by notification made in accordance with the foregoing procedure shall be disregarded.</w:t>
      </w:r>
    </w:p>
    <w:p>
      <w:pPr>
        <w:spacing w:after="0" w:line="159" w:lineRule="exact"/>
        <w:rPr>
          <w:sz w:val="20"/>
          <w:szCs w:val="20"/>
          <w:color w:val="auto"/>
        </w:rPr>
      </w:pPr>
    </w:p>
    <w:p>
      <w:pPr>
        <w:ind w:right="120" w:firstLine="374"/>
        <w:spacing w:after="0"/>
        <w:rPr>
          <w:sz w:val="20"/>
          <w:szCs w:val="20"/>
          <w:color w:val="auto"/>
        </w:rPr>
      </w:pPr>
      <w:r>
        <w:rPr>
          <w:rFonts w:ascii="Times New Roman" w:cs="Times New Roman" w:eastAsia="Times New Roman" w:hAnsi="Times New Roman"/>
          <w:sz w:val="20"/>
          <w:szCs w:val="20"/>
          <w:color w:val="auto"/>
        </w:rPr>
        <w:t xml:space="preserve">Section 2.10 </w:t>
      </w:r>
      <w:r>
        <w:rPr>
          <w:rFonts w:ascii="Times New Roman" w:cs="Times New Roman" w:eastAsia="Times New Roman" w:hAnsi="Times New Roman"/>
          <w:sz w:val="20"/>
          <w:szCs w:val="20"/>
          <w:u w:val="single" w:color="auto"/>
          <w:color w:val="auto"/>
        </w:rPr>
        <w:t>Other Stockholder Proposals</w:t>
      </w:r>
      <w:r>
        <w:rPr>
          <w:rFonts w:ascii="Times New Roman" w:cs="Times New Roman" w:eastAsia="Times New Roman" w:hAnsi="Times New Roman"/>
          <w:sz w:val="20"/>
          <w:szCs w:val="20"/>
          <w:color w:val="auto"/>
        </w:rPr>
        <w:t>. For business other than the nomination for election of directors to the Board to be properly brought before any meeting by a stockholder of the Corporation, such stockholder must have given timely notice thereof in writing to the secretary of the Corporation. To be timely, a stockholder’s notice shall be delivered to the secretary of the Corporation at the principal executive offices of the Corporation not later than the close of business on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nor earlier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prior to the first anniversary of the preceding year’s annual meeting of the stockholders of the Corporation;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in the event that the date of such meeting is advanced more than 30 days prior to, or delayed by more than 70 days after, the anniversary of the preceding year’s annual meeting of the stockholders of the Corporation, a stockholder’s notice to be timely must be so delivered not earlier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prior to such meeting</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4" w:name="page105"/>
    <w:bookmarkEnd w:id="104"/>
    <w:p>
      <w:pPr>
        <w:ind w:right="60"/>
        <w:spacing w:after="0" w:line="230" w:lineRule="auto"/>
        <w:rPr>
          <w:sz w:val="20"/>
          <w:szCs w:val="20"/>
          <w:color w:val="auto"/>
        </w:rPr>
      </w:pPr>
      <w:r>
        <w:rPr>
          <w:rFonts w:ascii="Times New Roman" w:cs="Times New Roman" w:eastAsia="Times New Roman" w:hAnsi="Times New Roman"/>
          <w:sz w:val="20"/>
          <w:szCs w:val="20"/>
          <w:color w:val="auto"/>
        </w:rPr>
        <w:t>and not later than the close of business on the later of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prior to such meeting or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following the day on which public announcement of the date of such meeting is first made by the Corporation. For purposes of the first annual meeting of stockholders of the Corporation held following the date of these Bylaws, the first anniversary of such annual meeting shall be deemed to be the third Wednesday of May of the following year. Such stockholder’s notice shall set forth:</w:t>
      </w:r>
    </w:p>
    <w:p>
      <w:pPr>
        <w:spacing w:after="0" w:line="188" w:lineRule="exact"/>
        <w:rPr>
          <w:sz w:val="20"/>
          <w:szCs w:val="20"/>
          <w:color w:val="auto"/>
        </w:rPr>
      </w:pPr>
    </w:p>
    <w:p>
      <w:pPr>
        <w:ind w:left="800" w:hanging="405"/>
        <w:spacing w:after="0"/>
        <w:tabs>
          <w:tab w:leader="none" w:pos="8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any business that the stockholder proposes to bring before the meeting:</w:t>
      </w:r>
    </w:p>
    <w:p>
      <w:pPr>
        <w:spacing w:after="0" w:line="21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brief description of the business desired to be brought before the meeting,</w:t>
      </w:r>
    </w:p>
    <w:p>
      <w:pPr>
        <w:spacing w:after="0" w:line="215" w:lineRule="exact"/>
        <w:rPr>
          <w:rFonts w:ascii="Times New Roman" w:cs="Times New Roman" w:eastAsia="Times New Roman" w:hAnsi="Times New Roman"/>
          <w:sz w:val="20"/>
          <w:szCs w:val="20"/>
          <w:color w:val="auto"/>
        </w:rPr>
      </w:pPr>
    </w:p>
    <w:p>
      <w:pPr>
        <w:ind w:left="1140" w:right="120" w:hanging="383"/>
        <w:spacing w:after="0" w:line="269" w:lineRule="auto"/>
        <w:tabs>
          <w:tab w:leader="none" w:pos="1161"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text of the proposal or business (including the text of any resolutions proposed for consideration and in the event that such business includes a proposal to amend these Bylaws, the language of the proposed amendment), and</w:t>
      </w:r>
    </w:p>
    <w:p>
      <w:pPr>
        <w:spacing w:after="0" w:line="15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reasons for conducting such business at the meeting; and</w:t>
      </w:r>
    </w:p>
    <w:p>
      <w:pPr>
        <w:spacing w:after="0" w:line="215" w:lineRule="exact"/>
        <w:rPr>
          <w:rFonts w:ascii="Times New Roman" w:cs="Times New Roman" w:eastAsia="Times New Roman" w:hAnsi="Times New Roman"/>
          <w:sz w:val="20"/>
          <w:szCs w:val="20"/>
          <w:color w:val="auto"/>
        </w:rPr>
      </w:pPr>
    </w:p>
    <w:p>
      <w:pPr>
        <w:ind w:left="800" w:hanging="405"/>
        <w:spacing w:after="0"/>
        <w:tabs>
          <w:tab w:leader="none" w:pos="8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stockholder giving the notice and the beneficial owner, if any, on whose behalf the proposal is made:</w:t>
      </w:r>
    </w:p>
    <w:p>
      <w:pPr>
        <w:spacing w:after="0" w:line="21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such stockholder, as they appear on the Corporation’s books, and of such beneficial owner,</w:t>
      </w:r>
    </w:p>
    <w:p>
      <w:pPr>
        <w:spacing w:after="0" w:line="215" w:lineRule="exact"/>
        <w:rPr>
          <w:rFonts w:ascii="Times New Roman" w:cs="Times New Roman" w:eastAsia="Times New Roman" w:hAnsi="Times New Roman"/>
          <w:sz w:val="20"/>
          <w:szCs w:val="20"/>
          <w:color w:val="auto"/>
        </w:rPr>
      </w:pPr>
    </w:p>
    <w:p>
      <w:pPr>
        <w:ind w:left="1140" w:right="740" w:hanging="383"/>
        <w:spacing w:after="0" w:line="269" w:lineRule="auto"/>
        <w:tabs>
          <w:tab w:leader="none" w:pos="1161"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and number of shares of capital stock of the Corporation which are owned beneficially and of record by such stockholder and such beneficial owner,</w:t>
      </w:r>
    </w:p>
    <w:p>
      <w:pPr>
        <w:spacing w:after="0" w:line="159" w:lineRule="exact"/>
        <w:rPr>
          <w:rFonts w:ascii="Times New Roman" w:cs="Times New Roman" w:eastAsia="Times New Roman" w:hAnsi="Times New Roman"/>
          <w:sz w:val="20"/>
          <w:szCs w:val="20"/>
          <w:color w:val="auto"/>
        </w:rPr>
      </w:pPr>
    </w:p>
    <w:p>
      <w:pPr>
        <w:ind w:left="1140" w:right="380" w:hanging="383"/>
        <w:spacing w:after="0" w:line="269" w:lineRule="auto"/>
        <w:tabs>
          <w:tab w:leader="none" w:pos="1161"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interest in such business of such stockholder and the beneficial owner, if any, on whose behalf the proposal is made as to each matter such stockholder proposes to bring before such meeting,</w:t>
      </w:r>
    </w:p>
    <w:p>
      <w:pPr>
        <w:spacing w:after="0" w:line="159" w:lineRule="exact"/>
        <w:rPr>
          <w:rFonts w:ascii="Times New Roman" w:cs="Times New Roman" w:eastAsia="Times New Roman" w:hAnsi="Times New Roman"/>
          <w:sz w:val="20"/>
          <w:szCs w:val="20"/>
          <w:color w:val="auto"/>
        </w:rPr>
      </w:pPr>
    </w:p>
    <w:p>
      <w:pPr>
        <w:ind w:left="1140" w:right="520" w:hanging="383"/>
        <w:spacing w:after="0" w:line="269" w:lineRule="auto"/>
        <w:tabs>
          <w:tab w:leader="none" w:pos="1161"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that the stockholder is a holder of record of stock of the Corporation entitled to vote at such meeting and intends to appear in person or by proxy at the meeting to propose such business, and</w:t>
      </w:r>
    </w:p>
    <w:p>
      <w:pPr>
        <w:spacing w:after="0" w:line="15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regarding whether the stockholder or the beneficial owner, if any, intends or is part of a group which intends</w:t>
      </w:r>
    </w:p>
    <w:p>
      <w:pPr>
        <w:spacing w:after="0" w:line="21" w:lineRule="exact"/>
        <w:rPr>
          <w:rFonts w:ascii="Times New Roman" w:cs="Times New Roman" w:eastAsia="Times New Roman" w:hAnsi="Times New Roman"/>
          <w:sz w:val="20"/>
          <w:szCs w:val="20"/>
          <w:color w:val="auto"/>
        </w:rPr>
      </w:pPr>
    </w:p>
    <w:p>
      <w:pPr>
        <w:ind w:left="1140" w:right="200" w:hanging="9"/>
        <w:spacing w:after="0" w:line="242" w:lineRule="auto"/>
        <w:tabs>
          <w:tab w:leader="none" w:pos="1464"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deliver a proxy statement and/or form of proxy to holders of at least the percentage of the Corporation’s outstanding capital stock required to approve or adopt the proposal and/or (B) otherwise to solicit proxies from stockholders in support of such proposal.</w:t>
      </w:r>
    </w:p>
    <w:p>
      <w:pPr>
        <w:spacing w:after="0" w:line="187" w:lineRule="exact"/>
        <w:rPr>
          <w:sz w:val="20"/>
          <w:szCs w:val="20"/>
          <w:color w:val="auto"/>
        </w:rPr>
      </w:pPr>
    </w:p>
    <w:p>
      <w:pPr>
        <w:ind w:firstLine="374"/>
        <w:spacing w:after="0" w:line="246" w:lineRule="auto"/>
        <w:rPr>
          <w:sz w:val="20"/>
          <w:szCs w:val="20"/>
          <w:color w:val="auto"/>
        </w:rPr>
      </w:pPr>
      <w:r>
        <w:rPr>
          <w:rFonts w:ascii="Times New Roman" w:cs="Times New Roman" w:eastAsia="Times New Roman" w:hAnsi="Times New Roman"/>
          <w:sz w:val="20"/>
          <w:szCs w:val="20"/>
          <w:color w:val="auto"/>
        </w:rPr>
        <w:t xml:space="preserve">Section 2.11 </w:t>
      </w:r>
      <w:r>
        <w:rPr>
          <w:rFonts w:ascii="Times New Roman" w:cs="Times New Roman" w:eastAsia="Times New Roman" w:hAnsi="Times New Roman"/>
          <w:sz w:val="20"/>
          <w:szCs w:val="20"/>
          <w:u w:val="single" w:color="auto"/>
          <w:color w:val="auto"/>
        </w:rPr>
        <w:t>Stockholder Action by Written Consent Without a Meeting</w:t>
      </w:r>
      <w:r>
        <w:rPr>
          <w:rFonts w:ascii="Times New Roman" w:cs="Times New Roman" w:eastAsia="Times New Roman" w:hAnsi="Times New Roman"/>
          <w:sz w:val="20"/>
          <w:szCs w:val="20"/>
          <w:color w:val="auto"/>
        </w:rPr>
        <w:t>. Except as provided in any preferred stock designation adopted in accordance with the Certificate of Incorporation and the DGCL (a “</w:t>
      </w:r>
      <w:r>
        <w:rPr>
          <w:rFonts w:ascii="Times New Roman" w:cs="Times New Roman" w:eastAsia="Times New Roman" w:hAnsi="Times New Roman"/>
          <w:sz w:val="20"/>
          <w:szCs w:val="20"/>
          <w:u w:val="single" w:color="auto"/>
          <w:color w:val="auto"/>
        </w:rPr>
        <w:t>Preferred Stock Designation</w:t>
      </w:r>
      <w:r>
        <w:rPr>
          <w:rFonts w:ascii="Times New Roman" w:cs="Times New Roman" w:eastAsia="Times New Roman" w:hAnsi="Times New Roman"/>
          <w:sz w:val="20"/>
          <w:szCs w:val="20"/>
          <w:color w:val="auto"/>
        </w:rPr>
        <w:t>”), after the Corporation first has a class of securities registered under Section 12(g) of the Exchange Act or its equivalent, any action required or permitted to be taken by the stockholders of the Corporation must be taken at a duly called annual or special meeting of the stockholders and may not be taken by consent in writing or otherwise.</w:t>
      </w:r>
    </w:p>
    <w:p>
      <w:pPr>
        <w:spacing w:after="0" w:line="185" w:lineRule="exact"/>
        <w:rPr>
          <w:sz w:val="20"/>
          <w:szCs w:val="20"/>
          <w:color w:val="auto"/>
        </w:rPr>
      </w:pPr>
    </w:p>
    <w:p>
      <w:pPr>
        <w:jc w:val="both"/>
        <w:ind w:right="20" w:firstLine="374"/>
        <w:spacing w:after="0" w:line="249" w:lineRule="auto"/>
        <w:rPr>
          <w:sz w:val="20"/>
          <w:szCs w:val="20"/>
          <w:color w:val="auto"/>
        </w:rPr>
      </w:pPr>
      <w:r>
        <w:rPr>
          <w:rFonts w:ascii="Times New Roman" w:cs="Times New Roman" w:eastAsia="Times New Roman" w:hAnsi="Times New Roman"/>
          <w:sz w:val="20"/>
          <w:szCs w:val="20"/>
          <w:color w:val="auto"/>
        </w:rPr>
        <w:t xml:space="preserve">Section 2.12 </w:t>
      </w:r>
      <w:r>
        <w:rPr>
          <w:rFonts w:ascii="Times New Roman" w:cs="Times New Roman" w:eastAsia="Times New Roman" w:hAnsi="Times New Roman"/>
          <w:sz w:val="20"/>
          <w:szCs w:val="20"/>
          <w:u w:val="single" w:color="auto"/>
          <w:color w:val="auto"/>
        </w:rPr>
        <w:t>Conduct of Business</w:t>
      </w:r>
      <w:r>
        <w:rPr>
          <w:rFonts w:ascii="Times New Roman" w:cs="Times New Roman" w:eastAsia="Times New Roman" w:hAnsi="Times New Roman"/>
          <w:sz w:val="20"/>
          <w:szCs w:val="20"/>
          <w:color w:val="auto"/>
        </w:rPr>
        <w:t>. The chairman of each annual and special meeting of stockholders shall be the chairman of the Board 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105" w:name="page106"/>
    <w:bookmarkEnd w:id="105"/>
    <w:p>
      <w:pPr>
        <w:spacing w:after="0" w:line="241" w:lineRule="auto"/>
        <w:rPr>
          <w:sz w:val="20"/>
          <w:szCs w:val="20"/>
          <w:color w:val="auto"/>
        </w:rPr>
      </w:pPr>
      <w:r>
        <w:rPr>
          <w:rFonts w:ascii="Times New Roman" w:cs="Times New Roman" w:eastAsia="Times New Roman" w:hAnsi="Times New Roman"/>
          <w:sz w:val="20"/>
          <w:szCs w:val="20"/>
          <w:color w:val="auto"/>
        </w:rPr>
        <w:t>is not a director, such other person as shall be appointed by the Board.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 The date and time of the opening and the closing of the polls for each matter upon which the stockholders will vote at a meeting shall be announced at the meeting by the presiding officer of the meeting. The Board may adopt by resolution such rules and regulations for the conduct of the meeting of stockholders as it shall deem appropriate. Except to the extent inconsistent with these Bylaws or such rules and regulations as adopted by the Board, the presiding officer of the meeting of stockholders shall have the right and authority to convene the meeting, to prescribe such rules, regulations and procedures and to do all such acts as, in the judgment of such presiding officer, are appropriate for the proper conduct of the meeting. Such rules, regulations or procedures, whether adopted by the Board or prescribed by the presiding officer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presiding officer of the meeting shall determine; (iv) restrictions on entry to the meeting after the time fixed for the commencement thereof; and (v) limitations on the time allotted to questions or comments by participants. The presiding officer of the meeting, in addition to making any other determinations that may be appropriate to the conduct of the meeting, shall, if the facts warrant, determine and declare to the meeting that a matter or business was not properly brought before the meeting and if such presiding officer should so determine, such presiding officer shall so declare to the meeting, and any such matter or business not properly brought before the meeting shall not be transacted or considered. Unless and to the extent determined by the Board or the presiding officer of the meeting, meetings of stockholders shall not be required to be held in accordance with the rules of parliamentary procedure.</w:t>
      </w:r>
    </w:p>
    <w:p>
      <w:pPr>
        <w:spacing w:after="0" w:line="187"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9"/>
          <w:szCs w:val="19"/>
          <w:color w:val="auto"/>
        </w:rPr>
        <w:t xml:space="preserve">Section 2.13 </w:t>
      </w:r>
      <w:r>
        <w:rPr>
          <w:rFonts w:ascii="Times New Roman" w:cs="Times New Roman" w:eastAsia="Times New Roman" w:hAnsi="Times New Roman"/>
          <w:sz w:val="19"/>
          <w:szCs w:val="19"/>
          <w:u w:val="single" w:color="auto"/>
          <w:color w:val="auto"/>
        </w:rPr>
        <w:t>Inspector of Elections</w:t>
      </w:r>
      <w:r>
        <w:rPr>
          <w:rFonts w:ascii="Times New Roman" w:cs="Times New Roman" w:eastAsia="Times New Roman" w:hAnsi="Times New Roman"/>
          <w:sz w:val="19"/>
          <w:szCs w:val="19"/>
          <w:color w:val="auto"/>
        </w:rPr>
        <w:t>. The Corporation shall, in advance of any meeting of stockholders, appoint one or more inspectors of election, who may be employees of the Corporation or otherwise serve the Corporation in other capacities,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(i) ascertain the number of shares of capital stock of the Corporation outstanding and the voting power of each such share, (ii) determine the shares of capital stock of the Corporation represented at the meeting in person or by proxy and the validity of proxies and ballots, (iii) count all votes and ballots and report the results,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6" w:name="page107"/>
    <w:bookmarkEnd w:id="106"/>
    <w:p>
      <w:pPr>
        <w:jc w:val="center"/>
        <w:ind w:right="20"/>
        <w:spacing w:after="0"/>
        <w:rPr>
          <w:sz w:val="20"/>
          <w:szCs w:val="20"/>
          <w:color w:val="auto"/>
        </w:rPr>
      </w:pPr>
      <w:r>
        <w:rPr>
          <w:rFonts w:ascii="Times New Roman" w:cs="Times New Roman" w:eastAsia="Times New Roman" w:hAnsi="Times New Roman"/>
          <w:sz w:val="20"/>
          <w:szCs w:val="20"/>
          <w:color w:val="auto"/>
        </w:rPr>
        <w:t>ARTICLE III</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Board of Directors</w:t>
      </w:r>
    </w:p>
    <w:p>
      <w:pPr>
        <w:spacing w:after="0" w:line="194" w:lineRule="exact"/>
        <w:rPr>
          <w:sz w:val="20"/>
          <w:szCs w:val="20"/>
          <w:color w:val="auto"/>
        </w:rPr>
      </w:pPr>
    </w:p>
    <w:p>
      <w:pPr>
        <w:ind w:right="400" w:firstLine="374"/>
        <w:spacing w:after="0" w:line="269" w:lineRule="auto"/>
        <w:rPr>
          <w:sz w:val="20"/>
          <w:szCs w:val="20"/>
          <w:color w:val="auto"/>
        </w:rPr>
      </w:pPr>
      <w:r>
        <w:rPr>
          <w:rFonts w:ascii="Times New Roman" w:cs="Times New Roman" w:eastAsia="Times New Roman" w:hAnsi="Times New Roman"/>
          <w:sz w:val="20"/>
          <w:szCs w:val="20"/>
          <w:color w:val="auto"/>
        </w:rPr>
        <w:t xml:space="preserve">Section 3.01 </w:t>
      </w:r>
      <w:r>
        <w:rPr>
          <w:rFonts w:ascii="Times New Roman" w:cs="Times New Roman" w:eastAsia="Times New Roman" w:hAnsi="Times New Roman"/>
          <w:sz w:val="20"/>
          <w:szCs w:val="20"/>
          <w:u w:val="single" w:color="auto"/>
          <w:color w:val="auto"/>
        </w:rPr>
        <w:t>General Powers</w:t>
      </w:r>
      <w:r>
        <w:rPr>
          <w:rFonts w:ascii="Times New Roman" w:cs="Times New Roman" w:eastAsia="Times New Roman" w:hAnsi="Times New Roman"/>
          <w:sz w:val="20"/>
          <w:szCs w:val="20"/>
          <w:color w:val="auto"/>
        </w:rPr>
        <w:t>. The business and affairs of the Corporation shall be managed by or under the direction of the Board, except as otherwise provided in the DGCL or the Certificate of Incorporation.</w:t>
      </w:r>
    </w:p>
    <w:p>
      <w:pPr>
        <w:spacing w:after="0" w:line="159" w:lineRule="exact"/>
        <w:rPr>
          <w:sz w:val="20"/>
          <w:szCs w:val="20"/>
          <w:color w:val="auto"/>
        </w:rPr>
      </w:pPr>
    </w:p>
    <w:p>
      <w:pPr>
        <w:ind w:right="100" w:firstLine="374"/>
        <w:spacing w:after="0" w:line="259" w:lineRule="auto"/>
        <w:rPr>
          <w:sz w:val="20"/>
          <w:szCs w:val="20"/>
          <w:color w:val="auto"/>
        </w:rPr>
      </w:pPr>
      <w:r>
        <w:rPr>
          <w:rFonts w:ascii="Times New Roman" w:cs="Times New Roman" w:eastAsia="Times New Roman" w:hAnsi="Times New Roman"/>
          <w:sz w:val="19"/>
          <w:szCs w:val="19"/>
          <w:color w:val="auto"/>
        </w:rPr>
        <w:t xml:space="preserve">Section 3.02 </w:t>
      </w:r>
      <w:r>
        <w:rPr>
          <w:rFonts w:ascii="Times New Roman" w:cs="Times New Roman" w:eastAsia="Times New Roman" w:hAnsi="Times New Roman"/>
          <w:sz w:val="19"/>
          <w:szCs w:val="19"/>
          <w:u w:val="single" w:color="auto"/>
          <w:color w:val="auto"/>
        </w:rPr>
        <w:t>Number, Tenure and Qualifications</w:t>
      </w:r>
      <w:r>
        <w:rPr>
          <w:rFonts w:ascii="Times New Roman" w:cs="Times New Roman" w:eastAsia="Times New Roman" w:hAnsi="Times New Roman"/>
          <w:sz w:val="19"/>
          <w:szCs w:val="19"/>
          <w:color w:val="auto"/>
        </w:rPr>
        <w:t>. The number of directors of the Corporation, other than those who may be elected by the holders of one or more series of preferred stock of the Corporation (“</w:t>
      </w:r>
      <w:r>
        <w:rPr>
          <w:rFonts w:ascii="Times New Roman" w:cs="Times New Roman" w:eastAsia="Times New Roman" w:hAnsi="Times New Roman"/>
          <w:sz w:val="19"/>
          <w:szCs w:val="19"/>
          <w:u w:val="single" w:color="auto"/>
          <w:color w:val="auto"/>
        </w:rPr>
        <w:t>Preferred Stock</w:t>
      </w:r>
      <w:r>
        <w:rPr>
          <w:rFonts w:ascii="Times New Roman" w:cs="Times New Roman" w:eastAsia="Times New Roman" w:hAnsi="Times New Roman"/>
          <w:sz w:val="19"/>
          <w:szCs w:val="19"/>
          <w:color w:val="auto"/>
        </w:rPr>
        <w:t>”) voting separately by class or series, shall initially be nine (9). Each director of the Corporation shall hold office until his or her successor shall be qualified and elected, subject, however, to such director’s earlier death, resignation, retirement or removal. Any newly created directorship or vacancy shall be filled as set forth in the Certificate of Incorporation. Directors of the Corporation need not be residents of Delaware or stockholders of the Corporation. No decrease in the number of directors constituting the Board shall shorten the term of any incumbent director, except as may be provided for in a Preferred Stock Designation with respect to any additional director elected by the holders of the applicable series of Preferred Stock.</w:t>
      </w:r>
    </w:p>
    <w:p>
      <w:pPr>
        <w:spacing w:after="0" w:line="172"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20"/>
          <w:szCs w:val="20"/>
          <w:color w:val="auto"/>
        </w:rPr>
        <w:t xml:space="preserve">Section 3.03 </w:t>
      </w:r>
      <w:r>
        <w:rPr>
          <w:rFonts w:ascii="Times New Roman" w:cs="Times New Roman" w:eastAsia="Times New Roman" w:hAnsi="Times New Roman"/>
          <w:sz w:val="20"/>
          <w:szCs w:val="20"/>
          <w:u w:val="single" w:color="auto"/>
          <w:color w:val="auto"/>
        </w:rPr>
        <w:t>Resignation</w:t>
      </w:r>
      <w:r>
        <w:rPr>
          <w:rFonts w:ascii="Times New Roman" w:cs="Times New Roman" w:eastAsia="Times New Roman" w:hAnsi="Times New Roman"/>
          <w:sz w:val="20"/>
          <w:szCs w:val="20"/>
          <w:color w:val="auto"/>
        </w:rPr>
        <w:t>. Any director of the Corporation may resign at any time by giving notice to the Corporation in writing or by electronic transmission. A director’s resignation shall take effect upon receipt or, if a different time of effectiveness is specified therein, at the time specified therein. Unless otherwise specified therein, the acceptance of such resignation shall not be necessary to make it effective.</w:t>
      </w:r>
    </w:p>
    <w:p>
      <w:pPr>
        <w:spacing w:after="0" w:line="174" w:lineRule="exact"/>
        <w:rPr>
          <w:sz w:val="20"/>
          <w:szCs w:val="20"/>
          <w:color w:val="auto"/>
        </w:rPr>
      </w:pPr>
    </w:p>
    <w:p>
      <w:pPr>
        <w:ind w:right="440" w:firstLine="374"/>
        <w:spacing w:after="0" w:line="269" w:lineRule="auto"/>
        <w:rPr>
          <w:sz w:val="20"/>
          <w:szCs w:val="20"/>
          <w:color w:val="auto"/>
        </w:rPr>
      </w:pPr>
      <w:r>
        <w:rPr>
          <w:rFonts w:ascii="Times New Roman" w:cs="Times New Roman" w:eastAsia="Times New Roman" w:hAnsi="Times New Roman"/>
          <w:sz w:val="20"/>
          <w:szCs w:val="20"/>
          <w:color w:val="auto"/>
        </w:rPr>
        <w:t xml:space="preserve">Section 3.04 </w:t>
      </w:r>
      <w:r>
        <w:rPr>
          <w:rFonts w:ascii="Times New Roman" w:cs="Times New Roman" w:eastAsia="Times New Roman" w:hAnsi="Times New Roman"/>
          <w:sz w:val="20"/>
          <w:szCs w:val="20"/>
          <w:u w:val="single" w:color="auto"/>
          <w:color w:val="auto"/>
        </w:rPr>
        <w:t>Regular Meetings</w:t>
      </w:r>
      <w:r>
        <w:rPr>
          <w:rFonts w:ascii="Times New Roman" w:cs="Times New Roman" w:eastAsia="Times New Roman" w:hAnsi="Times New Roman"/>
          <w:sz w:val="20"/>
          <w:szCs w:val="20"/>
          <w:color w:val="auto"/>
        </w:rPr>
        <w:t>. Regular meetings of the Board may be held at such time and at such place, if any (either within or outside Delaware), as shall from time to time be determined by the Board.</w:t>
      </w:r>
    </w:p>
    <w:p>
      <w:pPr>
        <w:spacing w:after="0" w:line="159" w:lineRule="exact"/>
        <w:rPr>
          <w:sz w:val="20"/>
          <w:szCs w:val="20"/>
          <w:color w:val="auto"/>
        </w:rPr>
      </w:pPr>
    </w:p>
    <w:p>
      <w:pPr>
        <w:jc w:val="both"/>
        <w:ind w:right="160" w:firstLine="374"/>
        <w:spacing w:after="0" w:line="254" w:lineRule="auto"/>
        <w:rPr>
          <w:sz w:val="20"/>
          <w:szCs w:val="20"/>
          <w:color w:val="auto"/>
        </w:rPr>
      </w:pPr>
      <w:r>
        <w:rPr>
          <w:rFonts w:ascii="Times New Roman" w:cs="Times New Roman" w:eastAsia="Times New Roman" w:hAnsi="Times New Roman"/>
          <w:sz w:val="20"/>
          <w:szCs w:val="20"/>
          <w:color w:val="auto"/>
        </w:rPr>
        <w:t xml:space="preserve">Section 3.05 </w:t>
      </w:r>
      <w:r>
        <w:rPr>
          <w:rFonts w:ascii="Times New Roman" w:cs="Times New Roman" w:eastAsia="Times New Roman" w:hAnsi="Times New Roman"/>
          <w:sz w:val="20"/>
          <w:szCs w:val="20"/>
          <w:u w:val="single" w:color="auto"/>
          <w:color w:val="auto"/>
        </w:rPr>
        <w:t>Special Meetings</w:t>
      </w:r>
      <w:r>
        <w:rPr>
          <w:rFonts w:ascii="Times New Roman" w:cs="Times New Roman" w:eastAsia="Times New Roman" w:hAnsi="Times New Roman"/>
          <w:sz w:val="20"/>
          <w:szCs w:val="20"/>
          <w:color w:val="auto"/>
        </w:rPr>
        <w:t>. Special meetings of the Board for any purpose or purposes may be called at any time by the chairman of the Board, by the chief executive officer or by a majority of the directors of the Corporation. Any such special meeting may take place at any place either within or outside Delaware.</w:t>
      </w:r>
    </w:p>
    <w:p>
      <w:pPr>
        <w:spacing w:after="0" w:line="174" w:lineRule="exact"/>
        <w:rPr>
          <w:sz w:val="20"/>
          <w:szCs w:val="20"/>
          <w:color w:val="auto"/>
        </w:rPr>
      </w:pPr>
    </w:p>
    <w:p>
      <w:pPr>
        <w:ind w:right="80" w:firstLine="374"/>
        <w:spacing w:after="0" w:line="249" w:lineRule="auto"/>
        <w:rPr>
          <w:sz w:val="20"/>
          <w:szCs w:val="20"/>
          <w:color w:val="auto"/>
        </w:rPr>
      </w:pPr>
      <w:r>
        <w:rPr>
          <w:rFonts w:ascii="Times New Roman" w:cs="Times New Roman" w:eastAsia="Times New Roman" w:hAnsi="Times New Roman"/>
          <w:sz w:val="20"/>
          <w:szCs w:val="20"/>
          <w:color w:val="auto"/>
        </w:rPr>
        <w:t xml:space="preserve">Section 3.06 </w:t>
      </w:r>
      <w:r>
        <w:rPr>
          <w:rFonts w:ascii="Times New Roman" w:cs="Times New Roman" w:eastAsia="Times New Roman" w:hAnsi="Times New Roman"/>
          <w:sz w:val="20"/>
          <w:szCs w:val="20"/>
          <w:u w:val="single" w:color="auto"/>
          <w:color w:val="auto"/>
        </w:rPr>
        <w:t>Meetings by Telephone</w:t>
      </w:r>
      <w:r>
        <w:rPr>
          <w:rFonts w:ascii="Times New Roman" w:cs="Times New Roman" w:eastAsia="Times New Roman" w:hAnsi="Times New Roman"/>
          <w:sz w:val="20"/>
          <w:szCs w:val="20"/>
          <w:color w:val="auto"/>
        </w:rPr>
        <w:t>. Unless otherwise restricted by the Certificate of Incorporation, the directors of the Corporation may participate in a meeting of the Board by means of conference telephone or other communications equipment by means of which all persons participating in such meeting can hear each other, and such participation in such meeting in such manner shall constitute presence in person at such meeting.</w:t>
      </w:r>
    </w:p>
    <w:p>
      <w:pPr>
        <w:spacing w:after="0" w:line="180" w:lineRule="exact"/>
        <w:rPr>
          <w:sz w:val="20"/>
          <w:szCs w:val="20"/>
          <w:color w:val="auto"/>
        </w:rPr>
      </w:pPr>
    </w:p>
    <w:p>
      <w:pPr>
        <w:ind w:right="40" w:firstLine="374"/>
        <w:spacing w:after="0" w:line="242" w:lineRule="auto"/>
        <w:rPr>
          <w:sz w:val="20"/>
          <w:szCs w:val="20"/>
          <w:color w:val="auto"/>
        </w:rPr>
      </w:pPr>
      <w:r>
        <w:rPr>
          <w:rFonts w:ascii="Times New Roman" w:cs="Times New Roman" w:eastAsia="Times New Roman" w:hAnsi="Times New Roman"/>
          <w:sz w:val="20"/>
          <w:szCs w:val="20"/>
          <w:color w:val="auto"/>
        </w:rPr>
        <w:t xml:space="preserve">Section 3.07 </w:t>
      </w:r>
      <w:r>
        <w:rPr>
          <w:rFonts w:ascii="Times New Roman" w:cs="Times New Roman" w:eastAsia="Times New Roman" w:hAnsi="Times New Roman"/>
          <w:sz w:val="20"/>
          <w:szCs w:val="20"/>
          <w:u w:val="single" w:color="auto"/>
          <w:color w:val="auto"/>
        </w:rPr>
        <w:t>Notice of Meetings</w:t>
      </w:r>
      <w:r>
        <w:rPr>
          <w:rFonts w:ascii="Times New Roman" w:cs="Times New Roman" w:eastAsia="Times New Roman" w:hAnsi="Times New Roman"/>
          <w:sz w:val="20"/>
          <w:szCs w:val="20"/>
          <w:color w:val="auto"/>
        </w:rPr>
        <w:t>. Notice of each meeting of the Board (except those regular meetings for which notice is not required) stating the place, if any, day and hour of such meeting shall be given to each director of the Corporation at least two days prior thereto by the mailing of written notice by first class, certified or registered mail, or at least one day prior thereto by personal delivery (including delivery by private courier) of written notice or by telephone, telegram, telex, cablegram, electronic transmission (including email) or other similar method, except that in the case of a meeting of the Board to be held pursuant to Section 3.06 notice may be given by telephone at any time prior thereto. The method of notice need not be the same to each director of the Corporation. Notice shall be deemed to be given when deposited in the United States mail, with postage thereon prepaid, addressed to such director at his business or residence address, when delivered or communicated to such director or when the telegram, telex, cablegram, electronic transmission (including email) or other form of notice is personally delivered to such director or delivered to the last address of such director furnished by him to the Corporation for such purpose. Notice may be waived pursuant to Section 7.02 hereof. Neither the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07" w:name="page108"/>
    <w:bookmarkEnd w:id="107"/>
    <w:p>
      <w:pPr>
        <w:jc w:val="center"/>
        <w:ind w:right="60"/>
        <w:spacing w:after="0"/>
        <w:rPr>
          <w:sz w:val="20"/>
          <w:szCs w:val="20"/>
          <w:color w:val="auto"/>
        </w:rPr>
      </w:pPr>
      <w:r>
        <w:rPr>
          <w:rFonts w:ascii="Times New Roman" w:cs="Times New Roman" w:eastAsia="Times New Roman" w:hAnsi="Times New Roman"/>
          <w:sz w:val="19"/>
          <w:szCs w:val="19"/>
          <w:color w:val="auto"/>
        </w:rPr>
        <w:t>business to be transacted at, nor the purpose of, any meeting of the Board need be specified in the notice or waiver of notice of such meeting.</w:t>
      </w:r>
    </w:p>
    <w:p>
      <w:pPr>
        <w:spacing w:after="0" w:line="227" w:lineRule="exact"/>
        <w:rPr>
          <w:sz w:val="20"/>
          <w:szCs w:val="20"/>
          <w:color w:val="auto"/>
        </w:rPr>
      </w:pPr>
    </w:p>
    <w:p>
      <w:pPr>
        <w:ind w:right="80" w:firstLine="374"/>
        <w:spacing w:after="0" w:line="243" w:lineRule="auto"/>
        <w:rPr>
          <w:sz w:val="20"/>
          <w:szCs w:val="20"/>
          <w:color w:val="auto"/>
        </w:rPr>
      </w:pPr>
      <w:r>
        <w:rPr>
          <w:rFonts w:ascii="Times New Roman" w:cs="Times New Roman" w:eastAsia="Times New Roman" w:hAnsi="Times New Roman"/>
          <w:sz w:val="20"/>
          <w:szCs w:val="20"/>
          <w:color w:val="auto"/>
        </w:rPr>
        <w:t xml:space="preserve">Section 3.08 </w:t>
      </w:r>
      <w:r>
        <w:rPr>
          <w:rFonts w:ascii="Times New Roman" w:cs="Times New Roman" w:eastAsia="Times New Roman" w:hAnsi="Times New Roman"/>
          <w:sz w:val="20"/>
          <w:szCs w:val="20"/>
          <w:u w:val="single" w:color="auto"/>
          <w:color w:val="auto"/>
        </w:rPr>
        <w:t>Quorum and Manner of Acting</w:t>
      </w:r>
      <w:r>
        <w:rPr>
          <w:rFonts w:ascii="Times New Roman" w:cs="Times New Roman" w:eastAsia="Times New Roman" w:hAnsi="Times New Roman"/>
          <w:sz w:val="20"/>
          <w:szCs w:val="20"/>
          <w:color w:val="auto"/>
        </w:rPr>
        <w:t>. Except as otherwise may be required by law, the Certificate of Incorporation or these Bylaws, a majority of the number of directors of the Corporation fixed in accordance with these Bylaws, present at the meeting, shall constitute a quorum for the transaction of business at any meeting of the Board, and the vote of a majority of the directors of the Corporation present at a meeting of the Board at which a quorum is present shall be the act of the Board. If less than a quorum is present at a meeting of the Board, the directors of the Corporation present may adjourn such meeting from time to time without further notice other than announcement at such meeting, until a quorum shall be present. Subject to the terms of the Certificate of Incorporation, a meeting at which a quorum is initially present may continue to transact business notwithstanding the withdrawal of directors, if any action taken is approved by at least a majority of the required quorum for that meeting.</w:t>
      </w:r>
    </w:p>
    <w:p>
      <w:pPr>
        <w:spacing w:after="0" w:line="189" w:lineRule="exact"/>
        <w:rPr>
          <w:sz w:val="20"/>
          <w:szCs w:val="20"/>
          <w:color w:val="auto"/>
        </w:rPr>
      </w:pPr>
    </w:p>
    <w:p>
      <w:pPr>
        <w:ind w:right="60" w:firstLine="374"/>
        <w:spacing w:after="0" w:line="249" w:lineRule="auto"/>
        <w:rPr>
          <w:sz w:val="20"/>
          <w:szCs w:val="20"/>
          <w:color w:val="auto"/>
        </w:rPr>
      </w:pPr>
      <w:r>
        <w:rPr>
          <w:rFonts w:ascii="Times New Roman" w:cs="Times New Roman" w:eastAsia="Times New Roman" w:hAnsi="Times New Roman"/>
          <w:sz w:val="20"/>
          <w:szCs w:val="20"/>
          <w:color w:val="auto"/>
        </w:rPr>
        <w:t xml:space="preserve">Section 3.09 </w:t>
      </w:r>
      <w:r>
        <w:rPr>
          <w:rFonts w:ascii="Times New Roman" w:cs="Times New Roman" w:eastAsia="Times New Roman" w:hAnsi="Times New Roman"/>
          <w:sz w:val="20"/>
          <w:szCs w:val="20"/>
          <w:u w:val="single" w:color="auto"/>
          <w:color w:val="auto"/>
        </w:rPr>
        <w:t>Action Without a Meeting</w:t>
      </w:r>
      <w:r>
        <w:rPr>
          <w:rFonts w:ascii="Times New Roman" w:cs="Times New Roman" w:eastAsia="Times New Roman" w:hAnsi="Times New Roman"/>
          <w:sz w:val="20"/>
          <w:szCs w:val="20"/>
          <w:color w:val="auto"/>
        </w:rPr>
        <w:t>. Any action required or permitted to be taken at any meeting of the Board or of any committee thereof may be taken without a meeting, without prior notice and without a vote, if all members of the Board or committee thereof entitled to vote thereon, as the case may be, consent thereto in writing or by electronic transmission and the writing or writings or electronic transmission or transmissions are filed with the minutes of the proceedings of the Board or committee thereof, as the case may be.</w:t>
      </w:r>
    </w:p>
    <w:p>
      <w:pPr>
        <w:spacing w:after="0" w:line="180" w:lineRule="exact"/>
        <w:rPr>
          <w:sz w:val="20"/>
          <w:szCs w:val="20"/>
          <w:color w:val="auto"/>
        </w:rPr>
      </w:pPr>
    </w:p>
    <w:p>
      <w:pPr>
        <w:ind w:firstLine="374"/>
        <w:spacing w:after="0" w:line="241" w:lineRule="auto"/>
        <w:rPr>
          <w:sz w:val="20"/>
          <w:szCs w:val="20"/>
          <w:color w:val="auto"/>
        </w:rPr>
      </w:pPr>
      <w:r>
        <w:rPr>
          <w:rFonts w:ascii="Times New Roman" w:cs="Times New Roman" w:eastAsia="Times New Roman" w:hAnsi="Times New Roman"/>
          <w:sz w:val="20"/>
          <w:szCs w:val="20"/>
          <w:color w:val="auto"/>
        </w:rPr>
        <w:t xml:space="preserve">Section 3.10 </w:t>
      </w:r>
      <w:r>
        <w:rPr>
          <w:rFonts w:ascii="Times New Roman" w:cs="Times New Roman" w:eastAsia="Times New Roman" w:hAnsi="Times New Roman"/>
          <w:sz w:val="20"/>
          <w:szCs w:val="20"/>
          <w:u w:val="single" w:color="auto"/>
          <w:color w:val="auto"/>
        </w:rPr>
        <w:t>Executive and Other Committees</w:t>
      </w:r>
      <w:r>
        <w:rPr>
          <w:rFonts w:ascii="Times New Roman" w:cs="Times New Roman" w:eastAsia="Times New Roman" w:hAnsi="Times New Roman"/>
          <w:sz w:val="20"/>
          <w:szCs w:val="20"/>
          <w:color w:val="auto"/>
        </w:rPr>
        <w:t>. The Board may designate by resolution one or more committees of the Board, each committee to consist of one or more of the directors of the Corporation. The Board may designate one or more directors as alternate members of any such committee, who may replace any absent or disqualified member at any meeting of such committee, and may dissolve any such committee. In the absence or disqualification of a member of a committee of the Board, the member or members present at any meeting of such committee of the Board and not disqualified from voting, whether or not such member or members constitute a quorum, may unanimously appoint another member of the Board to act at the meeting in the place of any such absent or disqualified member. Except as otherwise provided in the charter of such committee or as otherwise required by the corporation governance rules and listing standards of any national securities exchange or automated quotation system upon which the Corporation’s securities are then listed, any such committee shall present its findings and recommendations to the Board, as set forth in the applicable Board resolution. The Board shall delegate certain of its powers and authority to any such committee as set forth in the charters of such committee or by resolution of the Board in the Board’s discretion or as otherwise required by the corporation governance rules and listing standards of any national securities exchange or automated quotation system upon which the Corporation’s securities are then listed. To the extent the Board does not establish other procedures, and subject to the immediately preceding sentence, each such committee shall be governed by the procedures set forth in Sections 3.04 (except as they relate to an annual meeting), 3.05 through 3.09, 7.01 and 7.02 as if such committee were the Board. Each such committee shall keep regular minutes of its meetings, which shall be reported to the Board when required and submitted to the secretary of the Corporation for inclusion in the corporate records of the Corporation.</w:t>
      </w:r>
    </w:p>
    <w:p>
      <w:pPr>
        <w:spacing w:after="0" w:line="193" w:lineRule="exact"/>
        <w:rPr>
          <w:sz w:val="20"/>
          <w:szCs w:val="20"/>
          <w:color w:val="auto"/>
        </w:rPr>
      </w:pPr>
    </w:p>
    <w:p>
      <w:pPr>
        <w:ind w:right="40" w:firstLine="374"/>
        <w:spacing w:after="0" w:line="246" w:lineRule="auto"/>
        <w:rPr>
          <w:sz w:val="20"/>
          <w:szCs w:val="20"/>
          <w:color w:val="auto"/>
        </w:rPr>
      </w:pPr>
      <w:r>
        <w:rPr>
          <w:rFonts w:ascii="Times New Roman" w:cs="Times New Roman" w:eastAsia="Times New Roman" w:hAnsi="Times New Roman"/>
          <w:sz w:val="20"/>
          <w:szCs w:val="20"/>
          <w:color w:val="auto"/>
        </w:rPr>
        <w:t xml:space="preserve">Section 3.11 </w:t>
      </w: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 Unless otherwise restricted by the Certificate of Incorporation, the Board shall have the authority to fix the compensation of directors of the Corporation. Such directors may be paid their expenses, if any, of attendance at each meeting of the Board and each meeting of any committee of the Board of which he or she is a member and may be paid a fixed sum for attendance at each such meeting or a stated salary or both a fixed sum and a stated salary. No such payment shall preclude any such director from serving the Corporation in any other capacity and receiving compensation therefor.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8" w:name="page109"/>
    <w:bookmarkEnd w:id="108"/>
    <w:p>
      <w:pPr>
        <w:ind w:right="220" w:firstLine="374"/>
        <w:spacing w:after="0" w:line="269" w:lineRule="auto"/>
        <w:rPr>
          <w:sz w:val="20"/>
          <w:szCs w:val="20"/>
          <w:color w:val="auto"/>
        </w:rPr>
      </w:pPr>
      <w:r>
        <w:rPr>
          <w:rFonts w:ascii="Times New Roman" w:cs="Times New Roman" w:eastAsia="Times New Roman" w:hAnsi="Times New Roman"/>
          <w:sz w:val="20"/>
          <w:szCs w:val="20"/>
          <w:color w:val="auto"/>
        </w:rPr>
        <w:t xml:space="preserve">Section 3.12 </w:t>
      </w:r>
      <w:r>
        <w:rPr>
          <w:rFonts w:ascii="Times New Roman" w:cs="Times New Roman" w:eastAsia="Times New Roman" w:hAnsi="Times New Roman"/>
          <w:sz w:val="20"/>
          <w:szCs w:val="20"/>
          <w:u w:val="single" w:color="auto"/>
          <w:color w:val="auto"/>
        </w:rPr>
        <w:t>Removal of Directors; Vacancies</w:t>
      </w:r>
      <w:r>
        <w:rPr>
          <w:rFonts w:ascii="Times New Roman" w:cs="Times New Roman" w:eastAsia="Times New Roman" w:hAnsi="Times New Roman"/>
          <w:sz w:val="20"/>
          <w:szCs w:val="20"/>
          <w:color w:val="auto"/>
        </w:rPr>
        <w:t>. The removal of directors of the Corporation and the filling of vacancies on the Board shall be as provided in the Certificate of Incorporation.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IV</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Officers</w:t>
      </w:r>
    </w:p>
    <w:p>
      <w:pPr>
        <w:spacing w:after="0" w:line="194" w:lineRule="exact"/>
        <w:rPr>
          <w:sz w:val="20"/>
          <w:szCs w:val="20"/>
          <w:color w:val="auto"/>
        </w:rPr>
      </w:pPr>
    </w:p>
    <w:p>
      <w:pPr>
        <w:ind w:firstLine="374"/>
        <w:spacing w:after="0" w:line="244" w:lineRule="auto"/>
        <w:rPr>
          <w:sz w:val="20"/>
          <w:szCs w:val="20"/>
          <w:color w:val="auto"/>
        </w:rPr>
      </w:pPr>
      <w:r>
        <w:rPr>
          <w:rFonts w:ascii="Times New Roman" w:cs="Times New Roman" w:eastAsia="Times New Roman" w:hAnsi="Times New Roman"/>
          <w:sz w:val="20"/>
          <w:szCs w:val="20"/>
          <w:color w:val="auto"/>
        </w:rPr>
        <w:t xml:space="preserve">Section 4.01 </w:t>
      </w:r>
      <w:r>
        <w:rPr>
          <w:rFonts w:ascii="Times New Roman" w:cs="Times New Roman" w:eastAsia="Times New Roman" w:hAnsi="Times New Roman"/>
          <w:sz w:val="20"/>
          <w:szCs w:val="20"/>
          <w:u w:val="single" w:color="auto"/>
          <w:color w:val="auto"/>
        </w:rPr>
        <w:t>Number and Qualifications</w:t>
      </w:r>
      <w:r>
        <w:rPr>
          <w:rFonts w:ascii="Times New Roman" w:cs="Times New Roman" w:eastAsia="Times New Roman" w:hAnsi="Times New Roman"/>
          <w:sz w:val="20"/>
          <w:szCs w:val="20"/>
          <w:color w:val="auto"/>
        </w:rPr>
        <w:t>. The officers of the Corporation shall consist of a chairman of the Board, a chief executive officer, a president, a chief operating officer, a chief financial officer, a secretary and such other officers, including a vice-chairman or vice-chairmen of the Board, one or more vice-presidents, a treasurer and a controller, as may from time to time be elected or appointed by the Board. In addition, the Board or the chief executive officer of the Corporation may elect or appoint such assistant and other subordinate officers, including assistant vice-presidents, assistant secretaries and assistant treasurers, as it or he shall deem necessary or appropriate. Any number of offices of the Corporation may be held by the same person, except that no person may simultaneously hold the offices of president and secretary of the Corporation.</w:t>
      </w:r>
    </w:p>
    <w:p>
      <w:pPr>
        <w:spacing w:after="0" w:line="186" w:lineRule="exact"/>
        <w:rPr>
          <w:sz w:val="20"/>
          <w:szCs w:val="20"/>
          <w:color w:val="auto"/>
        </w:rPr>
      </w:pPr>
    </w:p>
    <w:p>
      <w:pPr>
        <w:ind w:right="20" w:firstLine="374"/>
        <w:spacing w:after="0" w:line="246" w:lineRule="auto"/>
        <w:rPr>
          <w:sz w:val="20"/>
          <w:szCs w:val="20"/>
          <w:color w:val="auto"/>
        </w:rPr>
      </w:pPr>
      <w:r>
        <w:rPr>
          <w:rFonts w:ascii="Times New Roman" w:cs="Times New Roman" w:eastAsia="Times New Roman" w:hAnsi="Times New Roman"/>
          <w:sz w:val="20"/>
          <w:szCs w:val="20"/>
          <w:color w:val="auto"/>
        </w:rPr>
        <w:t xml:space="preserve">Section 4.02 </w:t>
      </w:r>
      <w:r>
        <w:rPr>
          <w:rFonts w:ascii="Times New Roman" w:cs="Times New Roman" w:eastAsia="Times New Roman" w:hAnsi="Times New Roman"/>
          <w:sz w:val="20"/>
          <w:szCs w:val="20"/>
          <w:u w:val="single" w:color="auto"/>
          <w:color w:val="auto"/>
        </w:rPr>
        <w:t>Election and Term of Office</w:t>
      </w:r>
      <w:r>
        <w:rPr>
          <w:rFonts w:ascii="Times New Roman" w:cs="Times New Roman" w:eastAsia="Times New Roman" w:hAnsi="Times New Roman"/>
          <w:sz w:val="20"/>
          <w:szCs w:val="20"/>
          <w:color w:val="auto"/>
        </w:rPr>
        <w:t>. Except as provided in the Certificate of Incorporation and Sections 4.01 and 4.06 of these Bylaws, the officers of the Corporation shall be elected by the Board. If such election shall not be held as provided herein, such election shall be held as soon thereafter as may be convenient. Each officer of the Corporation shall hold office until his or her successor shall be elected and shall qualify or until the expiration of his or her term in office if elected or appointed for a specified period of time, subject, however, to prior death, resignation, retirement or removal.</w:t>
      </w:r>
    </w:p>
    <w:p>
      <w:pPr>
        <w:spacing w:after="0" w:line="185" w:lineRule="exact"/>
        <w:rPr>
          <w:sz w:val="20"/>
          <w:szCs w:val="20"/>
          <w:color w:val="auto"/>
        </w:rPr>
      </w:pPr>
    </w:p>
    <w:p>
      <w:pPr>
        <w:jc w:val="both"/>
        <w:ind w:right="360" w:firstLine="374"/>
        <w:spacing w:after="0" w:line="249" w:lineRule="auto"/>
        <w:rPr>
          <w:sz w:val="20"/>
          <w:szCs w:val="20"/>
          <w:color w:val="auto"/>
        </w:rPr>
      </w:pPr>
      <w:r>
        <w:rPr>
          <w:rFonts w:ascii="Times New Roman" w:cs="Times New Roman" w:eastAsia="Times New Roman" w:hAnsi="Times New Roman"/>
          <w:sz w:val="20"/>
          <w:szCs w:val="20"/>
          <w:color w:val="auto"/>
        </w:rPr>
        <w:t xml:space="preserve">Section 4.03 </w:t>
      </w: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 Officers of the Corporation shall receive such compensation for their services as may be authorized or ratified by the Board or a compensation committee of the Board, and no such officer shall be prevented from receiving compensation by reason of the fact that he or she is also a director of the Corporation. Election or appointment as an officer of the Corporation shall not of itself create a contract or other right to compensation for services performed by such officer.</w:t>
      </w:r>
    </w:p>
    <w:p>
      <w:pPr>
        <w:spacing w:after="0" w:line="180" w:lineRule="exact"/>
        <w:rPr>
          <w:sz w:val="20"/>
          <w:szCs w:val="20"/>
          <w:color w:val="auto"/>
        </w:rPr>
      </w:pPr>
    </w:p>
    <w:p>
      <w:pPr>
        <w:ind w:firstLine="374"/>
        <w:spacing w:after="0" w:line="249" w:lineRule="auto"/>
        <w:rPr>
          <w:sz w:val="20"/>
          <w:szCs w:val="20"/>
          <w:color w:val="auto"/>
        </w:rPr>
      </w:pPr>
      <w:r>
        <w:rPr>
          <w:rFonts w:ascii="Times New Roman" w:cs="Times New Roman" w:eastAsia="Times New Roman" w:hAnsi="Times New Roman"/>
          <w:sz w:val="20"/>
          <w:szCs w:val="20"/>
          <w:color w:val="auto"/>
        </w:rPr>
        <w:t xml:space="preserve">Section 4.04 </w:t>
      </w:r>
      <w:r>
        <w:rPr>
          <w:rFonts w:ascii="Times New Roman" w:cs="Times New Roman" w:eastAsia="Times New Roman" w:hAnsi="Times New Roman"/>
          <w:sz w:val="20"/>
          <w:szCs w:val="20"/>
          <w:u w:val="single" w:color="auto"/>
          <w:color w:val="auto"/>
        </w:rPr>
        <w:t>Resignation</w:t>
      </w:r>
      <w:r>
        <w:rPr>
          <w:rFonts w:ascii="Times New Roman" w:cs="Times New Roman" w:eastAsia="Times New Roman" w:hAnsi="Times New Roman"/>
          <w:sz w:val="20"/>
          <w:szCs w:val="20"/>
          <w:color w:val="auto"/>
        </w:rPr>
        <w:t>. Any officer of the Corporation may resign at any time, subject to any rights or obligations under any existing contracts between such officer and the Corporation, by giving notice to the Corporation in writing or by electronic transmission. Such officer’s resignation shall take effect upon receipt or, if a different time of effectiveness is specified therein, at the time stated therein. Unless otherwise specified therein, the acceptance of such resignation shall not be necessary to make it effective.</w:t>
      </w:r>
    </w:p>
    <w:p>
      <w:pPr>
        <w:spacing w:after="0" w:line="180" w:lineRule="exact"/>
        <w:rPr>
          <w:sz w:val="20"/>
          <w:szCs w:val="20"/>
          <w:color w:val="auto"/>
        </w:rPr>
      </w:pPr>
    </w:p>
    <w:p>
      <w:pPr>
        <w:ind w:right="120" w:firstLine="374"/>
        <w:spacing w:after="0" w:line="246" w:lineRule="auto"/>
        <w:rPr>
          <w:sz w:val="20"/>
          <w:szCs w:val="20"/>
          <w:color w:val="auto"/>
        </w:rPr>
      </w:pPr>
      <w:r>
        <w:rPr>
          <w:rFonts w:ascii="Times New Roman" w:cs="Times New Roman" w:eastAsia="Times New Roman" w:hAnsi="Times New Roman"/>
          <w:sz w:val="20"/>
          <w:szCs w:val="20"/>
          <w:color w:val="auto"/>
        </w:rPr>
        <w:t xml:space="preserve">Section 4.05 </w:t>
      </w:r>
      <w:r>
        <w:rPr>
          <w:rFonts w:ascii="Times New Roman" w:cs="Times New Roman" w:eastAsia="Times New Roman" w:hAnsi="Times New Roman"/>
          <w:sz w:val="20"/>
          <w:szCs w:val="20"/>
          <w:u w:val="single" w:color="auto"/>
          <w:color w:val="auto"/>
        </w:rPr>
        <w:t>Removal</w:t>
      </w:r>
      <w:r>
        <w:rPr>
          <w:rFonts w:ascii="Times New Roman" w:cs="Times New Roman" w:eastAsia="Times New Roman" w:hAnsi="Times New Roman"/>
          <w:sz w:val="20"/>
          <w:szCs w:val="20"/>
          <w:color w:val="auto"/>
        </w:rPr>
        <w:t>. Unless otherwise provided in the Certificate of Incorporation, any officer of the Corporation may be removed with or without cause at any time by the Board, or, in the case of assistant and other subordinate officers of the Corporation, by the chief executive officer of the Corporation, whenever in its, his or her judgment, as the case may be, the best interests of the Corporation will be served thereby, but such removal shall be without prejudice to the contract rights, if any, of the person so removed. Election or appointment of an officer of the Corporation shall not in itself create contract rights.</w:t>
      </w:r>
    </w:p>
    <w:p>
      <w:pPr>
        <w:spacing w:after="0" w:line="185" w:lineRule="exact"/>
        <w:rPr>
          <w:sz w:val="20"/>
          <w:szCs w:val="20"/>
          <w:color w:val="auto"/>
        </w:rPr>
      </w:pPr>
    </w:p>
    <w:p>
      <w:pPr>
        <w:ind w:right="460" w:firstLine="374"/>
        <w:spacing w:after="0" w:line="269" w:lineRule="auto"/>
        <w:rPr>
          <w:sz w:val="20"/>
          <w:szCs w:val="20"/>
          <w:color w:val="auto"/>
        </w:rPr>
      </w:pPr>
      <w:r>
        <w:rPr>
          <w:rFonts w:ascii="Times New Roman" w:cs="Times New Roman" w:eastAsia="Times New Roman" w:hAnsi="Times New Roman"/>
          <w:sz w:val="20"/>
          <w:szCs w:val="20"/>
          <w:color w:val="auto"/>
        </w:rPr>
        <w:t xml:space="preserve">Section 4.06 </w:t>
      </w:r>
      <w:r>
        <w:rPr>
          <w:rFonts w:ascii="Times New Roman" w:cs="Times New Roman" w:eastAsia="Times New Roman" w:hAnsi="Times New Roman"/>
          <w:sz w:val="20"/>
          <w:szCs w:val="20"/>
          <w:u w:val="single" w:color="auto"/>
          <w:color w:val="auto"/>
        </w:rPr>
        <w:t>Vacancies</w:t>
      </w:r>
      <w:r>
        <w:rPr>
          <w:rFonts w:ascii="Times New Roman" w:cs="Times New Roman" w:eastAsia="Times New Roman" w:hAnsi="Times New Roman"/>
          <w:sz w:val="20"/>
          <w:szCs w:val="20"/>
          <w:color w:val="auto"/>
        </w:rPr>
        <w:t>. Except as otherwise provided in the Certificate of Incorporation, a vacancy occurring in any office of the Corporation by death, resignation, retirement, removal or otherwise may be filled by the Board.</w:t>
      </w:r>
    </w:p>
    <w:p>
      <w:pPr>
        <w:spacing w:after="0" w:line="159" w:lineRule="exact"/>
        <w:rPr>
          <w:sz w:val="20"/>
          <w:szCs w:val="20"/>
          <w:color w:val="auto"/>
        </w:rPr>
      </w:pPr>
    </w:p>
    <w:p>
      <w:pPr>
        <w:jc w:val="both"/>
        <w:ind w:right="140" w:firstLine="374"/>
        <w:spacing w:after="0" w:line="254" w:lineRule="auto"/>
        <w:rPr>
          <w:sz w:val="20"/>
          <w:szCs w:val="20"/>
          <w:color w:val="auto"/>
        </w:rPr>
      </w:pPr>
      <w:r>
        <w:rPr>
          <w:rFonts w:ascii="Times New Roman" w:cs="Times New Roman" w:eastAsia="Times New Roman" w:hAnsi="Times New Roman"/>
          <w:sz w:val="20"/>
          <w:szCs w:val="20"/>
          <w:color w:val="auto"/>
        </w:rPr>
        <w:t xml:space="preserve">Section 4.07 </w:t>
      </w:r>
      <w:r>
        <w:rPr>
          <w:rFonts w:ascii="Times New Roman" w:cs="Times New Roman" w:eastAsia="Times New Roman" w:hAnsi="Times New Roman"/>
          <w:sz w:val="20"/>
          <w:szCs w:val="20"/>
          <w:u w:val="single" w:color="auto"/>
          <w:color w:val="auto"/>
        </w:rPr>
        <w:t>Authority and Duties</w:t>
      </w:r>
      <w:r>
        <w:rPr>
          <w:rFonts w:ascii="Times New Roman" w:cs="Times New Roman" w:eastAsia="Times New Roman" w:hAnsi="Times New Roman"/>
          <w:sz w:val="20"/>
          <w:szCs w:val="20"/>
          <w:color w:val="auto"/>
        </w:rPr>
        <w:t>. The officers of the Corporation shall have the authority and shall exercise the powers and perform the duties specified below and as may be additionally specified by the chief executive officer of the Corporation, the Board or these Bylaws (and in all cases where the duties of</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09" w:name="page110"/>
    <w:bookmarkEnd w:id="109"/>
    <w:p>
      <w:pPr>
        <w:ind w:right="160"/>
        <w:spacing w:after="0" w:line="254" w:lineRule="auto"/>
        <w:rPr>
          <w:sz w:val="20"/>
          <w:szCs w:val="20"/>
          <w:color w:val="auto"/>
        </w:rPr>
      </w:pPr>
      <w:r>
        <w:rPr>
          <w:rFonts w:ascii="Times New Roman" w:cs="Times New Roman" w:eastAsia="Times New Roman" w:hAnsi="Times New Roman"/>
          <w:sz w:val="20"/>
          <w:szCs w:val="20"/>
          <w:color w:val="auto"/>
        </w:rPr>
        <w:t>any officer of the Corporation are not prescribed by these Bylaws or the Board, such officer shall follow the orders and instructions of the chief executive officer of the Corporation), except that in any event each such officer shall exercise such powers and perform such duties as may be required by law:</w:t>
      </w:r>
    </w:p>
    <w:p>
      <w:pPr>
        <w:spacing w:after="0" w:line="174" w:lineRule="exact"/>
        <w:rPr>
          <w:sz w:val="20"/>
          <w:szCs w:val="20"/>
          <w:color w:val="auto"/>
        </w:rPr>
      </w:pPr>
    </w:p>
    <w:p>
      <w:pPr>
        <w:ind w:right="280" w:firstLine="382"/>
        <w:spacing w:after="0" w:line="254" w:lineRule="auto"/>
        <w:tabs>
          <w:tab w:leader="none" w:pos="77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Chairman of the Board</w:t>
      </w:r>
      <w:r>
        <w:rPr>
          <w:rFonts w:ascii="Times New Roman" w:cs="Times New Roman" w:eastAsia="Times New Roman" w:hAnsi="Times New Roman"/>
          <w:sz w:val="20"/>
          <w:szCs w:val="20"/>
          <w:color w:val="auto"/>
        </w:rPr>
        <w:t>. The chairman of the Board of the Corporation, who shall be elected from among the directors of the Corporation, shall preside, when present, at all meetings of the Corporation’s stockholders and the Board and perform such other duties as may be assigned to him or her from time to time by the Board.</w:t>
      </w:r>
    </w:p>
    <w:p>
      <w:pPr>
        <w:spacing w:after="0" w:line="174" w:lineRule="exact"/>
        <w:rPr>
          <w:rFonts w:ascii="Times New Roman" w:cs="Times New Roman" w:eastAsia="Times New Roman" w:hAnsi="Times New Roman"/>
          <w:sz w:val="20"/>
          <w:szCs w:val="20"/>
          <w:color w:val="auto"/>
        </w:rPr>
      </w:pPr>
    </w:p>
    <w:p>
      <w:pPr>
        <w:ind w:left="780" w:hanging="398"/>
        <w:spacing w:after="0"/>
        <w:tabs>
          <w:tab w:leader="none" w:pos="780"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Chief Executive Officer</w:t>
      </w:r>
      <w:r>
        <w:rPr>
          <w:rFonts w:ascii="Times New Roman" w:cs="Times New Roman" w:eastAsia="Times New Roman" w:hAnsi="Times New Roman"/>
          <w:sz w:val="19"/>
          <w:szCs w:val="19"/>
          <w:color w:val="auto"/>
        </w:rPr>
        <w:t>. The chief executive officer of the Corporation shall, subject to the direction and supervision of the Board,</w:t>
      </w:r>
    </w:p>
    <w:p>
      <w:pPr>
        <w:spacing w:after="0" w:line="33" w:lineRule="exact"/>
        <w:rPr>
          <w:rFonts w:ascii="Times New Roman" w:cs="Times New Roman" w:eastAsia="Times New Roman" w:hAnsi="Times New Roman"/>
          <w:sz w:val="19"/>
          <w:szCs w:val="19"/>
          <w:color w:val="auto"/>
        </w:rPr>
      </w:pPr>
    </w:p>
    <w:p>
      <w:pPr>
        <w:ind w:right="220" w:firstLine="8"/>
        <w:spacing w:after="0" w:line="241" w:lineRule="auto"/>
        <w:tabs>
          <w:tab w:leader="none" w:pos="23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general and active control of the affairs of the Corporation and general supervision of its officers, agents and employees; (ii) in the absence of the chairman of the Board of the Corporation, preside, when present, at all meetings of the Corporation’s stockholders and the Board; (iii) see that all orders and resolutions of the Board are carried into effect; and (iv) perform all other duties incident to the office of chief executive officer and as from time to time may be assigned to him or her by the Board.</w:t>
      </w:r>
    </w:p>
    <w:p>
      <w:pPr>
        <w:spacing w:after="0" w:line="188" w:lineRule="exact"/>
        <w:rPr>
          <w:rFonts w:ascii="Times New Roman" w:cs="Times New Roman" w:eastAsia="Times New Roman" w:hAnsi="Times New Roman"/>
          <w:sz w:val="20"/>
          <w:szCs w:val="20"/>
          <w:color w:val="auto"/>
        </w:rPr>
      </w:pPr>
    </w:p>
    <w:p>
      <w:pPr>
        <w:ind w:right="100" w:firstLine="382"/>
        <w:spacing w:after="0" w:line="246" w:lineRule="auto"/>
        <w:tabs>
          <w:tab w:leader="none" w:pos="77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President</w:t>
      </w:r>
      <w:r>
        <w:rPr>
          <w:rFonts w:ascii="Times New Roman" w:cs="Times New Roman" w:eastAsia="Times New Roman" w:hAnsi="Times New Roman"/>
          <w:sz w:val="20"/>
          <w:szCs w:val="20"/>
          <w:color w:val="auto"/>
        </w:rPr>
        <w:t>. The president of the Corporation shall, subject to the direction and supervision of the Board, perform all duties incident to the office of president and as from time to time may be assigned to him by the Board. At the request of the chief executive officer of the Corporation or in his or her absence or in the event of his or her inability or refusal to act, the president of the Corporation shall perform the duties of the chief executive officer of the Corporation, and when so acting shall have all the powers and be subject to all the restrictions of the chief executive officer of the Corporation.</w:t>
      </w:r>
    </w:p>
    <w:p>
      <w:pPr>
        <w:spacing w:after="0" w:line="184" w:lineRule="exact"/>
        <w:rPr>
          <w:rFonts w:ascii="Times New Roman" w:cs="Times New Roman" w:eastAsia="Times New Roman" w:hAnsi="Times New Roman"/>
          <w:sz w:val="20"/>
          <w:szCs w:val="20"/>
          <w:color w:val="auto"/>
        </w:rPr>
      </w:pPr>
    </w:p>
    <w:p>
      <w:pPr>
        <w:ind w:right="40" w:firstLine="382"/>
        <w:spacing w:after="0" w:line="245" w:lineRule="auto"/>
        <w:tabs>
          <w:tab w:leader="none" w:pos="77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Chief Operating Officer</w:t>
      </w:r>
      <w:r>
        <w:rPr>
          <w:rFonts w:ascii="Times New Roman" w:cs="Times New Roman" w:eastAsia="Times New Roman" w:hAnsi="Times New Roman"/>
          <w:sz w:val="20"/>
          <w:szCs w:val="20"/>
          <w:color w:val="auto"/>
        </w:rPr>
        <w:t>. The chief operating officer of the Corporation shall, subject to the direction and supervision of the Board, supervise the day to day operations of the Corporation and perform all other duties incident to the office of chief operating officer as from time to time may be assigned to him or her by the chairman of the Board of the Corporation, the Board or the chief executive officer of the Corporation. At the request of the president of the Corporation, or in his or her absence or inability or refusal to act, the chief operating officer of the Corporation shall perform the duties of the president of the Corporation, and when so acting shall have all the power of and be subject to all the restrictions upon the president of the Corporation.</w:t>
      </w:r>
    </w:p>
    <w:p>
      <w:pPr>
        <w:spacing w:after="0" w:line="184" w:lineRule="exact"/>
        <w:rPr>
          <w:rFonts w:ascii="Times New Roman" w:cs="Times New Roman" w:eastAsia="Times New Roman" w:hAnsi="Times New Roman"/>
          <w:sz w:val="20"/>
          <w:szCs w:val="20"/>
          <w:color w:val="auto"/>
        </w:rPr>
      </w:pPr>
    </w:p>
    <w:p>
      <w:pPr>
        <w:ind w:firstLine="382"/>
        <w:spacing w:after="0" w:line="255" w:lineRule="auto"/>
        <w:tabs>
          <w:tab w:leader="none" w:pos="770"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Chief Financial Officer</w:t>
      </w:r>
      <w:r>
        <w:rPr>
          <w:rFonts w:ascii="Times New Roman" w:cs="Times New Roman" w:eastAsia="Times New Roman" w:hAnsi="Times New Roman"/>
          <w:sz w:val="19"/>
          <w:szCs w:val="19"/>
          <w:color w:val="auto"/>
        </w:rPr>
        <w:t>. The chief financial officer of the Corporation shall: (i) be the principal financial officer and treasurer of the Corporation and have the care and custody of all funds, securities, evidences of indebtedness and other personal property of the Corporation and deposit the same in accordance with the instructions of the Board; (ii) receive and give receipts and acquittances for moneys paid in on account of the Corporation, and pay out of the funds on hand all bills, payrolls and other just debts of the Corporation of whatever nature upon maturity; (iii) unless there is a controller of the Corporation, be the principal accounting officer of the Corporation and as such prescribe and maintain the methods and systems of accounting to be followed, keep complete books and records of account, prepare and file all local, state and federal tax returns, prescribe and maintain an adequate system of internal audit and prepare and furnish to the chief executive officer of the Corporation and the Board statements of account showing the financial position of the Corporation and the results of its operations; (iv) upon request of the Board, make such reports to it as may be required at any time; and (v) perform all other duties incident to the office of chief financial officer and treasurer and such other duties as from time to time may be assigned to him or her by the Board or by the chief executive officer of the Corporation. Assistant treasurers of the Corporation, if any, shall have the same powers and duties, subject to the supervision by the chief financial officer of the Corporation. If there is no chief financial officer of the Corporation, these duties shall be performed by the secretary or chief executive officer of the Corporation or other person appointed by the Board.</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10" w:name="page111"/>
    <w:bookmarkEnd w:id="110"/>
    <w:p>
      <w:pPr>
        <w:jc w:val="both"/>
        <w:ind w:right="140" w:firstLine="382"/>
        <w:spacing w:after="0" w:line="249" w:lineRule="auto"/>
        <w:tabs>
          <w:tab w:leader="none" w:pos="77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Vice-Presidents</w:t>
      </w:r>
      <w:r>
        <w:rPr>
          <w:rFonts w:ascii="Times New Roman" w:cs="Times New Roman" w:eastAsia="Times New Roman" w:hAnsi="Times New Roman"/>
          <w:sz w:val="20"/>
          <w:szCs w:val="20"/>
          <w:color w:val="auto"/>
        </w:rPr>
        <w:t>. The vice-president of the Corporation, if any (or if there is more than one then each such vice-president), shall assist the chief executive officer of the Corporation and shall perform such duties as may be assigned to him or her by the chief executive officer of the Corporation or the Board. Assistant vice-presidents of the Corporation, if any, shall have such powers and perform such duties as may be assigned to them by the chief executive officer of the Corporation or by the Board.</w:t>
      </w:r>
    </w:p>
    <w:p>
      <w:pPr>
        <w:spacing w:after="0" w:line="179" w:lineRule="exact"/>
        <w:rPr>
          <w:rFonts w:ascii="Times New Roman" w:cs="Times New Roman" w:eastAsia="Times New Roman" w:hAnsi="Times New Roman"/>
          <w:sz w:val="20"/>
          <w:szCs w:val="20"/>
          <w:color w:val="auto"/>
        </w:rPr>
      </w:pPr>
    </w:p>
    <w:p>
      <w:pPr>
        <w:ind w:firstLine="382"/>
        <w:spacing w:after="0" w:line="256" w:lineRule="auto"/>
        <w:tabs>
          <w:tab w:leader="none" w:pos="770"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Secretary</w:t>
      </w:r>
      <w:r>
        <w:rPr>
          <w:rFonts w:ascii="Times New Roman" w:cs="Times New Roman" w:eastAsia="Times New Roman" w:hAnsi="Times New Roman"/>
          <w:sz w:val="19"/>
          <w:szCs w:val="19"/>
          <w:color w:val="auto"/>
        </w:rPr>
        <w:t>. The secretary of the Corporation shall: (i) keep the minutes of the proceedings of the stockholders of the Corporation, the Board and any committees of the Board; (ii) see that all notices are duly given in accordance with the provisions of these Bylaws or as required by law; (iii) be custodian of the corporate records and seal of the Corporation; (iv) keep at the Corporation’s registered office or principal place of business within or outside Delaware a record containing the names and addresses of all stockholders of the Corporation and the number and class of shares held by each, unless such a record shall be kept at the office of the Corporation’s transfer agent or registrar;</w:t>
      </w:r>
    </w:p>
    <w:p>
      <w:pPr>
        <w:spacing w:after="0" w:line="4" w:lineRule="exact"/>
        <w:rPr>
          <w:rFonts w:ascii="Times New Roman" w:cs="Times New Roman" w:eastAsia="Times New Roman" w:hAnsi="Times New Roman"/>
          <w:sz w:val="19"/>
          <w:szCs w:val="19"/>
          <w:color w:val="auto"/>
        </w:rPr>
      </w:pPr>
    </w:p>
    <w:p>
      <w:pPr>
        <w:ind w:right="340" w:firstLine="8"/>
        <w:spacing w:after="0" w:line="241" w:lineRule="auto"/>
        <w:tabs>
          <w:tab w:leader="none" w:pos="2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general charge of the stock books of the Corporation, unless the Corporation has a transfer agent; and (vi) in general, perform all duties incident to the office of secretary and such other duties as from time to time may be assigned to him or her by the chief executive officer of the Corporation or the Board. Assistant secretaries of the Corporation, if any, shall have the same duties and powers, subject to supervision by the secretary of the Corporation.</w:t>
      </w:r>
    </w:p>
    <w:p>
      <w:pPr>
        <w:spacing w:after="0" w:line="188" w:lineRule="exact"/>
        <w:rPr>
          <w:sz w:val="20"/>
          <w:szCs w:val="20"/>
          <w:color w:val="auto"/>
        </w:rPr>
      </w:pPr>
    </w:p>
    <w:p>
      <w:pPr>
        <w:ind w:right="40" w:firstLine="374"/>
        <w:spacing w:after="0" w:line="249" w:lineRule="auto"/>
        <w:rPr>
          <w:sz w:val="20"/>
          <w:szCs w:val="20"/>
          <w:color w:val="auto"/>
        </w:rPr>
      </w:pPr>
      <w:r>
        <w:rPr>
          <w:rFonts w:ascii="Times New Roman" w:cs="Times New Roman" w:eastAsia="Times New Roman" w:hAnsi="Times New Roman"/>
          <w:sz w:val="20"/>
          <w:szCs w:val="20"/>
          <w:color w:val="auto"/>
        </w:rPr>
        <w:t xml:space="preserve">Section 4.08 </w:t>
      </w:r>
      <w:r>
        <w:rPr>
          <w:rFonts w:ascii="Times New Roman" w:cs="Times New Roman" w:eastAsia="Times New Roman" w:hAnsi="Times New Roman"/>
          <w:sz w:val="20"/>
          <w:szCs w:val="20"/>
          <w:u w:val="single" w:color="auto"/>
          <w:color w:val="auto"/>
        </w:rPr>
        <w:t>Surety Bonds</w:t>
      </w:r>
      <w:r>
        <w:rPr>
          <w:rFonts w:ascii="Times New Roman" w:cs="Times New Roman" w:eastAsia="Times New Roman" w:hAnsi="Times New Roman"/>
          <w:sz w:val="20"/>
          <w:szCs w:val="20"/>
          <w:color w:val="auto"/>
        </w:rPr>
        <w:t>. The Board may require any officer or agent of the Corporation to execute to the Corporation a bond in such sums and with such sureties as shall be satisfactory to the Board, conditioned upon the faithful performance of his or her duties and for the restoration to the Corporation of all books, papers, vouchers, money and other property of whatever kind in his or her possession or under his or her control belonging to the Corporation.</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ARTICLE V</w:t>
      </w:r>
    </w:p>
    <w:p>
      <w:pPr>
        <w:spacing w:after="0" w:line="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Stock</w:t>
      </w:r>
    </w:p>
    <w:p>
      <w:pPr>
        <w:spacing w:after="0" w:line="194" w:lineRule="exact"/>
        <w:rPr>
          <w:sz w:val="20"/>
          <w:szCs w:val="20"/>
          <w:color w:val="auto"/>
        </w:rPr>
      </w:pPr>
    </w:p>
    <w:p>
      <w:pPr>
        <w:ind w:right="40" w:firstLine="374"/>
        <w:spacing w:after="0" w:line="249" w:lineRule="auto"/>
        <w:rPr>
          <w:sz w:val="20"/>
          <w:szCs w:val="20"/>
          <w:color w:val="auto"/>
        </w:rPr>
      </w:pPr>
      <w:r>
        <w:rPr>
          <w:rFonts w:ascii="Times New Roman" w:cs="Times New Roman" w:eastAsia="Times New Roman" w:hAnsi="Times New Roman"/>
          <w:sz w:val="20"/>
          <w:szCs w:val="20"/>
          <w:color w:val="auto"/>
        </w:rPr>
        <w:t xml:space="preserve">Section 5.01 </w:t>
      </w:r>
      <w:r>
        <w:rPr>
          <w:rFonts w:ascii="Times New Roman" w:cs="Times New Roman" w:eastAsia="Times New Roman" w:hAnsi="Times New Roman"/>
          <w:sz w:val="20"/>
          <w:szCs w:val="20"/>
          <w:u w:val="single" w:color="auto"/>
          <w:color w:val="auto"/>
        </w:rPr>
        <w:t>Issuance of Shares</w:t>
      </w:r>
      <w:r>
        <w:rPr>
          <w:rFonts w:ascii="Times New Roman" w:cs="Times New Roman" w:eastAsia="Times New Roman" w:hAnsi="Times New Roman"/>
          <w:sz w:val="20"/>
          <w:szCs w:val="20"/>
          <w:color w:val="auto"/>
        </w:rPr>
        <w:t>. Except as otherwise may be provided by law or in the Certificate of Incorporation, the issuance or sale by the Corporation of any shares of its authorized capital stock of any class, including treasury shares, shall be made only upon authorization by the Board. Every issuance of shares of authorized capital stock of the Corporation shall be recorded on the books of the Corporation maintained for such purpose by or on behalf of the Corporation.</w:t>
      </w:r>
    </w:p>
    <w:p>
      <w:pPr>
        <w:spacing w:after="0" w:line="180" w:lineRule="exact"/>
        <w:rPr>
          <w:sz w:val="20"/>
          <w:szCs w:val="20"/>
          <w:color w:val="auto"/>
        </w:rPr>
      </w:pPr>
    </w:p>
    <w:p>
      <w:pPr>
        <w:ind w:right="20" w:firstLine="374"/>
        <w:spacing w:after="0" w:line="243" w:lineRule="auto"/>
        <w:rPr>
          <w:sz w:val="20"/>
          <w:szCs w:val="20"/>
          <w:color w:val="auto"/>
        </w:rPr>
      </w:pPr>
      <w:r>
        <w:rPr>
          <w:rFonts w:ascii="Times New Roman" w:cs="Times New Roman" w:eastAsia="Times New Roman" w:hAnsi="Times New Roman"/>
          <w:sz w:val="20"/>
          <w:szCs w:val="20"/>
          <w:color w:val="auto"/>
        </w:rPr>
        <w:t xml:space="preserve">Section 5.02 </w:t>
      </w:r>
      <w:r>
        <w:rPr>
          <w:rFonts w:ascii="Times New Roman" w:cs="Times New Roman" w:eastAsia="Times New Roman" w:hAnsi="Times New Roman"/>
          <w:sz w:val="20"/>
          <w:szCs w:val="20"/>
          <w:u w:val="single" w:color="auto"/>
          <w:color w:val="auto"/>
        </w:rPr>
        <w:t>Transfer of Shares</w:t>
      </w:r>
      <w:r>
        <w:rPr>
          <w:rFonts w:ascii="Times New Roman" w:cs="Times New Roman" w:eastAsia="Times New Roman" w:hAnsi="Times New Roman"/>
          <w:sz w:val="20"/>
          <w:szCs w:val="20"/>
          <w:color w:val="auto"/>
        </w:rPr>
        <w:t>. Upon presentation and surrender to the Corporation or to a transfer agent of the Corporation of a certificate of stock of the Corporation duly endorsed or accompanied by proper evidence of succession, assignment or authority to transfer, payment of all transfer taxes, if any, and the satisfaction of any other requirements of law, including inquiry into and discharge of any adverse claims of which the Corporation has notice, the Corporation or its transfer agent shall issue a new certificate to the person entitled thereto, cancel the old certificate and record the transaction on the books maintained for such purpose by or on behalf of the Corporation. No transfer of shares of authorized capital stock of the Corporation shall be effective until it has been entered on such books. The Corporation or its transfer agent may require a signature guaranty or other reasonable evidence that any signature is genuine and effective before making any transfer. Transfers of uncertificated shares of authorized capital stock of the Corporation shall be made in accordance with applicable provisions of law.</w:t>
      </w:r>
    </w:p>
    <w:p>
      <w:pPr>
        <w:spacing w:after="0" w:line="186" w:lineRule="exact"/>
        <w:rPr>
          <w:sz w:val="20"/>
          <w:szCs w:val="20"/>
          <w:color w:val="auto"/>
        </w:rPr>
      </w:pPr>
    </w:p>
    <w:p>
      <w:pPr>
        <w:jc w:val="both"/>
        <w:ind w:right="180" w:firstLine="374"/>
        <w:spacing w:after="0" w:line="249" w:lineRule="auto"/>
        <w:rPr>
          <w:sz w:val="20"/>
          <w:szCs w:val="20"/>
          <w:color w:val="auto"/>
        </w:rPr>
      </w:pPr>
      <w:r>
        <w:rPr>
          <w:rFonts w:ascii="Times New Roman" w:cs="Times New Roman" w:eastAsia="Times New Roman" w:hAnsi="Times New Roman"/>
          <w:sz w:val="20"/>
          <w:szCs w:val="20"/>
          <w:color w:val="auto"/>
        </w:rPr>
        <w:t xml:space="preserve">Section 5.03 </w:t>
      </w:r>
      <w:r>
        <w:rPr>
          <w:rFonts w:ascii="Times New Roman" w:cs="Times New Roman" w:eastAsia="Times New Roman" w:hAnsi="Times New Roman"/>
          <w:sz w:val="20"/>
          <w:szCs w:val="20"/>
          <w:u w:val="single" w:color="auto"/>
          <w:color w:val="auto"/>
        </w:rPr>
        <w:t>Registered Holders</w:t>
      </w:r>
      <w:r>
        <w:rPr>
          <w:rFonts w:ascii="Times New Roman" w:cs="Times New Roman" w:eastAsia="Times New Roman" w:hAnsi="Times New Roman"/>
          <w:sz w:val="20"/>
          <w:szCs w:val="20"/>
          <w:color w:val="auto"/>
        </w:rPr>
        <w:t>. The Corporation shall be entitled to recognize the exclusive right of a person registered on its books as the owner of shares of authorized capital stock of the Corporation to inspect for any proper purpose the stock ledger and the other books and records, to receive dividends, and to vote as such owner, and to hold liable for calls and assessments a person registered on its books as the owner of such shares, and shall not be bound to recognize any equitable or other claim to or interest in</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1" w:name="page112"/>
    <w:bookmarkEnd w:id="111"/>
    <w:p>
      <w:pPr>
        <w:ind w:right="460"/>
        <w:spacing w:after="0" w:line="269" w:lineRule="auto"/>
        <w:rPr>
          <w:sz w:val="20"/>
          <w:szCs w:val="20"/>
          <w:color w:val="auto"/>
        </w:rPr>
      </w:pPr>
      <w:r>
        <w:rPr>
          <w:rFonts w:ascii="Times New Roman" w:cs="Times New Roman" w:eastAsia="Times New Roman" w:hAnsi="Times New Roman"/>
          <w:sz w:val="20"/>
          <w:szCs w:val="20"/>
          <w:color w:val="auto"/>
        </w:rPr>
        <w:t>such shares on the part of any other person, whether or not it shall have express or other notice thereof, except as otherwise provided by applicable law.</w:t>
      </w:r>
    </w:p>
    <w:p>
      <w:pPr>
        <w:spacing w:after="0" w:line="159" w:lineRule="exact"/>
        <w:rPr>
          <w:sz w:val="20"/>
          <w:szCs w:val="20"/>
          <w:color w:val="auto"/>
        </w:rPr>
      </w:pPr>
    </w:p>
    <w:p>
      <w:pPr>
        <w:ind w:firstLine="374"/>
        <w:spacing w:after="0" w:line="249" w:lineRule="auto"/>
        <w:rPr>
          <w:sz w:val="20"/>
          <w:szCs w:val="20"/>
          <w:color w:val="auto"/>
        </w:rPr>
      </w:pPr>
      <w:r>
        <w:rPr>
          <w:rFonts w:ascii="Times New Roman" w:cs="Times New Roman" w:eastAsia="Times New Roman" w:hAnsi="Times New Roman"/>
          <w:sz w:val="20"/>
          <w:szCs w:val="20"/>
          <w:color w:val="auto"/>
        </w:rPr>
        <w:t xml:space="preserve">Section 5.04 </w:t>
      </w:r>
      <w:r>
        <w:rPr>
          <w:rFonts w:ascii="Times New Roman" w:cs="Times New Roman" w:eastAsia="Times New Roman" w:hAnsi="Times New Roman"/>
          <w:sz w:val="20"/>
          <w:szCs w:val="20"/>
          <w:u w:val="single" w:color="auto"/>
          <w:color w:val="auto"/>
        </w:rPr>
        <w:t>Transfer Agents, Registrars and Paying Agents</w:t>
      </w:r>
      <w:r>
        <w:rPr>
          <w:rFonts w:ascii="Times New Roman" w:cs="Times New Roman" w:eastAsia="Times New Roman" w:hAnsi="Times New Roman"/>
          <w:sz w:val="20"/>
          <w:szCs w:val="20"/>
          <w:color w:val="auto"/>
        </w:rPr>
        <w:t>. The Board may at its discretion appoint one or more transfer agents, registrars and agents for making payment upon any class of stock, bond, debenture or other security of the Corporation. Such agents and registrars may be located either within or outside Delaware. They shall have such rights and duties and shall be entitled to such compensation as may be agreed.</w:t>
      </w:r>
    </w:p>
    <w:p>
      <w:pPr>
        <w:spacing w:after="0" w:line="180" w:lineRule="exact"/>
        <w:rPr>
          <w:sz w:val="20"/>
          <w:szCs w:val="20"/>
          <w:color w:val="auto"/>
        </w:rPr>
      </w:pPr>
    </w:p>
    <w:p>
      <w:pPr>
        <w:ind w:right="40" w:firstLine="374"/>
        <w:spacing w:after="0" w:line="244" w:lineRule="auto"/>
        <w:rPr>
          <w:sz w:val="20"/>
          <w:szCs w:val="20"/>
          <w:color w:val="auto"/>
        </w:rPr>
      </w:pPr>
      <w:r>
        <w:rPr>
          <w:rFonts w:ascii="Times New Roman" w:cs="Times New Roman" w:eastAsia="Times New Roman" w:hAnsi="Times New Roman"/>
          <w:sz w:val="20"/>
          <w:szCs w:val="20"/>
          <w:color w:val="auto"/>
        </w:rPr>
        <w:t xml:space="preserve">Section 5.05 </w:t>
      </w:r>
      <w:r>
        <w:rPr>
          <w:rFonts w:ascii="Times New Roman" w:cs="Times New Roman" w:eastAsia="Times New Roman" w:hAnsi="Times New Roman"/>
          <w:sz w:val="20"/>
          <w:szCs w:val="20"/>
          <w:u w:val="single" w:color="auto"/>
          <w:color w:val="auto"/>
        </w:rPr>
        <w:t>Lost, Stolen or Destroyed Certificates</w:t>
      </w:r>
      <w:r>
        <w:rPr>
          <w:rFonts w:ascii="Times New Roman" w:cs="Times New Roman" w:eastAsia="Times New Roman" w:hAnsi="Times New Roman"/>
          <w:sz w:val="20"/>
          <w:szCs w:val="20"/>
          <w:color w:val="auto"/>
        </w:rPr>
        <w:t>. Except as provided in this Section 5.05, no new certificate representing shares of the Corporation’s authorized capital stock shall be issued to replace a previously issued certificate representing such shares unless the previously issued certificate is surrendered to the Corporation and immediately cancelled. The Corporation may issue a new certificate representing shares of its authorized capital stock or uncertificated shares in the place of any certificate theretofore issued by it that is alleged by a stockholder to have been lost, stolen or destroyed, and the Corporation may require such stockholder, or such stockholder’s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ARTICLE VI</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Indemnification</w:t>
      </w:r>
    </w:p>
    <w:p>
      <w:pPr>
        <w:spacing w:after="0" w:line="194" w:lineRule="exact"/>
        <w:rPr>
          <w:sz w:val="20"/>
          <w:szCs w:val="20"/>
          <w:color w:val="auto"/>
        </w:rPr>
      </w:pPr>
    </w:p>
    <w:p>
      <w:pPr>
        <w:ind w:firstLine="374"/>
        <w:spacing w:after="0" w:line="249" w:lineRule="auto"/>
        <w:rPr>
          <w:sz w:val="20"/>
          <w:szCs w:val="20"/>
          <w:color w:val="auto"/>
        </w:rPr>
      </w:pPr>
      <w:r>
        <w:rPr>
          <w:rFonts w:ascii="Times New Roman" w:cs="Times New Roman" w:eastAsia="Times New Roman" w:hAnsi="Times New Roman"/>
          <w:sz w:val="20"/>
          <w:szCs w:val="20"/>
          <w:color w:val="auto"/>
        </w:rPr>
        <w:t xml:space="preserve">Section 6.01 </w:t>
      </w:r>
      <w:r>
        <w:rPr>
          <w:rFonts w:ascii="Times New Roman" w:cs="Times New Roman" w:eastAsia="Times New Roman" w:hAnsi="Times New Roman"/>
          <w:sz w:val="20"/>
          <w:szCs w:val="20"/>
          <w:u w:val="single" w:color="auto"/>
          <w:color w:val="auto"/>
        </w:rPr>
        <w:t>Right to Indemnification</w:t>
      </w:r>
      <w:r>
        <w:rPr>
          <w:rFonts w:ascii="Times New Roman" w:cs="Times New Roman" w:eastAsia="Times New Roman" w:hAnsi="Times New Roman"/>
          <w:sz w:val="20"/>
          <w:szCs w:val="20"/>
          <w:color w:val="auto"/>
        </w:rPr>
        <w:t>. The Corporation shall indemnify and pay the expenses of directors, officers and individuals who have agreed to serve as directors or officers of the Corporation as provided in the Certificate of Incorporation and, if applicable, in any indemnification agreement between the Corporation and such individuals. The Corporation has the right, but not the obligation, to indemnify and pay the expenses of other persons authorized by a majority of the Board as provided in the Certificate of Incorporation.</w:t>
      </w:r>
    </w:p>
    <w:p>
      <w:pPr>
        <w:spacing w:after="0" w:line="180" w:lineRule="exact"/>
        <w:rPr>
          <w:sz w:val="20"/>
          <w:szCs w:val="20"/>
          <w:color w:val="auto"/>
        </w:rPr>
      </w:pPr>
    </w:p>
    <w:p>
      <w:pPr>
        <w:ind w:right="60" w:firstLine="374"/>
        <w:spacing w:after="0" w:line="246" w:lineRule="auto"/>
        <w:rPr>
          <w:sz w:val="20"/>
          <w:szCs w:val="20"/>
          <w:color w:val="auto"/>
        </w:rPr>
      </w:pPr>
      <w:r>
        <w:rPr>
          <w:rFonts w:ascii="Times New Roman" w:cs="Times New Roman" w:eastAsia="Times New Roman" w:hAnsi="Times New Roman"/>
          <w:sz w:val="20"/>
          <w:szCs w:val="20"/>
          <w:color w:val="auto"/>
        </w:rPr>
        <w:t xml:space="preserve">Section 6.02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The Corporation may purchase and maintain insurance on behalf of any person who is or was a director, officer, employee or agent of the Corporation, or is or was serving at the request of the Corporation as a director, officer, employee or agent of any of its affiliates or another corporation, partnership, limited liability company,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8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ARTICLE VII</w:t>
      </w:r>
    </w:p>
    <w:p>
      <w:pPr>
        <w:spacing w:after="0" w:line="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Miscellaneous</w:t>
      </w:r>
    </w:p>
    <w:p>
      <w:pPr>
        <w:spacing w:after="0" w:line="194" w:lineRule="exact"/>
        <w:rPr>
          <w:sz w:val="20"/>
          <w:szCs w:val="20"/>
          <w:color w:val="auto"/>
        </w:rPr>
      </w:pPr>
    </w:p>
    <w:p>
      <w:pPr>
        <w:ind w:right="240" w:firstLine="374"/>
        <w:spacing w:after="0" w:line="246" w:lineRule="auto"/>
        <w:rPr>
          <w:sz w:val="20"/>
          <w:szCs w:val="20"/>
          <w:color w:val="auto"/>
        </w:rPr>
      </w:pPr>
      <w:r>
        <w:rPr>
          <w:rFonts w:ascii="Times New Roman" w:cs="Times New Roman" w:eastAsia="Times New Roman" w:hAnsi="Times New Roman"/>
          <w:sz w:val="20"/>
          <w:szCs w:val="20"/>
          <w:color w:val="auto"/>
        </w:rPr>
        <w:t xml:space="preserve">Section 7.01 </w:t>
      </w:r>
      <w:r>
        <w:rPr>
          <w:rFonts w:ascii="Times New Roman" w:cs="Times New Roman" w:eastAsia="Times New Roman" w:hAnsi="Times New Roman"/>
          <w:sz w:val="20"/>
          <w:szCs w:val="20"/>
          <w:u w:val="single" w:color="auto"/>
          <w:color w:val="auto"/>
        </w:rPr>
        <w:t>Notice by Electronic Transmission</w:t>
      </w:r>
      <w:r>
        <w:rPr>
          <w:rFonts w:ascii="Times New Roman" w:cs="Times New Roman" w:eastAsia="Times New Roman" w:hAnsi="Times New Roman"/>
          <w:sz w:val="20"/>
          <w:szCs w:val="20"/>
          <w:color w:val="auto"/>
        </w:rPr>
        <w:t>. 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such notice is given. Any such consent shall be revocable by such stockholder by written notice to the Corporation.</w:t>
      </w:r>
    </w:p>
    <w:p>
      <w:pPr>
        <w:spacing w:after="0" w:line="185"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Any such consent shall be deemed revoked if:</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12" w:name="page113"/>
    <w:bookmarkEnd w:id="112"/>
    <w:p>
      <w:pPr>
        <w:ind w:left="1140" w:right="40" w:hanging="383"/>
        <w:spacing w:after="0" w:line="269" w:lineRule="auto"/>
        <w:tabs>
          <w:tab w:leader="none" w:pos="116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is unable to deliver by electronic transmission two consecutive notices given by the Corporation in accordance with such consent; and</w:t>
      </w:r>
    </w:p>
    <w:p>
      <w:pPr>
        <w:spacing w:after="0" w:line="159" w:lineRule="exact"/>
        <w:rPr>
          <w:rFonts w:ascii="Times New Roman" w:cs="Times New Roman" w:eastAsia="Times New Roman" w:hAnsi="Times New Roman"/>
          <w:sz w:val="20"/>
          <w:szCs w:val="20"/>
          <w:color w:val="auto"/>
        </w:rPr>
      </w:pPr>
    </w:p>
    <w:p>
      <w:pPr>
        <w:ind w:left="1140" w:right="640" w:hanging="383"/>
        <w:spacing w:after="0" w:line="269" w:lineRule="auto"/>
        <w:tabs>
          <w:tab w:leader="none" w:pos="116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inability becomes known to the secretary or an assistant secretary of the Corporation or to the transfer agent of the Corporation, or other person responsible for the giving of notice.</w:t>
      </w:r>
    </w:p>
    <w:p>
      <w:pPr>
        <w:spacing w:after="0" w:line="159" w:lineRule="exact"/>
        <w:rPr>
          <w:sz w:val="20"/>
          <w:szCs w:val="20"/>
          <w:color w:val="auto"/>
        </w:rPr>
      </w:pPr>
    </w:p>
    <w:p>
      <w:pPr>
        <w:ind w:right="680" w:firstLine="374"/>
        <w:spacing w:after="0" w:line="269" w:lineRule="auto"/>
        <w:rPr>
          <w:sz w:val="20"/>
          <w:szCs w:val="20"/>
          <w:color w:val="auto"/>
        </w:rPr>
      </w:pPr>
      <w:r>
        <w:rPr>
          <w:rFonts w:ascii="Times New Roman" w:cs="Times New Roman" w:eastAsia="Times New Roman" w:hAnsi="Times New Roman"/>
          <w:sz w:val="20"/>
          <w:szCs w:val="20"/>
          <w:color w:val="auto"/>
        </w:rPr>
        <w:t>However, the inadvertent failure to treat such inability as a revocation shall not invalidate any meeting of the stockholders of the Corporation or other action by the Corporation.</w:t>
      </w:r>
    </w:p>
    <w:p>
      <w:pPr>
        <w:spacing w:after="0" w:line="159" w:lineRule="exact"/>
        <w:rPr>
          <w:sz w:val="20"/>
          <w:szCs w:val="20"/>
          <w:color w:val="auto"/>
        </w:rPr>
      </w:pPr>
    </w:p>
    <w:p>
      <w:pPr>
        <w:ind w:left="800" w:hanging="405"/>
        <w:spacing w:after="0"/>
        <w:tabs>
          <w:tab w:leader="none" w:pos="8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given pursuant to this Section 7.01 shall be deemed given:</w:t>
      </w:r>
    </w:p>
    <w:p>
      <w:pPr>
        <w:spacing w:after="0" w:line="215" w:lineRule="exact"/>
        <w:rPr>
          <w:rFonts w:ascii="Times New Roman" w:cs="Times New Roman" w:eastAsia="Times New Roman" w:hAnsi="Times New Roman"/>
          <w:sz w:val="20"/>
          <w:szCs w:val="20"/>
          <w:color w:val="auto"/>
        </w:rPr>
      </w:pPr>
    </w:p>
    <w:p>
      <w:pPr>
        <w:ind w:left="1140" w:right="320" w:hanging="383"/>
        <w:spacing w:after="0" w:line="269" w:lineRule="auto"/>
        <w:tabs>
          <w:tab w:leader="none" w:pos="1161"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by facsimile telecommunication, when directed to a number at which the stockholder of the Corporation has consented to receive notice;</w:t>
      </w:r>
    </w:p>
    <w:p>
      <w:pPr>
        <w:spacing w:after="0" w:line="159" w:lineRule="exact"/>
        <w:rPr>
          <w:rFonts w:ascii="Times New Roman" w:cs="Times New Roman" w:eastAsia="Times New Roman" w:hAnsi="Times New Roman"/>
          <w:sz w:val="20"/>
          <w:szCs w:val="20"/>
          <w:color w:val="auto"/>
        </w:rPr>
      </w:pPr>
    </w:p>
    <w:p>
      <w:pPr>
        <w:ind w:left="1140" w:right="100" w:hanging="383"/>
        <w:spacing w:after="0" w:line="269" w:lineRule="auto"/>
        <w:tabs>
          <w:tab w:leader="none" w:pos="1161"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by electronic mail, when directed to an electronic mail address at which the stockholder of the Corporation has consented to receive notice;</w:t>
      </w:r>
    </w:p>
    <w:p>
      <w:pPr>
        <w:spacing w:after="0" w:line="159" w:lineRule="exact"/>
        <w:rPr>
          <w:rFonts w:ascii="Times New Roman" w:cs="Times New Roman" w:eastAsia="Times New Roman" w:hAnsi="Times New Roman"/>
          <w:sz w:val="20"/>
          <w:szCs w:val="20"/>
          <w:color w:val="auto"/>
        </w:rPr>
      </w:pPr>
    </w:p>
    <w:p>
      <w:pPr>
        <w:ind w:left="1140" w:right="340" w:hanging="383"/>
        <w:spacing w:after="0" w:line="269" w:lineRule="auto"/>
        <w:tabs>
          <w:tab w:leader="none" w:pos="1161"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by a posting on an electronic network together with separate notice to the stockholder of the Corporation of such specific posting, upon the later of such posting and the giving of such separate notice; and</w:t>
      </w:r>
    </w:p>
    <w:p>
      <w:pPr>
        <w:spacing w:after="0" w:line="159"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by any other form of electronic transmission, when directed to the stockholder of the Corporation.</w:t>
      </w:r>
    </w:p>
    <w:p>
      <w:pPr>
        <w:spacing w:after="0" w:line="216" w:lineRule="exact"/>
        <w:rPr>
          <w:sz w:val="20"/>
          <w:szCs w:val="20"/>
          <w:color w:val="auto"/>
        </w:rPr>
      </w:pPr>
    </w:p>
    <w:p>
      <w:pPr>
        <w:ind w:right="40" w:firstLine="374"/>
        <w:spacing w:after="0" w:line="295" w:lineRule="auto"/>
        <w:rPr>
          <w:sz w:val="20"/>
          <w:szCs w:val="20"/>
          <w:color w:val="auto"/>
        </w:rPr>
      </w:pPr>
      <w:r>
        <w:rPr>
          <w:rFonts w:ascii="Times New Roman" w:cs="Times New Roman" w:eastAsia="Times New Roman" w:hAnsi="Times New Roman"/>
          <w:sz w:val="19"/>
          <w:szCs w:val="19"/>
          <w:color w:val="auto"/>
        </w:rPr>
        <w:t>An affidavit of the secretary or an assistant secretary of the Corporation or of the transfer agent or other agent of the Corporation that the notice has been given by a form of electronic transmission shall, in the absence of fraud, be prima facie evidence of the facts stated therein.</w:t>
      </w:r>
    </w:p>
    <w:p>
      <w:pPr>
        <w:spacing w:after="0" w:line="138" w:lineRule="exact"/>
        <w:rPr>
          <w:sz w:val="20"/>
          <w:szCs w:val="20"/>
          <w:color w:val="auto"/>
        </w:rPr>
      </w:pPr>
    </w:p>
    <w:p>
      <w:pPr>
        <w:ind w:left="760" w:right="300" w:hanging="365"/>
        <w:spacing w:after="0" w:line="254" w:lineRule="auto"/>
        <w:tabs>
          <w:tab w:leader="none" w:pos="79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74" w:lineRule="exact"/>
        <w:rPr>
          <w:rFonts w:ascii="Times New Roman" w:cs="Times New Roman" w:eastAsia="Times New Roman" w:hAnsi="Times New Roman"/>
          <w:sz w:val="20"/>
          <w:szCs w:val="20"/>
          <w:color w:val="auto"/>
        </w:rPr>
      </w:pPr>
    </w:p>
    <w:p>
      <w:pPr>
        <w:ind w:left="800" w:hanging="405"/>
        <w:spacing w:after="0"/>
        <w:tabs>
          <w:tab w:leader="none" w:pos="8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by a form of electronic transmission shall not apply to Sections 164, 296, 311, 312 or 324 of the DGCL.</w:t>
      </w:r>
    </w:p>
    <w:p>
      <w:pPr>
        <w:spacing w:after="0" w:line="216" w:lineRule="exact"/>
        <w:rPr>
          <w:sz w:val="20"/>
          <w:szCs w:val="20"/>
          <w:color w:val="auto"/>
        </w:rPr>
      </w:pPr>
    </w:p>
    <w:p>
      <w:pPr>
        <w:ind w:firstLine="374"/>
        <w:spacing w:after="0" w:line="259" w:lineRule="auto"/>
        <w:rPr>
          <w:sz w:val="20"/>
          <w:szCs w:val="20"/>
          <w:color w:val="auto"/>
        </w:rPr>
      </w:pPr>
      <w:r>
        <w:rPr>
          <w:rFonts w:ascii="Times New Roman" w:cs="Times New Roman" w:eastAsia="Times New Roman" w:hAnsi="Times New Roman"/>
          <w:sz w:val="19"/>
          <w:szCs w:val="19"/>
          <w:color w:val="auto"/>
        </w:rPr>
        <w:t xml:space="preserve">Section 7.02 </w:t>
      </w:r>
      <w:r>
        <w:rPr>
          <w:rFonts w:ascii="Times New Roman" w:cs="Times New Roman" w:eastAsia="Times New Roman" w:hAnsi="Times New Roman"/>
          <w:sz w:val="19"/>
          <w:szCs w:val="19"/>
          <w:u w:val="single" w:color="auto"/>
          <w:color w:val="auto"/>
        </w:rPr>
        <w:t>Waivers of Notice</w:t>
      </w:r>
      <w:r>
        <w:rPr>
          <w:rFonts w:ascii="Times New Roman" w:cs="Times New Roman" w:eastAsia="Times New Roman" w:hAnsi="Times New Roman"/>
          <w:sz w:val="19"/>
          <w:szCs w:val="19"/>
          <w:color w:val="auto"/>
        </w:rPr>
        <w:t>. Whenever notice is required to be given by law, by the Certificate of Incorporation or by these Bylaws, a written waiver thereof, signed by the person entitled to such notice or a waiver by electronic transmission by the person entitled to such notice, whether before or after the time stated therein, shall be deemed equivalent to notice. Attendance of a person at a meeting or (in the case of a stockholder of the Corporation) by proxy shall constitute a waiver of notice of such meeting, except when the person attends such meeting for the express purpose of objecting, at the beginning of such meeting, to the transaction of any business because such meeting was not lawfully called or convened. Neither the business to be transacted at, nor the purpose of, any meeting need be specified in any written waiver of notice or waiver of notice by electronic transmission unless required by these Bylaws to be included in the notice of such meeting.</w:t>
      </w:r>
    </w:p>
    <w:p>
      <w:pPr>
        <w:spacing w:after="0" w:line="172" w:lineRule="exact"/>
        <w:rPr>
          <w:sz w:val="20"/>
          <w:szCs w:val="20"/>
          <w:color w:val="auto"/>
        </w:rPr>
      </w:pPr>
    </w:p>
    <w:p>
      <w:pPr>
        <w:ind w:right="160" w:firstLine="374"/>
        <w:spacing w:after="0" w:line="249" w:lineRule="auto"/>
        <w:rPr>
          <w:sz w:val="20"/>
          <w:szCs w:val="20"/>
          <w:color w:val="auto"/>
        </w:rPr>
      </w:pPr>
      <w:r>
        <w:rPr>
          <w:rFonts w:ascii="Times New Roman" w:cs="Times New Roman" w:eastAsia="Times New Roman" w:hAnsi="Times New Roman"/>
          <w:sz w:val="20"/>
          <w:szCs w:val="20"/>
          <w:color w:val="auto"/>
        </w:rPr>
        <w:t xml:space="preserve">Section 7.03 </w:t>
      </w:r>
      <w:r>
        <w:rPr>
          <w:rFonts w:ascii="Times New Roman" w:cs="Times New Roman" w:eastAsia="Times New Roman" w:hAnsi="Times New Roman"/>
          <w:sz w:val="20"/>
          <w:szCs w:val="20"/>
          <w:u w:val="single" w:color="auto"/>
          <w:color w:val="auto"/>
        </w:rPr>
        <w:t>Presumption of Assent</w:t>
      </w:r>
      <w:r>
        <w:rPr>
          <w:rFonts w:ascii="Times New Roman" w:cs="Times New Roman" w:eastAsia="Times New Roman" w:hAnsi="Times New Roman"/>
          <w:sz w:val="20"/>
          <w:szCs w:val="20"/>
          <w:color w:val="auto"/>
        </w:rPr>
        <w:t>. A director or stockholder of the Corporation who is present at a meeting of the Board or stockholders of the Corporation at which action on any corporate matter is taken shall be presumed to have assented to the action taken unless his or her dissent shall be entered in the minutes of such meeting or unless he or she shall file his or her written dissent to such action with the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3" w:name="page114"/>
    <w:bookmarkEnd w:id="113"/>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person acting as the secretary of such meeting before the adjournment thereof or shall forward such dissent by registered mail to the secretary of the Corporation immediately after the adjournment of such meeting. Such right to dissent shall not apply to a director or stockholder of the Corporation who voted in favor of such action.</w:t>
      </w:r>
    </w:p>
    <w:p>
      <w:pPr>
        <w:spacing w:after="0" w:line="174" w:lineRule="exact"/>
        <w:rPr>
          <w:sz w:val="20"/>
          <w:szCs w:val="20"/>
          <w:color w:val="auto"/>
        </w:rPr>
      </w:pPr>
    </w:p>
    <w:p>
      <w:pPr>
        <w:ind w:right="60" w:firstLine="374"/>
        <w:spacing w:after="0" w:line="242" w:lineRule="auto"/>
        <w:rPr>
          <w:sz w:val="20"/>
          <w:szCs w:val="20"/>
          <w:color w:val="auto"/>
        </w:rPr>
      </w:pPr>
      <w:r>
        <w:rPr>
          <w:rFonts w:ascii="Times New Roman" w:cs="Times New Roman" w:eastAsia="Times New Roman" w:hAnsi="Times New Roman"/>
          <w:sz w:val="20"/>
          <w:szCs w:val="20"/>
          <w:color w:val="auto"/>
        </w:rPr>
        <w:t xml:space="preserve">Section 7.04 </w:t>
      </w:r>
      <w:r>
        <w:rPr>
          <w:rFonts w:ascii="Times New Roman" w:cs="Times New Roman" w:eastAsia="Times New Roman" w:hAnsi="Times New Roman"/>
          <w:sz w:val="20"/>
          <w:szCs w:val="20"/>
          <w:u w:val="single" w:color="auto"/>
          <w:color w:val="auto"/>
        </w:rPr>
        <w:t>Voting of Securities by the Corporation</w:t>
      </w:r>
      <w:r>
        <w:rPr>
          <w:rFonts w:ascii="Times New Roman" w:cs="Times New Roman" w:eastAsia="Times New Roman" w:hAnsi="Times New Roman"/>
          <w:sz w:val="20"/>
          <w:szCs w:val="20"/>
          <w:color w:val="auto"/>
        </w:rPr>
        <w:t>. Unless otherwise provided by resolution of the Board, on behalf of the Corporation the chairman of the Board, chief executive officer, chief operating officer, chief financial officer, president, secretary, treasurer or any vice-president of the Corporation shall attend in person or by substitute appointed by him or her, or shall execute written instruments appointing a proxy or proxies to represent the Corporation at, all meetings of the stockholders of any other corporation, association or other entity in which the Corporation holds any stock or other securities, and may execute written waivers of notice with respect to any such meetings. At all such meetings and otherwise, the chairman of the Board, chief executive officer, chief operating officer, chief financial officer, president, secretary, treasurer or any vice-president of the Corporation, in person or by substitute or proxy as aforesaid, may vote the stock or other securities so held by the Corporation and may execute written consents and any other instruments with respect to such stock or securities and may exercise any and all rights and powers incident to the ownership of said stock or securities, subject, however, to the instructions, if any, of the Board.</w:t>
      </w:r>
    </w:p>
    <w:p>
      <w:pPr>
        <w:spacing w:after="0" w:line="192" w:lineRule="exact"/>
        <w:rPr>
          <w:sz w:val="20"/>
          <w:szCs w:val="20"/>
          <w:color w:val="auto"/>
        </w:rPr>
      </w:pPr>
    </w:p>
    <w:p>
      <w:pPr>
        <w:ind w:firstLine="374"/>
        <w:spacing w:after="0" w:line="246" w:lineRule="auto"/>
        <w:rPr>
          <w:sz w:val="20"/>
          <w:szCs w:val="20"/>
          <w:color w:val="auto"/>
        </w:rPr>
      </w:pPr>
      <w:r>
        <w:rPr>
          <w:rFonts w:ascii="Times New Roman" w:cs="Times New Roman" w:eastAsia="Times New Roman" w:hAnsi="Times New Roman"/>
          <w:sz w:val="20"/>
          <w:szCs w:val="20"/>
          <w:color w:val="auto"/>
        </w:rPr>
        <w:t xml:space="preserve">Section 7.05 </w:t>
      </w:r>
      <w:r>
        <w:rPr>
          <w:rFonts w:ascii="Times New Roman" w:cs="Times New Roman" w:eastAsia="Times New Roman" w:hAnsi="Times New Roman"/>
          <w:sz w:val="20"/>
          <w:szCs w:val="20"/>
          <w:u w:val="single" w:color="auto"/>
          <w:color w:val="auto"/>
        </w:rPr>
        <w:t>Authorized Signatories</w:t>
      </w:r>
      <w:r>
        <w:rPr>
          <w:rFonts w:ascii="Times New Roman" w:cs="Times New Roman" w:eastAsia="Times New Roman" w:hAnsi="Times New Roman"/>
          <w:sz w:val="20"/>
          <w:szCs w:val="20"/>
          <w:color w:val="auto"/>
        </w:rPr>
        <w:t>. The Board may authorize any officer or officers of the Corporation, or agent or agents, to enter into any contract or execute any instrument in the name of and on behalf of the Corporation; such authority may be general or restricted to specific instances. Unless so authorized or ratified by the Board or within the agency power of an officer of the Corporation, no officer, agent or employee of the Corporation shall have any power or authority to bind the Corporation by any contract or to pledge its credit or to render it liable for any purpose or for any amount</w:t>
      </w:r>
    </w:p>
    <w:p>
      <w:pPr>
        <w:spacing w:after="0" w:line="185" w:lineRule="exact"/>
        <w:rPr>
          <w:sz w:val="20"/>
          <w:szCs w:val="20"/>
          <w:color w:val="auto"/>
        </w:rPr>
      </w:pPr>
    </w:p>
    <w:p>
      <w:pPr>
        <w:jc w:val="both"/>
        <w:ind w:right="820" w:firstLine="374"/>
        <w:spacing w:after="0" w:line="254" w:lineRule="auto"/>
        <w:rPr>
          <w:sz w:val="20"/>
          <w:szCs w:val="20"/>
          <w:color w:val="auto"/>
        </w:rPr>
      </w:pPr>
      <w:r>
        <w:rPr>
          <w:rFonts w:ascii="Times New Roman" w:cs="Times New Roman" w:eastAsia="Times New Roman" w:hAnsi="Times New Roman"/>
          <w:sz w:val="20"/>
          <w:szCs w:val="20"/>
          <w:color w:val="auto"/>
        </w:rPr>
        <w:t xml:space="preserve">Section 7.06 </w:t>
      </w:r>
      <w:r>
        <w:rPr>
          <w:rFonts w:ascii="Times New Roman" w:cs="Times New Roman" w:eastAsia="Times New Roman" w:hAnsi="Times New Roman"/>
          <w:sz w:val="20"/>
          <w:szCs w:val="20"/>
          <w:u w:val="single" w:color="auto"/>
          <w:color w:val="auto"/>
        </w:rPr>
        <w:t>Seal</w:t>
      </w:r>
      <w:r>
        <w:rPr>
          <w:rFonts w:ascii="Times New Roman" w:cs="Times New Roman" w:eastAsia="Times New Roman" w:hAnsi="Times New Roman"/>
          <w:sz w:val="20"/>
          <w:szCs w:val="20"/>
          <w:color w:val="auto"/>
        </w:rPr>
        <w:t>. The corporate seal of the Corporation shall be in such form as adopted by the Board, and any officer of the Corporation may, when and as required, affix or impress the seal, or a facsimile thereof, to or on any instrument or document of the Corporation.</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 xml:space="preserve">Section 7.07 </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The fiscal year of the Corporation shall be as established by resolution of the Board.</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 xml:space="preserve">Section 7.08 </w:t>
      </w: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These Bylaws may be amended or repealed only in the manner set forth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NATIONAL CINEMEDIA, INC.'S SECURITIES</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is a description of National CineMedia, Inc.’s (the “Company,” “we,” “us” or “our”) securities that are registered under Section 12 of the Securities Exchange Act of 1934, as amended, and does not purport to be complete. For a complete description of the terms and provisions of such securities, refer to the Company’s Second Amended and Restated Certificate of Incorporation (the “Certificate”) and the Amended and Restated Bylaws, as amended February 1, 2024 (the “Bylaws”), each of which is included as an exhibit to the Annual Report on Form 10-K of which this exhibit is a part. This summary is qualified in its entirety by reference to these documents.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31"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Under the Certificate of Incorporation, the Company’s authorized share capital consists of two hundred and sixty million (260,000,000) shares of common stock, par value $0.01 per share (“Common Stock”), and ten million (10,000,000) shares of preferred stock, par value $0.01 per share (“Preferred Stock”).</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Common Stock and Preferred Stock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Preferred Stock Voting Rights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holder of Common Stock is entitled to one vote per share.</w:t>
      </w:r>
    </w:p>
    <w:p>
      <w:pPr>
        <w:spacing w:after="0" w:line="15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Generally, all matters to be voted on by stockholders must be approved by a majority (or, in the case of election of directors, by a plurality) of our outstanding voting power. Except as otherwise required by the General Corporation Law of the State of Delaware (“DGCL”), the Certificate or the voting rights granted to any Preferred Stock we subsequently issue, the holders of outstanding shares of Common Stock and Preferred Stock entitled to vote thereon, if any, vote as one class with respect to all matters to be voted on by our stockholders. Holders of shares of common stock are not entitled to cumulate their votes in the election of directors.</w:t>
      </w:r>
    </w:p>
    <w:p>
      <w:pPr>
        <w:spacing w:after="0" w:line="1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The affirmative vote of the holders of at least 66-2/3% of our issued and outstanding Common Stock, voting as a single class, is required to amend or repeal our Bylaws. The affirmative vote of the holders of at least a majority of our issued and outstanding Common Stock, in addition to the supermajority board approval described under “-Special Approval Rights for Certain Matters” below, is required to amend or repeal our Certificate. In addition, under the DGCL, an amendment to our Certificate that would alter or change the powers, preferences or special rights of the common stock so as to affect them adversely also must be approved by a majority of the votes entitled to be cast by the holders of the shares affected by the amendment, voting as a separate class. Subject to our Bylaws, our board of directors may from time to time make, amend, supplement or repeal our Bylaws by vote of a majority of our board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Holders of Common Stock share ratably (based on the number of shares of Common Stock held) in any dividend declared by our board of directors, subject to any preferential rights of any outstanding Preferred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Rights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Upon our liquidation, dissolution or winding up, after payment in full of the amounts required to be paid to holders of Preferred Stock, if any, all holders of Common Stock, regardless of class, will be entitled to share ratably in any assets available for distribution to holders of shares of Common Stock. No shares of any class of Common Stock are subject to redemption or have preemptive rights to purchase additional shares of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Certain Provisions of Delaware Law, the Certificate of Incorporation and the Bylaws</w:t>
      </w:r>
    </w:p>
    <w:p>
      <w:pPr>
        <w:spacing w:after="0" w:line="14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elected in the Certificate not to be subject to Section 203 of the DGCL, an anti-takeover law. In general, Section 203 prohibits a publicly held Delaware corporation from engaging in a business combination, such as a merger, with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are not subject to any anti-takeover effects of Section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5" w:name="page116"/>
    <w:bookmarkEnd w:id="115"/>
    <w:p>
      <w:pPr>
        <w:spacing w:after="0" w:line="255" w:lineRule="auto"/>
        <w:rPr>
          <w:sz w:val="20"/>
          <w:szCs w:val="20"/>
          <w:color w:val="auto"/>
        </w:rPr>
      </w:pPr>
      <w:r>
        <w:rPr>
          <w:rFonts w:ascii="Times New Roman" w:cs="Times New Roman" w:eastAsia="Times New Roman" w:hAnsi="Times New Roman"/>
          <w:sz w:val="18"/>
          <w:szCs w:val="18"/>
          <w:color w:val="auto"/>
        </w:rPr>
        <w:t>Certain other provisions of the Certificate and Bylaws may be considered to have an anti-takeover effect and may delay or prevent a tender offer or other corporate transaction that a stockholder might consider to be in its best interest, including those transactions that might result in payment of a premium over the market price for our shares. These provisions are designed to discourage certain types of transactions that may involve an actual or threatened change of control of us without prior approval of our board of directors. These provisions are meant to encourage persons interested in acquiring control of us to first consult with our board of directors to negotiate terms of a potential business combination or offer. We believe that these provisions protect against an unsolicited proposal for a takeover of us that might affect the long term value of our stock or that may be otherwise unfair to our stockholders. For example, our Certificate and Bylaws:</w:t>
      </w:r>
    </w:p>
    <w:p>
      <w:pPr>
        <w:spacing w:after="0" w:line="121" w:lineRule="exact"/>
        <w:rPr>
          <w:sz w:val="20"/>
          <w:szCs w:val="20"/>
          <w:color w:val="auto"/>
        </w:rPr>
      </w:pPr>
    </w:p>
    <w:p>
      <w:pPr>
        <w:ind w:left="1020" w:right="260" w:hanging="503"/>
        <w:spacing w:after="0" w:line="282"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veto rights to the directors designated by Cinemark and Regal over certain actions specified in our Certificate, as described below under “-Special Approval Rights for Certain Matters”;</w:t>
      </w:r>
    </w:p>
    <w:p>
      <w:pPr>
        <w:spacing w:after="0" w:line="76" w:lineRule="exact"/>
        <w:rPr>
          <w:rFonts w:ascii="Times New Roman" w:cs="Times New Roman" w:eastAsia="Times New Roman" w:hAnsi="Times New Roman"/>
          <w:sz w:val="18"/>
          <w:szCs w:val="18"/>
          <w:color w:val="auto"/>
        </w:rPr>
      </w:pPr>
    </w:p>
    <w:p>
      <w:pPr>
        <w:ind w:left="1020" w:right="120" w:hanging="503"/>
        <w:spacing w:after="0" w:line="243" w:lineRule="auto"/>
        <w:tabs>
          <w:tab w:leader="none" w:pos="1020" w:val="left"/>
        </w:tabs>
        <w:numPr>
          <w:ilvl w:val="0"/>
          <w:numId w:val="73"/>
        </w:numPr>
        <w:rPr>
          <w:rFonts w:ascii="Times New Roman" w:cs="Times New Roman" w:eastAsia="Times New Roman" w:hAnsi="Times New Roman"/>
          <w:sz w:val="18"/>
          <w:szCs w:val="18"/>
          <w:color w:val="auto"/>
        </w:rPr>
      </w:pPr>
      <w:r>
        <w:rPr>
          <w:rFonts w:ascii="Cambria" w:cs="Cambria" w:eastAsia="Cambria" w:hAnsi="Cambria"/>
          <w:sz w:val="18"/>
          <w:szCs w:val="18"/>
          <w:b w:val="1"/>
          <w:bCs w:val="1"/>
          <w:color w:val="auto"/>
        </w:rPr>
        <w:t>authorize the issuance of “blank check” preferred stock that could be issued by our board of directors to increase the number of outstanding shares, making a takeover more difficult and expensive;</w:t>
      </w:r>
    </w:p>
    <w:p>
      <w:pPr>
        <w:spacing w:after="0" w:line="11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Cambria" w:cs="Cambria" w:eastAsia="Cambria" w:hAnsi="Cambria"/>
          <w:sz w:val="18"/>
          <w:szCs w:val="18"/>
          <w:b w:val="1"/>
          <w:bCs w:val="1"/>
          <w:color w:val="auto"/>
        </w:rPr>
        <w:t>prohibit stockholder action by written consent;</w:t>
      </w:r>
    </w:p>
    <w:p>
      <w:pPr>
        <w:spacing w:after="0" w:line="12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Cambria" w:cs="Cambria" w:eastAsia="Cambria" w:hAnsi="Cambria"/>
          <w:sz w:val="18"/>
          <w:szCs w:val="18"/>
          <w:b w:val="1"/>
          <w:bCs w:val="1"/>
          <w:color w:val="auto"/>
        </w:rPr>
        <w:t>provide that special meetings of our stockholders may be called only by a majority of our directors; and</w:t>
      </w:r>
    </w:p>
    <w:p>
      <w:pPr>
        <w:spacing w:after="0" w:line="128" w:lineRule="exact"/>
        <w:rPr>
          <w:rFonts w:ascii="Times New Roman" w:cs="Times New Roman" w:eastAsia="Times New Roman" w:hAnsi="Times New Roman"/>
          <w:sz w:val="18"/>
          <w:szCs w:val="18"/>
          <w:color w:val="auto"/>
        </w:rPr>
      </w:pPr>
    </w:p>
    <w:p>
      <w:pPr>
        <w:ind w:left="1020" w:right="80" w:hanging="503"/>
        <w:spacing w:after="0" w:line="243" w:lineRule="auto"/>
        <w:tabs>
          <w:tab w:leader="none" w:pos="1020" w:val="left"/>
        </w:tabs>
        <w:numPr>
          <w:ilvl w:val="0"/>
          <w:numId w:val="73"/>
        </w:numPr>
        <w:rPr>
          <w:rFonts w:ascii="Times New Roman" w:cs="Times New Roman" w:eastAsia="Times New Roman" w:hAnsi="Times New Roman"/>
          <w:sz w:val="18"/>
          <w:szCs w:val="18"/>
          <w:color w:val="auto"/>
        </w:rPr>
      </w:pPr>
      <w:r>
        <w:rPr>
          <w:rFonts w:ascii="Cambria" w:cs="Cambria" w:eastAsia="Cambria" w:hAnsi="Cambria"/>
          <w:sz w:val="18"/>
          <w:szCs w:val="18"/>
          <w:b w:val="1"/>
          <w:bCs w:val="1"/>
          <w:color w:val="auto"/>
        </w:rPr>
        <w:t>do not permit cumulative voting in the election of directors, which would otherwise allow less than a majority of stockholders to elect director candidates.</w:t>
      </w:r>
    </w:p>
    <w:p>
      <w:pPr>
        <w:spacing w:after="0" w:line="19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operating agreement of National CineMedia, LLC (“NCM LLC”) also provides that NCM LLC’s other members will be able to exercise a greater degree of influence over the operations of NCM LLC, which may discourage other nominations to our board of directors, if any director nominee designated by NCM LLC’s other members is not elected by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Approval Rights for Certain Matters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the Certificate, so long as either of Regal or Cinemark owns at least 5% of NCM LLC’s issued and outstanding common membership units, if the two directors appointed by Cinemark or the two directors appointed by Regal pursuant to the Director Designation Agreement dated February 13, 2007 (except that if either Cinemark or Regal has only appointed one director, and such director qualifies as an “independent director” under the applicable rules of the Nasdaq Stock Market LLC, then such director) vote against any of the corporate actions listed below, we and NCM LLC will be prohibited from taking any of the following actions:</w:t>
      </w:r>
    </w:p>
    <w:p>
      <w:pPr>
        <w:spacing w:after="0" w:line="312" w:lineRule="exact"/>
        <w:rPr>
          <w:sz w:val="20"/>
          <w:szCs w:val="20"/>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Cambria" w:cs="Cambria" w:eastAsia="Cambria" w:hAnsi="Cambria"/>
          <w:sz w:val="18"/>
          <w:szCs w:val="18"/>
          <w:b w:val="1"/>
          <w:bCs w:val="1"/>
          <w:color w:val="auto"/>
        </w:rPr>
        <w:t>assign, transfer, sell or pledge all or a portion of the membership interests of NCM LLC beneficially owned by the Company;</w:t>
      </w:r>
    </w:p>
    <w:p>
      <w:pPr>
        <w:spacing w:after="0" w:line="128" w:lineRule="exact"/>
        <w:rPr>
          <w:rFonts w:ascii="Times New Roman" w:cs="Times New Roman" w:eastAsia="Times New Roman" w:hAnsi="Times New Roman"/>
          <w:sz w:val="18"/>
          <w:szCs w:val="18"/>
          <w:color w:val="auto"/>
        </w:rPr>
      </w:pPr>
    </w:p>
    <w:p>
      <w:pPr>
        <w:ind w:left="1020" w:right="40" w:hanging="503"/>
        <w:spacing w:after="0" w:line="243" w:lineRule="auto"/>
        <w:tabs>
          <w:tab w:leader="none" w:pos="1020" w:val="left"/>
        </w:tabs>
        <w:numPr>
          <w:ilvl w:val="0"/>
          <w:numId w:val="74"/>
        </w:numPr>
        <w:rPr>
          <w:rFonts w:ascii="Times New Roman" w:cs="Times New Roman" w:eastAsia="Times New Roman" w:hAnsi="Times New Roman"/>
          <w:sz w:val="18"/>
          <w:szCs w:val="18"/>
          <w:color w:val="auto"/>
        </w:rPr>
      </w:pPr>
      <w:r>
        <w:rPr>
          <w:rFonts w:ascii="Cambria" w:cs="Cambria" w:eastAsia="Cambria" w:hAnsi="Cambria"/>
          <w:sz w:val="18"/>
          <w:szCs w:val="18"/>
          <w:b w:val="1"/>
          <w:bCs w:val="1"/>
          <w:color w:val="auto"/>
        </w:rPr>
        <w:t>acquire, dispose, lease or license assets with an aggregate value exceeding 20% of the fair market value of the business of NCM LLC operating as a going concern;</w:t>
      </w:r>
    </w:p>
    <w:p>
      <w:pPr>
        <w:spacing w:after="0" w:line="11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Cambria" w:cs="Cambria" w:eastAsia="Cambria" w:hAnsi="Cambria"/>
          <w:sz w:val="18"/>
          <w:szCs w:val="18"/>
          <w:b w:val="1"/>
          <w:bCs w:val="1"/>
          <w:color w:val="auto"/>
        </w:rPr>
        <w:t>merge, reorganize, recapitalize, reclassify, consolidate, dissolve, liquidate or enter into a similar transaction;</w:t>
      </w:r>
    </w:p>
    <w:p>
      <w:pPr>
        <w:spacing w:after="0" w:line="128" w:lineRule="exact"/>
        <w:rPr>
          <w:rFonts w:ascii="Times New Roman" w:cs="Times New Roman" w:eastAsia="Times New Roman" w:hAnsi="Times New Roman"/>
          <w:sz w:val="18"/>
          <w:szCs w:val="18"/>
          <w:color w:val="auto"/>
        </w:rPr>
      </w:pPr>
    </w:p>
    <w:p>
      <w:pPr>
        <w:ind w:left="1020" w:right="380" w:hanging="503"/>
        <w:spacing w:after="0" w:line="243" w:lineRule="auto"/>
        <w:tabs>
          <w:tab w:leader="none" w:pos="1020" w:val="left"/>
        </w:tabs>
        <w:numPr>
          <w:ilvl w:val="0"/>
          <w:numId w:val="74"/>
        </w:numPr>
        <w:rPr>
          <w:rFonts w:ascii="Times New Roman" w:cs="Times New Roman" w:eastAsia="Times New Roman" w:hAnsi="Times New Roman"/>
          <w:sz w:val="18"/>
          <w:szCs w:val="18"/>
          <w:color w:val="auto"/>
        </w:rPr>
      </w:pPr>
      <w:r>
        <w:rPr>
          <w:rFonts w:ascii="Cambria" w:cs="Cambria" w:eastAsia="Cambria" w:hAnsi="Cambria"/>
          <w:sz w:val="18"/>
          <w:szCs w:val="18"/>
          <w:b w:val="1"/>
          <w:bCs w:val="1"/>
          <w:color w:val="auto"/>
        </w:rPr>
        <w:t>incur any funded indebtedness or repay, before due, any funded indebtedness with a fixed term in an aggregate amount in excess of $15.0 million per year;</w:t>
      </w:r>
    </w:p>
    <w:p>
      <w:pPr>
        <w:spacing w:after="0" w:line="112" w:lineRule="exact"/>
        <w:rPr>
          <w:rFonts w:ascii="Times New Roman" w:cs="Times New Roman" w:eastAsia="Times New Roman" w:hAnsi="Times New Roman"/>
          <w:sz w:val="18"/>
          <w:szCs w:val="18"/>
          <w:color w:val="auto"/>
        </w:rPr>
      </w:pPr>
    </w:p>
    <w:p>
      <w:pPr>
        <w:ind w:left="1020" w:right="40" w:hanging="503"/>
        <w:spacing w:after="0" w:line="243" w:lineRule="auto"/>
        <w:tabs>
          <w:tab w:leader="none" w:pos="1020" w:val="left"/>
        </w:tabs>
        <w:numPr>
          <w:ilvl w:val="0"/>
          <w:numId w:val="74"/>
        </w:numPr>
        <w:rPr>
          <w:rFonts w:ascii="Times New Roman" w:cs="Times New Roman" w:eastAsia="Times New Roman" w:hAnsi="Times New Roman"/>
          <w:sz w:val="18"/>
          <w:szCs w:val="18"/>
          <w:color w:val="auto"/>
        </w:rPr>
      </w:pPr>
      <w:r>
        <w:rPr>
          <w:rFonts w:ascii="Cambria" w:cs="Cambria" w:eastAsia="Cambria" w:hAnsi="Cambria"/>
          <w:sz w:val="18"/>
          <w:szCs w:val="18"/>
          <w:b w:val="1"/>
          <w:bCs w:val="1"/>
          <w:color w:val="auto"/>
        </w:rPr>
        <w:t>issue, grant or sell shares of our Common Stock, Preferred Stock or rights with respect to Common Stock or Preferred Stock, or NCM LLC membership units or rights with respect to membership units, except under specified circumstances;</w:t>
      </w:r>
    </w:p>
    <w:p>
      <w:pPr>
        <w:spacing w:after="0" w:line="112" w:lineRule="exact"/>
        <w:rPr>
          <w:rFonts w:ascii="Times New Roman" w:cs="Times New Roman" w:eastAsia="Times New Roman" w:hAnsi="Times New Roman"/>
          <w:sz w:val="18"/>
          <w:szCs w:val="18"/>
          <w:color w:val="auto"/>
        </w:rPr>
      </w:pPr>
    </w:p>
    <w:p>
      <w:pPr>
        <w:ind w:left="1020" w:right="440" w:hanging="503"/>
        <w:spacing w:after="0" w:line="243" w:lineRule="auto"/>
        <w:tabs>
          <w:tab w:leader="none" w:pos="1020" w:val="left"/>
        </w:tabs>
        <w:numPr>
          <w:ilvl w:val="0"/>
          <w:numId w:val="74"/>
        </w:numPr>
        <w:rPr>
          <w:rFonts w:ascii="Times New Roman" w:cs="Times New Roman" w:eastAsia="Times New Roman" w:hAnsi="Times New Roman"/>
          <w:sz w:val="18"/>
          <w:szCs w:val="18"/>
          <w:color w:val="auto"/>
        </w:rPr>
      </w:pPr>
      <w:r>
        <w:rPr>
          <w:rFonts w:ascii="Cambria" w:cs="Cambria" w:eastAsia="Cambria" w:hAnsi="Cambria"/>
          <w:sz w:val="18"/>
          <w:szCs w:val="18"/>
          <w:b w:val="1"/>
          <w:bCs w:val="1"/>
          <w:color w:val="auto"/>
        </w:rPr>
        <w:t>authorize, issue, grant or sell additional membership interests or rights with respect to membership interests of NCM LLC (with certain exceptions);</w:t>
      </w:r>
    </w:p>
    <w:p>
      <w:pPr>
        <w:spacing w:after="0" w:line="11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Cambria" w:cs="Cambria" w:eastAsia="Cambria" w:hAnsi="Cambria"/>
          <w:sz w:val="18"/>
          <w:szCs w:val="18"/>
          <w:b w:val="1"/>
          <w:bCs w:val="1"/>
          <w:color w:val="auto"/>
        </w:rPr>
        <w:t>amend, modify, restate or repeal any provision of our Certificate or Bylaws or the NCM LLC operating agreement;</w:t>
      </w:r>
    </w:p>
    <w:p>
      <w:pPr>
        <w:spacing w:after="0" w:line="128" w:lineRule="exact"/>
        <w:rPr>
          <w:rFonts w:ascii="Times New Roman" w:cs="Times New Roman" w:eastAsia="Times New Roman" w:hAnsi="Times New Roman"/>
          <w:sz w:val="18"/>
          <w:szCs w:val="18"/>
          <w:color w:val="auto"/>
        </w:rPr>
      </w:pPr>
    </w:p>
    <w:p>
      <w:pPr>
        <w:ind w:left="1020" w:right="180" w:hanging="503"/>
        <w:spacing w:after="0" w:line="243" w:lineRule="auto"/>
        <w:tabs>
          <w:tab w:leader="none" w:pos="1020" w:val="left"/>
        </w:tabs>
        <w:numPr>
          <w:ilvl w:val="0"/>
          <w:numId w:val="74"/>
        </w:numPr>
        <w:rPr>
          <w:rFonts w:ascii="Times New Roman" w:cs="Times New Roman" w:eastAsia="Times New Roman" w:hAnsi="Times New Roman"/>
          <w:sz w:val="18"/>
          <w:szCs w:val="18"/>
          <w:color w:val="auto"/>
        </w:rPr>
      </w:pPr>
      <w:r>
        <w:rPr>
          <w:rFonts w:ascii="Cambria" w:cs="Cambria" w:eastAsia="Cambria" w:hAnsi="Cambria"/>
          <w:sz w:val="18"/>
          <w:szCs w:val="18"/>
          <w:b w:val="1"/>
          <w:bCs w:val="1"/>
          <w:color w:val="auto"/>
        </w:rPr>
        <w:t>enter into, modify or terminate certain material contracts not in the ordinary course of business as defined under applicable securities laws;</w:t>
      </w:r>
    </w:p>
    <w:p>
      <w:pPr>
        <w:spacing w:after="0" w:line="112" w:lineRule="exact"/>
        <w:rPr>
          <w:rFonts w:ascii="Times New Roman" w:cs="Times New Roman" w:eastAsia="Times New Roman" w:hAnsi="Times New Roman"/>
          <w:sz w:val="18"/>
          <w:szCs w:val="18"/>
          <w:color w:val="auto"/>
        </w:rPr>
      </w:pPr>
    </w:p>
    <w:p>
      <w:pPr>
        <w:ind w:left="1020" w:right="160" w:hanging="503"/>
        <w:spacing w:after="0" w:line="243" w:lineRule="auto"/>
        <w:tabs>
          <w:tab w:leader="none" w:pos="1020" w:val="left"/>
        </w:tabs>
        <w:numPr>
          <w:ilvl w:val="0"/>
          <w:numId w:val="74"/>
        </w:numPr>
        <w:rPr>
          <w:rFonts w:ascii="Times New Roman" w:cs="Times New Roman" w:eastAsia="Times New Roman" w:hAnsi="Times New Roman"/>
          <w:sz w:val="18"/>
          <w:szCs w:val="18"/>
          <w:color w:val="auto"/>
        </w:rPr>
      </w:pPr>
      <w:r>
        <w:rPr>
          <w:rFonts w:ascii="Cambria" w:cs="Cambria" w:eastAsia="Cambria" w:hAnsi="Cambria"/>
          <w:sz w:val="18"/>
          <w:szCs w:val="18"/>
          <w:b w:val="1"/>
          <w:bCs w:val="1"/>
          <w:color w:val="auto"/>
        </w:rPr>
        <w:t>except as specifically set forth in the NCM LLC operating agreement, declare, set aside or pay any redemption of, or dividends with respect to membership interests;</w:t>
      </w:r>
    </w:p>
    <w:p>
      <w:pPr>
        <w:spacing w:after="0" w:line="112" w:lineRule="exact"/>
        <w:rPr>
          <w:rFonts w:ascii="Times New Roman" w:cs="Times New Roman" w:eastAsia="Times New Roman" w:hAnsi="Times New Roman"/>
          <w:sz w:val="18"/>
          <w:szCs w:val="18"/>
          <w:color w:val="auto"/>
        </w:rPr>
      </w:pPr>
    </w:p>
    <w:p>
      <w:pPr>
        <w:ind w:left="1020" w:right="320" w:hanging="503"/>
        <w:spacing w:after="0" w:line="243" w:lineRule="auto"/>
        <w:tabs>
          <w:tab w:leader="none" w:pos="1020" w:val="left"/>
        </w:tabs>
        <w:numPr>
          <w:ilvl w:val="0"/>
          <w:numId w:val="74"/>
        </w:numPr>
        <w:rPr>
          <w:rFonts w:ascii="Times New Roman" w:cs="Times New Roman" w:eastAsia="Times New Roman" w:hAnsi="Times New Roman"/>
          <w:sz w:val="18"/>
          <w:szCs w:val="18"/>
          <w:color w:val="auto"/>
        </w:rPr>
      </w:pPr>
      <w:r>
        <w:rPr>
          <w:rFonts w:ascii="Cambria" w:cs="Cambria" w:eastAsia="Cambria" w:hAnsi="Cambria"/>
          <w:sz w:val="18"/>
          <w:szCs w:val="18"/>
          <w:b w:val="1"/>
          <w:bCs w:val="1"/>
          <w:color w:val="auto"/>
        </w:rPr>
        <w:t>amend any material terms or provisions (as defined in the Nasdaq rules) of our equity incentive plan or enter into any new equity incentive compensation plan;</w:t>
      </w:r>
    </w:p>
    <w:p>
      <w:pPr>
        <w:spacing w:after="0" w:line="112" w:lineRule="exact"/>
        <w:rPr>
          <w:rFonts w:ascii="Times New Roman" w:cs="Times New Roman" w:eastAsia="Times New Roman" w:hAnsi="Times New Roman"/>
          <w:sz w:val="18"/>
          <w:szCs w:val="18"/>
          <w:color w:val="auto"/>
        </w:rPr>
      </w:pPr>
    </w:p>
    <w:p>
      <w:pPr>
        <w:ind w:left="1020" w:right="160" w:hanging="503"/>
        <w:spacing w:after="0" w:line="244" w:lineRule="auto"/>
        <w:tabs>
          <w:tab w:leader="none" w:pos="1020" w:val="left"/>
        </w:tabs>
        <w:numPr>
          <w:ilvl w:val="0"/>
          <w:numId w:val="74"/>
        </w:numPr>
        <w:rPr>
          <w:rFonts w:ascii="Times New Roman" w:cs="Times New Roman" w:eastAsia="Times New Roman" w:hAnsi="Times New Roman"/>
          <w:sz w:val="18"/>
          <w:szCs w:val="18"/>
          <w:color w:val="auto"/>
        </w:rPr>
      </w:pPr>
      <w:r>
        <w:rPr>
          <w:rFonts w:ascii="Cambria" w:cs="Cambria" w:eastAsia="Cambria" w:hAnsi="Cambria"/>
          <w:sz w:val="18"/>
          <w:szCs w:val="18"/>
          <w:b w:val="1"/>
          <w:bCs w:val="1"/>
          <w:color w:val="auto"/>
        </w:rPr>
        <w:t>make any change in the current business purpose of the Company to serve solely as the manager of NCM LLC or any change in the current business purpose of NCM LLC to provide the services as set forth in the exhibitor services agreements between NCM LLC and each of the founding members;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6" w:name="page117"/>
    <w:bookmarkEnd w:id="116"/>
    <w:p>
      <w:pPr>
        <w:ind w:left="1020" w:right="660" w:hanging="503"/>
        <w:spacing w:after="0" w:line="243" w:lineRule="auto"/>
        <w:tabs>
          <w:tab w:leader="none" w:pos="1020" w:val="left"/>
        </w:tabs>
        <w:numPr>
          <w:ilvl w:val="0"/>
          <w:numId w:val="75"/>
        </w:numPr>
        <w:rPr>
          <w:rFonts w:ascii="Times New Roman" w:cs="Times New Roman" w:eastAsia="Times New Roman" w:hAnsi="Times New Roman"/>
          <w:sz w:val="18"/>
          <w:szCs w:val="18"/>
          <w:color w:val="auto"/>
        </w:rPr>
      </w:pPr>
      <w:r>
        <w:rPr>
          <w:rFonts w:ascii="Cambria" w:cs="Cambria" w:eastAsia="Cambria" w:hAnsi="Cambria"/>
          <w:sz w:val="18"/>
          <w:szCs w:val="18"/>
          <w:b w:val="1"/>
          <w:bCs w:val="1"/>
          <w:color w:val="auto"/>
        </w:rPr>
        <w:t>approve any actions relating to NCM LLC that could reasonably be expected to have a material adverse tax effect on the founding members.</w:t>
      </w:r>
    </w:p>
    <w:p>
      <w:pPr>
        <w:spacing w:after="0" w:line="219" w:lineRule="exact"/>
        <w:rPr>
          <w:sz w:val="20"/>
          <w:szCs w:val="20"/>
          <w:color w:val="auto"/>
        </w:rPr>
      </w:pPr>
    </w:p>
    <w:p>
      <w:pPr>
        <w:spacing w:after="0"/>
        <w:rPr>
          <w:sz w:val="20"/>
          <w:szCs w:val="20"/>
          <w:color w:val="auto"/>
        </w:rPr>
      </w:pPr>
      <w:r>
        <w:rPr>
          <w:rFonts w:ascii="Cambria" w:cs="Cambria" w:eastAsia="Cambria" w:hAnsi="Cambria"/>
          <w:sz w:val="18"/>
          <w:szCs w:val="18"/>
          <w:b w:val="1"/>
          <w:bCs w:val="1"/>
          <w:i w:val="1"/>
          <w:iCs w:val="1"/>
          <w:color w:val="auto"/>
        </w:rPr>
        <w:t>Authorized but Unissued Shares</w:t>
      </w:r>
    </w:p>
    <w:p>
      <w:pPr>
        <w:spacing w:after="0" w:line="223" w:lineRule="exact"/>
        <w:rPr>
          <w:sz w:val="20"/>
          <w:szCs w:val="20"/>
          <w:color w:val="auto"/>
        </w:rPr>
      </w:pPr>
    </w:p>
    <w:p>
      <w:pPr>
        <w:ind w:right="20"/>
        <w:spacing w:after="0" w:line="263" w:lineRule="auto"/>
        <w:rPr>
          <w:sz w:val="20"/>
          <w:szCs w:val="20"/>
          <w:color w:val="auto"/>
        </w:rPr>
      </w:pPr>
      <w:r>
        <w:rPr>
          <w:rFonts w:ascii="Cambria" w:cs="Cambria" w:eastAsia="Cambria" w:hAnsi="Cambria"/>
          <w:sz w:val="17"/>
          <w:szCs w:val="17"/>
          <w:b w:val="1"/>
          <w:bCs w:val="1"/>
          <w:color w:val="auto"/>
        </w:rPr>
        <w:t>The authorized but unissued shares of Common Stock and Preferred Stock are available for future issuance without stockholder approval. These additional shares may be used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us by means of a proxy contest, tender offer, merger or otherwise.</w:t>
      </w:r>
    </w:p>
    <w:p>
      <w:pPr>
        <w:spacing w:after="0" w:line="204" w:lineRule="exact"/>
        <w:rPr>
          <w:sz w:val="20"/>
          <w:szCs w:val="20"/>
          <w:color w:val="auto"/>
        </w:rPr>
      </w:pPr>
    </w:p>
    <w:p>
      <w:pPr>
        <w:spacing w:after="0"/>
        <w:rPr>
          <w:sz w:val="20"/>
          <w:szCs w:val="20"/>
          <w:color w:val="auto"/>
        </w:rPr>
      </w:pPr>
      <w:r>
        <w:rPr>
          <w:rFonts w:ascii="Cambria" w:cs="Cambria" w:eastAsia="Cambria" w:hAnsi="Cambria"/>
          <w:sz w:val="18"/>
          <w:szCs w:val="18"/>
          <w:b w:val="1"/>
          <w:bCs w:val="1"/>
          <w:i w:val="1"/>
          <w:iCs w:val="1"/>
          <w:color w:val="auto"/>
        </w:rPr>
        <w:t>Preferred Stock</w:t>
      </w:r>
    </w:p>
    <w:p>
      <w:pPr>
        <w:spacing w:after="0" w:line="223" w:lineRule="exact"/>
        <w:rPr>
          <w:sz w:val="20"/>
          <w:szCs w:val="20"/>
          <w:color w:val="auto"/>
        </w:rPr>
      </w:pPr>
    </w:p>
    <w:p>
      <w:pPr>
        <w:spacing w:after="0" w:line="261" w:lineRule="auto"/>
        <w:rPr>
          <w:sz w:val="20"/>
          <w:szCs w:val="20"/>
          <w:color w:val="auto"/>
        </w:rPr>
      </w:pPr>
      <w:r>
        <w:rPr>
          <w:rFonts w:ascii="Cambria" w:cs="Cambria" w:eastAsia="Cambria" w:hAnsi="Cambria"/>
          <w:sz w:val="17"/>
          <w:szCs w:val="17"/>
          <w:b w:val="1"/>
          <w:bCs w:val="1"/>
          <w:color w:val="auto"/>
        </w:rPr>
        <w:t>Our board of directors is authorized, without further stockholder approval, to issue from time to time up to an aggregate of 10 million shares of Preferred Stock in one or more series and to fix or alter the designations, preferences, rights and any qualifications, limitations or restrictions of the shares of each such series thereof, including the dividend rights, dividend rates, conversion rights, voting rights, terms of redemption (including sinking fund provisions), redemption price or prices, liquidation preferences and the number of shares constituting any series or designations of such series. The future issuance of shares of Preferred Stock with voting rights may adversely affect the voting power of the holders of our other classes of voting stock, either by diluting the voting power of our other classes of voting stock if they vote together as a single class, or by giving the holders of any such Preferred Stock the right to block an action on which they have a separate class vote even if the action were approved by the holders of our other classes of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932180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LIABILITY COMPANY OPERATING AGREEMENT*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CINEMEDIA, LLC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*Conformed to include:</w:t>
      </w:r>
    </w:p>
    <w:p>
      <w:pPr>
        <w:spacing w:after="0" w:line="171" w:lineRule="exact"/>
        <w:rPr>
          <w:sz w:val="20"/>
          <w:szCs w:val="20"/>
          <w:color w:val="auto"/>
        </w:rPr>
      </w:pPr>
    </w:p>
    <w:p>
      <w:pPr>
        <w:ind w:left="760" w:right="660" w:hanging="378"/>
        <w:spacing w:after="0" w:line="286" w:lineRule="auto"/>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First Amendment to the Third Amended and Restated Limited Liability Company Operating Agreement, dated March 16, 2009 (“Amendment No. 1”),</w:t>
      </w:r>
    </w:p>
    <w:p>
      <w:pPr>
        <w:spacing w:after="0" w:line="100" w:lineRule="exact"/>
        <w:rPr>
          <w:rFonts w:ascii="Times New Roman" w:cs="Times New Roman" w:eastAsia="Times New Roman" w:hAnsi="Times New Roman"/>
          <w:sz w:val="18"/>
          <w:szCs w:val="18"/>
          <w:color w:val="auto"/>
        </w:rPr>
      </w:pPr>
    </w:p>
    <w:p>
      <w:pPr>
        <w:ind w:left="760" w:right="540" w:hanging="378"/>
        <w:spacing w:after="0" w:line="286" w:lineRule="auto"/>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Second Amendment to the Third Amended and Restated Limited Liability Company Operating Agreement, dated August 6, 2010 (“Amendment No. 2”),</w:t>
      </w:r>
    </w:p>
    <w:p>
      <w:pPr>
        <w:spacing w:after="0" w:line="100" w:lineRule="exact"/>
        <w:rPr>
          <w:rFonts w:ascii="Times New Roman" w:cs="Times New Roman" w:eastAsia="Times New Roman" w:hAnsi="Times New Roman"/>
          <w:sz w:val="18"/>
          <w:szCs w:val="18"/>
          <w:color w:val="auto"/>
        </w:rPr>
      </w:pPr>
    </w:p>
    <w:p>
      <w:pPr>
        <w:ind w:left="760" w:right="360" w:hanging="378"/>
        <w:spacing w:after="0" w:line="286" w:lineRule="auto"/>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Third Amendment to the Third Amended and Restated Limited Liability Company Operating Agreement, dated September 3, 2013 (“Amendment No. 3”),</w:t>
      </w:r>
    </w:p>
    <w:p>
      <w:pPr>
        <w:spacing w:after="0" w:line="100" w:lineRule="exact"/>
        <w:rPr>
          <w:rFonts w:ascii="Times New Roman" w:cs="Times New Roman" w:eastAsia="Times New Roman" w:hAnsi="Times New Roman"/>
          <w:sz w:val="18"/>
          <w:szCs w:val="18"/>
          <w:color w:val="auto"/>
        </w:rPr>
      </w:pPr>
    </w:p>
    <w:p>
      <w:pPr>
        <w:ind w:left="760" w:right="380" w:hanging="378"/>
        <w:spacing w:after="0" w:line="286" w:lineRule="auto"/>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Fourth Amendment to the Third Amended and Restated Limited Liability Company Operating Agreement, dated January 23, 2019 (“Amendment No. 4”), and</w:t>
      </w:r>
    </w:p>
    <w:p>
      <w:pPr>
        <w:spacing w:after="0" w:line="10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Fifth Amendment to the Third Amended and Restated Limited Liability Company Operating Agreement, dated August 7, 2023</w:t>
      </w:r>
    </w:p>
    <w:p>
      <w:pPr>
        <w:spacing w:after="0" w:line="171" w:lineRule="exact"/>
        <w:rPr>
          <w:rFonts w:ascii="Times New Roman" w:cs="Times New Roman" w:eastAsia="Times New Roman" w:hAnsi="Times New Roman"/>
          <w:sz w:val="18"/>
          <w:szCs w:val="18"/>
          <w:color w:val="auto"/>
        </w:rPr>
      </w:pPr>
    </w:p>
    <w:p>
      <w:pPr>
        <w:ind w:left="760" w:right="60" w:hanging="378"/>
        <w:spacing w:after="0" w:line="268" w:lineRule="auto"/>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Sixth Amendment to the Third Amended and Restated Limited Liability Company Operating Agreement, dated March 18, 2024 “Amendment No. 6” (“Amendment No. 6” and together with Amendment No. 1, Amendment No. 2, Amendment No. 3, Amendment No. 4, and Amendment No. 5 the “Amendments”)</w:t>
      </w:r>
    </w:p>
    <w:p>
      <w:pPr>
        <w:spacing w:after="0" w:line="117" w:lineRule="exact"/>
        <w:rPr>
          <w:sz w:val="20"/>
          <w:szCs w:val="20"/>
          <w:color w:val="auto"/>
        </w:rPr>
      </w:pPr>
    </w:p>
    <w:p>
      <w:pPr>
        <w:ind w:right="100" w:firstLine="509"/>
        <w:spacing w:after="0" w:line="268" w:lineRule="auto"/>
        <w:rPr>
          <w:sz w:val="20"/>
          <w:szCs w:val="20"/>
          <w:color w:val="auto"/>
        </w:rPr>
      </w:pPr>
      <w:r>
        <w:rPr>
          <w:rFonts w:ascii="Times New Roman" w:cs="Times New Roman" w:eastAsia="Times New Roman" w:hAnsi="Times New Roman"/>
          <w:sz w:val="18"/>
          <w:szCs w:val="18"/>
          <w:color w:val="auto"/>
        </w:rPr>
        <w:t>This Third Amended and Restated Limited Liability Company Operating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of National CineMedia, LLC, a Delaware limited liability company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is made and entered into as of February 13, 2007, by and among each of the parties hereto and amends and restates in full the Second Amended Agreement.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71" w:lineRule="exact"/>
        <w:rPr>
          <w:sz w:val="20"/>
          <w:szCs w:val="20"/>
          <w:color w:val="auto"/>
        </w:rPr>
      </w:pPr>
    </w:p>
    <w:p>
      <w:pPr>
        <w:ind w:right="180" w:firstLine="509"/>
        <w:spacing w:after="0" w:line="268" w:lineRule="auto"/>
        <w:rPr>
          <w:sz w:val="20"/>
          <w:szCs w:val="20"/>
          <w:color w:val="auto"/>
        </w:rPr>
      </w:pPr>
      <w:r>
        <w:rPr>
          <w:rFonts w:ascii="Times New Roman" w:cs="Times New Roman" w:eastAsia="Times New Roman" w:hAnsi="Times New Roman"/>
          <w:sz w:val="18"/>
          <w:szCs w:val="18"/>
          <w:color w:val="auto"/>
        </w:rPr>
        <w:t>A. National Cinema Network, Inc., a Delaware corporation (“</w:t>
      </w:r>
      <w:r>
        <w:rPr>
          <w:rFonts w:ascii="Times New Roman" w:cs="Times New Roman" w:eastAsia="Times New Roman" w:hAnsi="Times New Roman"/>
          <w:sz w:val="18"/>
          <w:szCs w:val="18"/>
          <w:b w:val="1"/>
          <w:bCs w:val="1"/>
          <w:u w:val="single" w:color="auto"/>
          <w:color w:val="auto"/>
        </w:rPr>
        <w:t>NCN</w:t>
      </w:r>
      <w:r>
        <w:rPr>
          <w:rFonts w:ascii="Times New Roman" w:cs="Times New Roman" w:eastAsia="Times New Roman" w:hAnsi="Times New Roman"/>
          <w:sz w:val="18"/>
          <w:szCs w:val="18"/>
          <w:color w:val="auto"/>
        </w:rPr>
        <w:t>”), and Regal CineMedia Holdings, LLC, a Delaware limited liability company (“</w:t>
      </w:r>
      <w:r>
        <w:rPr>
          <w:rFonts w:ascii="Times New Roman" w:cs="Times New Roman" w:eastAsia="Times New Roman" w:hAnsi="Times New Roman"/>
          <w:sz w:val="18"/>
          <w:szCs w:val="18"/>
          <w:b w:val="1"/>
          <w:bCs w:val="1"/>
          <w:u w:val="single" w:color="auto"/>
          <w:color w:val="auto"/>
        </w:rPr>
        <w:t>Regal</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u w:val="single" w:color="auto"/>
          <w:color w:val="auto"/>
        </w:rPr>
        <w:t>Regal Founding Member</w:t>
      </w:r>
      <w:r>
        <w:rPr>
          <w:rFonts w:ascii="Times New Roman" w:cs="Times New Roman" w:eastAsia="Times New Roman" w:hAnsi="Times New Roman"/>
          <w:sz w:val="18"/>
          <w:szCs w:val="18"/>
          <w:color w:val="auto"/>
        </w:rPr>
        <w:t>”), formed the Company and entered into the Limited Liability Company Operating Agreement of National CineMedia, LLC, dated as of March 29, 2005 (the “</w:t>
      </w:r>
      <w:r>
        <w:rPr>
          <w:rFonts w:ascii="Times New Roman" w:cs="Times New Roman" w:eastAsia="Times New Roman" w:hAnsi="Times New Roman"/>
          <w:sz w:val="18"/>
          <w:szCs w:val="18"/>
          <w:b w:val="1"/>
          <w:bCs w:val="1"/>
          <w:u w:val="single" w:color="auto"/>
          <w:color w:val="auto"/>
        </w:rPr>
        <w:t>Original Agreement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00" w:firstLine="509"/>
        <w:spacing w:after="0" w:line="262" w:lineRule="auto"/>
        <w:rPr>
          <w:sz w:val="20"/>
          <w:szCs w:val="20"/>
          <w:color w:val="auto"/>
        </w:rPr>
      </w:pPr>
      <w:r>
        <w:rPr>
          <w:rFonts w:ascii="Times New Roman" w:cs="Times New Roman" w:eastAsia="Times New Roman" w:hAnsi="Times New Roman"/>
          <w:sz w:val="18"/>
          <w:szCs w:val="18"/>
          <w:color w:val="auto"/>
        </w:rPr>
        <w:t>B. Cinemark Media, Inc., a Delaware corporation (“</w:t>
      </w:r>
      <w:r>
        <w:rPr>
          <w:rFonts w:ascii="Times New Roman" w:cs="Times New Roman" w:eastAsia="Times New Roman" w:hAnsi="Times New Roman"/>
          <w:sz w:val="18"/>
          <w:szCs w:val="18"/>
          <w:b w:val="1"/>
          <w:bCs w:val="1"/>
          <w:u w:val="single" w:color="auto"/>
          <w:color w:val="auto"/>
        </w:rPr>
        <w:t>Cinemark Media</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u w:val="single" w:color="auto"/>
          <w:color w:val="auto"/>
        </w:rPr>
        <w:t>Cinemark Founding Member</w:t>
      </w:r>
      <w:r>
        <w:rPr>
          <w:rFonts w:ascii="Times New Roman" w:cs="Times New Roman" w:eastAsia="Times New Roman" w:hAnsi="Times New Roman"/>
          <w:sz w:val="18"/>
          <w:szCs w:val="18"/>
          <w:color w:val="auto"/>
        </w:rPr>
        <w:t>”), was admitted as a Founding Member in the Company pursuant to that certain Contribution Agreement, dated as of July 15, 2005 (the “</w:t>
      </w:r>
      <w:r>
        <w:rPr>
          <w:rFonts w:ascii="Times New Roman" w:cs="Times New Roman" w:eastAsia="Times New Roman" w:hAnsi="Times New Roman"/>
          <w:sz w:val="18"/>
          <w:szCs w:val="18"/>
          <w:b w:val="1"/>
          <w:bCs w:val="1"/>
          <w:u w:val="single" w:color="auto"/>
          <w:color w:val="auto"/>
        </w:rPr>
        <w:t>Contribution Agreement</w:t>
      </w:r>
      <w:r>
        <w:rPr>
          <w:rFonts w:ascii="Times New Roman" w:cs="Times New Roman" w:eastAsia="Times New Roman" w:hAnsi="Times New Roman"/>
          <w:sz w:val="18"/>
          <w:szCs w:val="18"/>
          <w:color w:val="auto"/>
        </w:rPr>
        <w:t>”), and that certain Amended and Restated Limited Liability Company Operating Agreement of National CineMedia, LLC, dated as of July 15, 2005 (the “</w:t>
      </w:r>
      <w:r>
        <w:rPr>
          <w:rFonts w:ascii="Times New Roman" w:cs="Times New Roman" w:eastAsia="Times New Roman" w:hAnsi="Times New Roman"/>
          <w:sz w:val="18"/>
          <w:szCs w:val="18"/>
          <w:b w:val="1"/>
          <w:bCs w:val="1"/>
          <w:u w:val="single" w:color="auto"/>
          <w:color w:val="auto"/>
        </w:rPr>
        <w:t>First 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color w:val="auto"/>
        </w:rPr>
        <w:t>C. NCN merged with and into American Multi-Cinema, Inc., a Missouri Corporation (“</w:t>
      </w:r>
      <w:r>
        <w:rPr>
          <w:rFonts w:ascii="Times New Roman" w:cs="Times New Roman" w:eastAsia="Times New Roman" w:hAnsi="Times New Roman"/>
          <w:sz w:val="18"/>
          <w:szCs w:val="18"/>
          <w:b w:val="1"/>
          <w:bCs w:val="1"/>
          <w:u w:val="single" w:color="auto"/>
          <w:color w:val="auto"/>
        </w:rPr>
        <w:t>AMC</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u w:val="single" w:color="auto"/>
          <w:color w:val="auto"/>
        </w:rPr>
        <w:t>AMC Founding Member</w:t>
      </w:r>
      <w:r>
        <w:rPr>
          <w:rFonts w:ascii="Times New Roman" w:cs="Times New Roman" w:eastAsia="Times New Roman" w:hAnsi="Times New Roman"/>
          <w:sz w:val="18"/>
          <w:szCs w:val="18"/>
          <w:color w:val="auto"/>
        </w:rPr>
        <w:t>”), with AMC as the surviving entity.</w:t>
      </w:r>
    </w:p>
    <w:p>
      <w:pPr>
        <w:spacing w:after="0" w:line="105"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D. The First Amended Agreement has been amended pursuant to the First Amendment to the Amended and Restated Limited Liability Company Operating Agreement of National CineMedia, LLC, dated as of December 12, 2006 (the “</w:t>
      </w:r>
      <w:r>
        <w:rPr>
          <w:rFonts w:ascii="Times New Roman" w:cs="Times New Roman" w:eastAsia="Times New Roman" w:hAnsi="Times New Roman"/>
          <w:sz w:val="18"/>
          <w:szCs w:val="18"/>
          <w:b w:val="1"/>
          <w:bCs w:val="1"/>
          <w:u w:val="single" w:color="auto"/>
          <w:color w:val="auto"/>
        </w:rPr>
        <w:t>First Amendment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Second Amendment to the Amended and Restated Limited Liability Company Operating Agreement of National CineMedia, LLC, dated as of January 23, 2007 (the “</w:t>
      </w:r>
      <w:r>
        <w:rPr>
          <w:rFonts w:ascii="Times New Roman" w:cs="Times New Roman" w:eastAsia="Times New Roman" w:hAnsi="Times New Roman"/>
          <w:sz w:val="18"/>
          <w:szCs w:val="18"/>
          <w:b w:val="1"/>
          <w:bCs w:val="1"/>
          <w:u w:val="single" w:color="auto"/>
          <w:color w:val="auto"/>
        </w:rPr>
        <w:t>Second Amendment</w:t>
      </w:r>
      <w:r>
        <w:rPr>
          <w:rFonts w:ascii="Times New Roman" w:cs="Times New Roman" w:eastAsia="Times New Roman" w:hAnsi="Times New Roman"/>
          <w:sz w:val="18"/>
          <w:szCs w:val="18"/>
          <w:color w:val="auto"/>
        </w:rPr>
        <w:t>”), and the Third Amendment to the Amended and Restated Limited Liability Company Operating Agreement of National CineMedia, LLC, dated as of February 7, 2007 (the “</w:t>
      </w:r>
      <w:r>
        <w:rPr>
          <w:rFonts w:ascii="Times New Roman" w:cs="Times New Roman" w:eastAsia="Times New Roman" w:hAnsi="Times New Roman"/>
          <w:sz w:val="18"/>
          <w:szCs w:val="18"/>
          <w:b w:val="1"/>
          <w:bCs w:val="1"/>
          <w:u w:val="single" w:color="auto"/>
          <w:color w:val="auto"/>
        </w:rPr>
        <w:t>Third Amendment</w:t>
      </w:r>
      <w:r>
        <w:rPr>
          <w:rFonts w:ascii="Times New Roman" w:cs="Times New Roman" w:eastAsia="Times New Roman" w:hAnsi="Times New Roman"/>
          <w:sz w:val="18"/>
          <w:szCs w:val="18"/>
          <w:color w:val="auto"/>
        </w:rPr>
        <w:t>”, and together with the First Amended Agreement, the First Amendment, and the Second Amendment, the “</w:t>
      </w:r>
      <w:r>
        <w:rPr>
          <w:rFonts w:ascii="Times New Roman" w:cs="Times New Roman" w:eastAsia="Times New Roman" w:hAnsi="Times New Roman"/>
          <w:sz w:val="18"/>
          <w:szCs w:val="18"/>
          <w:b w:val="1"/>
          <w:bCs w:val="1"/>
          <w:u w:val="single" w:color="auto"/>
          <w:color w:val="auto"/>
        </w:rPr>
        <w:t>Second Amended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8" w:name="page119"/>
    <w:bookmarkEnd w:id="118"/>
    <w:p>
      <w:pPr>
        <w:spacing w:after="0" w:line="136" w:lineRule="exact"/>
        <w:rPr>
          <w:sz w:val="20"/>
          <w:szCs w:val="20"/>
          <w:color w:val="auto"/>
        </w:rPr>
      </w:pPr>
    </w:p>
    <w:p>
      <w:pPr>
        <w:jc w:val="both"/>
        <w:ind w:right="20" w:firstLine="509"/>
        <w:spacing w:after="0" w:line="268" w:lineRule="auto"/>
        <w:rPr>
          <w:sz w:val="20"/>
          <w:szCs w:val="20"/>
          <w:color w:val="auto"/>
        </w:rPr>
      </w:pPr>
      <w:r>
        <w:rPr>
          <w:rFonts w:ascii="Times New Roman" w:cs="Times New Roman" w:eastAsia="Times New Roman" w:hAnsi="Times New Roman"/>
          <w:sz w:val="18"/>
          <w:szCs w:val="18"/>
          <w:color w:val="auto"/>
        </w:rPr>
        <w:t>E. The Company and National CineMedia, Inc., a Delaware corporation (“</w:t>
      </w:r>
      <w:r>
        <w:rPr>
          <w:rFonts w:ascii="Times New Roman" w:cs="Times New Roman" w:eastAsia="Times New Roman" w:hAnsi="Times New Roman"/>
          <w:sz w:val="18"/>
          <w:szCs w:val="18"/>
          <w:b w:val="1"/>
          <w:bCs w:val="1"/>
          <w:u w:val="single" w:color="auto"/>
          <w:color w:val="auto"/>
        </w:rPr>
        <w:t>NCM Inc.</w:t>
      </w:r>
      <w:r>
        <w:rPr>
          <w:rFonts w:ascii="Times New Roman" w:cs="Times New Roman" w:eastAsia="Times New Roman" w:hAnsi="Times New Roman"/>
          <w:sz w:val="18"/>
          <w:szCs w:val="18"/>
          <w:color w:val="auto"/>
        </w:rPr>
        <w:t xml:space="preserve">”), have entered into a Common Unit Subscription Agreement, dated as of February 13, 2007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Subscription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pursuant to which the Company has agreed to issue Common Units to NCM Inc. as more fully provided therein.</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 AMC, Regal and Cinemark Media desire to amend and restate the Second Amended Agreement to reflect the addition of NCM Inc. as a Member in the Company and its designation as sole Manager of the Company.</w:t>
      </w:r>
    </w:p>
    <w:p>
      <w:pPr>
        <w:spacing w:after="0" w:line="9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G. The respective board of directors and manager of each of AMC, Regal and Cinemark Media, respectively, and the board of directors of NCM Inc. have approved this Agreement.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Additional Recitals from Amendment No. 5:</w:t>
      </w:r>
    </w:p>
    <w:p>
      <w:pPr>
        <w:spacing w:after="0" w:line="26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color w:val="auto"/>
        </w:rPr>
        <w:t>WHEREAS, AMC ShowPlace Theatres, Inc., a Delaware corporation (“</w:t>
      </w:r>
      <w:r>
        <w:rPr>
          <w:rFonts w:ascii="Times New Roman" w:cs="Times New Roman" w:eastAsia="Times New Roman" w:hAnsi="Times New Roman"/>
          <w:sz w:val="18"/>
          <w:szCs w:val="18"/>
          <w:b w:val="1"/>
          <w:bCs w:val="1"/>
          <w:u w:val="single" w:color="auto"/>
          <w:color w:val="auto"/>
        </w:rPr>
        <w:t>AMC Showplace</w:t>
      </w:r>
      <w:r>
        <w:rPr>
          <w:rFonts w:ascii="Times New Roman" w:cs="Times New Roman" w:eastAsia="Times New Roman" w:hAnsi="Times New Roman"/>
          <w:sz w:val="18"/>
          <w:szCs w:val="18"/>
          <w:color w:val="auto"/>
        </w:rPr>
        <w:t>”), American Multi-Cinema, Inc., a Missouri Corporation (together with AMC Showplace, “</w:t>
      </w:r>
      <w:r>
        <w:rPr>
          <w:rFonts w:ascii="Times New Roman" w:cs="Times New Roman" w:eastAsia="Times New Roman" w:hAnsi="Times New Roman"/>
          <w:sz w:val="18"/>
          <w:szCs w:val="18"/>
          <w:b w:val="1"/>
          <w:bCs w:val="1"/>
          <w:u w:val="single" w:color="auto"/>
          <w:color w:val="auto"/>
        </w:rPr>
        <w:t>AMC</w:t>
      </w:r>
      <w:r>
        <w:rPr>
          <w:rFonts w:ascii="Times New Roman" w:cs="Times New Roman" w:eastAsia="Times New Roman" w:hAnsi="Times New Roman"/>
          <w:sz w:val="18"/>
          <w:szCs w:val="18"/>
          <w:color w:val="auto"/>
        </w:rPr>
        <w:t>”) Cinemark Media, Inc., a Delaware corporation (“</w:t>
      </w:r>
      <w:r>
        <w:rPr>
          <w:rFonts w:ascii="Times New Roman" w:cs="Times New Roman" w:eastAsia="Times New Roman" w:hAnsi="Times New Roman"/>
          <w:sz w:val="18"/>
          <w:szCs w:val="18"/>
          <w:b w:val="1"/>
          <w:bCs w:val="1"/>
          <w:u w:val="single" w:color="auto"/>
          <w:color w:val="auto"/>
        </w:rPr>
        <w:t>Cinemark Media</w:t>
      </w:r>
      <w:r>
        <w:rPr>
          <w:rFonts w:ascii="Times New Roman" w:cs="Times New Roman" w:eastAsia="Times New Roman" w:hAnsi="Times New Roman"/>
          <w:sz w:val="18"/>
          <w:szCs w:val="18"/>
          <w:color w:val="auto"/>
        </w:rPr>
        <w:t>”), Cinemark USA, Inc., a Texas corporation (“Cinemark USA” and together with Cinemark Media, “</w:t>
      </w:r>
      <w:r>
        <w:rPr>
          <w:rFonts w:ascii="Times New Roman" w:cs="Times New Roman" w:eastAsia="Times New Roman" w:hAnsi="Times New Roman"/>
          <w:sz w:val="18"/>
          <w:szCs w:val="18"/>
          <w:b w:val="1"/>
          <w:bCs w:val="1"/>
          <w:u w:val="single" w:color="auto"/>
          <w:color w:val="auto"/>
        </w:rPr>
        <w:t>Cinemark</w:t>
      </w:r>
      <w:r>
        <w:rPr>
          <w:rFonts w:ascii="Times New Roman" w:cs="Times New Roman" w:eastAsia="Times New Roman" w:hAnsi="Times New Roman"/>
          <w:sz w:val="18"/>
          <w:szCs w:val="18"/>
          <w:color w:val="auto"/>
        </w:rPr>
        <w:t>”), Regal Cinemedia Holdings, LLC, a Delaware limited liability company (“</w:t>
      </w:r>
      <w:r>
        <w:rPr>
          <w:rFonts w:ascii="Times New Roman" w:cs="Times New Roman" w:eastAsia="Times New Roman" w:hAnsi="Times New Roman"/>
          <w:sz w:val="18"/>
          <w:szCs w:val="18"/>
          <w:b w:val="1"/>
          <w:bCs w:val="1"/>
          <w:u w:val="single" w:color="auto"/>
          <w:color w:val="auto"/>
        </w:rPr>
        <w:t>Regal</w:t>
      </w:r>
      <w:r>
        <w:rPr>
          <w:rFonts w:ascii="Times New Roman" w:cs="Times New Roman" w:eastAsia="Times New Roman" w:hAnsi="Times New Roman"/>
          <w:sz w:val="18"/>
          <w:szCs w:val="18"/>
          <w:color w:val="auto"/>
        </w:rPr>
        <w:t>”), Regal Cinemas, Inc., a Tennessee corporation (together with Regal, “</w:t>
      </w:r>
      <w:r>
        <w:rPr>
          <w:rFonts w:ascii="Times New Roman" w:cs="Times New Roman" w:eastAsia="Times New Roman" w:hAnsi="Times New Roman"/>
          <w:sz w:val="18"/>
          <w:szCs w:val="18"/>
          <w:b w:val="1"/>
          <w:bCs w:val="1"/>
          <w:u w:val="single" w:color="auto"/>
          <w:color w:val="auto"/>
        </w:rPr>
        <w:t>RCI</w:t>
      </w:r>
      <w:r>
        <w:rPr>
          <w:rFonts w:ascii="Times New Roman" w:cs="Times New Roman" w:eastAsia="Times New Roman" w:hAnsi="Times New Roman"/>
          <w:sz w:val="18"/>
          <w:szCs w:val="18"/>
          <w:color w:val="auto"/>
        </w:rPr>
        <w:t>”), National CineMedia, Inc., a Delaware corporation (“</w:t>
      </w:r>
      <w:r>
        <w:rPr>
          <w:rFonts w:ascii="Times New Roman" w:cs="Times New Roman" w:eastAsia="Times New Roman" w:hAnsi="Times New Roman"/>
          <w:sz w:val="18"/>
          <w:szCs w:val="18"/>
          <w:b w:val="1"/>
          <w:bCs w:val="1"/>
          <w:u w:val="single" w:color="auto"/>
          <w:color w:val="auto"/>
        </w:rPr>
        <w:t>NCM Inc.</w:t>
      </w:r>
      <w:r>
        <w:rPr>
          <w:rFonts w:ascii="Times New Roman" w:cs="Times New Roman" w:eastAsia="Times New Roman" w:hAnsi="Times New Roman"/>
          <w:sz w:val="18"/>
          <w:szCs w:val="18"/>
          <w:color w:val="auto"/>
        </w:rPr>
        <w:t>”), and NCMI II, LLC, a Delaware limited liability company (“</w:t>
      </w:r>
      <w:r>
        <w:rPr>
          <w:rFonts w:ascii="Times New Roman" w:cs="Times New Roman" w:eastAsia="Times New Roman" w:hAnsi="Times New Roman"/>
          <w:sz w:val="18"/>
          <w:szCs w:val="18"/>
          <w:b w:val="1"/>
          <w:bCs w:val="1"/>
          <w:u w:val="single" w:color="auto"/>
          <w:color w:val="auto"/>
        </w:rPr>
        <w:t>NCMI II</w:t>
      </w:r>
      <w:r>
        <w:rPr>
          <w:rFonts w:ascii="Times New Roman" w:cs="Times New Roman" w:eastAsia="Times New Roman" w:hAnsi="Times New Roman"/>
          <w:sz w:val="18"/>
          <w:szCs w:val="18"/>
          <w:color w:val="auto"/>
        </w:rPr>
        <w:t>”) were parties to the LLC Agreement;</w:t>
      </w:r>
    </w:p>
    <w:p>
      <w:pPr>
        <w:spacing w:after="0" w:line="179"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8"/>
          <w:szCs w:val="18"/>
          <w:color w:val="auto"/>
        </w:rPr>
        <w:t>WHEREAS, as of the consummation of the Plan (as defined below) on the date hereof (the “</w:t>
      </w:r>
      <w:r>
        <w:rPr>
          <w:rFonts w:ascii="Times New Roman" w:cs="Times New Roman" w:eastAsia="Times New Roman" w:hAnsi="Times New Roman"/>
          <w:sz w:val="18"/>
          <w:szCs w:val="18"/>
          <w:b w:val="1"/>
          <w:bCs w:val="1"/>
          <w:u w:val="single" w:color="auto"/>
          <w:color w:val="auto"/>
        </w:rPr>
        <w:t>Plan Effective Date</w:t>
      </w:r>
      <w:r>
        <w:rPr>
          <w:rFonts w:ascii="Times New Roman" w:cs="Times New Roman" w:eastAsia="Times New Roman" w:hAnsi="Times New Roman"/>
          <w:sz w:val="18"/>
          <w:szCs w:val="18"/>
          <w:color w:val="auto"/>
        </w:rPr>
        <w:t>”), AMC, Cinemark, and Regal are no longer Founding Members or Members under the LLC Agreement, and NCM Inc., NCMI II, and the Company desire to amend the LLC Agreement pursuant to the terms and conditions hereof;</w:t>
      </w:r>
    </w:p>
    <w:p>
      <w:pPr>
        <w:spacing w:after="0" w:line="175"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WHEREAS, (i) on June 27, 2023, the U.S. Bankruptcy Court for the Southern District of Texas entered an order confirming the Modified First Amended Plan of Reorganization of National CineMedia, LLC Pursuant to Chapter 11 of the Bankruptcy Code [Docket No. 428] (as it may be amended, modified, or supplemented, the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(ii) pursuant to the Plan and prior to the Plan Effective Date, Blocked Holders, as defined in the Restructuring Transactions Memorandum, exchanged their Allowed Secured Debt Claims (as defined in the Plan) for shares of Blocker Parent (as defined in the Restructuring Transactions Memorandum), with Blocker Sub 2 (as defined in the Restructuring Transactions Memorandum), receiving such Allowed Secured Debt Claims and (iii) on the Plan Effective Date, the Company consummated the Plan pursuant to which (A) Allowed Secured Debt Claims then held by Blocker Sub 2 were exchanged for Common Units and, in connection with the receipt of such Common Units, the Company agreed to admit Blocker Sub 2 as a Member, and Blocker Sub 2 agreed be bound by all the terms and conditions of this Agreement (as amended, supplemented or otherwise modified from time to time) in accordance with Section 3.1(c), (B) Blocker Parent merged with and into Merger Sub (as defined in the Restructuring Transactions Memorandum), with Blocked Holders receiving shares of the common stock of NCM Inc. in exchange for their shares of Blocker Parent, such shares of common stock of NCM Inc. to be delivered to Blocked Holders on, or as soon as reasonably practicable after, the Plan Effective Date, (C) all other Holders of Allowed Secured Debt Claims received Common Units in exchange for their Allowed Secured Debt Claims and immediately contributed such Common Units to NCM Inc. in exchange for shares of the common stock of NCM Inc., such shares of common stock of NCM Inc. to be delivered to such Holders on, or as soon as reasonably practicable after, the Plan Effective Date, (D) NCM Inc. made a contribution to the Company of its cash on hand as of the time of such contribution, in exchange for certain Common Units and made a contribution to NCMI II of certain Common Units, and (E) NCM Inc. issued 50 shares of non-voting Series B Preferred Stock (each with liquidation value of $1,000) subject to and pursuant to the terms of that certain Certificate of Designation of Series B Non-Convertible Preferred Stock of NCM, Inc., dated as of the date hereof, and, correspondingly, in accordance with the Plan, the Company issued non-voting preferred equity interests in the Company to NCM Inc. with terms that are substantially the same as (as determined in good faith by NCM Inc., in its capacity as the sole manager of the Company, but including term, entitlement to distributions and absence of voting rights) the terms of the 50 shares of Series B Preferred Stock.</w:t>
      </w:r>
    </w:p>
    <w:p>
      <w:pPr>
        <w:spacing w:after="0" w:line="189" w:lineRule="exact"/>
        <w:rPr>
          <w:sz w:val="20"/>
          <w:szCs w:val="20"/>
          <w:color w:val="auto"/>
        </w:rPr>
      </w:pPr>
    </w:p>
    <w:p>
      <w:pPr>
        <w:ind w:right="100" w:firstLine="509"/>
        <w:spacing w:after="0" w:line="312" w:lineRule="auto"/>
        <w:rPr>
          <w:sz w:val="20"/>
          <w:szCs w:val="20"/>
          <w:color w:val="auto"/>
        </w:rPr>
      </w:pPr>
      <w:r>
        <w:rPr>
          <w:rFonts w:ascii="Times New Roman" w:cs="Times New Roman" w:eastAsia="Times New Roman" w:hAnsi="Times New Roman"/>
          <w:sz w:val="17"/>
          <w:szCs w:val="17"/>
          <w:color w:val="auto"/>
        </w:rPr>
        <w:t>WHEREAS, the Holders of Allowed Secured Debt Claims (including Blocked Holders) will, in the aggregate, receive on, or as soon as reasonably practicable after, the Plan Effective Date 85,868,037 shares of NCM Inc. common stock pursuant to the transactions described in clauses (A)-(D)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842010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9" w:name="page120"/>
    <w:bookmarkEnd w:id="119"/>
    <w:p>
      <w:pPr>
        <w:spacing w:after="0" w:line="194"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WHEREAS, immediately prior to the completion of the transactions contemplated by the Plan and set forth in the Restructuring Transactions Memorandum, the total shares of NCM Inc. common stock outstanding will be 103,296,201 as of the Plan Effective Date; and</w:t>
      </w:r>
    </w:p>
    <w:p>
      <w:pPr>
        <w:spacing w:after="0" w:line="162"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WHEREAS, upon the completion of the transactions contemplated by the Plan and set forth in the Restructuring Transactions Memorandum, the total shares outstanding of NCM Inc. common stock will be 96,779,983, with a total of 83,420,199 of such common stock held by Holders of Allowed Secured Debt Claims.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Additional Recitals from Amendment No. 6:</w:t>
      </w:r>
    </w:p>
    <w:p>
      <w:pPr>
        <w:spacing w:after="0" w:line="221"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color w:val="auto"/>
        </w:rPr>
        <w:t>WHEREAS, National CineMedia, Inc., a Delaware corporation (“</w:t>
      </w:r>
      <w:r>
        <w:rPr>
          <w:rFonts w:ascii="Times New Roman" w:cs="Times New Roman" w:eastAsia="Times New Roman" w:hAnsi="Times New Roman"/>
          <w:sz w:val="18"/>
          <w:szCs w:val="18"/>
          <w:b w:val="1"/>
          <w:bCs w:val="1"/>
          <w:color w:val="auto"/>
        </w:rPr>
        <w:t>NCM Inc.</w:t>
      </w:r>
      <w:r>
        <w:rPr>
          <w:rFonts w:ascii="Times New Roman" w:cs="Times New Roman" w:eastAsia="Times New Roman" w:hAnsi="Times New Roman"/>
          <w:sz w:val="18"/>
          <w:szCs w:val="18"/>
          <w:color w:val="auto"/>
        </w:rPr>
        <w:t>”), NCMI II, LLC, a Delaware limited liability company (“</w:t>
      </w:r>
      <w:r>
        <w:rPr>
          <w:rFonts w:ascii="Times New Roman" w:cs="Times New Roman" w:eastAsia="Times New Roman" w:hAnsi="Times New Roman"/>
          <w:sz w:val="18"/>
          <w:szCs w:val="18"/>
          <w:b w:val="1"/>
          <w:bCs w:val="1"/>
          <w:u w:val="single" w:color="auto"/>
          <w:color w:val="auto"/>
        </w:rPr>
        <w:t>NCMI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II</w:t>
      </w:r>
      <w:r>
        <w:rPr>
          <w:rFonts w:ascii="Times New Roman" w:cs="Times New Roman" w:eastAsia="Times New Roman" w:hAnsi="Times New Roman"/>
          <w:sz w:val="18"/>
          <w:szCs w:val="18"/>
          <w:color w:val="auto"/>
        </w:rPr>
        <w:t>”), and NCM Blocker Sub 2, LLC, a Delaware limited liability company (“</w:t>
      </w:r>
      <w:r>
        <w:rPr>
          <w:rFonts w:ascii="Times New Roman" w:cs="Times New Roman" w:eastAsia="Times New Roman" w:hAnsi="Times New Roman"/>
          <w:sz w:val="18"/>
          <w:szCs w:val="18"/>
          <w:b w:val="1"/>
          <w:bCs w:val="1"/>
          <w:u w:val="single" w:color="auto"/>
          <w:color w:val="auto"/>
        </w:rPr>
        <w:t>NCM Blocker</w:t>
      </w:r>
      <w:r>
        <w:rPr>
          <w:rFonts w:ascii="Times New Roman" w:cs="Times New Roman" w:eastAsia="Times New Roman" w:hAnsi="Times New Roman"/>
          <w:sz w:val="18"/>
          <w:szCs w:val="18"/>
          <w:color w:val="auto"/>
        </w:rPr>
        <w:t>”) are the current members of the Company.</w:t>
      </w:r>
    </w:p>
    <w:p>
      <w:pPr>
        <w:spacing w:after="0" w:line="1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parties hereto agree as follows:</w:t>
      </w:r>
    </w:p>
    <w:p>
      <w:pPr>
        <w:spacing w:after="0" w:line="32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17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color w:val="auto"/>
        </w:rPr>
        <w:t>. The following terms shall have the following meanings in this Agreement:</w:t>
      </w:r>
    </w:p>
    <w:p>
      <w:pPr>
        <w:spacing w:after="0" w:line="90" w:lineRule="exact"/>
        <w:rPr>
          <w:sz w:val="20"/>
          <w:szCs w:val="20"/>
          <w:color w:val="auto"/>
        </w:rPr>
      </w:pPr>
    </w:p>
    <w:p>
      <w:pPr>
        <w:ind w:firstLine="101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2023 Credit Facility</w:t>
      </w:r>
      <w:r>
        <w:rPr>
          <w:rFonts w:ascii="Times New Roman" w:cs="Times New Roman" w:eastAsia="Times New Roman" w:hAnsi="Times New Roman"/>
          <w:sz w:val="18"/>
          <w:szCs w:val="18"/>
          <w:color w:val="auto"/>
        </w:rPr>
        <w:t>” means the Loan, Security and Guarantee Agreement, dated as of August 7, 2023, by and among the Company, as a borrower, the other Obligors (as defined therein) party thereto from time to time, the financial institutions from time to time that are parties thereto as lenders and CIT Northbridge Credit LLC, a Delaware limited liability company, as agent for the Secured Parties (as defined therein), as amended, modified or supplemented from time to time and any extension, refunding, refinancing or replacement (in whole or in part) thereof.</w:t>
      </w:r>
    </w:p>
    <w:p>
      <w:pPr>
        <w:spacing w:after="0" w:line="41" w:lineRule="exact"/>
        <w:rPr>
          <w:sz w:val="20"/>
          <w:szCs w:val="20"/>
          <w:color w:val="auto"/>
        </w:rPr>
      </w:pPr>
    </w:p>
    <w:p>
      <w:pPr>
        <w:ind w:right="80" w:firstLine="101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Adjusted Capital Account Balance</w:t>
      </w:r>
      <w:r>
        <w:rPr>
          <w:rFonts w:ascii="Times New Roman" w:cs="Times New Roman" w:eastAsia="Times New Roman" w:hAnsi="Times New Roman"/>
          <w:sz w:val="18"/>
          <w:szCs w:val="18"/>
          <w:color w:val="auto"/>
        </w:rPr>
        <w:t>” means, with respect to any Member, the balance in such Member’s Capital Account after giving effect to the following adjustments: (a) debits to such Capital Account of the items described in Section l.704-1(b)(2)(ii)(d)(4-6) of the Treasury Regulations, and (b) credits to such Capital Account of such Member’s share of Partnership Minimum Gain or Partner Nonrecourse Debt Minimum Gain or of any amount which such Member would be required to restore under this Agreement or otherwise. The foregoing definition of Adjusted Capital Account Balance is intended to comply with the provisions of Section l.704-1(b)(2)(ii)(d) of the Treasury Regulations and shall be interpreted consistently therewith.</w:t>
      </w:r>
    </w:p>
    <w:p>
      <w:pPr>
        <w:spacing w:after="0" w:line="128" w:lineRule="exact"/>
        <w:rPr>
          <w:sz w:val="20"/>
          <w:szCs w:val="20"/>
          <w:color w:val="auto"/>
        </w:rPr>
      </w:pPr>
    </w:p>
    <w:p>
      <w:pPr>
        <w:ind w:right="100" w:firstLine="101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means with respect to any Person, any Person that directly or indirectly, through one or more intermediaries Controls, is Controlled by or is under common Control with such Person. Notwithstanding the foregoing, (i) no Member shall be deemed an Affiliate of the Company,</w:t>
      </w:r>
    </w:p>
    <w:p>
      <w:pPr>
        <w:spacing w:after="0" w:line="1" w:lineRule="exact"/>
        <w:rPr>
          <w:sz w:val="20"/>
          <w:szCs w:val="20"/>
          <w:color w:val="auto"/>
        </w:rPr>
      </w:pPr>
    </w:p>
    <w:p>
      <w:pPr>
        <w:ind w:right="20" w:firstLine="8"/>
        <w:spacing w:after="0" w:line="250" w:lineRule="auto"/>
        <w:tabs>
          <w:tab w:leader="none" w:pos="26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deemed an Affiliate of any Member, (iii) no stockholder of REG, or any of such stockholder’s Affiliates (other than REG and its Subsidiaries) shall be deemed an Affiliate of any Member or the Company, (iv) no stockholder of Marquee Holdings, or any of such stockholder’s Affiliates (other than Marquee Holdings and its Subsidiaries) shall be deemed an Affiliate of any Member or the Company, (v) no stockholder of Cinemark, or any of such stockholder’s Affiliates (other than Cinemark and its Subsidiaries) shall be deemed an Affiliate of any Member or the Company,</w:t>
      </w:r>
    </w:p>
    <w:p>
      <w:pPr>
        <w:spacing w:after="0" w:line="1" w:lineRule="exact"/>
        <w:rPr>
          <w:rFonts w:ascii="Times New Roman" w:cs="Times New Roman" w:eastAsia="Times New Roman" w:hAnsi="Times New Roman"/>
          <w:sz w:val="18"/>
          <w:szCs w:val="18"/>
          <w:color w:val="auto"/>
        </w:rPr>
      </w:pPr>
    </w:p>
    <w:p>
      <w:pPr>
        <w:ind w:right="420" w:firstLine="8"/>
        <w:spacing w:after="0" w:line="260" w:lineRule="auto"/>
        <w:tabs>
          <w:tab w:leader="none" w:pos="30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stockholder of NCM Inc. shall be deemed an Affiliate of NCM Inc., and (vii) NCM Inc. shall not be deemed an Affiliate of any stockholder of NCM Inc.</w:t>
      </w:r>
    </w:p>
    <w:p>
      <w:pPr>
        <w:spacing w:after="0" w:line="123" w:lineRule="exact"/>
        <w:rPr>
          <w:sz w:val="20"/>
          <w:szCs w:val="20"/>
          <w:color w:val="auto"/>
        </w:rPr>
      </w:pPr>
    </w:p>
    <w:p>
      <w:pPr>
        <w:ind w:right="600" w:firstLine="1018"/>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has the meaning set forth in the preamble of this Agreement, as the same may be amended, supplemented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modified from time to time.</w:t>
      </w:r>
    </w:p>
    <w:p>
      <w:pPr>
        <w:spacing w:after="0" w:line="10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AMC</w:t>
      </w:r>
      <w:r>
        <w:rPr>
          <w:rFonts w:ascii="Times New Roman" w:cs="Times New Roman" w:eastAsia="Times New Roman" w:hAnsi="Times New Roman"/>
          <w:sz w:val="18"/>
          <w:szCs w:val="18"/>
          <w:color w:val="auto"/>
        </w:rPr>
        <w:t>” has the meaning set forth in the Recitals of this Agreement or its successor.</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AMC Founding Member</w:t>
      </w:r>
      <w:r>
        <w:rPr>
          <w:rFonts w:ascii="Times New Roman" w:cs="Times New Roman" w:eastAsia="Times New Roman" w:hAnsi="Times New Roman"/>
          <w:sz w:val="18"/>
          <w:szCs w:val="18"/>
          <w:color w:val="auto"/>
        </w:rPr>
        <w:t>” has the meaning set forth in the Recitals of this Agreement.</w:t>
      </w:r>
    </w:p>
    <w:p>
      <w:pPr>
        <w:spacing w:after="0" w:line="171" w:lineRule="exact"/>
        <w:rPr>
          <w:sz w:val="20"/>
          <w:szCs w:val="20"/>
          <w:color w:val="auto"/>
        </w:rPr>
      </w:pPr>
    </w:p>
    <w:p>
      <w:pPr>
        <w:ind w:right="640" w:firstLine="101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Applicable Tax Rate</w:t>
      </w:r>
      <w:r>
        <w:rPr>
          <w:rFonts w:ascii="Times New Roman" w:cs="Times New Roman" w:eastAsia="Times New Roman" w:hAnsi="Times New Roman"/>
          <w:sz w:val="18"/>
          <w:szCs w:val="18"/>
          <w:color w:val="auto"/>
        </w:rPr>
        <w:t>” means (i) 40% or (ii) if, at the time of the relevant Permitted Tax Distribution (as defined in the 2023 Credit Facility), the highest combined federal, state and local marginal rate applicable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0" w:name="page121"/>
    <w:bookmarkEnd w:id="120"/>
    <w:p>
      <w:pPr>
        <w:spacing w:after="0" w:line="14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corporate taxpayers residing in New York City, New York, taking into account the deductibility of state and local income taxes for federal income tax purposes shall exceed 40%, such higher rate.</w:t>
      </w:r>
    </w:p>
    <w:p>
      <w:pPr>
        <w:spacing w:after="0" w:line="90" w:lineRule="exact"/>
        <w:rPr>
          <w:sz w:val="20"/>
          <w:szCs w:val="20"/>
          <w:color w:val="auto"/>
        </w:rPr>
      </w:pPr>
    </w:p>
    <w:p>
      <w:pPr>
        <w:ind w:firstLine="101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Available Cash</w:t>
      </w:r>
      <w:r>
        <w:rPr>
          <w:rFonts w:ascii="Times New Roman" w:cs="Times New Roman" w:eastAsia="Times New Roman" w:hAnsi="Times New Roman"/>
          <w:sz w:val="18"/>
          <w:szCs w:val="18"/>
          <w:color w:val="auto"/>
        </w:rPr>
        <w:t xml:space="preserve">” means for a particular period: (i) the Company’s earnings before interest, taxes, depreciation and amortization (as determined in accordance with GAAP);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non-cash items of deduction or loss (other than items related to barter transactions) subtracted in determining the Company’s earnings under clause (i);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interest income received by the Company to the extent such income is not otherwise included in determining the Company’s earnings under clause (i);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(iv) amounts received by the Company pursuant to the Loews Agreement or other similar agreements to the extent such amounts are not otherwise included in determining the Company’s earnings under clause (i);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(v) amounts received by the Company pursuant to the Common Unit Adjustment Agreement to the extent such amounts are not otherwise included in determining the Company’s earnings under clause (i);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(vi) amounts received by the Company pursuant to Section 3.5(c) to the extent such amounts are not otherwise included in determining the Company’s earnings under clause (i);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(vii) net proceeds (after expenses attributable to the sale) from the sale of Company assets to the extent such proceeds are not otherwise included in determining the Company’s earnings under clause (i);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(viii) for the second Fiscal Period of each Fiscal Year, the amount of any Distribution Increase attributable to the Distribution Year;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(ix) for the fourth Fiscal Period of each Fiscal Year, any amounts that the Company was not permitted to distribute to the Members for each of the immediately preceding three Fiscal Periods of such Fiscal Year as a result of the application of Section 10.2.4 of the 2023 Credit Facility (to the extent such amounts are not restricted under Section 10.2.4 of the 2023 Credit Facility as of the last day of the fourth Fiscal Period);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(x) non-cash items of income or gain (other than items related to barter transactions) added in determining the Company’s earnings under clause (i);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(xi) amounts paid by the Company pursuant to the Exhibitor Services Agreements, the Management Services Agreement or other similar agreements to the extent such amounts are not otherwise deducted in determining the Company’s earnings under clause (i);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(xii) amounts paid by the Company pursuant to the Common Unit Adjustment Agreement to the extent such amounts are not otherwise deducted in determining the Company’s earnings under clause (i);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(xiii) taxes paid by the Company;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(xiv) Capital Expenditures made by the Company;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(xv) for the second Fiscal Period of each Fiscal Year, the amount of any Distribution Decrease attributable to the Distribution Year;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(xvi) interest paid by the Company on Funded Indebtedness;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(xvii) mandatory principal payments made by the Company on Funded Indebtedness to the extent such principal payments are made from funds other than funds that were restricted pursuant to Section 10.2.4 of the 2023 Credit Facility;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(xviii) amounts (other than interest and principal payments) paid by the Company with respect to Funded Indebtedness to the extent such amounts are not otherwise deducted in determining the Company’s earnings under clause (i);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amounts borrowed under, and optional principal payments made on, the 2023 Credit Facility shall not be taken into account in determining Available Cash; (b) amounts received or paid by the Company pursuant to the terms of the Tax Receivable Agreement shall not be taken into account in determining Available Cash; and (c) for the Fiscal Period that includes the date of this Agreement, Available Cash shall be determined beginning on the day following the date of this Agreement through the last day of such Fiscal Period.</w:t>
      </w:r>
    </w:p>
    <w:p>
      <w:pPr>
        <w:spacing w:after="0" w:line="15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Beneficial Owner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(including, with correlative meanings, the terms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beneficially</w:t>
      </w:r>
    </w:p>
    <w:p>
      <w:pPr>
        <w:spacing w:after="0" w:line="63"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8"/>
          <w:szCs w:val="18"/>
          <w:b w:val="1"/>
          <w:bCs w:val="1"/>
          <w:color w:val="auto"/>
        </w:rPr>
        <w:t>owns</w:t>
      </w:r>
      <w:r>
        <w:rPr>
          <w:rFonts w:ascii="Times New Roman" w:cs="Times New Roman" w:eastAsia="Times New Roman" w:hAnsi="Times New Roman"/>
          <w:sz w:val="18"/>
          <w:szCs w:val="18"/>
          <w:color w:val="auto"/>
        </w:rPr>
        <w:t>”) has the meaning attributed to it in Rules 13d-3 and 13d-5 under the Exchange Act, whether or not applicable, except that a Person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have Beneficial Ownership of all Units that any such Person has the right to acquire, whether such right is exercisable immediately or only after the passage of time or is exercisable only upon the occurrence of a subsequent condition.</w:t>
      </w:r>
    </w:p>
    <w:p>
      <w:pPr>
        <w:spacing w:after="0" w:line="10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has the meaning set forth in Section 1.1 of the First Amended Agreement.</w:t>
      </w:r>
    </w:p>
    <w:p>
      <w:pPr>
        <w:spacing w:after="0" w:line="171" w:lineRule="exact"/>
        <w:rPr>
          <w:sz w:val="20"/>
          <w:szCs w:val="20"/>
          <w:color w:val="auto"/>
        </w:rPr>
      </w:pPr>
    </w:p>
    <w:p>
      <w:pPr>
        <w:ind w:right="140" w:firstLine="101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Budget</w:t>
      </w:r>
      <w:r>
        <w:rPr>
          <w:rFonts w:ascii="Times New Roman" w:cs="Times New Roman" w:eastAsia="Times New Roman" w:hAnsi="Times New Roman"/>
          <w:sz w:val="18"/>
          <w:szCs w:val="18"/>
          <w:color w:val="auto"/>
        </w:rPr>
        <w:t>” means an annual operating and capital budget of the Company, including, among other things, anticipated revenues, expenditures (capital and operating), and cash and capital requirements (including any additional capital contributions) of the Company for the following year.</w:t>
      </w:r>
    </w:p>
    <w:p>
      <w:pPr>
        <w:spacing w:after="0" w:line="101" w:lineRule="exact"/>
        <w:rPr>
          <w:sz w:val="20"/>
          <w:szCs w:val="20"/>
          <w:color w:val="auto"/>
        </w:rPr>
      </w:pPr>
    </w:p>
    <w:p>
      <w:pPr>
        <w:ind w:right="320" w:firstLine="101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a day other than a Saturday, Sunday, federal holiday or other day on which commercial banks in New York, New York are authorized or required by law to close.</w:t>
      </w:r>
    </w:p>
    <w:p>
      <w:pPr>
        <w:spacing w:after="0" w:line="10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Capital Account</w:t>
      </w:r>
      <w:r>
        <w:rPr>
          <w:rFonts w:ascii="Times New Roman" w:cs="Times New Roman" w:eastAsia="Times New Roman" w:hAnsi="Times New Roman"/>
          <w:sz w:val="18"/>
          <w:szCs w:val="18"/>
          <w:color w:val="auto"/>
        </w:rPr>
        <w:t>” has the meaning set forth in Section 6.3(a)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36" w:lineRule="exact"/>
        <w:rPr>
          <w:sz w:val="20"/>
          <w:szCs w:val="20"/>
          <w:color w:val="auto"/>
        </w:rPr>
      </w:pPr>
    </w:p>
    <w:p>
      <w:pPr>
        <w:ind w:right="60" w:firstLine="101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Capital Contribution</w:t>
      </w:r>
      <w:r>
        <w:rPr>
          <w:rFonts w:ascii="Times New Roman" w:cs="Times New Roman" w:eastAsia="Times New Roman" w:hAnsi="Times New Roman"/>
          <w:sz w:val="18"/>
          <w:szCs w:val="18"/>
          <w:color w:val="auto"/>
        </w:rPr>
        <w:t>” means the total amount of cash and the agreed fair market value (net of all liabilities secured by such assets that the Company is considered to assume or take subject to under Section 752 of the Code) of all other assets contributed to the Company by a Member.</w:t>
      </w:r>
    </w:p>
    <w:p>
      <w:pPr>
        <w:spacing w:after="0" w:line="101" w:lineRule="exact"/>
        <w:rPr>
          <w:sz w:val="20"/>
          <w:szCs w:val="20"/>
          <w:color w:val="auto"/>
        </w:rPr>
      </w:pPr>
    </w:p>
    <w:p>
      <w:pPr>
        <w:ind w:firstLine="101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Capital Expenditures</w:t>
      </w:r>
      <w:r>
        <w:rPr>
          <w:rFonts w:ascii="Times New Roman" w:cs="Times New Roman" w:eastAsia="Times New Roman" w:hAnsi="Times New Roman"/>
          <w:sz w:val="18"/>
          <w:szCs w:val="18"/>
          <w:color w:val="auto"/>
        </w:rPr>
        <w:t>” means all expenditures by the Company for the acquisition or leasing (pursuant to a capital lease) of fixed or capital assets or additions to equipment (including replacements, capitalized repairs and improvements) that the Company is required to capitalize for financial reporting purposes in accordance with GAAP.</w:t>
      </w:r>
    </w:p>
    <w:p>
      <w:pPr>
        <w:spacing w:after="0" w:line="117" w:lineRule="exact"/>
        <w:rPr>
          <w:sz w:val="20"/>
          <w:szCs w:val="20"/>
          <w:color w:val="auto"/>
        </w:rPr>
      </w:pPr>
    </w:p>
    <w:p>
      <w:pPr>
        <w:ind w:right="20" w:firstLine="101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Carrying Value</w:t>
      </w:r>
      <w:r>
        <w:rPr>
          <w:rFonts w:ascii="Times New Roman" w:cs="Times New Roman" w:eastAsia="Times New Roman" w:hAnsi="Times New Roman"/>
          <w:sz w:val="18"/>
          <w:szCs w:val="18"/>
          <w:color w:val="auto"/>
        </w:rPr>
        <w:t xml:space="preserve">” means, with respect to any asset of the Company, the asset’s adjusted basis for federal income tax purposes, except that the Carrying Values of all assets of the Company shall be adjusted to equal their respective fair market values, in accordance with the rules, events, and times, set forth in Treasury Regulations Section l.704-l(b)(2)(iv)(f) and otherwise provided for in the rules governing maintenance of Capital Accounts under Treasury Regulations, except as otherwise provided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adjustments shall be made only if the Manager reasonably determines that such adjustments are necessary or appropriate to reflect the relative economic interests of the Members. The Carrying Value of any asset of the Company distributed to any Member shall be adjusted immediately prior to such distribution to equal its fair market value and depreciation shall be calculated by reference to Carrying Value, instead of tax basis, once Carrying Value differs from tax basis. The Carrying Value of any asset contributed (or deemed contributed under Treasury Regulations Section l.704-1(b)(1)(iv)) by a Member to the Company will be the fair market value of the asset at the date of its contribution thereto.</w:t>
      </w:r>
    </w:p>
    <w:p>
      <w:pPr>
        <w:spacing w:after="0" w:line="134" w:lineRule="exact"/>
        <w:rPr>
          <w:sz w:val="20"/>
          <w:szCs w:val="20"/>
          <w:color w:val="auto"/>
        </w:rPr>
      </w:pPr>
    </w:p>
    <w:p>
      <w:pPr>
        <w:ind w:right="280" w:firstLine="101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Cash Equivalents</w:t>
      </w:r>
      <w:r>
        <w:rPr>
          <w:rFonts w:ascii="Times New Roman" w:cs="Times New Roman" w:eastAsia="Times New Roman" w:hAnsi="Times New Roman"/>
          <w:sz w:val="18"/>
          <w:szCs w:val="18"/>
          <w:color w:val="auto"/>
        </w:rPr>
        <w:t>” means any of the following denominated in U.S. Dollars: (i) marketable direct obligations issued or unconditionally guaranteed by the government of the United States or issued by any agency thereof and backed by the full faith and credit of the United States maturing</w:t>
      </w:r>
    </w:p>
    <w:p>
      <w:pPr>
        <w:spacing w:after="0" w:line="256" w:lineRule="auto"/>
        <w:rPr>
          <w:sz w:val="20"/>
          <w:szCs w:val="20"/>
          <w:color w:val="auto"/>
        </w:rPr>
      </w:pPr>
      <w:r>
        <w:rPr>
          <w:rFonts w:ascii="Times New Roman" w:cs="Times New Roman" w:eastAsia="Times New Roman" w:hAnsi="Times New Roman"/>
          <w:sz w:val="18"/>
          <w:szCs w:val="18"/>
          <w:color w:val="auto"/>
        </w:rPr>
        <w:t>within one year from the date of acquisition thereof; (ii) marketable direct obligations issued by any state of the United States or any political subdivision of any such state or any public instrumentality thereof maturing within one year from the date of acquisition thereof and, at the time of acquisition, having the highest rating obtainable from any of Standard &amp; Poor’s Corporation or any successor rating agency (“</w:t>
      </w:r>
      <w:r>
        <w:rPr>
          <w:rFonts w:ascii="Times New Roman" w:cs="Times New Roman" w:eastAsia="Times New Roman" w:hAnsi="Times New Roman"/>
          <w:sz w:val="18"/>
          <w:szCs w:val="18"/>
          <w:b w:val="1"/>
          <w:bCs w:val="1"/>
          <w:u w:val="single" w:color="auto"/>
          <w:color w:val="auto"/>
        </w:rPr>
        <w:t>S&amp;P</w:t>
      </w:r>
      <w:r>
        <w:rPr>
          <w:rFonts w:ascii="Times New Roman" w:cs="Times New Roman" w:eastAsia="Times New Roman" w:hAnsi="Times New Roman"/>
          <w:sz w:val="18"/>
          <w:szCs w:val="18"/>
          <w:color w:val="auto"/>
        </w:rPr>
        <w:t>”) or Moody’s Investors Service, Inc. or any successor rating agency (“</w:t>
      </w:r>
      <w:r>
        <w:rPr>
          <w:rFonts w:ascii="Times New Roman" w:cs="Times New Roman" w:eastAsia="Times New Roman" w:hAnsi="Times New Roman"/>
          <w:sz w:val="18"/>
          <w:szCs w:val="18"/>
          <w:b w:val="1"/>
          <w:bCs w:val="1"/>
          <w:u w:val="single" w:color="auto"/>
          <w:color w:val="auto"/>
        </w:rPr>
        <w:t>Moody’s</w:t>
      </w:r>
      <w:r>
        <w:rPr>
          <w:rFonts w:ascii="Times New Roman" w:cs="Times New Roman" w:eastAsia="Times New Roman" w:hAnsi="Times New Roman"/>
          <w:sz w:val="18"/>
          <w:szCs w:val="18"/>
          <w:color w:val="auto"/>
        </w:rPr>
        <w:t>”); (iii) commercial paper maturing not more than one year from the date of issuance thereof and, at the time of acquisition, having the highest rating obtainable from either S&amp;P or Moody’s; (iv) time deposits, certificates of deposit or bankers’ acceptances, maturing not more than one year from the date of issuance thereof, of any commercial bank or trust company having capital and surplus in excess of $500,000,000 and the commercial paper of the holding company of which has the highest rating obtainable from either S&amp;P or Moody’s; or (v) investments in money market funds complying with the risk limiting conditions of Rule 2a-7 or any successor rule of the Securities and Exchange Commission under the Investment Company Act of 1940, in each case provided in clauses (i), (ii), (iii) and (iv) above, maturing within one year from the date of acquisition.</w:t>
      </w:r>
    </w:p>
    <w:p>
      <w:pPr>
        <w:spacing w:after="0" w:line="12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Cash Settlement</w:t>
      </w:r>
      <w:r>
        <w:rPr>
          <w:rFonts w:ascii="Times New Roman" w:cs="Times New Roman" w:eastAsia="Times New Roman" w:hAnsi="Times New Roman"/>
          <w:sz w:val="18"/>
          <w:szCs w:val="18"/>
          <w:color w:val="auto"/>
        </w:rPr>
        <w:t>” means immediately available funds in an amount equal to the Redeemed Units Equivalent.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Certificate</w:t>
      </w:r>
      <w:r>
        <w:rPr>
          <w:rFonts w:ascii="Times New Roman" w:cs="Times New Roman" w:eastAsia="Times New Roman" w:hAnsi="Times New Roman"/>
          <w:sz w:val="18"/>
          <w:szCs w:val="18"/>
          <w:color w:val="auto"/>
        </w:rPr>
        <w:t>” has the meaning set forth in Section 2.1(a) of this Agreement.</w:t>
      </w:r>
    </w:p>
    <w:p>
      <w:pPr>
        <w:spacing w:after="0" w:line="171" w:lineRule="exact"/>
        <w:rPr>
          <w:sz w:val="20"/>
          <w:szCs w:val="20"/>
          <w:color w:val="auto"/>
        </w:rPr>
      </w:pPr>
    </w:p>
    <w:p>
      <w:pPr>
        <w:ind w:right="20" w:firstLine="101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Change of Control</w:t>
      </w:r>
      <w:r>
        <w:rPr>
          <w:rFonts w:ascii="Times New Roman" w:cs="Times New Roman" w:eastAsia="Times New Roman" w:hAnsi="Times New Roman"/>
          <w:sz w:val="18"/>
          <w:szCs w:val="18"/>
          <w:color w:val="auto"/>
        </w:rPr>
        <w:t>” with respect to any Person that is not an individual, means (i) any merger or consolidation with or into any other entity or any other similar transaction, whether in a single transaction or series of related transactions, where (A) the members or stockholders of such Person immediately prior to such transaction in the aggregate cease to own more than 50% of the general voting power of the entity surviving or resulting from such transaction (or its stockholders or the Ultimate Parent thereof) or (B) any Person or Group becomes the beneficial owner of more than 50% of the general voting power of the entity surviving or resulting from such transaction (or its stockholders or the Ultimate Parent thereof), (ii) any transaction or series of related transactions in which in excess of 50% of such Person’s general voting power is Transferred to any other Person or Group or (iii) the sale or Transfer by such Person of all or substantially all of its assets.</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Cinemark</w:t>
      </w:r>
      <w:r>
        <w:rPr>
          <w:rFonts w:ascii="Times New Roman" w:cs="Times New Roman" w:eastAsia="Times New Roman" w:hAnsi="Times New Roman"/>
          <w:sz w:val="18"/>
          <w:szCs w:val="18"/>
          <w:color w:val="auto"/>
        </w:rPr>
        <w:t>” means Cinemark Holdings, Inc. or its successor or any Person that wholly-owns Cinemark, directly or indirectly, in the future.</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Cinemark Founding Member</w:t>
      </w:r>
      <w:r>
        <w:rPr>
          <w:rFonts w:ascii="Times New Roman" w:cs="Times New Roman" w:eastAsia="Times New Roman" w:hAnsi="Times New Roman"/>
          <w:sz w:val="18"/>
          <w:szCs w:val="18"/>
          <w:color w:val="auto"/>
        </w:rPr>
        <w:t>” has the meaning set forth in the Recitals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2" w:name="page123"/>
    <w:bookmarkEnd w:id="122"/>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Cinemark Media</w:t>
      </w:r>
      <w:r>
        <w:rPr>
          <w:rFonts w:ascii="Times New Roman" w:cs="Times New Roman" w:eastAsia="Times New Roman" w:hAnsi="Times New Roman"/>
          <w:sz w:val="18"/>
          <w:szCs w:val="18"/>
          <w:color w:val="auto"/>
        </w:rPr>
        <w:t>” has the meaning set forth in the Recitals of this Agreement or its successor.</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Cinemark USA</w:t>
      </w:r>
      <w:r>
        <w:rPr>
          <w:rFonts w:ascii="Times New Roman" w:cs="Times New Roman" w:eastAsia="Times New Roman" w:hAnsi="Times New Roman"/>
          <w:sz w:val="18"/>
          <w:szCs w:val="18"/>
          <w:color w:val="auto"/>
        </w:rPr>
        <w:t>” means Cinemark USA, Inc., a Texas corporation, or its successor.</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Class A Units</w:t>
      </w:r>
      <w:r>
        <w:rPr>
          <w:rFonts w:ascii="Times New Roman" w:cs="Times New Roman" w:eastAsia="Times New Roman" w:hAnsi="Times New Roman"/>
          <w:sz w:val="18"/>
          <w:szCs w:val="18"/>
          <w:color w:val="auto"/>
        </w:rPr>
        <w:t>” has the meaning set forth in Section 1.1 of the First Amended Agreement.</w:t>
      </w:r>
    </w:p>
    <w:p>
      <w:pPr>
        <w:spacing w:after="0" w:line="158" w:lineRule="exact"/>
        <w:rPr>
          <w:sz w:val="20"/>
          <w:szCs w:val="20"/>
          <w:color w:val="auto"/>
        </w:rPr>
      </w:pPr>
    </w:p>
    <w:p>
      <w:pPr>
        <w:ind w:right="40" w:firstLine="101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or any successor statute and the rules and regulations thereunder in effect from time to time. Any reference herein to a specific provision of the Code shall mean, where appropriate, the corresponding provision in any successor statute.</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Common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Unit having the rights described in Section 3.4(d) of this Agreement.</w:t>
      </w:r>
    </w:p>
    <w:p>
      <w:pPr>
        <w:spacing w:after="0" w:line="171" w:lineRule="exact"/>
        <w:rPr>
          <w:sz w:val="20"/>
          <w:szCs w:val="20"/>
          <w:color w:val="auto"/>
        </w:rPr>
      </w:pPr>
    </w:p>
    <w:p>
      <w:pPr>
        <w:ind w:right="160" w:firstLine="101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Common Unit Adjustment Agreement</w:t>
      </w:r>
      <w:r>
        <w:rPr>
          <w:rFonts w:ascii="Times New Roman" w:cs="Times New Roman" w:eastAsia="Times New Roman" w:hAnsi="Times New Roman"/>
          <w:sz w:val="18"/>
          <w:szCs w:val="18"/>
          <w:color w:val="auto"/>
        </w:rPr>
        <w:t>” means the Common Unit Adjustment Agreement, dated as of February 13, 2007, by and among the AMC Founding Member, the Regal Founding Member, Regal Cinemas, the Cinemark Founding Member, Cinemark USA, NCM Inc. and the Company, as the same may be amended, supplemented or otherwise modified from time to time.</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Common Unit Purchase</w:t>
      </w:r>
      <w:r>
        <w:rPr>
          <w:rFonts w:ascii="Times New Roman" w:cs="Times New Roman" w:eastAsia="Times New Roman" w:hAnsi="Times New Roman"/>
          <w:sz w:val="18"/>
          <w:szCs w:val="18"/>
          <w:color w:val="auto"/>
        </w:rPr>
        <w:t>” has the meaning set forth in Section 3.4(b) of this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has the meaning set forth in the preamble of this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Confidential Information</w:t>
      </w:r>
      <w:r>
        <w:rPr>
          <w:rFonts w:ascii="Times New Roman" w:cs="Times New Roman" w:eastAsia="Times New Roman" w:hAnsi="Times New Roman"/>
          <w:sz w:val="18"/>
          <w:szCs w:val="18"/>
          <w:color w:val="auto"/>
        </w:rPr>
        <w:t>” has the meaning set forth in Section 10.3(a) of this Agreement.</w:t>
      </w:r>
    </w:p>
    <w:p>
      <w:pPr>
        <w:spacing w:after="0" w:line="171" w:lineRule="exact"/>
        <w:rPr>
          <w:sz w:val="20"/>
          <w:szCs w:val="20"/>
          <w:color w:val="auto"/>
        </w:rPr>
      </w:pPr>
    </w:p>
    <w:p>
      <w:pPr>
        <w:ind w:right="400" w:firstLine="101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Contribution Agreement</w:t>
      </w:r>
      <w:r>
        <w:rPr>
          <w:rFonts w:ascii="Times New Roman" w:cs="Times New Roman" w:eastAsia="Times New Roman" w:hAnsi="Times New Roman"/>
          <w:sz w:val="18"/>
          <w:szCs w:val="18"/>
          <w:color w:val="auto"/>
        </w:rPr>
        <w:t>” has the meaning set forth in the Recitals of this Agreement, as the same may be amended, supplemented or otherwise modified from time to time.</w:t>
      </w:r>
    </w:p>
    <w:p>
      <w:pPr>
        <w:spacing w:after="0" w:line="101" w:lineRule="exact"/>
        <w:rPr>
          <w:sz w:val="20"/>
          <w:szCs w:val="20"/>
          <w:color w:val="auto"/>
        </w:rPr>
      </w:pPr>
    </w:p>
    <w:p>
      <w:pPr>
        <w:ind w:right="260" w:firstLine="101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Contribution and Unit Holders Agreement</w:t>
      </w:r>
      <w:r>
        <w:rPr>
          <w:rFonts w:ascii="Times New Roman" w:cs="Times New Roman" w:eastAsia="Times New Roman" w:hAnsi="Times New Roman"/>
          <w:sz w:val="18"/>
          <w:szCs w:val="18"/>
          <w:color w:val="auto"/>
        </w:rPr>
        <w:t>” means the Contribution and Unit Holders Agreement, dated as of March 29, 2005, by and among the Company, RCM and AMC, as the successor to NCN, as the same may be amended, supplemented or otherwise modified from time to time.</w:t>
      </w:r>
    </w:p>
    <w:p>
      <w:pPr>
        <w:spacing w:after="0" w:line="10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Contribution Notice</w:t>
      </w:r>
      <w:r>
        <w:rPr>
          <w:rFonts w:ascii="Times New Roman" w:cs="Times New Roman" w:eastAsia="Times New Roman" w:hAnsi="Times New Roman"/>
          <w:sz w:val="18"/>
          <w:szCs w:val="18"/>
          <w:color w:val="auto"/>
        </w:rPr>
        <w:t>” has the meaning set forth in Section 9.1(b) of this Agreement.</w:t>
      </w:r>
    </w:p>
    <w:p>
      <w:pPr>
        <w:spacing w:after="0" w:line="171" w:lineRule="exact"/>
        <w:rPr>
          <w:sz w:val="20"/>
          <w:szCs w:val="20"/>
          <w:color w:val="auto"/>
        </w:rPr>
      </w:pPr>
    </w:p>
    <w:p>
      <w:pPr>
        <w:jc w:val="both"/>
        <w:ind w:right="220" w:firstLine="101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b w:val="1"/>
          <w:b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under common Control with</w:t>
      </w:r>
      <w:r>
        <w:rPr>
          <w:rFonts w:ascii="Times New Roman" w:cs="Times New Roman" w:eastAsia="Times New Roman" w:hAnsi="Times New Roman"/>
          <w:sz w:val="18"/>
          <w:szCs w:val="18"/>
          <w:color w:val="auto"/>
        </w:rPr>
        <w:t>”), with respect to the relationship between or among two or more Persons, means the possession, directly or indirectly, of the power to direct or cause the direction of the affairs or management of a Person, whether through the ownership of voting Equity Interests, as trustee or executor, by contract or otherwise.</w:t>
      </w:r>
    </w:p>
    <w:p>
      <w:pPr>
        <w:spacing w:after="0" w:line="117" w:lineRule="exact"/>
        <w:rPr>
          <w:sz w:val="20"/>
          <w:szCs w:val="20"/>
          <w:color w:val="auto"/>
        </w:rPr>
      </w:pPr>
    </w:p>
    <w:p>
      <w:pPr>
        <w:ind w:firstLine="101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CPI</w:t>
      </w:r>
      <w:r>
        <w:rPr>
          <w:rFonts w:ascii="Times New Roman" w:cs="Times New Roman" w:eastAsia="Times New Roman" w:hAnsi="Times New Roman"/>
          <w:sz w:val="18"/>
          <w:szCs w:val="18"/>
          <w:color w:val="auto"/>
        </w:rPr>
        <w:t>” means the monthly index of the U.S. City Average Consumer Price Index for Urban Wage Earners and Clerical Workers (All Items; 1982-84 equals 100) published by the United States Department of Labor, Bureau of Labor Statistics or any successor agency that shall issue such index. In the event that the CPI is discontinued for any reason, the Manager shall use such other index, or comparable statistics, on the cost of living for urban areas of the United States, as shall be computed and published by any agency of the United States or, if no such index is published by any agency of the United States, by a responsible financial periodical of recognized authority.</w:t>
      </w:r>
    </w:p>
    <w:p>
      <w:pPr>
        <w:spacing w:after="0" w:line="112" w:lineRule="exact"/>
        <w:rPr>
          <w:sz w:val="20"/>
          <w:szCs w:val="20"/>
          <w:color w:val="auto"/>
        </w:rPr>
      </w:pPr>
    </w:p>
    <w:p>
      <w:pPr>
        <w:ind w:right="260" w:firstLine="101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CPI Adjustment</w:t>
      </w:r>
      <w:r>
        <w:rPr>
          <w:rFonts w:ascii="Times New Roman" w:cs="Times New Roman" w:eastAsia="Times New Roman" w:hAnsi="Times New Roman"/>
          <w:sz w:val="18"/>
          <w:szCs w:val="18"/>
          <w:color w:val="auto"/>
        </w:rPr>
        <w:t>” means the quotient of (i) the CPI for the month of January in the calendar year for which the CPI Adjustment is being determined, divided by (ii) the CPI for January of 2007.</w:t>
      </w:r>
    </w:p>
    <w:p>
      <w:pPr>
        <w:spacing w:after="0" w:line="10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DCN</w:t>
      </w:r>
      <w:r>
        <w:rPr>
          <w:rFonts w:ascii="Times New Roman" w:cs="Times New Roman" w:eastAsia="Times New Roman" w:hAnsi="Times New Roman"/>
          <w:sz w:val="18"/>
          <w:szCs w:val="18"/>
          <w:color w:val="auto"/>
        </w:rPr>
        <w:t>” has the meaning set forth in Section 2.6(a) of this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Deferring Member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set forth in Section 5.4(a)(i)(A) of this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Deferred Distribution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set forth in Section 5.4(a)(i)(A) of this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Director Designation Agreement</w:t>
      </w:r>
      <w:r>
        <w:rPr>
          <w:rFonts w:ascii="Times New Roman" w:cs="Times New Roman" w:eastAsia="Times New Roman" w:hAnsi="Times New Roman"/>
          <w:sz w:val="18"/>
          <w:szCs w:val="18"/>
          <w:color w:val="auto"/>
        </w:rPr>
        <w:t>” means the Director Designation Agreement, dated as of February 13, 2007, by and among NCM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all of the Founding Members, as the same may be amended, supplemented or otherwise modified from time to time.</w:t>
      </w:r>
    </w:p>
    <w:p>
      <w:pPr>
        <w:spacing w:after="0" w:line="149" w:lineRule="exact"/>
        <w:rPr>
          <w:sz w:val="20"/>
          <w:szCs w:val="20"/>
          <w:color w:val="auto"/>
        </w:rPr>
      </w:pPr>
    </w:p>
    <w:p>
      <w:pPr>
        <w:ind w:right="360" w:firstLine="101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Distribution Amount</w:t>
      </w:r>
      <w:r>
        <w:rPr>
          <w:rFonts w:ascii="Times New Roman" w:cs="Times New Roman" w:eastAsia="Times New Roman" w:hAnsi="Times New Roman"/>
          <w:sz w:val="18"/>
          <w:szCs w:val="18"/>
          <w:color w:val="auto"/>
        </w:rPr>
        <w:t>” means, with respect to a Fiscal Period, the lesser of (i) the Company’s Available Cash as of the last day of such Fiscal Period (reduced by any amounts distributed by the Company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3" w:name="page124"/>
    <w:bookmarkEnd w:id="123"/>
    <w:p>
      <w:pPr>
        <w:spacing w:after="0" w:line="14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NCM Inc. under Section 3.5(c)(ii)), or (ii) the amount that may be distributed with respect to such Fiscal Period under Section 10.2.4 of the 2023 Credit Facility.</w:t>
      </w:r>
    </w:p>
    <w:p>
      <w:pPr>
        <w:spacing w:after="0" w:line="10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Distribution Decrease</w:t>
      </w:r>
      <w:r>
        <w:rPr>
          <w:rFonts w:ascii="Times New Roman" w:cs="Times New Roman" w:eastAsia="Times New Roman" w:hAnsi="Times New Roman"/>
          <w:sz w:val="18"/>
          <w:szCs w:val="18"/>
          <w:color w:val="auto"/>
        </w:rPr>
        <w:t>” has the meaning set forth in Section 5.4(a)(iii) of this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Distribution Increase</w:t>
      </w:r>
      <w:r>
        <w:rPr>
          <w:rFonts w:ascii="Times New Roman" w:cs="Times New Roman" w:eastAsia="Times New Roman" w:hAnsi="Times New Roman"/>
          <w:sz w:val="18"/>
          <w:szCs w:val="18"/>
          <w:color w:val="auto"/>
        </w:rPr>
        <w:t>” has the meaning set forth in Section 5.4(a)(iii) of this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Distribution Year</w:t>
      </w:r>
      <w:r>
        <w:rPr>
          <w:rFonts w:ascii="Times New Roman" w:cs="Times New Roman" w:eastAsia="Times New Roman" w:hAnsi="Times New Roman"/>
          <w:sz w:val="18"/>
          <w:szCs w:val="18"/>
          <w:color w:val="auto"/>
        </w:rPr>
        <w:t>” has the meaning set forth in Section 5.4(a)(iii) of this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Equity Compensation Notice</w:t>
      </w:r>
      <w:r>
        <w:rPr>
          <w:rFonts w:ascii="Times New Roman" w:cs="Times New Roman" w:eastAsia="Times New Roman" w:hAnsi="Times New Roman"/>
          <w:sz w:val="18"/>
          <w:szCs w:val="18"/>
          <w:color w:val="auto"/>
        </w:rPr>
        <w:t>” has the meaning set forth in Section 3.5(c)(i) of this Agreement.</w:t>
      </w:r>
    </w:p>
    <w:p>
      <w:pPr>
        <w:spacing w:after="0" w:line="171" w:lineRule="exact"/>
        <w:rPr>
          <w:sz w:val="20"/>
          <w:szCs w:val="20"/>
          <w:color w:val="auto"/>
        </w:rPr>
      </w:pPr>
    </w:p>
    <w:p>
      <w:pPr>
        <w:ind w:right="240" w:firstLine="101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Equity Incentive Plan</w:t>
      </w:r>
      <w:r>
        <w:rPr>
          <w:rFonts w:ascii="Times New Roman" w:cs="Times New Roman" w:eastAsia="Times New Roman" w:hAnsi="Times New Roman"/>
          <w:sz w:val="18"/>
          <w:szCs w:val="18"/>
          <w:color w:val="auto"/>
        </w:rPr>
        <w:t>” means the National CineMedia, Inc. 2007 Equity Incentive Plan, as the same may be amended, supplemented or otherwise modified from time to time.</w:t>
      </w:r>
    </w:p>
    <w:p>
      <w:pPr>
        <w:spacing w:after="0" w:line="101"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Equity Interests</w:t>
      </w:r>
      <w:r>
        <w:rPr>
          <w:rFonts w:ascii="Times New Roman" w:cs="Times New Roman" w:eastAsia="Times New Roman" w:hAnsi="Times New Roman"/>
          <w:sz w:val="18"/>
          <w:szCs w:val="18"/>
          <w:color w:val="auto"/>
        </w:rPr>
        <w:t xml:space="preserve">” means, with respect to any Person, any and all shares, interests, participations or other equivalents (however designated, whether voting or non-voting) of capital stock, partnership interests (whether general or limited), limited liability company interests or equivalent ownership interests in or issued by, or interests, participations or other equivalents to share in the revenues or earnings of (except as provided in any service agreement that includes a revenue sharing component entered into in the ordinary course of business), such Person or securities convertible into, or exchangeable or exercisable for, such shares, interests, participations or other equivalents and options, warrants or other rights to acquire such shares, interests, participations or other equivalents;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discounts and rebates granted in the ordinary course of business shall not in any event constitute an Equity Interest.</w:t>
      </w:r>
    </w:p>
    <w:p>
      <w:pPr>
        <w:spacing w:after="0" w:line="129" w:lineRule="exact"/>
        <w:rPr>
          <w:sz w:val="20"/>
          <w:szCs w:val="20"/>
          <w:color w:val="auto"/>
        </w:rPr>
      </w:pPr>
    </w:p>
    <w:p>
      <w:pPr>
        <w:ind w:right="100" w:firstLine="101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and the rules and regulations promulgated thereunder, as the same may be amended from time to time.</w:t>
      </w:r>
    </w:p>
    <w:p>
      <w:pPr>
        <w:spacing w:after="0" w:line="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ESA Party</w:t>
      </w:r>
      <w:r>
        <w:rPr>
          <w:rFonts w:ascii="Times New Roman" w:cs="Times New Roman" w:eastAsia="Times New Roman" w:hAnsi="Times New Roman"/>
          <w:sz w:val="18"/>
          <w:szCs w:val="18"/>
          <w:color w:val="auto"/>
        </w:rPr>
        <w:t>” means (i) AMC in the case of AMC, (ii) Cinemark USA in the case of Cinemark Media, and (iii) Regal Cinemas in the case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Regal.</w:t>
      </w:r>
    </w:p>
    <w:p>
      <w:pPr>
        <w:spacing w:after="0" w:line="14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ESA-Related Tax Benefit Payment</w:t>
      </w:r>
      <w:r>
        <w:rPr>
          <w:rFonts w:ascii="Times New Roman" w:cs="Times New Roman" w:eastAsia="Times New Roman" w:hAnsi="Times New Roman"/>
          <w:sz w:val="18"/>
          <w:szCs w:val="18"/>
          <w:color w:val="auto"/>
        </w:rPr>
        <w:t>” has the meaning set forth in Section 1.01 of the Tax Receivable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ESA-Related Payment</w:t>
      </w:r>
      <w:r>
        <w:rPr>
          <w:rFonts w:ascii="Times New Roman" w:cs="Times New Roman" w:eastAsia="Times New Roman" w:hAnsi="Times New Roman"/>
          <w:sz w:val="18"/>
          <w:szCs w:val="18"/>
          <w:color w:val="auto"/>
        </w:rPr>
        <w:t>” has the meaning set forth in Section 1.01 of the Tax Receivable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Excess Nonrecourse Liability</w:t>
      </w:r>
      <w:r>
        <w:rPr>
          <w:rFonts w:ascii="Times New Roman" w:cs="Times New Roman" w:eastAsia="Times New Roman" w:hAnsi="Times New Roman"/>
          <w:sz w:val="18"/>
          <w:szCs w:val="18"/>
          <w:color w:val="auto"/>
        </w:rPr>
        <w:t>” has the meaning set forth in Section 1.752-3(a)(3) of the Treasury Regulations.</w:t>
      </w:r>
    </w:p>
    <w:p>
      <w:pPr>
        <w:spacing w:after="0" w:line="171" w:lineRule="exact"/>
        <w:rPr>
          <w:sz w:val="20"/>
          <w:szCs w:val="20"/>
          <w:color w:val="auto"/>
        </w:rPr>
      </w:pPr>
    </w:p>
    <w:p>
      <w:pPr>
        <w:ind w:right="120" w:firstLine="101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and Exchange Act of 1934, as amended, and the rules and regulations promulgated thereunder, as the same may be amended from time to time.</w:t>
      </w:r>
    </w:p>
    <w:p>
      <w:pPr>
        <w:spacing w:after="0" w:line="101" w:lineRule="exact"/>
        <w:rPr>
          <w:sz w:val="20"/>
          <w:szCs w:val="20"/>
          <w:color w:val="auto"/>
        </w:rPr>
      </w:pPr>
    </w:p>
    <w:p>
      <w:pPr>
        <w:ind w:right="60" w:firstLine="101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Exhibitor Services Agreement</w:t>
      </w:r>
      <w:r>
        <w:rPr>
          <w:rFonts w:ascii="Times New Roman" w:cs="Times New Roman" w:eastAsia="Times New Roman" w:hAnsi="Times New Roman"/>
          <w:sz w:val="18"/>
          <w:szCs w:val="18"/>
          <w:color w:val="auto"/>
        </w:rPr>
        <w:t>” means each separate Exhibitor Services Agreement, dated as of February 13, 2007, (i) by and between the Company and AMC, (ii) by and between the Company and Regal Cinemas, and (iii) by and between the Company and Cinemark USA, all as may be amended, supplemented or otherwise modified from time to time.</w:t>
      </w:r>
    </w:p>
    <w:p>
      <w:pPr>
        <w:spacing w:after="0" w:line="117" w:lineRule="exact"/>
        <w:rPr>
          <w:sz w:val="20"/>
          <w:szCs w:val="20"/>
          <w:color w:val="auto"/>
        </w:rPr>
      </w:pPr>
    </w:p>
    <w:p>
      <w:pPr>
        <w:ind w:right="320" w:firstLine="101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Final Circuit Share Payments</w:t>
      </w:r>
      <w:r>
        <w:rPr>
          <w:rFonts w:ascii="Times New Roman" w:cs="Times New Roman" w:eastAsia="Times New Roman" w:hAnsi="Times New Roman"/>
          <w:sz w:val="18"/>
          <w:szCs w:val="18"/>
          <w:color w:val="auto"/>
        </w:rPr>
        <w:t>” means the payments to be made by the Company pursuant to the terms of that certain letter agreement, dated as of February 13, 2007, by and among the Company, AMC, Cinemark USA and Regal Cinemas.</w:t>
      </w:r>
    </w:p>
    <w:p>
      <w:pPr>
        <w:spacing w:after="0" w:line="10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First Amended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set forth in the Recitals of this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First Amendment</w:t>
      </w:r>
      <w:r>
        <w:rPr>
          <w:rFonts w:ascii="Times New Roman" w:cs="Times New Roman" w:eastAsia="Times New Roman" w:hAnsi="Times New Roman"/>
          <w:sz w:val="18"/>
          <w:szCs w:val="18"/>
          <w:color w:val="auto"/>
        </w:rPr>
        <w:t>” has the meaning set forth in the Recitals of this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Fiscal Month</w:t>
      </w:r>
      <w:r>
        <w:rPr>
          <w:rFonts w:ascii="Times New Roman" w:cs="Times New Roman" w:eastAsia="Times New Roman" w:hAnsi="Times New Roman"/>
          <w:sz w:val="18"/>
          <w:szCs w:val="18"/>
          <w:color w:val="auto"/>
        </w:rPr>
        <w:t>” means each fiscal month within the Company’s Fiscal Year, as determined by the Manager.</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Fiscal Period</w:t>
      </w:r>
      <w:r>
        <w:rPr>
          <w:rFonts w:ascii="Times New Roman" w:cs="Times New Roman" w:eastAsia="Times New Roman" w:hAnsi="Times New Roman"/>
          <w:sz w:val="18"/>
          <w:szCs w:val="18"/>
          <w:color w:val="auto"/>
        </w:rPr>
        <w:t>” means each fiscal quarter which shall consist of three Fiscal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4" w:name="page125"/>
    <w:bookmarkEnd w:id="124"/>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Fiscal Year</w:t>
      </w:r>
      <w:r>
        <w:rPr>
          <w:rFonts w:ascii="Times New Roman" w:cs="Times New Roman" w:eastAsia="Times New Roman" w:hAnsi="Times New Roman"/>
          <w:sz w:val="18"/>
          <w:szCs w:val="18"/>
          <w:color w:val="auto"/>
        </w:rPr>
        <w:t>” means the fiscal year of the Company ending on the first Thursday after December 25th of each year.</w:t>
      </w:r>
    </w:p>
    <w:p>
      <w:pPr>
        <w:spacing w:after="0" w:line="171" w:lineRule="exact"/>
        <w:rPr>
          <w:sz w:val="20"/>
          <w:szCs w:val="20"/>
          <w:color w:val="auto"/>
        </w:rPr>
      </w:pPr>
    </w:p>
    <w:p>
      <w:pPr>
        <w:ind w:firstLine="101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Founding Member(s)</w:t>
      </w:r>
      <w:r>
        <w:rPr>
          <w:rFonts w:ascii="Times New Roman" w:cs="Times New Roman" w:eastAsia="Times New Roman" w:hAnsi="Times New Roman"/>
          <w:sz w:val="18"/>
          <w:szCs w:val="18"/>
          <w:color w:val="auto"/>
        </w:rPr>
        <w:t xml:space="preserve">” means each of the AMC Founding Member, the Cinemark Founding Member and the Regal Founding Member, and which shall include each of such Founding Member’s Permitted Transferees so long as Section 8.2(c) is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Founding Member and all of its Permitted Transferees cease to own Common Units (e.g., as a result of the surrender of Common Units pursuant to the Common Unit Adjustment Agreement or the redemption of Common Units pursuant to the exercise of the Redemption Right) the Founding Member and its Permitted Transferees shall no longer be treated as a Founding Member under this Agreement notwithstanding that the Founding Member or its Permitted Transferees may subsequently acquire additional Common Units in the Company (e.g., pursuant to the Common Unit Adjustment Agreement, in which event the Founding Member or its Permitted Transferee will be treated as a Member under this Agreement).</w:t>
      </w:r>
    </w:p>
    <w:p>
      <w:pPr>
        <w:spacing w:after="0" w:line="115" w:lineRule="exact"/>
        <w:rPr>
          <w:sz w:val="20"/>
          <w:szCs w:val="20"/>
          <w:color w:val="auto"/>
        </w:rPr>
      </w:pPr>
    </w:p>
    <w:p>
      <w:pPr>
        <w:ind w:right="100" w:firstLine="101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Founding Member Approval</w:t>
      </w:r>
      <w:r>
        <w:rPr>
          <w:rFonts w:ascii="Times New Roman" w:cs="Times New Roman" w:eastAsia="Times New Roman" w:hAnsi="Times New Roman"/>
          <w:sz w:val="18"/>
          <w:szCs w:val="18"/>
          <w:color w:val="auto"/>
        </w:rPr>
        <w:t xml:space="preserve">” means the approval of each Founding Member (in each Founding Member’s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Founding Member shall not be entitled to participate in giving Founding Member Approval as provided in Section 4.3(c) and if all Founding Members are no longer entitled to participate in giving Founding Member Approval then the Founding Member Approval shall not be required for any action that would otherwise require such Founding Member Approval.</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Founding Member Approval Rights</w:t>
      </w:r>
      <w:r>
        <w:rPr>
          <w:rFonts w:ascii="Times New Roman" w:cs="Times New Roman" w:eastAsia="Times New Roman" w:hAnsi="Times New Roman"/>
          <w:sz w:val="18"/>
          <w:szCs w:val="18"/>
          <w:color w:val="auto"/>
        </w:rPr>
        <w:t>” has the meaning set forth in Section 4.3(a) of this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Founding Member Representation Letter</w:t>
      </w:r>
      <w:r>
        <w:rPr>
          <w:rFonts w:ascii="Times New Roman" w:cs="Times New Roman" w:eastAsia="Times New Roman" w:hAnsi="Times New Roman"/>
          <w:sz w:val="18"/>
          <w:szCs w:val="18"/>
          <w:color w:val="auto"/>
        </w:rPr>
        <w:t>” has the meaning set forth in Section 4.1(i) of the Contribution and Unit Holders Agreement.</w:t>
      </w:r>
    </w:p>
    <w:p>
      <w:pPr>
        <w:spacing w:after="0" w:line="171" w:lineRule="exact"/>
        <w:rPr>
          <w:sz w:val="20"/>
          <w:szCs w:val="20"/>
          <w:color w:val="auto"/>
        </w:rPr>
      </w:pPr>
    </w:p>
    <w:p>
      <w:pPr>
        <w:ind w:right="120" w:firstLine="101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Funded Indebtedness</w:t>
      </w:r>
      <w:r>
        <w:rPr>
          <w:rFonts w:ascii="Times New Roman" w:cs="Times New Roman" w:eastAsia="Times New Roman" w:hAnsi="Times New Roman"/>
          <w:sz w:val="18"/>
          <w:szCs w:val="18"/>
          <w:color w:val="auto"/>
        </w:rPr>
        <w:t xml:space="preserve">” means the sum of (i) Indebtedness of the Company under the 2023 Credit Facility, or any refinancing thereof,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additional Indebtedness, or any refinancing thereof, of the Company as permitted under the terms of the 2023 Credit Facility.</w:t>
      </w:r>
    </w:p>
    <w:p>
      <w:pPr>
        <w:spacing w:after="0" w:line="10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GAAP</w:t>
      </w:r>
      <w:r>
        <w:rPr>
          <w:rFonts w:ascii="Times New Roman" w:cs="Times New Roman" w:eastAsia="Times New Roman" w:hAnsi="Times New Roman"/>
          <w:sz w:val="18"/>
          <w:szCs w:val="18"/>
          <w:color w:val="auto"/>
        </w:rPr>
        <w:t>” means generally accepted accounting principles in the United States in effect as of the relevant date on which GAAP is to be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w:t>
      </w:r>
    </w:p>
    <w:p>
      <w:pPr>
        <w:spacing w:after="0" w:line="149" w:lineRule="exact"/>
        <w:rPr>
          <w:sz w:val="20"/>
          <w:szCs w:val="20"/>
          <w:color w:val="auto"/>
        </w:rPr>
      </w:pPr>
    </w:p>
    <w:p>
      <w:pPr>
        <w:ind w:right="440" w:firstLine="101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Governmental Authority</w:t>
      </w:r>
      <w:r>
        <w:rPr>
          <w:rFonts w:ascii="Times New Roman" w:cs="Times New Roman" w:eastAsia="Times New Roman" w:hAnsi="Times New Roman"/>
          <w:sz w:val="18"/>
          <w:szCs w:val="18"/>
          <w:color w:val="auto"/>
        </w:rPr>
        <w:t>” means any nation or government, any state or other political subdivision thereof, and any entity exercising executive, legislative, judicial, regulatory or administrative functions of or pertaining to government.</w:t>
      </w:r>
    </w:p>
    <w:p>
      <w:pPr>
        <w:spacing w:after="0" w:line="10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Group</w:t>
      </w:r>
      <w:r>
        <w:rPr>
          <w:rFonts w:ascii="Times New Roman" w:cs="Times New Roman" w:eastAsia="Times New Roman" w:hAnsi="Times New Roman"/>
          <w:sz w:val="18"/>
          <w:szCs w:val="18"/>
          <w:color w:val="auto"/>
        </w:rPr>
        <w:t>” has the meaning set forth in Section 13(d)(3) and Rule 13d-5 of the Exchange Act.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Indebtedness</w:t>
      </w:r>
      <w:r>
        <w:rPr>
          <w:rFonts w:ascii="Times New Roman" w:cs="Times New Roman" w:eastAsia="Times New Roman" w:hAnsi="Times New Roman"/>
          <w:sz w:val="18"/>
          <w:szCs w:val="18"/>
          <w:color w:val="auto"/>
        </w:rPr>
        <w:t>” means, with respect to any Person, at any date, without duplication, (i) all obligations of such Person for borrowed money,</w:t>
      </w:r>
    </w:p>
    <w:p>
      <w:pPr>
        <w:spacing w:after="0" w:line="31" w:lineRule="exact"/>
        <w:rPr>
          <w:sz w:val="20"/>
          <w:szCs w:val="20"/>
          <w:color w:val="auto"/>
        </w:rPr>
      </w:pPr>
    </w:p>
    <w:p>
      <w:pPr>
        <w:ind w:right="20" w:firstLine="8"/>
        <w:spacing w:after="0" w:line="252" w:lineRule="auto"/>
        <w:tabs>
          <w:tab w:leader="none" w:pos="26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evidenced by bonds, debentures, notes or other similar instruments issued by such Person, (iii) all obligations of such Person to pay the deferred purchase price for property or services, except trade accounts payable arising in the ordinary course of business and consistent with past practice, (iv) all reimbursement obligations of such Person in respect of letters of credit or other similar instruments, (v) all Indebtedness of others secured by any lien, encumbrance or mortgage on any asset of such Person, and (vi) all Indebtedness of others guaranteed (whether by virtue of partnership arrangements, by agreement to keep well, to purchase assets, goods, securities or services, to take-or-pay, or to maintain a minimum net worth, financial ratio or similar requirements, or otherwise) by such Person.</w:t>
      </w:r>
    </w:p>
    <w:p>
      <w:pPr>
        <w:spacing w:after="0" w:line="13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Indemnitee</w:t>
      </w:r>
      <w:r>
        <w:rPr>
          <w:rFonts w:ascii="Times New Roman" w:cs="Times New Roman" w:eastAsia="Times New Roman" w:hAnsi="Times New Roman"/>
          <w:sz w:val="18"/>
          <w:szCs w:val="18"/>
          <w:color w:val="auto"/>
        </w:rPr>
        <w:t>” has the meaning set forth in Section 4.14(a) of this Agreement.</w:t>
      </w:r>
    </w:p>
    <w:p>
      <w:pPr>
        <w:spacing w:after="0" w:line="171" w:lineRule="exact"/>
        <w:rPr>
          <w:sz w:val="20"/>
          <w:szCs w:val="20"/>
          <w:color w:val="auto"/>
        </w:rPr>
      </w:pPr>
    </w:p>
    <w:p>
      <w:pPr>
        <w:ind w:right="180" w:firstLine="101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Independent Directors</w:t>
      </w:r>
      <w:r>
        <w:rPr>
          <w:rFonts w:ascii="Times New Roman" w:cs="Times New Roman" w:eastAsia="Times New Roman" w:hAnsi="Times New Roman"/>
          <w:sz w:val="18"/>
          <w:szCs w:val="18"/>
          <w:color w:val="auto"/>
        </w:rPr>
        <w:t>” means any director of NCM Inc. that, if the NCM Inc. common stock is traded on the NASDAQ Stock Market, satisfies the definition of an “independent director” set forth in the applicable rules in the Marketplace Rules of the NASDAQ Stock Market, Inc., as such rules may be amended from time to time, or, if the NCM Inc. common stock is then traded on a different exchange, such term shall mean any director of NCM Inc. that satisfies the definition of independent director according to the rules of such exchange.</w:t>
      </w:r>
    </w:p>
    <w:p>
      <w:pPr>
        <w:spacing w:after="0" w:line="10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Initial ESA Modification Payment</w:t>
      </w:r>
      <w:r>
        <w:rPr>
          <w:rFonts w:ascii="Times New Roman" w:cs="Times New Roman" w:eastAsia="Times New Roman" w:hAnsi="Times New Roman"/>
          <w:sz w:val="18"/>
          <w:szCs w:val="18"/>
          <w:color w:val="auto"/>
        </w:rPr>
        <w:t>” means the payments made by the Company under Section 2.05(a)(i) of the Exhibitor Services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36" w:lineRule="exact"/>
        <w:rPr>
          <w:sz w:val="20"/>
          <w:szCs w:val="20"/>
          <w:color w:val="auto"/>
        </w:rPr>
      </w:pPr>
    </w:p>
    <w:p>
      <w:pPr>
        <w:ind w:right="120" w:firstLine="101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 means all U.S., state and foreign intellectual property, including but not limited to all (i) (a) patents, inventions, discoveries, processes and designs; (b) copyrights and works of authorship in any media; (c) trademarks, service marks, trade names, trade dress and other source indicators and the goodwill of the business symbolized thereby; (d) software; and (e) trade secrets and other confidential or proprietary documents, ideas, plans and information; (ii) registrations, applications and recordings related thereto; (iii) rights to obtain renewals, extensions, continuations or similar legal protections related thereto; and (iv) rights to bring an action at law or in equity for the infringement or other impairment thereof</w:t>
      </w:r>
    </w:p>
    <w:p>
      <w:pPr>
        <w:spacing w:after="0" w:line="125" w:lineRule="exact"/>
        <w:rPr>
          <w:sz w:val="20"/>
          <w:szCs w:val="20"/>
          <w:color w:val="auto"/>
        </w:rPr>
      </w:pPr>
    </w:p>
    <w:p>
      <w:pPr>
        <w:ind w:right="180" w:firstLine="101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Interest</w:t>
      </w:r>
      <w:r>
        <w:rPr>
          <w:rFonts w:ascii="Times New Roman" w:cs="Times New Roman" w:eastAsia="Times New Roman" w:hAnsi="Times New Roman"/>
          <w:sz w:val="18"/>
          <w:szCs w:val="18"/>
          <w:color w:val="auto"/>
        </w:rPr>
        <w:t>” means a limited liability company interest (other than Preferred Units) in the Company as provided in this Agreement and under the LLC Act and, in addition, any and all rights and benefits to which a Member is entitled under this Agreement, together with all obligations of such Person to comply with, and rights to benefit from, the terms and provisions of this Agreement.</w:t>
      </w:r>
    </w:p>
    <w:p>
      <w:pPr>
        <w:spacing w:after="0" w:line="117" w:lineRule="exact"/>
        <w:rPr>
          <w:sz w:val="20"/>
          <w:szCs w:val="20"/>
          <w:color w:val="auto"/>
        </w:rPr>
      </w:pPr>
    </w:p>
    <w:p>
      <w:pPr>
        <w:ind w:right="120" w:firstLine="101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Joint Venture Agreements</w:t>
      </w:r>
      <w:r>
        <w:rPr>
          <w:rFonts w:ascii="Times New Roman" w:cs="Times New Roman" w:eastAsia="Times New Roman" w:hAnsi="Times New Roman"/>
          <w:sz w:val="18"/>
          <w:szCs w:val="18"/>
          <w:color w:val="auto"/>
        </w:rPr>
        <w:t>” means, collectively, this Agreement, the Common Unit Adjustment Agreement, the Contribution Agreement, the Contribution and Unit Holders Agreement (and various related agreements executed simultaneously therewith), the Director Designation Agreement, the Exhibitor Services Agreements, the Founding Member Representation Letter, the Loews Agreement, the Management Services Agreement, the Software License Agreement, the Subscription Agreement and the Tax Receivable Agreement.</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Joint Venture Purposes</w:t>
      </w:r>
      <w:r>
        <w:rPr>
          <w:rFonts w:ascii="Times New Roman" w:cs="Times New Roman" w:eastAsia="Times New Roman" w:hAnsi="Times New Roman"/>
          <w:sz w:val="18"/>
          <w:szCs w:val="18"/>
          <w:color w:val="auto"/>
        </w:rPr>
        <w:t>” has the meaning set forth in Section 2.6(c) of this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set forth in Section 4.15(a) of this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Liquidator</w:t>
      </w:r>
      <w:r>
        <w:rPr>
          <w:rFonts w:ascii="Times New Roman" w:cs="Times New Roman" w:eastAsia="Times New Roman" w:hAnsi="Times New Roman"/>
          <w:sz w:val="18"/>
          <w:szCs w:val="18"/>
          <w:color w:val="auto"/>
        </w:rPr>
        <w:t>” has the meaning set forth in Section 7.2 of this Agreement.</w:t>
      </w:r>
    </w:p>
    <w:p>
      <w:pPr>
        <w:spacing w:after="0" w:line="171" w:lineRule="exact"/>
        <w:rPr>
          <w:sz w:val="20"/>
          <w:szCs w:val="20"/>
          <w:color w:val="auto"/>
        </w:rPr>
      </w:pPr>
    </w:p>
    <w:p>
      <w:pPr>
        <w:ind w:right="200" w:firstLine="101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LLC Act</w:t>
      </w:r>
      <w:r>
        <w:rPr>
          <w:rFonts w:ascii="Times New Roman" w:cs="Times New Roman" w:eastAsia="Times New Roman" w:hAnsi="Times New Roman"/>
          <w:sz w:val="18"/>
          <w:szCs w:val="18"/>
          <w:color w:val="auto"/>
        </w:rPr>
        <w:t xml:space="preserve">” means the Delaware Limited Liability Company Act, 6 </w:t>
      </w:r>
      <w:r>
        <w:rPr>
          <w:rFonts w:ascii="Times New Roman" w:cs="Times New Roman" w:eastAsia="Times New Roman" w:hAnsi="Times New Roman"/>
          <w:sz w:val="18"/>
          <w:szCs w:val="18"/>
          <w:u w:val="single" w:color="auto"/>
          <w:color w:val="auto"/>
        </w:rPr>
        <w:t>Del.C.</w:t>
      </w:r>
      <w:r>
        <w:rPr>
          <w:rFonts w:ascii="Times New Roman" w:cs="Times New Roman" w:eastAsia="Times New Roman" w:hAnsi="Times New Roman"/>
          <w:sz w:val="18"/>
          <w:szCs w:val="18"/>
          <w:color w:val="auto"/>
        </w:rPr>
        <w:t xml:space="preserve"> §§ 18-101,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as it may be amended from time to time, and any successor to such statute.</w:t>
      </w:r>
    </w:p>
    <w:p>
      <w:pPr>
        <w:spacing w:after="0" w:line="101" w:lineRule="exact"/>
        <w:rPr>
          <w:sz w:val="20"/>
          <w:szCs w:val="20"/>
          <w:color w:val="auto"/>
        </w:rPr>
      </w:pPr>
    </w:p>
    <w:p>
      <w:pPr>
        <w:ind w:right="260" w:firstLine="101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Loews Agreement</w:t>
      </w:r>
      <w:r>
        <w:rPr>
          <w:rFonts w:ascii="Times New Roman" w:cs="Times New Roman" w:eastAsia="Times New Roman" w:hAnsi="Times New Roman"/>
          <w:sz w:val="18"/>
          <w:szCs w:val="18"/>
          <w:color w:val="auto"/>
        </w:rPr>
        <w:t>” means the First Amended and Restated Loews Screen Integration Agreement, dated as of February 13, 2007, by and among AMC and the Company, as the same may be amended, supplemented or otherwise modified from time to time.</w:t>
      </w:r>
    </w:p>
    <w:p>
      <w:pPr>
        <w:spacing w:after="0" w:line="101" w:lineRule="exact"/>
        <w:rPr>
          <w:sz w:val="20"/>
          <w:szCs w:val="20"/>
          <w:color w:val="auto"/>
        </w:rPr>
      </w:pPr>
    </w:p>
    <w:p>
      <w:pPr>
        <w:ind w:right="380" w:firstLine="101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Majority Member Vote</w:t>
      </w:r>
      <w:r>
        <w:rPr>
          <w:rFonts w:ascii="Times New Roman" w:cs="Times New Roman" w:eastAsia="Times New Roman" w:hAnsi="Times New Roman"/>
          <w:sz w:val="18"/>
          <w:szCs w:val="18"/>
          <w:color w:val="auto"/>
        </w:rPr>
        <w:t>” means the affirmative vote by both: (a) holders of Common Units representing a majority of all the Common Units then issued and outstanding and (b) if there are any remaining Founding Members, each Founding Member.</w:t>
      </w:r>
    </w:p>
    <w:p>
      <w:pPr>
        <w:spacing w:after="0" w:line="101" w:lineRule="exact"/>
        <w:rPr>
          <w:sz w:val="20"/>
          <w:szCs w:val="20"/>
          <w:color w:val="auto"/>
        </w:rPr>
      </w:pPr>
    </w:p>
    <w:p>
      <w:pPr>
        <w:ind w:right="480" w:firstLine="1018"/>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Management Services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Management Services Agreement, dated as of February 13, 2007, by and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NCM Inc., as the same may be amended, supplemented or otherwise modified from time to time.</w:t>
      </w:r>
    </w:p>
    <w:p>
      <w:pPr>
        <w:spacing w:after="0" w:line="10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Manager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set forth in Section 4.1 of this Agreement.</w:t>
      </w:r>
    </w:p>
    <w:p>
      <w:pPr>
        <w:spacing w:after="0" w:line="158" w:lineRule="exact"/>
        <w:rPr>
          <w:sz w:val="20"/>
          <w:szCs w:val="20"/>
          <w:color w:val="auto"/>
        </w:rPr>
      </w:pPr>
    </w:p>
    <w:p>
      <w:pPr>
        <w:ind w:right="700" w:firstLine="101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Marquee Holdings</w:t>
      </w:r>
      <w:r>
        <w:rPr>
          <w:rFonts w:ascii="Times New Roman" w:cs="Times New Roman" w:eastAsia="Times New Roman" w:hAnsi="Times New Roman"/>
          <w:sz w:val="18"/>
          <w:szCs w:val="18"/>
          <w:color w:val="auto"/>
        </w:rPr>
        <w:t>” means Marquee Holdings Inc. or its successor or any Person that wholly-owns Marquee Holdings, directly or indirectly, in the future.</w:t>
      </w:r>
    </w:p>
    <w:p>
      <w:pPr>
        <w:spacing w:after="0" w:line="101" w:lineRule="exact"/>
        <w:rPr>
          <w:sz w:val="20"/>
          <w:szCs w:val="20"/>
          <w:color w:val="auto"/>
        </w:rPr>
      </w:pPr>
    </w:p>
    <w:p>
      <w:pPr>
        <w:ind w:right="120" w:firstLine="101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Member</w:t>
      </w:r>
      <w:r>
        <w:rPr>
          <w:rFonts w:ascii="Times New Roman" w:cs="Times New Roman" w:eastAsia="Times New Roman" w:hAnsi="Times New Roman"/>
          <w:sz w:val="18"/>
          <w:szCs w:val="18"/>
          <w:color w:val="auto"/>
        </w:rPr>
        <w:t>” means each Person that becomes a member, as contemplated in the LLC Act, of the Company in accordance with the provisions of this Agreement and has not ceased to be a Member as provided in Section 3.1(d) of this Agreement, and each of such Member’s transferees, if applicable.</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Member Information</w:t>
      </w:r>
      <w:r>
        <w:rPr>
          <w:rFonts w:ascii="Times New Roman" w:cs="Times New Roman" w:eastAsia="Times New Roman" w:hAnsi="Times New Roman"/>
          <w:sz w:val="18"/>
          <w:szCs w:val="18"/>
          <w:color w:val="auto"/>
        </w:rPr>
        <w:t>” has the meaning set forth in Section 10.3(c) of this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NCM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set forth in the Recitals of this Agreement.</w:t>
      </w:r>
    </w:p>
    <w:p>
      <w:pPr>
        <w:spacing w:after="0" w:line="171" w:lineRule="exact"/>
        <w:rPr>
          <w:sz w:val="20"/>
          <w:szCs w:val="20"/>
          <w:color w:val="auto"/>
        </w:rPr>
      </w:pPr>
    </w:p>
    <w:p>
      <w:pPr>
        <w:ind w:firstLine="101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NCM Inc. Redemption Price</w:t>
      </w:r>
      <w:r>
        <w:rPr>
          <w:rFonts w:ascii="Times New Roman" w:cs="Times New Roman" w:eastAsia="Times New Roman" w:hAnsi="Times New Roman"/>
          <w:sz w:val="18"/>
          <w:szCs w:val="18"/>
          <w:color w:val="auto"/>
        </w:rPr>
        <w:t>” means the arithmetic average of the volume weighted average prices for a share of NCM Inc. common stock on the principal United States securities exchange or automated or electronic quotation system on which NCM Inc. common stock trades, as reported by Bloomberg, L.P., or its successor, for each of the three (3) consecutive full Trading Days ending on and including the last full Trading Day immediately prior to the Redemption Date, subject to appropriate and equitable adjustment for any stock splits, reverse splits, stock dividends or similar events affecting the NCM Inc. common stock. If the NCM Inc. common stock no longer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trades on a securities exchange or automated or electronic quotation system, then a majority of the Independent Directors of NCM Inc. shall determine the NCM Inc. Redemption Price in good faith.</w:t>
      </w:r>
    </w:p>
    <w:p>
      <w:pPr>
        <w:spacing w:after="0" w:line="10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NCN</w:t>
      </w:r>
      <w:r>
        <w:rPr>
          <w:rFonts w:ascii="Times New Roman" w:cs="Times New Roman" w:eastAsia="Times New Roman" w:hAnsi="Times New Roman"/>
          <w:sz w:val="18"/>
          <w:szCs w:val="18"/>
          <w:color w:val="auto"/>
        </w:rPr>
        <w:t>” has the meaning set forth in the Recitals of this Agreement.</w:t>
      </w:r>
    </w:p>
    <w:p>
      <w:pPr>
        <w:spacing w:after="0" w:line="171"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Net Income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Net Losses</w:t>
      </w:r>
      <w:r>
        <w:rPr>
          <w:rFonts w:ascii="Times New Roman" w:cs="Times New Roman" w:eastAsia="Times New Roman" w:hAnsi="Times New Roman"/>
          <w:sz w:val="18"/>
          <w:szCs w:val="18"/>
          <w:color w:val="auto"/>
        </w:rPr>
        <w:t xml:space="preserve">”, as appropriate, means, for any period, the taxable income or tax loss of the Company for such period for federal income tax purposes, as determined in accordance with the accounting method used by the Company for federal income tax purposes, taking into account any separately stated tax items and increased by the amount of any tax-exempt income of the Company during such period and decreased by the amount of any Code Section 705(a)(2)(B) expenditures (within the meaning of Treasury Regulations Section 1.704-1(b)(2)(iv)(i))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Net Income or Net Losses of the Company shall be computed without regard to the amount of any items of gross income, gain, loss or deduction that are specifically allocated pursuant to Section 6.4(b), and (ii) in determining Net Income or Net Losses of the Company, any amounts paid under the Management Services Agreement and any amounts paid under the Exhibitor Services Agreements shall be treated as payments to a non-Member under Code Section 707. In the event that the Capital Accounts are adjusted pursuant to an adjustment to the Carrying Value of an asset of the Company or as otherwise provided for in this Agreement, the Net Income or Net Losses of the Company (and the constituent items of income, gain, loss and deduction) realized thereafter shall be computed in accordance with the principles of Treasury Regulations Section 1.704-1(b)(2)(iv)(g). If the Carrying Value of an asset is adjusted, such asset shall be treated as having been sold for its fair market value and any deemed gain or loss shall be taken into account in determining Net Income or Net Losses.</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Nominating Committee</w:t>
      </w:r>
      <w:r>
        <w:rPr>
          <w:rFonts w:ascii="Times New Roman" w:cs="Times New Roman" w:eastAsia="Times New Roman" w:hAnsi="Times New Roman"/>
          <w:sz w:val="18"/>
          <w:szCs w:val="18"/>
          <w:color w:val="auto"/>
        </w:rPr>
        <w:t>” has the meaning set forth in Section 1.1 of the Director Designation Agreement.</w:t>
      </w:r>
    </w:p>
    <w:p>
      <w:pPr>
        <w:spacing w:after="0" w:line="171" w:lineRule="exact"/>
        <w:rPr>
          <w:sz w:val="20"/>
          <w:szCs w:val="20"/>
          <w:color w:val="auto"/>
        </w:rPr>
      </w:pPr>
    </w:p>
    <w:p>
      <w:pPr>
        <w:ind w:right="220" w:firstLine="101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Nonrecourse Debt</w:t>
      </w:r>
      <w:r>
        <w:rPr>
          <w:rFonts w:ascii="Times New Roman" w:cs="Times New Roman" w:eastAsia="Times New Roman" w:hAnsi="Times New Roman"/>
          <w:sz w:val="18"/>
          <w:szCs w:val="18"/>
          <w:color w:val="auto"/>
        </w:rPr>
        <w:t>” means any Company liability to the extent that no Member or related person bears the economic risk of loss for such liability under Section 1.752-2 of the Treasury Regulations.</w:t>
      </w:r>
    </w:p>
    <w:p>
      <w:pPr>
        <w:spacing w:after="0" w:line="10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Options</w:t>
      </w:r>
      <w:r>
        <w:rPr>
          <w:rFonts w:ascii="Times New Roman" w:cs="Times New Roman" w:eastAsia="Times New Roman" w:hAnsi="Times New Roman"/>
          <w:sz w:val="18"/>
          <w:szCs w:val="18"/>
          <w:color w:val="auto"/>
        </w:rPr>
        <w:t>” means options, issued under the NCM Inc. Equity Incentive Plan, to acquire common stock or other equity equivalents of NCM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w:t>
      </w:r>
    </w:p>
    <w:p>
      <w:pPr>
        <w:spacing w:after="0" w:line="14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Original Agreement</w:t>
      </w:r>
      <w:r>
        <w:rPr>
          <w:rFonts w:ascii="Times New Roman" w:cs="Times New Roman" w:eastAsia="Times New Roman" w:hAnsi="Times New Roman"/>
          <w:sz w:val="18"/>
          <w:szCs w:val="18"/>
          <w:color w:val="auto"/>
        </w:rPr>
        <w:t>” has the meaning set forth in the Recitals of this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Over-Allotment Option</w:t>
      </w:r>
      <w:r>
        <w:rPr>
          <w:rFonts w:ascii="Times New Roman" w:cs="Times New Roman" w:eastAsia="Times New Roman" w:hAnsi="Times New Roman"/>
          <w:sz w:val="18"/>
          <w:szCs w:val="18"/>
          <w:color w:val="auto"/>
        </w:rPr>
        <w:t>” has the meaning set forth in Section 3.4(c) of this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Over-Allotment Unit Purchase</w:t>
      </w:r>
      <w:r>
        <w:rPr>
          <w:rFonts w:ascii="Times New Roman" w:cs="Times New Roman" w:eastAsia="Times New Roman" w:hAnsi="Times New Roman"/>
          <w:sz w:val="18"/>
          <w:szCs w:val="18"/>
          <w:color w:val="auto"/>
        </w:rPr>
        <w:t>” has the meaning set forth in Section 3.4(c) of this Agreement.</w:t>
      </w:r>
    </w:p>
    <w:p>
      <w:pPr>
        <w:spacing w:after="0" w:line="171" w:lineRule="exact"/>
        <w:rPr>
          <w:sz w:val="20"/>
          <w:szCs w:val="20"/>
          <w:color w:val="auto"/>
        </w:rPr>
      </w:pPr>
    </w:p>
    <w:p>
      <w:pPr>
        <w:jc w:val="both"/>
        <w:ind w:right="140" w:firstLine="101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Partner Nonrecourse Debt</w:t>
      </w:r>
      <w:r>
        <w:rPr>
          <w:rFonts w:ascii="Times New Roman" w:cs="Times New Roman" w:eastAsia="Times New Roman" w:hAnsi="Times New Roman"/>
          <w:sz w:val="18"/>
          <w:szCs w:val="18"/>
          <w:color w:val="auto"/>
        </w:rPr>
        <w:t>” means any Company liability to the extent such liability is nonrecourse for purposes of Section 1.1001-2 of the Treasury Regulations with respect to which a Member (or related person within the meaning of Section 1.752-4(b) of the Treasury Regulations) bears the economic risk of loss under Section 1.752-2 of the Treasury Regulations because, for example, the Member or related person is a creditor or guarantor with respect to such liability.</w:t>
      </w:r>
    </w:p>
    <w:p>
      <w:pPr>
        <w:spacing w:after="0" w:line="122" w:lineRule="exact"/>
        <w:rPr>
          <w:sz w:val="20"/>
          <w:szCs w:val="20"/>
          <w:color w:val="auto"/>
        </w:rPr>
      </w:pPr>
    </w:p>
    <w:p>
      <w:pPr>
        <w:ind w:right="20" w:firstLine="101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Partner Nonrecourse Debt Minimum Gain</w:t>
      </w:r>
      <w:r>
        <w:rPr>
          <w:rFonts w:ascii="Times New Roman" w:cs="Times New Roman" w:eastAsia="Times New Roman" w:hAnsi="Times New Roman"/>
          <w:sz w:val="18"/>
          <w:szCs w:val="18"/>
          <w:color w:val="auto"/>
        </w:rPr>
        <w:t>” has the meaning set forth in Section l.704-2(i)(2) of the Treasury Regulations and, as provided therein, shall generally be the amount, with respect to each Partner Nonrecourse Debt, equal to the Partnership Minimum Gain that would result if such Partner Nonrecourse Debt were treated as a Nonrecourse Debt.</w:t>
      </w:r>
    </w:p>
    <w:p>
      <w:pPr>
        <w:spacing w:after="0" w:line="117" w:lineRule="exact"/>
        <w:rPr>
          <w:sz w:val="20"/>
          <w:szCs w:val="20"/>
          <w:color w:val="auto"/>
        </w:rPr>
      </w:pPr>
    </w:p>
    <w:p>
      <w:pPr>
        <w:ind w:firstLine="101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Partnership Minimum Gain</w:t>
      </w:r>
      <w:r>
        <w:rPr>
          <w:rFonts w:ascii="Times New Roman" w:cs="Times New Roman" w:eastAsia="Times New Roman" w:hAnsi="Times New Roman"/>
          <w:sz w:val="18"/>
          <w:szCs w:val="18"/>
          <w:color w:val="auto"/>
        </w:rPr>
        <w:t>” has the meaning set forth in Section 1.704-2(b)(2) of the Treasury Regulations and, as provided therein, shall generally be determined by computing, for each Nonrecourse Debt of the Company, any Net Income the Company would realize if it disposed of the property subject to that liability for no consideration other than full satisfaction of the liability and then aggregating the separate amounts of Net Income so computed.</w:t>
      </w:r>
    </w:p>
    <w:p>
      <w:pPr>
        <w:spacing w:after="0" w:line="122" w:lineRule="exact"/>
        <w:rPr>
          <w:sz w:val="20"/>
          <w:szCs w:val="20"/>
          <w:color w:val="auto"/>
        </w:rPr>
      </w:pPr>
    </w:p>
    <w:p>
      <w:pPr>
        <w:ind w:right="60" w:firstLine="101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Percentage Interest</w:t>
      </w:r>
      <w:r>
        <w:rPr>
          <w:rFonts w:ascii="Times New Roman" w:cs="Times New Roman" w:eastAsia="Times New Roman" w:hAnsi="Times New Roman"/>
          <w:sz w:val="18"/>
          <w:szCs w:val="18"/>
          <w:color w:val="auto"/>
        </w:rPr>
        <w:t>” means, with respect to any Member at any time, the percentage represented by a fraction, the numerator of which is the number of Common Units owned by such Member, and the denominator of which is the aggregate number of Common Units then outstanding, as shall be adjusted in accordance with Sections 3.4(f), 3.4(g), 3.5 and 9.1, and as otherwise provided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36" w:lineRule="exact"/>
        <w:rPr>
          <w:sz w:val="20"/>
          <w:szCs w:val="20"/>
          <w:color w:val="auto"/>
        </w:rPr>
      </w:pPr>
    </w:p>
    <w:p>
      <w:pPr>
        <w:ind w:right="60" w:firstLine="101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Permitted Transferee</w:t>
      </w:r>
      <w:r>
        <w:rPr>
          <w:rFonts w:ascii="Times New Roman" w:cs="Times New Roman" w:eastAsia="Times New Roman" w:hAnsi="Times New Roman"/>
          <w:sz w:val="18"/>
          <w:szCs w:val="18"/>
          <w:color w:val="auto"/>
        </w:rPr>
        <w:t>” means (i) in the case of any Member and any Permitted Transferee of any Member, an Affiliate of such Member or Permitted Transferee, or (ii) in the case of any Founding Member and any Permitted Transferee of a Founding Member, a non-Affiliate of such Founding Member or Permitted Transferee if more than 50% of the non-Affiliate’s general voting power is owned directly or indirectly through one or more entities that are the same entities that own 50% or more of the general voting power of the Ultimate Parent of such Founding Member.</w:t>
      </w:r>
    </w:p>
    <w:p>
      <w:pPr>
        <w:spacing w:after="0" w:line="122" w:lineRule="exact"/>
        <w:rPr>
          <w:sz w:val="20"/>
          <w:szCs w:val="20"/>
          <w:color w:val="auto"/>
        </w:rPr>
      </w:pPr>
    </w:p>
    <w:p>
      <w:pPr>
        <w:ind w:firstLine="101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any individual, corporation, limited liability company, partnership, trust, joint stock company, business trust, unincorporated association, joint venture, Governmental Authority or other entity or organization of any nature whatsoever or any Group of two or more of the foregoing.</w:t>
      </w:r>
    </w:p>
    <w:p>
      <w:pPr>
        <w:spacing w:after="0" w:line="10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Preferred Distribution</w:t>
      </w:r>
      <w:r>
        <w:rPr>
          <w:rFonts w:ascii="Times New Roman" w:cs="Times New Roman" w:eastAsia="Times New Roman" w:hAnsi="Times New Roman"/>
          <w:sz w:val="18"/>
          <w:szCs w:val="18"/>
          <w:color w:val="auto"/>
        </w:rPr>
        <w:t>” has the meaning set forth in Section 3.4(e) of this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Preferred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Units having the rights described in Section 3.4(e) of this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Preferred Unit Amount</w:t>
      </w:r>
      <w:r>
        <w:rPr>
          <w:rFonts w:ascii="Times New Roman" w:cs="Times New Roman" w:eastAsia="Times New Roman" w:hAnsi="Times New Roman"/>
          <w:sz w:val="18"/>
          <w:szCs w:val="18"/>
          <w:color w:val="auto"/>
        </w:rPr>
        <w:t>” has the meaning set forth in Section 3.4(e) of this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Preferred Unit Indebtedness</w:t>
      </w:r>
      <w:r>
        <w:rPr>
          <w:rFonts w:ascii="Times New Roman" w:cs="Times New Roman" w:eastAsia="Times New Roman" w:hAnsi="Times New Roman"/>
          <w:sz w:val="18"/>
          <w:szCs w:val="18"/>
          <w:color w:val="auto"/>
        </w:rPr>
        <w:t>” has the meaning set forth in Section 3.4(e) of this Agreement.</w:t>
      </w:r>
    </w:p>
    <w:p>
      <w:pPr>
        <w:spacing w:after="0" w:line="171" w:lineRule="exact"/>
        <w:rPr>
          <w:sz w:val="20"/>
          <w:szCs w:val="20"/>
          <w:color w:val="auto"/>
        </w:rPr>
      </w:pPr>
    </w:p>
    <w:p>
      <w:pPr>
        <w:ind w:right="80" w:firstLine="101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Proprietary Information</w:t>
      </w:r>
      <w:r>
        <w:rPr>
          <w:rFonts w:ascii="Times New Roman" w:cs="Times New Roman" w:eastAsia="Times New Roman" w:hAnsi="Times New Roman"/>
          <w:sz w:val="18"/>
          <w:szCs w:val="18"/>
          <w:color w:val="auto"/>
        </w:rPr>
        <w:t>” means all Intellectual Property, including but not limited to information of a technological or business nature, whether written or oral and if written, however produced or reproduced, received by or otherwise disclosed to the receiving party from or by the disclosing party that is marked proprietary or confidential or bears a marking of like import, or that the disclosing party states is to be considered proprietary or confidential, or that a reasonable person would consider proprietary or confidential under the circumstances of its disclosure.</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RCM</w:t>
      </w:r>
      <w:r>
        <w:rPr>
          <w:rFonts w:ascii="Times New Roman" w:cs="Times New Roman" w:eastAsia="Times New Roman" w:hAnsi="Times New Roman"/>
          <w:sz w:val="18"/>
          <w:szCs w:val="18"/>
          <w:color w:val="auto"/>
        </w:rPr>
        <w:t>” means Regal CineMedia Corporation, a Virginia corporation, or its successor.</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Redeemed Units</w:t>
      </w:r>
      <w:r>
        <w:rPr>
          <w:rFonts w:ascii="Times New Roman" w:cs="Times New Roman" w:eastAsia="Times New Roman" w:hAnsi="Times New Roman"/>
          <w:sz w:val="18"/>
          <w:szCs w:val="18"/>
          <w:color w:val="auto"/>
        </w:rPr>
        <w:t>” has the meaning set forth in Section 9.1(a) of this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Redeemed Units Equivalent</w:t>
      </w:r>
      <w:r>
        <w:rPr>
          <w:rFonts w:ascii="Times New Roman" w:cs="Times New Roman" w:eastAsia="Times New Roman" w:hAnsi="Times New Roman"/>
          <w:sz w:val="18"/>
          <w:szCs w:val="18"/>
          <w:color w:val="auto"/>
        </w:rPr>
        <w:t>” means the product of (i) the Share Settlement, times (ii) the NCM Inc. Redemption Price.</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Redeeming Member</w:t>
      </w:r>
      <w:r>
        <w:rPr>
          <w:rFonts w:ascii="Times New Roman" w:cs="Times New Roman" w:eastAsia="Times New Roman" w:hAnsi="Times New Roman"/>
          <w:sz w:val="18"/>
          <w:szCs w:val="18"/>
          <w:color w:val="auto"/>
        </w:rPr>
        <w:t>” has the meaning set forth in Section 9.1(a) of this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Redemption Date</w:t>
      </w:r>
      <w:r>
        <w:rPr>
          <w:rFonts w:ascii="Times New Roman" w:cs="Times New Roman" w:eastAsia="Times New Roman" w:hAnsi="Times New Roman"/>
          <w:sz w:val="18"/>
          <w:szCs w:val="18"/>
          <w:color w:val="auto"/>
        </w:rPr>
        <w:t>” has the meaning set forth in Section 9.1(a) of this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Redemption Notice</w:t>
      </w:r>
      <w:r>
        <w:rPr>
          <w:rFonts w:ascii="Times New Roman" w:cs="Times New Roman" w:eastAsia="Times New Roman" w:hAnsi="Times New Roman"/>
          <w:sz w:val="18"/>
          <w:szCs w:val="18"/>
          <w:color w:val="auto"/>
        </w:rPr>
        <w:t>” has the meaning set forth in Section 9.1(a) of this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Redemption Right</w:t>
      </w:r>
      <w:r>
        <w:rPr>
          <w:rFonts w:ascii="Times New Roman" w:cs="Times New Roman" w:eastAsia="Times New Roman" w:hAnsi="Times New Roman"/>
          <w:sz w:val="18"/>
          <w:szCs w:val="18"/>
          <w:color w:val="auto"/>
        </w:rPr>
        <w:t>” has the meaning set forth in Section 9.1(a) of this Agreement.</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w:t>
      </w:r>
      <w:r>
        <w:rPr>
          <w:rFonts w:ascii="Times New Roman" w:cs="Times New Roman" w:eastAsia="Times New Roman" w:hAnsi="Times New Roman"/>
          <w:sz w:val="18"/>
          <w:szCs w:val="18"/>
          <w:color w:val="auto"/>
        </w:rPr>
        <w:t>” means Regal Entertainment Group or its successor or any Person that wholly-owns REG, directly or indirectly, in the future.</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Regal</w:t>
      </w:r>
      <w:r>
        <w:rPr>
          <w:rFonts w:ascii="Times New Roman" w:cs="Times New Roman" w:eastAsia="Times New Roman" w:hAnsi="Times New Roman"/>
          <w:sz w:val="18"/>
          <w:szCs w:val="18"/>
          <w:color w:val="auto"/>
        </w:rPr>
        <w:t>” has the meaning set forth in the Recitals of this Agreement or its successor.</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Regal Cinemas</w:t>
      </w:r>
      <w:r>
        <w:rPr>
          <w:rFonts w:ascii="Times New Roman" w:cs="Times New Roman" w:eastAsia="Times New Roman" w:hAnsi="Times New Roman"/>
          <w:sz w:val="18"/>
          <w:szCs w:val="18"/>
          <w:color w:val="auto"/>
        </w:rPr>
        <w:t>” means Regal Cinemas, Inc., a Tennessee corporation, or its successor.</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Regal Founding Member</w:t>
      </w:r>
      <w:r>
        <w:rPr>
          <w:rFonts w:ascii="Times New Roman" w:cs="Times New Roman" w:eastAsia="Times New Roman" w:hAnsi="Times New Roman"/>
          <w:sz w:val="18"/>
          <w:szCs w:val="18"/>
          <w:color w:val="auto"/>
        </w:rPr>
        <w:t>” has the meaning set forth in the Recitals of this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Regulatory Allocations</w:t>
      </w:r>
      <w:r>
        <w:rPr>
          <w:rFonts w:ascii="Times New Roman" w:cs="Times New Roman" w:eastAsia="Times New Roman" w:hAnsi="Times New Roman"/>
          <w:sz w:val="18"/>
          <w:szCs w:val="18"/>
          <w:color w:val="auto"/>
        </w:rPr>
        <w:t>” has the meaning set forth in Section 6.4(c) of this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Retraction Notice</w:t>
      </w:r>
      <w:r>
        <w:rPr>
          <w:rFonts w:ascii="Times New Roman" w:cs="Times New Roman" w:eastAsia="Times New Roman" w:hAnsi="Times New Roman"/>
          <w:sz w:val="18"/>
          <w:szCs w:val="18"/>
          <w:color w:val="auto"/>
        </w:rPr>
        <w:t>” has the meaning set forth in Section 9.1(b) of this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Second Amended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set forth in the Recitals of this Agreement or its successor.</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Second Amendment</w:t>
      </w:r>
      <w:r>
        <w:rPr>
          <w:rFonts w:ascii="Times New Roman" w:cs="Times New Roman" w:eastAsia="Times New Roman" w:hAnsi="Times New Roman"/>
          <w:sz w:val="18"/>
          <w:szCs w:val="18"/>
          <w:color w:val="auto"/>
        </w:rPr>
        <w:t>” has the meaning set forth in the Recitals of this Agreement or its successor.</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Section 704(c) Property</w:t>
      </w:r>
      <w:r>
        <w:rPr>
          <w:rFonts w:ascii="Times New Roman" w:cs="Times New Roman" w:eastAsia="Times New Roman" w:hAnsi="Times New Roman"/>
          <w:sz w:val="18"/>
          <w:szCs w:val="18"/>
          <w:color w:val="auto"/>
        </w:rPr>
        <w:t>” means any asset of the Company if the Carrying Value of such asset differs from its adjusted tax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36" w:lineRule="exact"/>
        <w:rPr>
          <w:sz w:val="20"/>
          <w:szCs w:val="20"/>
          <w:color w:val="auto"/>
        </w:rPr>
      </w:pPr>
    </w:p>
    <w:p>
      <w:pPr>
        <w:ind w:right="260" w:firstLine="101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Senior Credit Facility</w:t>
      </w:r>
      <w:r>
        <w:rPr>
          <w:rFonts w:ascii="Times New Roman" w:cs="Times New Roman" w:eastAsia="Times New Roman" w:hAnsi="Times New Roman"/>
          <w:sz w:val="18"/>
          <w:szCs w:val="18"/>
          <w:color w:val="auto"/>
        </w:rPr>
        <w:t>” means the Credit Agreement, dated as of February 13, 2007, by and among the Company, the several banks and other financial institutions or entities from time to time that are parties thereto, Lehman Brothers Inc. and J.P. Morgan Securities, Inc., as joint lead arrangers, JPMorgan Chase Bank, N.A., as syndication agent, Credit Suisse (USA) LLC and Morgan Stanley Senior Funding, Inc., as co-documentation agents, and Lehman Commercial Paper Inc., as administrative agent, as amended, modified or supplemented from time to time and any extension, refunding, refinancing or replacement (in whole or in part) thereof.</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Series B Preferred Unit</w:t>
      </w:r>
      <w:r>
        <w:rPr>
          <w:rFonts w:ascii="Times New Roman" w:cs="Times New Roman" w:eastAsia="Times New Roman" w:hAnsi="Times New Roman"/>
          <w:sz w:val="18"/>
          <w:szCs w:val="18"/>
          <w:color w:val="auto"/>
        </w:rPr>
        <w:t>” means a Unit having the rights described in Section 3.4(i).</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Services</w:t>
      </w:r>
      <w:r>
        <w:rPr>
          <w:rFonts w:ascii="Times New Roman" w:cs="Times New Roman" w:eastAsia="Times New Roman" w:hAnsi="Times New Roman"/>
          <w:sz w:val="18"/>
          <w:szCs w:val="18"/>
          <w:color w:val="auto"/>
        </w:rPr>
        <w:t>” has the meaning set forth in Article 1 of the Exhibitor Services Agreements.</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Share Settlement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number of shares of NCM Inc. common stock equal to the number of Redeemed Units.</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Significant Member</w:t>
      </w:r>
      <w:r>
        <w:rPr>
          <w:rFonts w:ascii="Times New Roman" w:cs="Times New Roman" w:eastAsia="Times New Roman" w:hAnsi="Times New Roman"/>
          <w:sz w:val="18"/>
          <w:szCs w:val="18"/>
          <w:color w:val="auto"/>
        </w:rPr>
        <w:t>” means a Member (if any) whose Percentage Interest is 10% or more.</w:t>
      </w:r>
    </w:p>
    <w:p>
      <w:pPr>
        <w:spacing w:after="0" w:line="171" w:lineRule="exact"/>
        <w:rPr>
          <w:sz w:val="20"/>
          <w:szCs w:val="20"/>
          <w:color w:val="auto"/>
        </w:rPr>
      </w:pPr>
    </w:p>
    <w:p>
      <w:pPr>
        <w:ind w:right="300" w:firstLine="101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Software License Agreement</w:t>
      </w:r>
      <w:r>
        <w:rPr>
          <w:rFonts w:ascii="Times New Roman" w:cs="Times New Roman" w:eastAsia="Times New Roman" w:hAnsi="Times New Roman"/>
          <w:sz w:val="18"/>
          <w:szCs w:val="18"/>
          <w:color w:val="auto"/>
        </w:rPr>
        <w:t>” means the Second Amended and Restated Software License Agreement, dated of even date herewith, by and among the Company, RCM, AMC and Cinemark USA, as the same may be amended, supplemented or otherwise modified from time to time.</w:t>
      </w:r>
    </w:p>
    <w:p>
      <w:pPr>
        <w:spacing w:after="0" w:line="87" w:lineRule="exact"/>
        <w:rPr>
          <w:sz w:val="20"/>
          <w:szCs w:val="20"/>
          <w:color w:val="auto"/>
        </w:rPr>
      </w:pPr>
    </w:p>
    <w:p>
      <w:pPr>
        <w:ind w:right="420" w:firstLine="1018"/>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Subscription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set forth in the Recitals of this Agreement, as the same may be amended, supplemented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modified from time to time.</w:t>
      </w:r>
    </w:p>
    <w:p>
      <w:pPr>
        <w:spacing w:after="0" w:line="101"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means, with respect to any Person, (i) a corporation a majority of whose capital stock with the general voting power under ordinary circumstances to vote in the election of directors of such corporation (irrespective of whether or not, at the time, any other class or classes of securities shall have, or might have, voting power by reason of the happening of any contingency) is at the time beneficially owned by such Person, by one or more Subsidiaries of such Person or by such Person and one or more Subsidiaries thereof or (ii) any other Person (other than a corporation), including a joint venture, a general or limited partnership or a limited liability company, in which such Person, one or more Subsidiaries thereof or such Person and one or more Subsidiaries thereof, directly or indirectly, at the date of determination thereof, beneficially own at least a majority ownership interest entitled to vote in the election of directors, managers or trustees thereof (or other Persons performing such functions) or act as the general partner or managing member of such other Person.</w:t>
      </w:r>
    </w:p>
    <w:p>
      <w:pPr>
        <w:spacing w:after="0" w:line="131" w:lineRule="exact"/>
        <w:rPr>
          <w:sz w:val="20"/>
          <w:szCs w:val="20"/>
          <w:color w:val="auto"/>
        </w:rPr>
      </w:pPr>
    </w:p>
    <w:p>
      <w:pPr>
        <w:ind w:right="520" w:firstLine="101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 Distribution Amount</w:t>
      </w:r>
      <w:r>
        <w:rPr>
          <w:rFonts w:ascii="Times New Roman" w:cs="Times New Roman" w:eastAsia="Times New Roman" w:hAnsi="Times New Roman"/>
          <w:sz w:val="18"/>
          <w:szCs w:val="18"/>
          <w:color w:val="auto"/>
        </w:rPr>
        <w:t>” means the product of (i) the Applicable Tax Rate, times (ii) the estimated or actual taxable income of the Company, as determined for federal income tax purposes, for the period to which the Tax Distribution Amount relates.</w:t>
      </w:r>
    </w:p>
    <w:p>
      <w:pPr>
        <w:spacing w:after="0" w:line="10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 Matters Member</w:t>
      </w:r>
      <w:r>
        <w:rPr>
          <w:rFonts w:ascii="Times New Roman" w:cs="Times New Roman" w:eastAsia="Times New Roman" w:hAnsi="Times New Roman"/>
          <w:sz w:val="18"/>
          <w:szCs w:val="18"/>
          <w:color w:val="auto"/>
        </w:rPr>
        <w:t>” has the meaning set forth in Section 6.2 of this Agreement.</w:t>
      </w:r>
    </w:p>
    <w:p>
      <w:pPr>
        <w:spacing w:after="0" w:line="171" w:lineRule="exact"/>
        <w:rPr>
          <w:sz w:val="20"/>
          <w:szCs w:val="20"/>
          <w:color w:val="auto"/>
        </w:rPr>
      </w:pPr>
    </w:p>
    <w:p>
      <w:pPr>
        <w:jc w:val="both"/>
        <w:ind w:right="260" w:firstLine="101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 Receivable Agreement</w:t>
      </w:r>
      <w:r>
        <w:rPr>
          <w:rFonts w:ascii="Times New Roman" w:cs="Times New Roman" w:eastAsia="Times New Roman" w:hAnsi="Times New Roman"/>
          <w:sz w:val="18"/>
          <w:szCs w:val="18"/>
          <w:color w:val="auto"/>
        </w:rPr>
        <w:t>” means the Tax Receivable Agreement, dated as of February 13, 2007, by and among the Company, NCM Inc., all of the Founding Members, Regal Cinemas and Cinemark USA, as the same may be amended, supplemented or otherwise modified from time to time.</w:t>
      </w:r>
    </w:p>
    <w:p>
      <w:pPr>
        <w:spacing w:after="0" w:line="117" w:lineRule="exact"/>
        <w:rPr>
          <w:sz w:val="20"/>
          <w:szCs w:val="20"/>
          <w:color w:val="auto"/>
        </w:rPr>
      </w:pPr>
    </w:p>
    <w:p>
      <w:pPr>
        <w:jc w:val="both"/>
        <w:ind w:right="480" w:firstLine="101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 Receivable Distribution Amount</w:t>
      </w:r>
      <w:r>
        <w:rPr>
          <w:rFonts w:ascii="Times New Roman" w:cs="Times New Roman" w:eastAsia="Times New Roman" w:hAnsi="Times New Roman"/>
          <w:sz w:val="18"/>
          <w:szCs w:val="18"/>
          <w:color w:val="auto"/>
        </w:rPr>
        <w:t xml:space="preserve">” means the sum of (i) the amount that NCM Inc. is obligated to pay to the Founding Members pursuant to Section 3.01 of the Tax Receivable Agreement,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amount that NCM Inc. is obligated to contribute to the Company pursuant to Section 5.1(b) of this Agreement, for the period to which the Tax Receivable Distribution Amount relates.</w:t>
      </w:r>
    </w:p>
    <w:p>
      <w:pPr>
        <w:spacing w:after="0" w:line="117" w:lineRule="exact"/>
        <w:rPr>
          <w:sz w:val="20"/>
          <w:szCs w:val="20"/>
          <w:color w:val="auto"/>
        </w:rPr>
      </w:pPr>
    </w:p>
    <w:p>
      <w:pPr>
        <w:ind w:right="120" w:firstLine="101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TEFRA Election</w:t>
      </w:r>
      <w:r>
        <w:rPr>
          <w:rFonts w:ascii="Times New Roman" w:cs="Times New Roman" w:eastAsia="Times New Roman" w:hAnsi="Times New Roman"/>
          <w:sz w:val="18"/>
          <w:szCs w:val="18"/>
          <w:color w:val="auto"/>
        </w:rPr>
        <w:t>” means the election under Code Section 6231(a)(1)(B)(ii) and Treasury Regulations Section 301.6231(a)(1)-1(b) to have the provisions of subchapter C of chapter 63 of the Code and the corresponding Treasury Regulations apply with respect to the Company.</w:t>
      </w:r>
    </w:p>
    <w:p>
      <w:pPr>
        <w:spacing w:after="0" w:line="10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Third Amendment</w:t>
      </w:r>
      <w:r>
        <w:rPr>
          <w:rFonts w:ascii="Times New Roman" w:cs="Times New Roman" w:eastAsia="Times New Roman" w:hAnsi="Times New Roman"/>
          <w:sz w:val="18"/>
          <w:szCs w:val="18"/>
          <w:color w:val="auto"/>
        </w:rPr>
        <w:t>” has the meaning set forth in the Recitals of this Agreement or its successor.</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a day on which the principal United States securities exchange on which NCM Inc. common stock is listed or</w:t>
      </w:r>
    </w:p>
    <w:p>
      <w:pPr>
        <w:spacing w:after="0" w:line="67" w:lineRule="exact"/>
        <w:rPr>
          <w:sz w:val="20"/>
          <w:szCs w:val="20"/>
          <w:color w:val="auto"/>
        </w:rPr>
      </w:pPr>
    </w:p>
    <w:p>
      <w:pPr>
        <w:ind w:right="420"/>
        <w:spacing w:after="0" w:line="297" w:lineRule="auto"/>
        <w:rPr>
          <w:sz w:val="20"/>
          <w:szCs w:val="20"/>
          <w:color w:val="auto"/>
        </w:rPr>
      </w:pPr>
      <w:r>
        <w:rPr>
          <w:rFonts w:ascii="Times New Roman" w:cs="Times New Roman" w:eastAsia="Times New Roman" w:hAnsi="Times New Roman"/>
          <w:sz w:val="18"/>
          <w:szCs w:val="18"/>
          <w:color w:val="auto"/>
        </w:rPr>
        <w:t>admitted to trading, or the NASDAQ Stock Market if NCM Inc. common stock is not listed or admitted to trading on any such securities exchange, as applicable, is open for the transaction of business (unless such trading shall have been suspended for the entire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848360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36"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b w:val="1"/>
          <w:bCs w:val="1"/>
          <w:u w:val="single" w:color="auto"/>
          <w:color w:val="auto"/>
        </w:rPr>
        <w:t>Transferred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Transferring</w:t>
      </w:r>
      <w:r>
        <w:rPr>
          <w:rFonts w:ascii="Times New Roman" w:cs="Times New Roman" w:eastAsia="Times New Roman" w:hAnsi="Times New Roman"/>
          <w:sz w:val="18"/>
          <w:szCs w:val="18"/>
          <w:color w:val="auto"/>
        </w:rPr>
        <w:t>”) means, directly or indirectly, to sell, transfer, give, exchange, bequest, assign, pledge, encumber, hypothecate or otherwise dispose of, either voluntarily or involuntarily (including (i) except as provided in clause (a) below, the direct or indirect Change of Control of any Member or Permitted Transferee (or any direct or indirect holder of equity in a Member or Permitted Transferee), and (ii) upon the foreclosure under any pledge or hypothecation permitted by clause (b) below that results in a change of title), any Equity Interests in the Company or other assets beneficially owned by a Person or any interest in any Equity Interests in the Company or other assets beneficially owned by a Person. Notwithstanding the foregoing: (a) the Change of Control of an ESA Party or its stockholders shall not be deemed to be a Transfer hereunder, and (b) a bona fide pledge of the Units or other Equity Interests in the Company by any Member or its Affiliates shall not be deemed to be a Transfer hereunder.</w:t>
      </w:r>
    </w:p>
    <w:p>
      <w:pPr>
        <w:spacing w:after="0" w:line="1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Transferring Member</w:t>
      </w:r>
      <w:r>
        <w:rPr>
          <w:rFonts w:ascii="Times New Roman" w:cs="Times New Roman" w:eastAsia="Times New Roman" w:hAnsi="Times New Roman"/>
          <w:sz w:val="18"/>
          <w:szCs w:val="18"/>
          <w:color w:val="auto"/>
        </w:rPr>
        <w:t>” has the meaning set forth in Section 8.1(a) of this Agreement.</w:t>
      </w:r>
    </w:p>
    <w:p>
      <w:pPr>
        <w:spacing w:after="0" w:line="171" w:lineRule="exact"/>
        <w:rPr>
          <w:sz w:val="20"/>
          <w:szCs w:val="20"/>
          <w:color w:val="auto"/>
        </w:rPr>
      </w:pPr>
    </w:p>
    <w:p>
      <w:pPr>
        <w:jc w:val="both"/>
        <w:ind w:right="240" w:firstLine="101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Treasury Regulations</w:t>
      </w:r>
      <w:r>
        <w:rPr>
          <w:rFonts w:ascii="Times New Roman" w:cs="Times New Roman" w:eastAsia="Times New Roman" w:hAnsi="Times New Roman"/>
          <w:sz w:val="18"/>
          <w:szCs w:val="18"/>
          <w:color w:val="auto"/>
        </w:rPr>
        <w:t>” means the federal income tax regulations, including any temporary regulations, promulgated under the Code, as such Treasury Regulations may be amended from time to time. Any and all references herein to specific provisions of the Treasury Regulations shall be deemed to refer to any corresponding successor provisions.</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Ultimate Parent</w:t>
      </w:r>
      <w:r>
        <w:rPr>
          <w:rFonts w:ascii="Times New Roman" w:cs="Times New Roman" w:eastAsia="Times New Roman" w:hAnsi="Times New Roman"/>
          <w:sz w:val="18"/>
          <w:szCs w:val="18"/>
          <w:color w:val="auto"/>
        </w:rPr>
        <w:t>” means (i) Marquee Holdings in the case of AMC, (ii) Cinemark in the case of Cinemark Media, and (iii) REG in the case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Regal.</w:t>
      </w:r>
    </w:p>
    <w:p>
      <w:pPr>
        <w:spacing w:after="0" w:line="14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Underwriters</w:t>
      </w:r>
      <w:r>
        <w:rPr>
          <w:rFonts w:ascii="Times New Roman" w:cs="Times New Roman" w:eastAsia="Times New Roman" w:hAnsi="Times New Roman"/>
          <w:sz w:val="18"/>
          <w:szCs w:val="18"/>
          <w:color w:val="auto"/>
        </w:rPr>
        <w:t>” has the meaning set forth in Section 1.1 of the Unit Purchase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Underwriting Agreement</w:t>
      </w:r>
      <w:r>
        <w:rPr>
          <w:rFonts w:ascii="Times New Roman" w:cs="Times New Roman" w:eastAsia="Times New Roman" w:hAnsi="Times New Roman"/>
          <w:sz w:val="18"/>
          <w:szCs w:val="18"/>
          <w:color w:val="auto"/>
        </w:rPr>
        <w:t>” has the meaning set forth in Section 1.1 of the Unit Purchase Agreement.</w:t>
      </w:r>
    </w:p>
    <w:p>
      <w:pPr>
        <w:spacing w:after="0" w:line="171" w:lineRule="exact"/>
        <w:rPr>
          <w:sz w:val="20"/>
          <w:szCs w:val="20"/>
          <w:color w:val="auto"/>
        </w:rPr>
      </w:pPr>
    </w:p>
    <w:p>
      <w:pPr>
        <w:ind w:right="460" w:firstLine="101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Unit</w:t>
      </w:r>
      <w:r>
        <w:rPr>
          <w:rFonts w:ascii="Times New Roman" w:cs="Times New Roman" w:eastAsia="Times New Roman" w:hAnsi="Times New Roman"/>
          <w:sz w:val="18"/>
          <w:szCs w:val="18"/>
          <w:color w:val="auto"/>
        </w:rPr>
        <w:t xml:space="preserve">” means a fractional share of the Interests (other than Preferred Units) of all Members issued in accordance with the terms of this Agreement. The number of Units outstanding and the holders thereof shall be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as such may be amended from time to time in accordance with this Agreement.</w:t>
      </w:r>
    </w:p>
    <w:p>
      <w:pPr>
        <w:spacing w:after="0" w:line="117" w:lineRule="exact"/>
        <w:rPr>
          <w:sz w:val="20"/>
          <w:szCs w:val="20"/>
          <w:color w:val="auto"/>
        </w:rPr>
      </w:pPr>
    </w:p>
    <w:p>
      <w:pPr>
        <w:ind w:right="40" w:firstLine="101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Unit Purchase Agreement</w:t>
      </w:r>
      <w:r>
        <w:rPr>
          <w:rFonts w:ascii="Times New Roman" w:cs="Times New Roman" w:eastAsia="Times New Roman" w:hAnsi="Times New Roman"/>
          <w:sz w:val="18"/>
          <w:szCs w:val="18"/>
          <w:color w:val="auto"/>
        </w:rPr>
        <w:t>” means the Unit Purchase Agreement, dated as of January 23, 2007, by and among NCM Inc., the AMC Founding Member, the Cinemark Founding Member and the Regal Founding Member, as the same may be amended, supplemented or otherwise modified from time to time.</w:t>
      </w:r>
    </w:p>
    <w:p>
      <w:pPr>
        <w:spacing w:after="0" w:line="117" w:lineRule="exact"/>
        <w:rPr>
          <w:sz w:val="20"/>
          <w:szCs w:val="20"/>
          <w:color w:val="auto"/>
        </w:rPr>
      </w:pPr>
    </w:p>
    <w:p>
      <w:pPr>
        <w:ind w:right="220" w:firstLine="101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Unvested NCM Inc. Shares</w:t>
      </w:r>
      <w:r>
        <w:rPr>
          <w:rFonts w:ascii="Times New Roman" w:cs="Times New Roman" w:eastAsia="Times New Roman" w:hAnsi="Times New Roman"/>
          <w:sz w:val="18"/>
          <w:szCs w:val="18"/>
          <w:color w:val="auto"/>
        </w:rPr>
        <w:t>” means shares of NCM Inc. common stock issued pursuant to the Equity Incentive Plan that are not Vested NCM Inc. Shares.</w:t>
      </w:r>
    </w:p>
    <w:p>
      <w:pPr>
        <w:spacing w:after="0" w:line="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Vested NCM Inc. Shares</w:t>
      </w:r>
      <w:r>
        <w:rPr>
          <w:rFonts w:ascii="Times New Roman" w:cs="Times New Roman" w:eastAsia="Times New Roman" w:hAnsi="Times New Roman"/>
          <w:sz w:val="18"/>
          <w:szCs w:val="18"/>
          <w:color w:val="auto"/>
        </w:rPr>
        <w:t>” has the meaning set forth in Section 3.5(c)(ii) of this Agreement.</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Wholly Owned Subsidiary</w:t>
      </w:r>
      <w:r>
        <w:rPr>
          <w:rFonts w:ascii="Times New Roman" w:cs="Times New Roman" w:eastAsia="Times New Roman" w:hAnsi="Times New Roman"/>
          <w:sz w:val="18"/>
          <w:szCs w:val="18"/>
          <w:color w:val="auto"/>
        </w:rPr>
        <w:t>” of any Person means a Subsidiary which is 100% owned directly or indirectly by such Person.</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Other Definitional Provisions; Interpretation</w:t>
      </w:r>
      <w:r>
        <w:rPr>
          <w:rFonts w:ascii="Times New Roman" w:cs="Times New Roman" w:eastAsia="Times New Roman" w:hAnsi="Times New Roman"/>
          <w:sz w:val="18"/>
          <w:szCs w:val="18"/>
          <w:b w:val="1"/>
          <w:bCs w:val="1"/>
          <w:color w:val="auto"/>
        </w:rPr>
        <w:t>.</w:t>
      </w:r>
    </w:p>
    <w:p>
      <w:pPr>
        <w:spacing w:after="0" w:line="94" w:lineRule="exact"/>
        <w:rPr>
          <w:sz w:val="20"/>
          <w:szCs w:val="20"/>
          <w:color w:val="auto"/>
        </w:rPr>
      </w:pPr>
    </w:p>
    <w:p>
      <w:pPr>
        <w:ind w:firstLine="1026"/>
        <w:spacing w:after="0" w:line="266" w:lineRule="auto"/>
        <w:tabs>
          <w:tab w:leader="none" w:pos="126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and “hereunder” and words of similar import when used in this Agreement will refer to this Agreement as a whole, including the Exhibits and Schedules attached hereto, and not to any particular provision of this Agreement. Articles, section and subsection references are to this Agreement unless otherwise specified.</w:t>
      </w:r>
    </w:p>
    <w:p>
      <w:pPr>
        <w:spacing w:after="0" w:line="121" w:lineRule="exact"/>
        <w:rPr>
          <w:rFonts w:ascii="Times New Roman" w:cs="Times New Roman" w:eastAsia="Times New Roman" w:hAnsi="Times New Roman"/>
          <w:sz w:val="18"/>
          <w:szCs w:val="18"/>
          <w:color w:val="auto"/>
        </w:rPr>
      </w:pPr>
    </w:p>
    <w:p>
      <w:pPr>
        <w:ind w:right="240" w:firstLine="1026"/>
        <w:spacing w:after="0" w:line="282" w:lineRule="auto"/>
        <w:tabs>
          <w:tab w:leader="none" w:pos="127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“include” and “including” and words of similar import when used in this Agreement shall be deemed to be followed by the words “without limitation”.</w:t>
      </w:r>
    </w:p>
    <w:p>
      <w:pPr>
        <w:spacing w:after="0" w:line="107" w:lineRule="exact"/>
        <w:rPr>
          <w:rFonts w:ascii="Times New Roman" w:cs="Times New Roman" w:eastAsia="Times New Roman" w:hAnsi="Times New Roman"/>
          <w:sz w:val="18"/>
          <w:szCs w:val="18"/>
          <w:color w:val="auto"/>
        </w:rPr>
      </w:pPr>
    </w:p>
    <w:p>
      <w:pPr>
        <w:ind w:right="560" w:firstLine="1026"/>
        <w:spacing w:after="0" w:line="282" w:lineRule="auto"/>
        <w:tabs>
          <w:tab w:leader="none" w:pos="126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titles and headings in this Agreement are included for convenience of reference only and will not limit or otherwise affect the meaning or interpretation of this Agreement.</w:t>
      </w:r>
    </w:p>
    <w:p>
      <w:pPr>
        <w:spacing w:after="0" w:line="107" w:lineRule="exact"/>
        <w:rPr>
          <w:rFonts w:ascii="Times New Roman" w:cs="Times New Roman" w:eastAsia="Times New Roman" w:hAnsi="Times New Roman"/>
          <w:sz w:val="18"/>
          <w:szCs w:val="18"/>
          <w:color w:val="auto"/>
        </w:rPr>
      </w:pPr>
    </w:p>
    <w:p>
      <w:pPr>
        <w:ind w:right="280" w:firstLine="1026"/>
        <w:spacing w:after="0" w:line="282" w:lineRule="auto"/>
        <w:tabs>
          <w:tab w:leader="none" w:pos="127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given to capitalized terms defined herein will be equally applicable to both the singular and plural forms of such terms. Whenever the context may require, any pronoun shall include the corresponding masculine, feminine and neuter forms.</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30" w:name="page131"/>
    <w:bookmarkEnd w:id="130"/>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FORMATION</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Formation; Qualification</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right="100" w:firstLine="1026"/>
        <w:spacing w:after="0" w:line="268" w:lineRule="auto"/>
        <w:tabs>
          <w:tab w:leader="none" w:pos="126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Formation of the Company (the “</w:t>
      </w:r>
      <w:r>
        <w:rPr>
          <w:rFonts w:ascii="Times New Roman" w:cs="Times New Roman" w:eastAsia="Times New Roman" w:hAnsi="Times New Roman"/>
          <w:sz w:val="18"/>
          <w:szCs w:val="18"/>
          <w:b w:val="1"/>
          <w:bCs w:val="1"/>
          <w:u w:val="single" w:color="auto"/>
          <w:color w:val="auto"/>
        </w:rPr>
        <w:t>Certificate</w:t>
      </w:r>
      <w:r>
        <w:rPr>
          <w:rFonts w:ascii="Times New Roman" w:cs="Times New Roman" w:eastAsia="Times New Roman" w:hAnsi="Times New Roman"/>
          <w:sz w:val="18"/>
          <w:szCs w:val="18"/>
          <w:color w:val="auto"/>
        </w:rPr>
        <w:t>”) has been executed by an authorized person and was filed with the Secretary of State of the State of Delaware on March 29, 2005, to form on such date the Company as a limited liability company pursuant to the LLC Act. The rights, duties and liabilities of the Members shall be as provided in the LLC Act, except as otherwise provided in this Agreement.</w:t>
      </w:r>
    </w:p>
    <w:p>
      <w:pPr>
        <w:spacing w:after="0" w:line="120" w:lineRule="exact"/>
        <w:rPr>
          <w:rFonts w:ascii="Times New Roman" w:cs="Times New Roman" w:eastAsia="Times New Roman" w:hAnsi="Times New Roman"/>
          <w:sz w:val="18"/>
          <w:szCs w:val="18"/>
          <w:color w:val="auto"/>
        </w:rPr>
      </w:pPr>
    </w:p>
    <w:p>
      <w:pPr>
        <w:ind w:firstLine="1026"/>
        <w:spacing w:after="0" w:line="258" w:lineRule="auto"/>
        <w:tabs>
          <w:tab w:leader="none" w:pos="127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qualified or registered under foreign limited liability company statutes or assumed or fictitious name statutes or similar laws in any jurisdiction in which the Company owns property or transacts business to the extent, in the judgment of the Manager, such qualification or registration is necessary or advisable in order to protect the limited liability of the Members or to permit the Company lawfully to own property or transact business. The Manager shall, to the extent necessary in the judgment of the Manager, maintain the Company’s good standing in each such jurisdiction.</w:t>
      </w:r>
    </w:p>
    <w:p>
      <w:pPr>
        <w:spacing w:after="0" w:line="129" w:lineRule="exact"/>
        <w:rPr>
          <w:rFonts w:ascii="Times New Roman" w:cs="Times New Roman" w:eastAsia="Times New Roman" w:hAnsi="Times New Roman"/>
          <w:sz w:val="18"/>
          <w:szCs w:val="18"/>
          <w:color w:val="auto"/>
        </w:rPr>
      </w:pPr>
    </w:p>
    <w:p>
      <w:pPr>
        <w:ind w:right="100" w:firstLine="1026"/>
        <w:spacing w:after="0" w:line="261" w:lineRule="auto"/>
        <w:tabs>
          <w:tab w:leader="none" w:pos="126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and any Person to whom the Manager delegates authority under this Agreement shall be an “authorized person” within the meaning of § 18-204(a) of the LLC Act, and shall have the power and authority to execute, file and publish any certificates, notices, statements or other documents (and any amendments or restatements thereof) necessary to permit the Company to conduct business as a limited liability company in each jurisdiction where the Company elects to do business.</w:t>
      </w:r>
    </w:p>
    <w:p>
      <w:pPr>
        <w:spacing w:after="0" w:line="108"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Name</w:t>
      </w:r>
      <w:r>
        <w:rPr>
          <w:rFonts w:ascii="Times New Roman" w:cs="Times New Roman" w:eastAsia="Times New Roman" w:hAnsi="Times New Roman"/>
          <w:sz w:val="18"/>
          <w:szCs w:val="18"/>
          <w:color w:val="auto"/>
        </w:rPr>
        <w:t>. The name of the limited liability company formed by the filing of the Certificate is “National CineMedia, LLC.” However,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may be conducted upon compliance with all applicable laws under any other name designated by the Manager.</w:t>
      </w:r>
    </w:p>
    <w:p>
      <w:pPr>
        <w:spacing w:after="0" w:line="101" w:lineRule="exact"/>
        <w:rPr>
          <w:sz w:val="20"/>
          <w:szCs w:val="20"/>
          <w:color w:val="auto"/>
        </w:rPr>
      </w:pPr>
    </w:p>
    <w:p>
      <w:pPr>
        <w:ind w:right="5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The term of the Company has commenced as of the date of filing the Certificate and will continue in perpetuity;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be dissolved in accordance with the provisions of this Agreement or by the LLC Act.</w:t>
      </w:r>
    </w:p>
    <w:p>
      <w:pPr>
        <w:spacing w:after="0" w:line="101"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b w:val="1"/>
          <w:bCs w:val="1"/>
          <w:u w:val="single" w:color="auto"/>
          <w:color w:val="auto"/>
        </w:rPr>
        <w:t>Headquarters Office</w:t>
      </w:r>
      <w:r>
        <w:rPr>
          <w:rFonts w:ascii="Times New Roman" w:cs="Times New Roman" w:eastAsia="Times New Roman" w:hAnsi="Times New Roman"/>
          <w:sz w:val="18"/>
          <w:szCs w:val="18"/>
          <w:color w:val="auto"/>
        </w:rPr>
        <w:t>. The Company’s headquarters office shall initially be located in Centennial, Colorado. The Manager may determine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open, close or move any office at any time in its absolute discretion.</w:t>
      </w:r>
    </w:p>
    <w:p>
      <w:pPr>
        <w:spacing w:after="0" w:line="101" w:lineRule="exact"/>
        <w:rPr>
          <w:sz w:val="20"/>
          <w:szCs w:val="20"/>
          <w:color w:val="auto"/>
        </w:rPr>
      </w:pPr>
    </w:p>
    <w:p>
      <w:pPr>
        <w:ind w:right="18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b w:val="1"/>
          <w:bCs w:val="1"/>
          <w:u w:val="single" w:color="auto"/>
          <w:color w:val="auto"/>
        </w:rPr>
        <w:t>Registered Agent and Office</w:t>
      </w:r>
      <w:r>
        <w:rPr>
          <w:rFonts w:ascii="Times New Roman" w:cs="Times New Roman" w:eastAsia="Times New Roman" w:hAnsi="Times New Roman"/>
          <w:sz w:val="18"/>
          <w:szCs w:val="18"/>
          <w:color w:val="auto"/>
        </w:rPr>
        <w:t>. The address of the Company’s registered office in the State of Delaware is Corporation Trust Center, 1209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Orange Street, City of Wilmington, County of New Castle, Delaware 19801. The name of the Company’s registered agent at such address is Corporation Trust Company. The Manager may at any time designate another registered agent or registered office or both.</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b w:val="1"/>
          <w:bCs w:val="1"/>
          <w:u w:val="single" w:color="auto"/>
          <w:color w:val="auto"/>
        </w:rPr>
        <w:t>Purposes</w:t>
      </w:r>
      <w:r>
        <w:rPr>
          <w:rFonts w:ascii="Times New Roman" w:cs="Times New Roman" w:eastAsia="Times New Roman" w:hAnsi="Times New Roman"/>
          <w:sz w:val="18"/>
          <w:szCs w:val="18"/>
          <w:color w:val="auto"/>
        </w:rPr>
        <w:t>. The purpose of the Company is to:</w:t>
      </w:r>
    </w:p>
    <w:p>
      <w:pPr>
        <w:spacing w:after="0" w:line="90" w:lineRule="exact"/>
        <w:rPr>
          <w:sz w:val="20"/>
          <w:szCs w:val="20"/>
          <w:color w:val="auto"/>
        </w:rPr>
      </w:pPr>
    </w:p>
    <w:p>
      <w:pPr>
        <w:ind w:right="20" w:firstLine="1026"/>
        <w:spacing w:after="0" w:line="262" w:lineRule="auto"/>
        <w:tabs>
          <w:tab w:leader="none" w:pos="126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and maintain a digital content network (“</w:t>
      </w:r>
      <w:r>
        <w:rPr>
          <w:rFonts w:ascii="Times New Roman" w:cs="Times New Roman" w:eastAsia="Times New Roman" w:hAnsi="Times New Roman"/>
          <w:sz w:val="18"/>
          <w:szCs w:val="18"/>
          <w:b w:val="1"/>
          <w:bCs w:val="1"/>
          <w:u w:val="single" w:color="auto"/>
          <w:color w:val="auto"/>
        </w:rPr>
        <w:t>DCN</w:t>
      </w:r>
      <w:r>
        <w:rPr>
          <w:rFonts w:ascii="Times New Roman" w:cs="Times New Roman" w:eastAsia="Times New Roman" w:hAnsi="Times New Roman"/>
          <w:sz w:val="18"/>
          <w:szCs w:val="18"/>
          <w:color w:val="auto"/>
        </w:rPr>
        <w:t>”) that is able to distribute advertising, marketing, promotional and other digital content for display on theatre screens and video display monitors in theatres on a worldwide basis and that, among other things, will compete with all areas and forms of media (including cable and television broadcasters), advertising, marketing, promotional and/or any distribution of digital content via any media format on a worldwide basis;</w:t>
      </w:r>
    </w:p>
    <w:p>
      <w:pPr>
        <w:spacing w:after="0" w:line="126" w:lineRule="exact"/>
        <w:rPr>
          <w:rFonts w:ascii="Times New Roman" w:cs="Times New Roman" w:eastAsia="Times New Roman" w:hAnsi="Times New Roman"/>
          <w:sz w:val="18"/>
          <w:szCs w:val="18"/>
          <w:color w:val="auto"/>
        </w:rPr>
      </w:pPr>
    </w:p>
    <w:p>
      <w:pPr>
        <w:jc w:val="both"/>
        <w:ind w:firstLine="1026"/>
        <w:spacing w:after="0" w:line="261" w:lineRule="auto"/>
        <w:tabs>
          <w:tab w:leader="none" w:pos="127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advertising, marketing and promotional activities on behalf of any Person involved in the business of exhibiting theatrical motion pictures, including, but not limited to, the Founding Members and their Affiliates (including the Services as set forth in the Exhibitor Services Agreements) whether displayed over the DCN, as non-digital content for display on non-digital theatre screens, through lobby or other in-theatre promotions, or through sponsorships of special events;</w:t>
      </w:r>
    </w:p>
    <w:p>
      <w:pPr>
        <w:spacing w:after="0" w:line="125" w:lineRule="exact"/>
        <w:rPr>
          <w:rFonts w:ascii="Times New Roman" w:cs="Times New Roman" w:eastAsia="Times New Roman" w:hAnsi="Times New Roman"/>
          <w:sz w:val="18"/>
          <w:szCs w:val="18"/>
          <w:color w:val="auto"/>
        </w:rPr>
      </w:pPr>
    </w:p>
    <w:p>
      <w:pPr>
        <w:ind w:right="560" w:firstLine="1026"/>
        <w:spacing w:after="0" w:line="282" w:lineRule="auto"/>
        <w:tabs>
          <w:tab w:leader="none" w:pos="126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 operate and maintain a business that provides advertising, marketing and promotional materials and other activities to fitness centers, health clubs and other out-of-home advertising venues such as airlines and theme parks; and</w:t>
      </w:r>
    </w:p>
    <w:p>
      <w:pPr>
        <w:spacing w:after="0" w:line="103" w:lineRule="exact"/>
        <w:rPr>
          <w:rFonts w:ascii="Times New Roman" w:cs="Times New Roman" w:eastAsia="Times New Roman" w:hAnsi="Times New Roman"/>
          <w:sz w:val="18"/>
          <w:szCs w:val="18"/>
          <w:color w:val="auto"/>
        </w:rPr>
      </w:pPr>
    </w:p>
    <w:p>
      <w:pPr>
        <w:ind w:left="1280" w:hanging="254"/>
        <w:spacing w:after="0"/>
        <w:tabs>
          <w:tab w:leader="none" w:pos="12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all activities and transactions in furtherance of the foregoing purposes (collectively, the “</w:t>
      </w:r>
      <w:r>
        <w:rPr>
          <w:rFonts w:ascii="Times New Roman" w:cs="Times New Roman" w:eastAsia="Times New Roman" w:hAnsi="Times New Roman"/>
          <w:sz w:val="18"/>
          <w:szCs w:val="18"/>
          <w:b w:val="1"/>
          <w:bCs w:val="1"/>
          <w:color w:val="auto"/>
        </w:rPr>
        <w:t>Joint Venture Purposes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1" w:name="page132"/>
    <w:bookmarkEnd w:id="131"/>
    <w:p>
      <w:pPr>
        <w:spacing w:after="0" w:line="136"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2.7 </w:t>
      </w:r>
      <w:r>
        <w:rPr>
          <w:rFonts w:ascii="Times New Roman" w:cs="Times New Roman" w:eastAsia="Times New Roman" w:hAnsi="Times New Roman"/>
          <w:sz w:val="18"/>
          <w:szCs w:val="18"/>
          <w:b w:val="1"/>
          <w:bCs w:val="1"/>
          <w:u w:val="single" w:color="auto"/>
          <w:color w:val="auto"/>
        </w:rPr>
        <w:t>Powers</w:t>
      </w:r>
      <w:r>
        <w:rPr>
          <w:rFonts w:ascii="Times New Roman" w:cs="Times New Roman" w:eastAsia="Times New Roman" w:hAnsi="Times New Roman"/>
          <w:sz w:val="18"/>
          <w:szCs w:val="18"/>
          <w:color w:val="auto"/>
        </w:rPr>
        <w:t>. The Company shall have the power and authority to take any and all actions necessary, appropriate, desirable, advisable, incidental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convenient to, or for the furtherance of, the Joint Venture Purposes, alone or with other Persons.</w:t>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MEMBERS AND INTERESTS</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Members</w:t>
      </w:r>
      <w:r>
        <w:rPr>
          <w:rFonts w:ascii="Times New Roman" w:cs="Times New Roman" w:eastAsia="Times New Roman" w:hAnsi="Times New Roman"/>
          <w:sz w:val="18"/>
          <w:szCs w:val="18"/>
          <w:b w:val="1"/>
          <w:bCs w:val="1"/>
          <w:color w:val="auto"/>
        </w:rPr>
        <w:t>.</w:t>
      </w:r>
    </w:p>
    <w:p>
      <w:pPr>
        <w:spacing w:after="0" w:line="94" w:lineRule="exact"/>
        <w:rPr>
          <w:sz w:val="20"/>
          <w:szCs w:val="20"/>
          <w:color w:val="auto"/>
        </w:rPr>
      </w:pPr>
    </w:p>
    <w:p>
      <w:pPr>
        <w:ind w:right="40" w:firstLine="1026"/>
        <w:spacing w:after="0" w:line="261" w:lineRule="auto"/>
        <w:tabs>
          <w:tab w:leader="none" w:pos="126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AMC, Regal and Cinemark were previously admitted as Members to the Company subject to the Second Amended Agreement. Upon the execution of this Agreement, NCM Inc. shall be admitted to the Company as a Member. Following the Common Unit Purchase and Over-Allotment Unit Purchase, each Person named as a Member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on the date hereof shall be deemed to own the number of Common Units and Preferred Units specified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25" w:lineRule="exact"/>
        <w:rPr>
          <w:rFonts w:ascii="Times New Roman" w:cs="Times New Roman" w:eastAsia="Times New Roman" w:hAnsi="Times New Roman"/>
          <w:sz w:val="18"/>
          <w:szCs w:val="18"/>
          <w:color w:val="auto"/>
        </w:rPr>
      </w:pPr>
    </w:p>
    <w:p>
      <w:pPr>
        <w:ind w:right="160" w:firstLine="1026"/>
        <w:spacing w:after="0" w:line="256" w:lineRule="auto"/>
        <w:tabs>
          <w:tab w:leader="none" w:pos="127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contains the name, address and number of Common Units and Preferred Units owned by each Member as of the date hereof following the Common Unit Purchase and Over-Allotment Unit Purchase and immediately prior to the Preferred Distribution. The Company shall revise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 from time to time to reflect the issuance, conversion or Transfer of Units in accordance with the terms of this Agreement and other modifications to or changes in the information set forth therein, and (ii) in accordance with Sections 3.4(f), 3.5 and 9.1. Any amendment or revision to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to the Company’s records as contemplated by this Agreement to reflect information regarding Members or under Section 3.4(f), 3.5 or 9.1 shall be deemed to amend this Agreement, but shall not require the approval of the Manager or any Member.</w:t>
      </w:r>
    </w:p>
    <w:p>
      <w:pPr>
        <w:spacing w:after="0" w:line="133" w:lineRule="exact"/>
        <w:rPr>
          <w:rFonts w:ascii="Times New Roman" w:cs="Times New Roman" w:eastAsia="Times New Roman" w:hAnsi="Times New Roman"/>
          <w:sz w:val="18"/>
          <w:szCs w:val="18"/>
          <w:color w:val="auto"/>
        </w:rPr>
      </w:pPr>
    </w:p>
    <w:p>
      <w:pPr>
        <w:ind w:left="1280" w:hanging="254"/>
        <w:spacing w:after="0"/>
        <w:tabs>
          <w:tab w:leader="none" w:pos="12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additional Persons may be admitted as a Member of the Company only upon (i) an issuance of Units pursuant to Section</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3.4(f) or 3.5 or a Transfer of Units pursuant to Article 8, and (ii) the execution and delivery by such Person of a counterpart to this Agreement or other written agreement, in a form satisfactory to the Manager, to be bound by all the terms and conditions of this Agreement. Upon such execution, the Company shall amend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shall amend this Agreement as the Manager may reasonably determine is necessary, to reflect the admission of such Person as a Member and such other information of such Person as indicated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Unless admitted to the Company as a Member as provided in this Section 3.1 or Section 8.2, no Person is, or will be considered to be, a Member.</w:t>
      </w:r>
    </w:p>
    <w:p>
      <w:pPr>
        <w:spacing w:after="0" w:line="133" w:lineRule="exact"/>
        <w:rPr>
          <w:sz w:val="20"/>
          <w:szCs w:val="20"/>
          <w:color w:val="auto"/>
        </w:rPr>
      </w:pPr>
    </w:p>
    <w:p>
      <w:pPr>
        <w:ind w:right="20" w:firstLine="1026"/>
        <w:spacing w:after="0" w:line="266" w:lineRule="auto"/>
        <w:tabs>
          <w:tab w:leader="none" w:pos="127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other provisions of this Section 3.1 and Section 8.2, each Person that holds one or more Units in compliance with the terms of this Agreement shall be a Member. A Member will cease to be a Member when such Person ceases to own any Units in the Company, in which case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shall be amended to reflect that such Person is no longer a Member.</w:t>
      </w:r>
    </w:p>
    <w:p>
      <w:pPr>
        <w:spacing w:after="0" w:line="121" w:lineRule="exact"/>
        <w:rPr>
          <w:rFonts w:ascii="Times New Roman" w:cs="Times New Roman" w:eastAsia="Times New Roman" w:hAnsi="Times New Roman"/>
          <w:sz w:val="18"/>
          <w:szCs w:val="18"/>
          <w:color w:val="auto"/>
        </w:rPr>
      </w:pPr>
    </w:p>
    <w:p>
      <w:pPr>
        <w:ind w:right="100" w:firstLine="1026"/>
        <w:spacing w:after="0" w:line="266" w:lineRule="auto"/>
        <w:tabs>
          <w:tab w:leader="none" w:pos="126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the LLC Act, in no event shall any Member (or any former Member), by reason of its status as a Member (or former Member), have any liability for (i) the debts, duties or any other obligations of the Company, (ii) the repayment of any Capital Contribution of any other Member or (iii) any act or omission of any other Member.</w:t>
      </w:r>
    </w:p>
    <w:p>
      <w:pPr>
        <w:spacing w:after="0" w:line="121" w:lineRule="exact"/>
        <w:rPr>
          <w:rFonts w:ascii="Times New Roman" w:cs="Times New Roman" w:eastAsia="Times New Roman" w:hAnsi="Times New Roman"/>
          <w:sz w:val="18"/>
          <w:szCs w:val="18"/>
          <w:color w:val="auto"/>
        </w:rPr>
      </w:pPr>
    </w:p>
    <w:p>
      <w:pPr>
        <w:ind w:left="1260" w:hanging="234"/>
        <w:spacing w:after="0"/>
        <w:tabs>
          <w:tab w:leader="none" w:pos="12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Founding Member and one or more of its transferees (which have the rights and powers of a Founding Member under Section 8.2(c))</w:t>
      </w:r>
    </w:p>
    <w:p>
      <w:pPr>
        <w:spacing w:after="0" w:line="63"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8"/>
          <w:szCs w:val="18"/>
          <w:color w:val="auto"/>
        </w:rPr>
        <w:t>hold Common Units in the Company at the same time, such Founding Member and transferees shall designate one of them to act on behalf of all of them and vote all of their Common Units with respect to any matter requiring approval of the Founding Members.</w:t>
      </w:r>
    </w:p>
    <w:p>
      <w:pPr>
        <w:spacing w:after="0" w:line="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u w:val="single" w:color="auto"/>
          <w:color w:val="auto"/>
        </w:rPr>
        <w:t>Meeting of Members</w:t>
      </w:r>
      <w:r>
        <w:rPr>
          <w:rFonts w:ascii="Times New Roman" w:cs="Times New Roman" w:eastAsia="Times New Roman" w:hAnsi="Times New Roman"/>
          <w:sz w:val="18"/>
          <w:szCs w:val="18"/>
          <w:b w:val="1"/>
          <w:bCs w:val="1"/>
          <w:color w:val="auto"/>
        </w:rPr>
        <w:t>.</w:t>
      </w:r>
    </w:p>
    <w:p>
      <w:pPr>
        <w:spacing w:after="0" w:line="94" w:lineRule="exact"/>
        <w:rPr>
          <w:sz w:val="20"/>
          <w:szCs w:val="20"/>
          <w:color w:val="auto"/>
        </w:rPr>
      </w:pPr>
    </w:p>
    <w:p>
      <w:pPr>
        <w:ind w:right="80" w:firstLine="1026"/>
        <w:spacing w:after="0" w:line="257" w:lineRule="auto"/>
        <w:tabs>
          <w:tab w:leader="none" w:pos="126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Subject to Section 3.2(g), an annual meeting of Members shall be held on such date and at such time as (i) shall be designated from time to time by the Manager, but no less often than once during each calendar year, and (ii) stated in the notice of the meeting, at which meeting the Members entitled to vote shall transact such business as may properly be brought before the meeting. At each annual meeting of the Members</w:t>
      </w:r>
    </w:p>
    <w:p>
      <w:pPr>
        <w:spacing w:after="0" w:line="1" w:lineRule="exact"/>
        <w:rPr>
          <w:rFonts w:ascii="Times New Roman" w:cs="Times New Roman" w:eastAsia="Times New Roman" w:hAnsi="Times New Roman"/>
          <w:sz w:val="18"/>
          <w:szCs w:val="18"/>
          <w:color w:val="auto"/>
        </w:rPr>
      </w:pPr>
    </w:p>
    <w:p>
      <w:pPr>
        <w:ind w:right="20" w:firstLine="8"/>
        <w:spacing w:after="0" w:line="260" w:lineRule="auto"/>
        <w:tabs>
          <w:tab w:leader="none" w:pos="2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shall discuss the matters and affairs of the Company, and (ii) the Members shall address such other matters as may be raised at the meeting by the Members or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868680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2" w:name="page133"/>
    <w:bookmarkEnd w:id="132"/>
    <w:p>
      <w:pPr>
        <w:spacing w:after="0" w:line="140" w:lineRule="exact"/>
        <w:rPr>
          <w:sz w:val="20"/>
          <w:szCs w:val="20"/>
          <w:color w:val="auto"/>
        </w:rPr>
      </w:pPr>
    </w:p>
    <w:p>
      <w:pPr>
        <w:jc w:val="both"/>
        <w:ind w:right="120" w:firstLine="1026"/>
        <w:spacing w:after="0" w:line="312" w:lineRule="auto"/>
        <w:tabs>
          <w:tab w:leader="none" w:pos="1273"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Special Meetings</w:t>
      </w:r>
      <w:r>
        <w:rPr>
          <w:rFonts w:ascii="Times New Roman" w:cs="Times New Roman" w:eastAsia="Times New Roman" w:hAnsi="Times New Roman"/>
          <w:sz w:val="17"/>
          <w:szCs w:val="17"/>
          <w:color w:val="auto"/>
        </w:rPr>
        <w:t>. A special meeting of Members, for any purpose or purposes, may be called by the Manager and shall be called by the Manager upon the receipt by the Manager of the written request of any Member. Such request shall state the purpose or purposes of the proposed meeting.</w:t>
      </w:r>
    </w:p>
    <w:p>
      <w:pPr>
        <w:spacing w:after="0" w:line="85" w:lineRule="exact"/>
        <w:rPr>
          <w:rFonts w:ascii="Times New Roman" w:cs="Times New Roman" w:eastAsia="Times New Roman" w:hAnsi="Times New Roman"/>
          <w:sz w:val="17"/>
          <w:szCs w:val="17"/>
          <w:color w:val="auto"/>
        </w:rPr>
      </w:pPr>
    </w:p>
    <w:p>
      <w:pPr>
        <w:ind w:right="20" w:firstLine="1026"/>
        <w:spacing w:after="0" w:line="258" w:lineRule="auto"/>
        <w:tabs>
          <w:tab w:leader="none" w:pos="126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 and Conduct of Meetings</w:t>
      </w:r>
      <w:r>
        <w:rPr>
          <w:rFonts w:ascii="Times New Roman" w:cs="Times New Roman" w:eastAsia="Times New Roman" w:hAnsi="Times New Roman"/>
          <w:sz w:val="18"/>
          <w:szCs w:val="18"/>
          <w:color w:val="auto"/>
        </w:rPr>
        <w:t>. Meetings of the Members shall be held at such time and place, either within or without the State of Delaware, as shall be designated from time to time by the Manager and stated in the notice of the meeting or in a duly executed waiver of notice thereof. All meetings shall be conducted by such Person as the Manager may appoint pursuant to such rules for the conduct of the meeting as the Manager or such other Person deems appropriate. Such meetings may be held in person, by teleconference or by any other reasonable means, in each case at the discretion of the Manager.</w:t>
      </w:r>
    </w:p>
    <w:p>
      <w:pPr>
        <w:spacing w:after="0" w:line="129" w:lineRule="exact"/>
        <w:rPr>
          <w:rFonts w:ascii="Times New Roman" w:cs="Times New Roman" w:eastAsia="Times New Roman" w:hAnsi="Times New Roman"/>
          <w:sz w:val="18"/>
          <w:szCs w:val="18"/>
          <w:color w:val="auto"/>
        </w:rPr>
      </w:pPr>
    </w:p>
    <w:p>
      <w:pPr>
        <w:jc w:val="both"/>
        <w:ind w:firstLine="1026"/>
        <w:spacing w:after="0" w:line="266" w:lineRule="auto"/>
        <w:tabs>
          <w:tab w:leader="none" w:pos="127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Written notice of an annual meeting or special meeting stating the place, date, and hour of the meeting and in the case of a special meeting, the purpose or purposes for which the meeting is called, shall be given not less than five calendar days nor more than 60 calendar days before the date of the meeting to each Member entitled to vote at such meeting, unless waived by each such Member.</w:t>
      </w:r>
    </w:p>
    <w:p>
      <w:pPr>
        <w:spacing w:after="0" w:line="121" w:lineRule="exact"/>
        <w:rPr>
          <w:rFonts w:ascii="Times New Roman" w:cs="Times New Roman" w:eastAsia="Times New Roman" w:hAnsi="Times New Roman"/>
          <w:sz w:val="18"/>
          <w:szCs w:val="18"/>
          <w:color w:val="auto"/>
        </w:rPr>
      </w:pPr>
    </w:p>
    <w:p>
      <w:pPr>
        <w:ind w:right="220" w:firstLine="1026"/>
        <w:spacing w:after="0" w:line="258" w:lineRule="auto"/>
        <w:tabs>
          <w:tab w:leader="none" w:pos="126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The presence of the holders of a majority of all the Common Units then issued and outstanding and entitled to vote thereat, whether in person or represented by a valid written proxy, shall constitute a quorum at all meetings of the Members for the transaction of business. If, however, such quorum shall not be present or represented at any meeting of the Members, the Members entitled to vote thereat, present in person or represented by proxy, shall have power to adjourn the meeting from time to time, without notice other than announcement at the meeting, until a quorum shall be present or represented.</w:t>
      </w:r>
    </w:p>
    <w:p>
      <w:pPr>
        <w:spacing w:after="0" w:line="129" w:lineRule="exact"/>
        <w:rPr>
          <w:rFonts w:ascii="Times New Roman" w:cs="Times New Roman" w:eastAsia="Times New Roman" w:hAnsi="Times New Roman"/>
          <w:sz w:val="18"/>
          <w:szCs w:val="18"/>
          <w:color w:val="auto"/>
        </w:rPr>
      </w:pPr>
    </w:p>
    <w:p>
      <w:pPr>
        <w:ind w:right="100" w:firstLine="1026"/>
        <w:spacing w:after="0" w:line="282" w:lineRule="auto"/>
        <w:tabs>
          <w:tab w:leader="none" w:pos="124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All matters submitted to the vote of the Members shall be decided by a Majority Member Vote. Such votes may be cast in person or by valid written proxy, but no proxy shall be voted after three years from its date, unless such proxy provides for a longer period.</w:t>
      </w:r>
    </w:p>
    <w:p>
      <w:pPr>
        <w:spacing w:after="0" w:line="94" w:lineRule="exact"/>
        <w:rPr>
          <w:rFonts w:ascii="Times New Roman" w:cs="Times New Roman" w:eastAsia="Times New Roman" w:hAnsi="Times New Roman"/>
          <w:sz w:val="18"/>
          <w:szCs w:val="18"/>
          <w:color w:val="auto"/>
        </w:rPr>
      </w:pPr>
    </w:p>
    <w:p>
      <w:pPr>
        <w:ind w:firstLine="1026"/>
        <w:spacing w:after="0" w:line="255" w:lineRule="auto"/>
        <w:tabs>
          <w:tab w:leader="none" w:pos="127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by Consent</w:t>
      </w:r>
      <w:r>
        <w:rPr>
          <w:rFonts w:ascii="Times New Roman" w:cs="Times New Roman" w:eastAsia="Times New Roman" w:hAnsi="Times New Roman"/>
          <w:sz w:val="18"/>
          <w:szCs w:val="18"/>
          <w:color w:val="auto"/>
        </w:rPr>
        <w:t xml:space="preserve">. Any consent required herein or action required to be taken at any annual or special meeting of Members, or any action which may be taken at any annual or special meeting of such Members, may be taken without a meeting, without a vote, without prior written notice and with a consent or consents in writing signed by Members who are holders of outstanding Common Units having not less than the minimum number of votes that would be necessary to authorize or take such action at a meeting at which all Common Units entitled to vote thereon were present and voted. Prompt notice of the taking of the action without a meeting by less than unanimous written consent shall be given to those Members who are holders of Common Units and who have not consented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any such notice shall not affect the validity of the action taken by such written consent.</w:t>
      </w:r>
    </w:p>
    <w:p>
      <w:pPr>
        <w:spacing w:after="0" w:line="13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u w:val="single" w:color="auto"/>
          <w:color w:val="auto"/>
        </w:rPr>
        <w:t>Certain Duties and Obligations of the Members</w:t>
      </w:r>
      <w:r>
        <w:rPr>
          <w:rFonts w:ascii="Times New Roman" w:cs="Times New Roman" w:eastAsia="Times New Roman" w:hAnsi="Times New Roman"/>
          <w:sz w:val="18"/>
          <w:szCs w:val="18"/>
          <w:color w:val="auto"/>
        </w:rPr>
        <w:t>. The Company shall be a partnership only for income tax purposes and this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deemed to create a partnership, joint venture, agency or other relationship among the Members creating fiduciary or quasi-fiduciary duties or similar duties and obligations or to subject the Members to joint and several or vicarious liability or to impose any duty, obligation or liability that would arise therefrom with respect to any or all of the Members or their Affiliates. Except as otherwise provided in this Agreement, no Member shall have any authority to act for, bind, commit or assume any obligation or responsibility on behalf of the Company, its properties or any other Member. No Member, in its capacity as a Member under this Agreement, shall be responsible or liable for any Indebtedness or obligation of another Member. The Company shall not be responsible or liable for any Indebtedness or obligation of any Member, incurred either before or after the execution and delivery of this Agreement by such Member, except as to those responsibilities, liabilities, Indebtedness or obligations incurred pursuant to and as limited by the terms of this Agreement, the Contribution and Unit Holders Agreement, the Contribution Agreement and the LLC Act.</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b w:val="1"/>
          <w:bCs w:val="1"/>
          <w:u w:val="single" w:color="auto"/>
          <w:color w:val="auto"/>
        </w:rPr>
        <w:t>Units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right="200" w:firstLine="1026"/>
        <w:spacing w:after="0" w:line="261" w:lineRule="auto"/>
        <w:tabs>
          <w:tab w:leader="none" w:pos="126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Recapitalization</w:t>
      </w:r>
      <w:r>
        <w:rPr>
          <w:rFonts w:ascii="Times New Roman" w:cs="Times New Roman" w:eastAsia="Times New Roman" w:hAnsi="Times New Roman"/>
          <w:sz w:val="18"/>
          <w:szCs w:val="18"/>
          <w:color w:val="auto"/>
        </w:rPr>
        <w:t>. Pursuant to the Third Amendment (i) each Class A Unit that was issued and outstanding under the First Amended Agreement, as amended by the First Amendment and the Second Amendment, was split into 44,291 Class A Units, and (ii) following the split of Class A Units described in the preceding clause (i), each issued and outstanding Class A Unit was recapitalized into one (1) Common Unit and one (1) Preferred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40" w:lineRule="exact"/>
        <w:rPr>
          <w:sz w:val="20"/>
          <w:szCs w:val="20"/>
          <w:color w:val="auto"/>
        </w:rPr>
      </w:pPr>
    </w:p>
    <w:p>
      <w:pPr>
        <w:ind w:right="100" w:firstLine="1026"/>
        <w:spacing w:after="0" w:line="266" w:lineRule="auto"/>
        <w:tabs>
          <w:tab w:leader="none" w:pos="127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Common Unit Purchase</w:t>
      </w:r>
      <w:r>
        <w:rPr>
          <w:rFonts w:ascii="Times New Roman" w:cs="Times New Roman" w:eastAsia="Times New Roman" w:hAnsi="Times New Roman"/>
          <w:sz w:val="18"/>
          <w:szCs w:val="18"/>
          <w:color w:val="auto"/>
        </w:rPr>
        <w:t>. In connection with the execution of this Agreement (i) NCM Inc. is making its required Capital Contribution to the Company as set forth in the Subscription Agreement, and (ii) in exchange for NCM Inc.’s Capital Contribution, the Company is issuing to NCM Inc. 38,000,000 Common Units (collectively, the “</w:t>
      </w:r>
      <w:r>
        <w:rPr>
          <w:rFonts w:ascii="Times New Roman" w:cs="Times New Roman" w:eastAsia="Times New Roman" w:hAnsi="Times New Roman"/>
          <w:sz w:val="18"/>
          <w:szCs w:val="18"/>
          <w:b w:val="1"/>
          <w:bCs w:val="1"/>
          <w:u w:val="single" w:color="auto"/>
          <w:color w:val="auto"/>
        </w:rPr>
        <w:t>Common Unit Purchase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right="220" w:firstLine="1026"/>
        <w:spacing w:after="0" w:line="266" w:lineRule="auto"/>
        <w:tabs>
          <w:tab w:leader="none" w:pos="126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Over-Allotment Unit Purchase</w:t>
      </w:r>
      <w:r>
        <w:rPr>
          <w:rFonts w:ascii="Times New Roman" w:cs="Times New Roman" w:eastAsia="Times New Roman" w:hAnsi="Times New Roman"/>
          <w:sz w:val="18"/>
          <w:szCs w:val="18"/>
          <w:color w:val="auto"/>
        </w:rPr>
        <w:t>. Pursuant to the terms of the Unit Purchase Agreement, the Founding Members have agreed to sell to NCM Inc. a number of Common Units equal to the number of shares of NCM Inc. common stock sold to the Underwriters pursuant to the Underwriters’ option to purchase an additional 4,000,0000 shares of NCM Inc. common stock under the Underwriting Agreement (the “</w:t>
      </w:r>
      <w:r>
        <w:rPr>
          <w:rFonts w:ascii="Times New Roman" w:cs="Times New Roman" w:eastAsia="Times New Roman" w:hAnsi="Times New Roman"/>
          <w:sz w:val="18"/>
          <w:szCs w:val="18"/>
          <w:b w:val="1"/>
          <w:bCs w:val="1"/>
          <w:u w:val="single" w:color="auto"/>
          <w:color w:val="auto"/>
        </w:rPr>
        <w:t>Over-Allotment Option</w:t>
      </w:r>
      <w:r>
        <w:rPr>
          <w:rFonts w:ascii="Times New Roman" w:cs="Times New Roman" w:eastAsia="Times New Roman" w:hAnsi="Times New Roman"/>
          <w:sz w:val="18"/>
          <w:szCs w:val="18"/>
          <w:color w:val="auto"/>
        </w:rPr>
        <w:t>”). In</w:t>
      </w:r>
    </w:p>
    <w:p>
      <w:pPr>
        <w:spacing w:after="0" w:line="1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 xml:space="preserve">connection with the Underwriters exercise of the Over-Allotment Option for 4,000,000 shares of NCM Inc. common stock on the date of this Agreement and immediately following the Common Unit Purchase, each Founding Member hereby sells, conveys, transfers and assigns to NCM Inc. the number of Common Units, in exchange for the cash consideration, set forth opposite such Founding Member’s name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u w:val="single" w:color="auto"/>
          <w:color w:val="auto"/>
        </w:rPr>
        <w:t>Over-Allotment Unit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Purchase</w:t>
      </w:r>
      <w:r>
        <w:rPr>
          <w:rFonts w:ascii="Times New Roman" w:cs="Times New Roman" w:eastAsia="Times New Roman" w:hAnsi="Times New Roman"/>
          <w:sz w:val="18"/>
          <w:szCs w:val="18"/>
          <w:color w:val="auto"/>
        </w:rPr>
        <w:t>”). The Members hereby acknowledge and agree that NCM Inc. shall have all of the rights of a Member (but not a Founding Member)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Common Units purchased pursuant to the Over-Allotment Unit Purchase.</w:t>
      </w:r>
    </w:p>
    <w:p>
      <w:pPr>
        <w:spacing w:after="0" w:line="126" w:lineRule="exact"/>
        <w:rPr>
          <w:sz w:val="20"/>
          <w:szCs w:val="20"/>
          <w:color w:val="auto"/>
        </w:rPr>
      </w:pPr>
    </w:p>
    <w:p>
      <w:pPr>
        <w:ind w:right="200" w:firstLine="1026"/>
        <w:spacing w:after="0" w:line="266" w:lineRule="auto"/>
        <w:tabs>
          <w:tab w:leader="none" w:pos="127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Common Units</w:t>
      </w:r>
      <w:r>
        <w:rPr>
          <w:rFonts w:ascii="Times New Roman" w:cs="Times New Roman" w:eastAsia="Times New Roman" w:hAnsi="Times New Roman"/>
          <w:sz w:val="18"/>
          <w:szCs w:val="18"/>
          <w:color w:val="auto"/>
        </w:rPr>
        <w:t>. The Common Units shall consist of equal whole, fractional units into which Interests in the Company shall be divided. The Common Units shall be entitled to share in distributions and allocations as provided in Sections 5.4, 6.4 and 7.3, and as otherwise provided in this Agreement.</w:t>
      </w:r>
    </w:p>
    <w:p>
      <w:pPr>
        <w:spacing w:after="0" w:line="121" w:lineRule="exact"/>
        <w:rPr>
          <w:rFonts w:ascii="Times New Roman" w:cs="Times New Roman" w:eastAsia="Times New Roman" w:hAnsi="Times New Roman"/>
          <w:sz w:val="18"/>
          <w:szCs w:val="18"/>
          <w:color w:val="auto"/>
        </w:rPr>
      </w:pPr>
    </w:p>
    <w:p>
      <w:pPr>
        <w:ind w:firstLine="1026"/>
        <w:spacing w:after="0" w:line="252" w:lineRule="auto"/>
        <w:tabs>
          <w:tab w:leader="none" w:pos="126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Units; Preferred Distribution</w:t>
      </w:r>
      <w:r>
        <w:rPr>
          <w:rFonts w:ascii="Times New Roman" w:cs="Times New Roman" w:eastAsia="Times New Roman" w:hAnsi="Times New Roman"/>
          <w:sz w:val="18"/>
          <w:szCs w:val="18"/>
          <w:color w:val="auto"/>
        </w:rPr>
        <w:t>. In connection with the execution of this Agreement and immediately following the Common Unit Purchase, the Over-Allotment Unit Purchase and the Company’s payment of the Initial ESA Modification Payment, the Company shall incur $725,000,000 of term Indebtedness pursuant to the Senior Credit Facility (as defined in this Agreement as in effect on February 13, 2007) (the “</w:t>
      </w:r>
      <w:r>
        <w:rPr>
          <w:rFonts w:ascii="Times New Roman" w:cs="Times New Roman" w:eastAsia="Times New Roman" w:hAnsi="Times New Roman"/>
          <w:sz w:val="18"/>
          <w:szCs w:val="18"/>
          <w:b w:val="1"/>
          <w:bCs w:val="1"/>
          <w:u w:val="single" w:color="auto"/>
          <w:color w:val="auto"/>
        </w:rPr>
        <w:t>Preferred Unit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Indebtedness</w:t>
      </w:r>
      <w:r>
        <w:rPr>
          <w:rFonts w:ascii="Times New Roman" w:cs="Times New Roman" w:eastAsia="Times New Roman" w:hAnsi="Times New Roman"/>
          <w:sz w:val="18"/>
          <w:szCs w:val="18"/>
          <w:color w:val="auto"/>
        </w:rPr>
        <w:t>”) for the purpose of redeeming the Preferred Units. The total amount to be paid in redemption and complete satisfaction of all of the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outstanding Preferred Units shall be $769,525,602 (the “</w:t>
      </w:r>
      <w:r>
        <w:rPr>
          <w:rFonts w:ascii="Times New Roman" w:cs="Times New Roman" w:eastAsia="Times New Roman" w:hAnsi="Times New Roman"/>
          <w:sz w:val="18"/>
          <w:szCs w:val="18"/>
          <w:b w:val="1"/>
          <w:bCs w:val="1"/>
          <w:u w:val="single" w:color="auto"/>
          <w:color w:val="auto"/>
        </w:rPr>
        <w:t>Preferred Distribution</w:t>
      </w:r>
      <w:r>
        <w:rPr>
          <w:rFonts w:ascii="Times New Roman" w:cs="Times New Roman" w:eastAsia="Times New Roman" w:hAnsi="Times New Roman"/>
          <w:sz w:val="18"/>
          <w:szCs w:val="18"/>
          <w:color w:val="auto"/>
        </w:rPr>
        <w:t xml:space="preserve">”), determined as follows (i) the amount of the Preferred Unit Indebtedness,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(ii) $15,250,000 (the expenses associated with the Preferred Unit Indebtedness),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$59,775,602 (the amount by which the Capital Contribution made by NCM Inc. to the Company pursuant to the Subscription Agreement exceeds the Initial ESA Modification Payment). The 55,850,951 issued and outstanding Preferred Units shall share equally in the Preferred Distribution and each Preferred Unit shall be entitled to receive $13.7782 (the “</w:t>
      </w:r>
      <w:r>
        <w:rPr>
          <w:rFonts w:ascii="Times New Roman" w:cs="Times New Roman" w:eastAsia="Times New Roman" w:hAnsi="Times New Roman"/>
          <w:sz w:val="18"/>
          <w:szCs w:val="18"/>
          <w:b w:val="1"/>
          <w:bCs w:val="1"/>
          <w:u w:val="single" w:color="auto"/>
          <w:color w:val="auto"/>
        </w:rPr>
        <w:t>Preferred Unit Amount</w:t>
      </w:r>
      <w:r>
        <w:rPr>
          <w:rFonts w:ascii="Times New Roman" w:cs="Times New Roman" w:eastAsia="Times New Roman" w:hAnsi="Times New Roman"/>
          <w:sz w:val="18"/>
          <w:szCs w:val="18"/>
          <w:color w:val="auto"/>
        </w:rPr>
        <w:t xml:space="preserve">”) in redemption and complete satisfaction of all amounts to which each Preferred Unit is entitled under this Section 3.4(e). In the redemption of the Preferred Units, each Founding Member shall receive a whole dollar amount equal to the product of (x) the Preferred Unit Amount,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(y) the number of Preferred Units held by such Founding Member. The amount to be paid to each Founding Member in redemption and complete satisfaction of all of such Founding Member’s Preferred Units is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All of the issued and outstanding Preferred Units shall automatically terminate and cease to be outstanding on payment of the Preferred Unit Amount to which each Preferred Unit is entitled under this Section 3.4(e).</w:t>
      </w:r>
    </w:p>
    <w:p>
      <w:pPr>
        <w:spacing w:after="0" w:line="143" w:lineRule="exact"/>
        <w:rPr>
          <w:rFonts w:ascii="Times New Roman" w:cs="Times New Roman" w:eastAsia="Times New Roman" w:hAnsi="Times New Roman"/>
          <w:sz w:val="18"/>
          <w:szCs w:val="18"/>
          <w:color w:val="auto"/>
        </w:rPr>
      </w:pPr>
    </w:p>
    <w:p>
      <w:pPr>
        <w:ind w:right="200" w:firstLine="1026"/>
        <w:spacing w:after="0" w:line="282" w:lineRule="auto"/>
        <w:tabs>
          <w:tab w:leader="none" w:pos="124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Common Units</w:t>
      </w:r>
      <w:r>
        <w:rPr>
          <w:rFonts w:ascii="Times New Roman" w:cs="Times New Roman" w:eastAsia="Times New Roman" w:hAnsi="Times New Roman"/>
          <w:sz w:val="18"/>
          <w:szCs w:val="18"/>
          <w:color w:val="auto"/>
        </w:rPr>
        <w:t>. The Common Units of the Founding Members and their Affiliates shall be adjusted from time to time as provided in the Common Unit Adjustment Agreement, which is incorporated herein by reference.</w:t>
      </w:r>
    </w:p>
    <w:p>
      <w:pPr>
        <w:spacing w:after="0" w:line="107" w:lineRule="exact"/>
        <w:rPr>
          <w:rFonts w:ascii="Times New Roman" w:cs="Times New Roman" w:eastAsia="Times New Roman" w:hAnsi="Times New Roman"/>
          <w:sz w:val="18"/>
          <w:szCs w:val="18"/>
          <w:color w:val="auto"/>
        </w:rPr>
      </w:pPr>
    </w:p>
    <w:p>
      <w:pPr>
        <w:ind w:firstLine="1026"/>
        <w:spacing w:after="0" w:line="261" w:lineRule="auto"/>
        <w:tabs>
          <w:tab w:leader="none" w:pos="127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Unit Splits, Ratios and Other Unit Adjustments</w:t>
      </w:r>
      <w:r>
        <w:rPr>
          <w:rFonts w:ascii="Times New Roman" w:cs="Times New Roman" w:eastAsia="Times New Roman" w:hAnsi="Times New Roman"/>
          <w:sz w:val="18"/>
          <w:szCs w:val="18"/>
          <w:color w:val="auto"/>
        </w:rPr>
        <w:t>. The Company shall undertake all actions, including, without limitation, a reclassification, distribution, division or recapitalization, with respect to the Common Units, to maintain at all times a one-to-one ratio between the number of Common Units owned by NCM Inc. and the number of outstanding shares of NCM Inc. common stock, disregarding, for purposes of maintaining the one-to-one ratio, Unvested NCM Inc. Shares, treasury stock, preferred stock or other securities of NCM Inc. that are not convertible into or exercisable or</w:t>
      </w:r>
    </w:p>
    <w:p>
      <w:pPr>
        <w:spacing w:after="0" w:line="1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exchangeable for common stock of NCM Inc. In the event NCM Inc. issues, transfers from treasury stock or repurchases NCM Inc. common stock in a transaction not contemplated in this Agreement, the Manager shall have the authority to take all actions such that, after giving effect to all such issuances, transfers or repurchases, the number of outstanding Common Units owned by NCM Inc. will equal on a one-for-one basis the number of outstanding shares of NCM Inc. common stock. In the event NCM Inc. issues, transfers from treasury stock or repurchases NCM Inc. preferred stock in a transaction not contemplated in this Agreement, the Manager shall have the authority to take all actions such that, after giving effect to all such issuances, transfers or repurchases, NCM Inc. holds mirror equity interests in the Company which (in the good faith determination by the Manager)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4" w:name="page135"/>
    <w:bookmarkEnd w:id="134"/>
    <w:p>
      <w:pPr>
        <w:spacing w:after="0" w:line="1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aggregate substantially equivalent to the outstanding NCM Inc. preferred stock. The Company shall not undertake any subdivision (by any Unit split, Unit distribution, reclassification, recapitalization or similar event) or combination (by reverse Unit split, reclassification, recapitalization or similar event) of the Units that is not accompanied by an identical subdivision or combination of the NCM Inc. common stock to maintain at all times a one-to-one ratio between the number of Common Units owned by NCM Inc. and the number of outstanding shares of NCM Inc. common stock, unless such action is necessary to maintain at all times a one-to-one ratio between the number of Common Units owned by NCM Inc. and the number of outstanding shares of NCM Inc. common stock as contemplated by the first sentence of this Section 3.4(g).</w:t>
      </w:r>
    </w:p>
    <w:p>
      <w:pPr>
        <w:spacing w:after="0" w:line="133" w:lineRule="exact"/>
        <w:rPr>
          <w:sz w:val="20"/>
          <w:szCs w:val="20"/>
          <w:color w:val="auto"/>
        </w:rPr>
      </w:pPr>
    </w:p>
    <w:p>
      <w:pPr>
        <w:ind w:right="60" w:firstLine="1026"/>
        <w:spacing w:after="0" w:line="257" w:lineRule="auto"/>
        <w:tabs>
          <w:tab w:leader="none" w:pos="1273"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Transfer</w:t>
      </w:r>
      <w:r>
        <w:rPr>
          <w:rFonts w:ascii="Times New Roman" w:cs="Times New Roman" w:eastAsia="Times New Roman" w:hAnsi="Times New Roman"/>
          <w:sz w:val="18"/>
          <w:szCs w:val="18"/>
          <w:color w:val="auto"/>
        </w:rPr>
        <w:t xml:space="preserve">. Common Units shall be evidenced by a certificate issued by the Company to the holder thereof and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 Such certificates shall be entered in the books of the Company as they are issued, and shall be signed by a duly designated officer of the Company and may be sealed with the Company’s seal or a facsimile thereof. Upon any Transfer permitted under this Agreement</w:t>
      </w:r>
    </w:p>
    <w:p>
      <w:pPr>
        <w:spacing w:after="0" w:line="1" w:lineRule="exact"/>
        <w:rPr>
          <w:rFonts w:ascii="Times New Roman" w:cs="Times New Roman" w:eastAsia="Times New Roman" w:hAnsi="Times New Roman"/>
          <w:sz w:val="18"/>
          <w:szCs w:val="18"/>
          <w:color w:val="auto"/>
        </w:rPr>
      </w:pPr>
    </w:p>
    <w:p>
      <w:pPr>
        <w:ind w:right="20" w:firstLine="8"/>
        <w:spacing w:after="0" w:line="251" w:lineRule="auto"/>
        <w:tabs>
          <w:tab w:leader="none" w:pos="21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Transferring Member shall surrender to the Company a certificate or certificates representing at least the number of Common Units being Transferred, and (ii) the Company shall issue (x) to the transferee a certificate for the number of Common Units Transferred, and (y) to the Transferring Member a certificate representing the remaining number of Common Units equal to the difference (if any) between the number of Common Units evidenced by the certificate or certificates surrendered pursuant to clause (i) and the number of Common Units Transferred. No Transfer of Common Units shall be valid as against the Company except upon surrender to and cancellation of the appropriate certificate or certificates, accompanied by an assignment or Transfer by the Member, subject to any restrictions on Transfer contained in this Agreement. The Company may issue a new certificate for Common Units in place of any certificate or certificates previously issued by it, alleged to have been lost or destroyed, upon the making of an affidavit of that fact, and providing an indemnity in form and substance reasonably satisfactory to the Manager, by the Person claiming the certificate or certificates to be lost or destroyed.</w:t>
      </w:r>
    </w:p>
    <w:p>
      <w:pPr>
        <w:spacing w:after="0" w:line="139" w:lineRule="exact"/>
        <w:rPr>
          <w:rFonts w:ascii="Times New Roman" w:cs="Times New Roman" w:eastAsia="Times New Roman" w:hAnsi="Times New Roman"/>
          <w:sz w:val="18"/>
          <w:szCs w:val="18"/>
          <w:color w:val="auto"/>
        </w:rPr>
      </w:pPr>
    </w:p>
    <w:p>
      <w:pPr>
        <w:ind w:firstLine="1026"/>
        <w:spacing w:after="0" w:line="263" w:lineRule="auto"/>
        <w:tabs>
          <w:tab w:leader="none" w:pos="123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Series B Preferred Units</w:t>
      </w:r>
      <w:r>
        <w:rPr>
          <w:rFonts w:ascii="Times New Roman" w:cs="Times New Roman" w:eastAsia="Times New Roman" w:hAnsi="Times New Roman"/>
          <w:sz w:val="18"/>
          <w:szCs w:val="18"/>
          <w:color w:val="auto"/>
        </w:rPr>
        <w:t>. The Series B Preferred Units shall consist of 50 Units in the Company with terms that are substantially the same as (as determined in good faith by the Manager, but including term, entitlement to distributions and absence of voting rights) the terms of the 50 shares of Series B Preferred Stock as set forth in that certain Certificate of Designation of Series B Non-Convertible Preferred Stock of NCM, Inc. issued as of the date hereof. For the avoidance of doubt, the Series B Preferred Units shall not constitute “Preferred Units” as otherwise used pursuant to this Agreement. Appropriate adjustments shall be made (in the Manager’s good faith discretion) to the terms of this Agreement (including distributions and allocations to be made pursuant to Articles 5 and 6 of this Agreement) to give due effect to the terms of such Series B Preferred Units.</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3.5 </w:t>
      </w:r>
      <w:r>
        <w:rPr>
          <w:rFonts w:ascii="Times New Roman" w:cs="Times New Roman" w:eastAsia="Times New Roman" w:hAnsi="Times New Roman"/>
          <w:sz w:val="18"/>
          <w:szCs w:val="18"/>
          <w:b w:val="1"/>
          <w:bCs w:val="1"/>
          <w:u w:val="single" w:color="auto"/>
          <w:color w:val="auto"/>
        </w:rPr>
        <w:t>Authorization and Issuance of Additional Units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firstLine="1026"/>
        <w:spacing w:after="0" w:line="261" w:lineRule="auto"/>
        <w:tabs>
          <w:tab w:leader="none" w:pos="126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General</w:t>
      </w:r>
      <w:r>
        <w:rPr>
          <w:rFonts w:ascii="Times New Roman" w:cs="Times New Roman" w:eastAsia="Times New Roman" w:hAnsi="Times New Roman"/>
          <w:sz w:val="18"/>
          <w:szCs w:val="18"/>
          <w:color w:val="auto"/>
        </w:rPr>
        <w:t>. The Company shall only be permitted to issue additional Units or other Equity Interests in the Company to the Persons and on the terms and conditions provided for in Section 3.4 and this Section 3.5. The Manager may cause the Company to issue additional Common Units authorized under this Agreement at such times and upon such terms as the Manager shall determine. The Manager shall amend this Agreement as necessary in connection with the issuance of additional Common Units and admission of additional Members under this Section 3.5.</w:t>
      </w:r>
    </w:p>
    <w:p>
      <w:pPr>
        <w:spacing w:after="0" w:line="112" w:lineRule="exact"/>
        <w:rPr>
          <w:rFonts w:ascii="Times New Roman" w:cs="Times New Roman" w:eastAsia="Times New Roman" w:hAnsi="Times New Roman"/>
          <w:sz w:val="18"/>
          <w:szCs w:val="18"/>
          <w:color w:val="auto"/>
        </w:rPr>
      </w:pPr>
    </w:p>
    <w:p>
      <w:pPr>
        <w:ind w:right="20" w:firstLine="1026"/>
        <w:spacing w:after="0" w:line="254" w:lineRule="auto"/>
        <w:tabs>
          <w:tab w:leader="none" w:pos="127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Redemption Right</w:t>
      </w:r>
      <w:r>
        <w:rPr>
          <w:rFonts w:ascii="Times New Roman" w:cs="Times New Roman" w:eastAsia="Times New Roman" w:hAnsi="Times New Roman"/>
          <w:sz w:val="18"/>
          <w:szCs w:val="18"/>
          <w:color w:val="auto"/>
        </w:rPr>
        <w:t>. In connection with the exercise of a Redeeming Member’s Redemption Rights under Section 9.1(a), NCM Inc. shall contribute to the Company the consideration the Redeeming Member is entitled to receive under Section 9.1(b). NCM Inc., at its option, shall determine whether to contribute, pursuant to Section 9.1(b), the Share Settlement or the Cash Settlement. Unless the Redeeming Member has timely delivered a Retraction Notice as provided in Section 9.1(b), on the Redemption Date (to be effective immediately prior to the close of business on the Redemption Date) (i) NCM Inc. shall make its capital contribution to the Company (in the form of the Share Settlement or the Cash Settlement) required under this Section 3.5(b), and (ii) the Company shall issue to NCM Inc. a number of Common Units equal to the number of Redeemed Units surrendered by the Redeeming Member. The timely delivery of a Retraction Notice shall terminate all of the Company’s and NCM Inc.’s rights and obligations under this Section 3.5(b) arising from the Redemption Notice.</w:t>
      </w:r>
    </w:p>
    <w:p>
      <w:pPr>
        <w:spacing w:after="0" w:line="137" w:lineRule="exact"/>
        <w:rPr>
          <w:rFonts w:ascii="Times New Roman" w:cs="Times New Roman" w:eastAsia="Times New Roman" w:hAnsi="Times New Roman"/>
          <w:sz w:val="18"/>
          <w:szCs w:val="18"/>
          <w:color w:val="auto"/>
        </w:rPr>
      </w:pPr>
    </w:p>
    <w:p>
      <w:pPr>
        <w:ind w:left="1280" w:hanging="254"/>
        <w:spacing w:after="0"/>
        <w:tabs>
          <w:tab w:leader="none" w:pos="12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Compensation Issued by NCM Inc</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right="740" w:firstLine="1663"/>
        <w:spacing w:after="0" w:line="282" w:lineRule="auto"/>
        <w:tabs>
          <w:tab w:leader="none" w:pos="187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exercise of Options, NCM Inc. shall have the right to acquire additional Common Units from the Company. NCM Inc. shall exercise its rights under this Section 3.5(c)(i)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5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giving written notice (the “</w:t>
      </w:r>
      <w:r>
        <w:rPr>
          <w:rFonts w:ascii="Times New Roman" w:cs="Times New Roman" w:eastAsia="Times New Roman" w:hAnsi="Times New Roman"/>
          <w:sz w:val="18"/>
          <w:szCs w:val="18"/>
          <w:b w:val="1"/>
          <w:bCs w:val="1"/>
          <w:u w:val="single" w:color="auto"/>
          <w:color w:val="auto"/>
        </w:rPr>
        <w:t>Equity Compensation Notice</w:t>
      </w:r>
      <w:r>
        <w:rPr>
          <w:rFonts w:ascii="Times New Roman" w:cs="Times New Roman" w:eastAsia="Times New Roman" w:hAnsi="Times New Roman"/>
          <w:sz w:val="18"/>
          <w:szCs w:val="18"/>
          <w:color w:val="auto"/>
        </w:rPr>
        <w:t xml:space="preserve">”) to the Company and all Members following exercise of the Options. The Equity Compensation Notice shall specify the net number of shares of NCM Inc. common stock issued by NCM Inc. pursuant to exercise of the Options. The Company shall issue the Common Units to which NCM Inc. is entitled under Section 3.5(c)(i) within three (3) Business Days after delivery of the Equity Compensation Notice (to be effective immediately prior to the close of business on such date). The number of additional Common Units that NCM Inc. shall be entitled to receive under this Section 3.5(c)(i) shall be equal to the net number of shares of NCM Inc. common stock issued by NCM Inc. pursuant to the exercise of the Options. The net number of shares of NCM Inc. common stock issued by NCM Inc. pursuant to exercise of the Options shall be equal to (i) the number of shares of NCM Inc. common stock with respect to which the Options were exercised,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(ii) any shares of NCM Inc. common stock transferred to or withheld by NCM Inc. (e.g., in connection with a stock swap or otherwise) in satisfaction of the exercise price or taxes payable as a result of the exercise of the Options. In consideration of the Common Units issued by the Company to NCM Inc. under this Section 3.5(c)(i), NCM Inc. shall contribute to the Company the cash consideration, if any, received by NCM Inc. in exchange for the net shares of NCM Inc. common stock issued pursuant to exercise of the Options. NCM Inc. shall contribute any cash consideration to which the Company is entitled under this Section 3.5(c)(i) on the same date (and to be effective as of the same time) that the Company issues the Common Units to NCM Inc.</w:t>
      </w:r>
    </w:p>
    <w:p>
      <w:pPr>
        <w:spacing w:after="0" w:line="140" w:lineRule="exact"/>
        <w:rPr>
          <w:sz w:val="20"/>
          <w:szCs w:val="20"/>
          <w:color w:val="auto"/>
        </w:rPr>
      </w:pPr>
    </w:p>
    <w:p>
      <w:pPr>
        <w:jc w:val="both"/>
        <w:ind w:firstLine="1663"/>
        <w:spacing w:after="0" w:line="266" w:lineRule="auto"/>
        <w:tabs>
          <w:tab w:leader="none" w:pos="19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grant of NCM Inc. common stock pursuant to the Equity Incentive Plan (including, without limitation, the issuance of restricted and non-restricted NCM Inc. common stock, the payment of bonuses in NCM Inc. common stock, the issuance of NCM Inc. common stock in settlement of stock appreciation rights or otherwise), other than through the exercise of Options as contemplated in Section 3.5(c)(i), NCM Inc.</w:t>
      </w:r>
    </w:p>
    <w:p>
      <w:pPr>
        <w:spacing w:after="0" w:line="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shall deliver an Equity Compensation Notice to the Company and all Members following the date on which shares of such NCM Inc. common stock are vested under applicable law (“</w:t>
      </w:r>
      <w:r>
        <w:rPr>
          <w:rFonts w:ascii="Times New Roman" w:cs="Times New Roman" w:eastAsia="Times New Roman" w:hAnsi="Times New Roman"/>
          <w:sz w:val="18"/>
          <w:szCs w:val="18"/>
          <w:b w:val="1"/>
          <w:bCs w:val="1"/>
          <w:u w:val="single" w:color="auto"/>
          <w:color w:val="auto"/>
        </w:rPr>
        <w:t>Vested NCM Inc. Shares</w:t>
      </w:r>
      <w:r>
        <w:rPr>
          <w:rFonts w:ascii="Times New Roman" w:cs="Times New Roman" w:eastAsia="Times New Roman" w:hAnsi="Times New Roman"/>
          <w:sz w:val="18"/>
          <w:szCs w:val="18"/>
          <w:color w:val="auto"/>
        </w:rPr>
        <w:t>”). The Equity Compensation Notice shall specify the number of Vested NCM Inc. Shares. Within three (3) Business Days after delivery of the Equity Compensation Notice (to be effective immediately prior to the close of business on such date) (i) the Company shall (x) issue to NCM Inc. a number of Common Units equal to the number of Vested NCM Inc. Shares, and (y) make a special distribution to NCM Inc. from Available Cash (to the extent such distribution is not restricted under Section 10.2.4 of the 2023 Credit Facility) in respect of such Common Units in an amount equal to any dividends paid or payable by NCM Inc. in respect of such Vested NCM Inc. Shares, and (ii) NCM Inc. shall contribute to the Company any cash consideration received by NCM Inc. in respect of such Vested NCM Inc. Shares.</w:t>
      </w:r>
    </w:p>
    <w:p>
      <w:pPr>
        <w:spacing w:after="0" w:line="184" w:lineRule="exact"/>
        <w:rPr>
          <w:sz w:val="20"/>
          <w:szCs w:val="20"/>
          <w:color w:val="auto"/>
        </w:rPr>
      </w:pPr>
    </w:p>
    <w:p>
      <w:pPr>
        <w:ind w:right="40" w:firstLine="1026"/>
        <w:spacing w:after="0" w:line="258" w:lineRule="auto"/>
        <w:tabs>
          <w:tab w:leader="none" w:pos="127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Issuances</w:t>
      </w:r>
      <w:r>
        <w:rPr>
          <w:rFonts w:ascii="Times New Roman" w:cs="Times New Roman" w:eastAsia="Times New Roman" w:hAnsi="Times New Roman"/>
          <w:sz w:val="18"/>
          <w:szCs w:val="18"/>
          <w:color w:val="auto"/>
        </w:rPr>
        <w:t>. In the event that NCM Inc. issues, transfers or delivers from treasury stock or available shares or repurchases shares of NCM Inc. common stock in any transaction not contemplated in this Agreement (including but not limited to an at-the-market offering, registered offering, or private placement), the Manager and the Company shall take all actions such that, after giving effect to all such issuances, transfers, deliveries or repurchases, the number of outstanding Common Units owned, directly or indirectly, by NCM Inc. will equal on a one-for-one basis the number of outstanding shares of NCM Inc.’s common stock. Analogous principles shall apply mutatis mutandis to Series B Preferred Units.</w:t>
      </w:r>
    </w:p>
    <w:p>
      <w:pPr>
        <w:spacing w:after="0" w:line="125"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3.6 </w:t>
      </w:r>
      <w:r>
        <w:rPr>
          <w:rFonts w:ascii="Times New Roman" w:cs="Times New Roman" w:eastAsia="Times New Roman" w:hAnsi="Times New Roman"/>
          <w:sz w:val="18"/>
          <w:szCs w:val="18"/>
          <w:b w:val="1"/>
          <w:bCs w:val="1"/>
          <w:u w:val="single" w:color="auto"/>
          <w:color w:val="auto"/>
        </w:rPr>
        <w:t>Business Opportunities; Non-Competition</w:t>
      </w:r>
      <w:r>
        <w:rPr>
          <w:rFonts w:ascii="Times New Roman" w:cs="Times New Roman" w:eastAsia="Times New Roman" w:hAnsi="Times New Roman"/>
          <w:sz w:val="18"/>
          <w:szCs w:val="18"/>
          <w:color w:val="auto"/>
        </w:rPr>
        <w:t>. Except as provided in this Agreement and as may be otherwise provided in any written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Company to which a Member or its Affiliates is a party (including Section 12.07 of the Exhibitor Services Agreements), each Member and their Affiliates may have other business interests or may engage in other business ventures of any nature or description whatsoever regardless of whether they compete with the business and purpose of the Company set forth in Section 2.6.</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MANAGEMENT AND OPERATIONS</w:t>
      </w:r>
    </w:p>
    <w:p>
      <w:pPr>
        <w:spacing w:after="0" w:line="171" w:lineRule="exact"/>
        <w:rPr>
          <w:sz w:val="20"/>
          <w:szCs w:val="20"/>
          <w:color w:val="auto"/>
        </w:rPr>
      </w:pPr>
    </w:p>
    <w:p>
      <w:pPr>
        <w:ind w:right="34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Manager</w:t>
      </w:r>
      <w:r>
        <w:rPr>
          <w:rFonts w:ascii="Times New Roman" w:cs="Times New Roman" w:eastAsia="Times New Roman" w:hAnsi="Times New Roman"/>
          <w:sz w:val="18"/>
          <w:szCs w:val="18"/>
          <w:color w:val="auto"/>
        </w:rPr>
        <w:t>. The Company shall be managed by one manager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Manager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that shall be NCM Inc. NCM Inc. may not be removed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Manager except as provided in Section 4.7. Any Manager that is properly removed pursuant to Section 4.7 shall be replaced in the manner provided in Section 4.8. Except to the extent deemed appropriate by NCM Inc. in connection with its status under the Investment Company Act of 1940, so long as NCM Inc. is the Manager, NCM Inc. shall not, directly or indirectly enter into or conduct any business other than (i) in connection with the ownership, acquisition or disposition of Units as a Member, (ii) the management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6" w:name="page137"/>
    <w:bookmarkEnd w:id="136"/>
    <w:p>
      <w:pPr>
        <w:spacing w:after="0" w:line="14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business of the Company as provided herein, (iii) NCM Inc.’s operation as a public reporting company with a class of securities registered under the Exchange Act, and (iv) such other activities that are incidental to the foregoing.</w:t>
      </w:r>
    </w:p>
    <w:p>
      <w:pPr>
        <w:spacing w:after="0" w:line="104"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Management Authority</w:t>
      </w:r>
      <w:r>
        <w:rPr>
          <w:rFonts w:ascii="Times New Roman" w:cs="Times New Roman" w:eastAsia="Times New Roman" w:hAnsi="Times New Roman"/>
          <w:sz w:val="18"/>
          <w:szCs w:val="18"/>
          <w:color w:val="auto"/>
        </w:rPr>
        <w:t>. Except as provided in Section 4.3, the Manager shall have authority on behalf of the Company to make all decisions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Company’s business without the approval of the Members. In connection with the implementation, consummation or administration of any matter within the scope of the Manager’s authority, the Manager is authorized, without the approval of the Members, to execute and deliver on behalf of the Company contracts, instruments, conveyances, checks, drafts and other documents of any kind or character to the extent the Manager deems it necessary or desirable. The Manager may delegate to officers, employees, agents or representatives of the Company or the Manager any or all of the foregoing powers by written authorization identifying specifically or generally the powers delegated or acts authorized.</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Founding Member Approval Rights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firstLine="1026"/>
        <w:spacing w:after="0" w:line="252" w:lineRule="auto"/>
        <w:tabs>
          <w:tab w:leader="none" w:pos="126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shall not take, or cause the Company to take, action with respect to the matters provided for in Section 4.3(b) without Founding Member Approval (“</w:t>
      </w:r>
      <w:r>
        <w:rPr>
          <w:rFonts w:ascii="Times New Roman" w:cs="Times New Roman" w:eastAsia="Times New Roman" w:hAnsi="Times New Roman"/>
          <w:sz w:val="18"/>
          <w:szCs w:val="18"/>
          <w:b w:val="1"/>
          <w:bCs w:val="1"/>
          <w:u w:val="single" w:color="auto"/>
          <w:color w:val="auto"/>
        </w:rPr>
        <w:t>Founding Member Approval Rights</w:t>
      </w:r>
      <w:r>
        <w:rPr>
          <w:rFonts w:ascii="Times New Roman" w:cs="Times New Roman" w:eastAsia="Times New Roman" w:hAnsi="Times New Roman"/>
          <w:sz w:val="18"/>
          <w:szCs w:val="18"/>
          <w:color w:val="auto"/>
        </w:rPr>
        <w:t>”) if (i) an individual designated by a Founding Member pursuant to the Director Designation Agreement is not nominated or appointed to the board of directors of NCM Inc. under circumstances constituting a breach of the Director Designation Agreement, or (ii) such designee (or if the designee is not elected in circumstances under which the Founding Member can designate a successor, such successor designee) is not elected to the board of directors of NCM Inc. after being designated in accordance with the Director Designation Agreement. Upon the occurrence of a condition giving rise to Founding Member Approval Rights, the Founding Member Approval Rights shall continue until the earlier of (x) the date on which the conditions that gave rise to Founding Member Approval Rights no longer exist, or (y) the delivery of written notice waiving the Founding Member Approval Rights by the Founding Member(s) whose designees or successor designees were not nominated, appointed or elected to the board of directors of NCM Inc. A Founding Member that designated an individual who is either not nominated, appointed or elected to the board of directors of NCM Inc. under circumstances giving rise to the Founding Member Approval Rights under this Section 4.3 may waive the Founding Member Approval Rights by delivering written notice to the Company and the other Founding Members. Any waiver by a Founding Member of its Founding Member Approval Rights shall only serve as a waiver with respect to the specific conditions that gave rise to the Founding Member Approval Rights being waived and shall not constitute a waiver with respect to any other rights under this Agreement and any Founding Member Approval Rights that the Founding Member may have in the future as a result of the existence of a condition giving rise to Founding Member Approval Rights subsequent to such waiver.</w:t>
      </w:r>
    </w:p>
    <w:p>
      <w:pPr>
        <w:spacing w:after="0" w:line="142" w:lineRule="exact"/>
        <w:rPr>
          <w:rFonts w:ascii="Times New Roman" w:cs="Times New Roman" w:eastAsia="Times New Roman" w:hAnsi="Times New Roman"/>
          <w:sz w:val="18"/>
          <w:szCs w:val="18"/>
          <w:color w:val="auto"/>
        </w:rPr>
      </w:pPr>
    </w:p>
    <w:p>
      <w:pPr>
        <w:ind w:right="60" w:firstLine="1026"/>
        <w:spacing w:after="0" w:line="261" w:lineRule="auto"/>
        <w:tabs>
          <w:tab w:leader="none" w:pos="127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matters provided for in this Section 4.3(b) are not intended to modify the Manager’s responsibilities for managing the day-to-day business and affairs of the Company. Subject to the foregoing and notwithstanding anything to the contrary in this Agreement, the Company shall not take, cause to be taken, or agree to take or authorize any of the following actions without Founding Member Approval during the periods of time provided for in Section 4.3(a):</w:t>
      </w:r>
    </w:p>
    <w:p>
      <w:pPr>
        <w:spacing w:after="0" w:line="44" w:lineRule="exact"/>
        <w:rPr>
          <w:rFonts w:ascii="Times New Roman" w:cs="Times New Roman" w:eastAsia="Times New Roman" w:hAnsi="Times New Roman"/>
          <w:sz w:val="18"/>
          <w:szCs w:val="18"/>
          <w:color w:val="auto"/>
        </w:rPr>
      </w:pPr>
    </w:p>
    <w:p>
      <w:pPr>
        <w:ind w:left="1880" w:hanging="217"/>
        <w:spacing w:after="0"/>
        <w:tabs>
          <w:tab w:leader="none" w:pos="188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any Budget or any amendment or modification of the Budget;</w:t>
      </w:r>
    </w:p>
    <w:p>
      <w:pPr>
        <w:spacing w:after="0" w:line="171" w:lineRule="exact"/>
        <w:rPr>
          <w:rFonts w:ascii="Times New Roman" w:cs="Times New Roman" w:eastAsia="Times New Roman" w:hAnsi="Times New Roman"/>
          <w:sz w:val="18"/>
          <w:szCs w:val="18"/>
          <w:color w:val="auto"/>
        </w:rPr>
      </w:pPr>
    </w:p>
    <w:p>
      <w:pPr>
        <w:ind w:right="560" w:firstLine="1663"/>
        <w:spacing w:after="0" w:line="282" w:lineRule="auto"/>
        <w:tabs>
          <w:tab w:leader="none" w:pos="192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any Indebtedness or entering into or consummating any other financing transaction, in either case for an amount that is not provided for in the Budget;</w:t>
      </w:r>
    </w:p>
    <w:p>
      <w:pPr>
        <w:spacing w:after="0" w:line="107" w:lineRule="exact"/>
        <w:rPr>
          <w:rFonts w:ascii="Times New Roman" w:cs="Times New Roman" w:eastAsia="Times New Roman" w:hAnsi="Times New Roman"/>
          <w:sz w:val="18"/>
          <w:szCs w:val="18"/>
          <w:color w:val="auto"/>
        </w:rPr>
      </w:pPr>
    </w:p>
    <w:p>
      <w:pPr>
        <w:ind w:right="200" w:firstLine="1663"/>
        <w:spacing w:after="0" w:line="266" w:lineRule="auto"/>
        <w:tabs>
          <w:tab w:leader="none" w:pos="197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entering into or consummation of any agreements or arrangements involving annual payments by the Company (including the fair market value of any barter) in excess of $5 million (as adjusted by the CPI Adjustment), except as otherwise provided for in the Budget, or any material modification of any such agreements or arrangements;</w:t>
      </w:r>
    </w:p>
    <w:p>
      <w:pPr>
        <w:spacing w:after="0" w:line="108" w:lineRule="exact"/>
        <w:rPr>
          <w:rFonts w:ascii="Times New Roman" w:cs="Times New Roman" w:eastAsia="Times New Roman" w:hAnsi="Times New Roman"/>
          <w:sz w:val="18"/>
          <w:szCs w:val="18"/>
          <w:color w:val="auto"/>
        </w:rPr>
      </w:pPr>
    </w:p>
    <w:p>
      <w:pPr>
        <w:ind w:right="40" w:firstLine="1663"/>
        <w:spacing w:after="0" w:line="282" w:lineRule="auto"/>
        <w:tabs>
          <w:tab w:leader="none" w:pos="19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entering into or consummation of any agreements or arrangements involving annual receipts (including the fair market value of any barter) in excess of $20 million (as adjusted by the CPI Adjustment), or any material modification of any such agreements or arrangements;</w:t>
      </w:r>
    </w:p>
    <w:p>
      <w:pPr>
        <w:spacing w:after="0" w:line="107" w:lineRule="exact"/>
        <w:rPr>
          <w:rFonts w:ascii="Times New Roman" w:cs="Times New Roman" w:eastAsia="Times New Roman" w:hAnsi="Times New Roman"/>
          <w:sz w:val="18"/>
          <w:szCs w:val="18"/>
          <w:color w:val="auto"/>
        </w:rPr>
      </w:pPr>
    </w:p>
    <w:p>
      <w:pPr>
        <w:ind w:right="300" w:firstLine="1663"/>
        <w:spacing w:after="0" w:line="261" w:lineRule="auto"/>
        <w:tabs>
          <w:tab w:leader="none" w:pos="191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herein, the declaration, setting aside or payment of any redemption of, dividends on, or the making of any other distributions in respect of, any of its Units or other Equity Interests in the Company, as the case may be, payable in cash, stock, property or otherwise, or any reorganization or recapitalization or split, combination or reclassification or similar transaction of any of its Units, limited liability company interests or capital stock,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40" w:lineRule="exact"/>
        <w:rPr>
          <w:sz w:val="20"/>
          <w:szCs w:val="20"/>
          <w:color w:val="auto"/>
        </w:rPr>
      </w:pPr>
    </w:p>
    <w:p>
      <w:pPr>
        <w:ind w:left="-1120" w:right="120" w:firstLine="1663"/>
        <w:spacing w:after="0" w:line="282" w:lineRule="auto"/>
        <w:tabs>
          <w:tab w:leader="none" w:pos="8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any provision of this Agreement to authorize, and the issuance of, any additional Units or classes of Units or other Equity Interests and the designations, preferences and relative, participating or other rights, powers duties thereof;</w:t>
      </w:r>
    </w:p>
    <w:p>
      <w:pPr>
        <w:spacing w:after="0" w:line="107" w:lineRule="exact"/>
        <w:rPr>
          <w:rFonts w:ascii="Times New Roman" w:cs="Times New Roman" w:eastAsia="Times New Roman" w:hAnsi="Times New Roman"/>
          <w:sz w:val="18"/>
          <w:szCs w:val="18"/>
          <w:color w:val="auto"/>
        </w:rPr>
      </w:pPr>
    </w:p>
    <w:p>
      <w:pPr>
        <w:ind w:left="-1120" w:right="120" w:firstLine="1663"/>
        <w:spacing w:after="0" w:line="266" w:lineRule="auto"/>
        <w:tabs>
          <w:tab w:leader="none" w:pos="89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hiring or termination of employment of the chief executive officer, chief financial officer, chief technology officer or chief sales and marking officer of the Company, or the entering into, amendment or termination of any employment, severance, change of control or other contract with any employee that has a written employment agreement with the Company;</w:t>
      </w:r>
    </w:p>
    <w:p>
      <w:pPr>
        <w:spacing w:after="0" w:line="121" w:lineRule="exact"/>
        <w:rPr>
          <w:rFonts w:ascii="Times New Roman" w:cs="Times New Roman" w:eastAsia="Times New Roman" w:hAnsi="Times New Roman"/>
          <w:sz w:val="18"/>
          <w:szCs w:val="18"/>
          <w:color w:val="auto"/>
        </w:rPr>
      </w:pPr>
    </w:p>
    <w:p>
      <w:pPr>
        <w:ind w:left="-1120" w:firstLine="1663"/>
        <w:spacing w:after="0" w:line="282" w:lineRule="auto"/>
        <w:tabs>
          <w:tab w:leader="none" w:pos="9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Joint Venture Purposes, or the provision by the Company of any services beyond the scope of the Services or Services outside of the United States or Canada;</w:t>
      </w:r>
    </w:p>
    <w:p>
      <w:pPr>
        <w:spacing w:after="0" w:line="107" w:lineRule="exact"/>
        <w:rPr>
          <w:rFonts w:ascii="Times New Roman" w:cs="Times New Roman" w:eastAsia="Times New Roman" w:hAnsi="Times New Roman"/>
          <w:sz w:val="18"/>
          <w:szCs w:val="18"/>
          <w:color w:val="auto"/>
        </w:rPr>
      </w:pPr>
    </w:p>
    <w:p>
      <w:pPr>
        <w:ind w:left="-1120" w:right="120" w:firstLine="1663"/>
        <w:spacing w:after="0" w:line="282" w:lineRule="auto"/>
        <w:tabs>
          <w:tab w:leader="none" w:pos="8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entering into of any agreement with respect to or the taking of any material steps to facilitate a transaction that constitutes a Change of Control of the Company or a proposal for such a transaction;</w:t>
      </w:r>
    </w:p>
    <w:p>
      <w:pPr>
        <w:spacing w:after="0" w:line="107" w:lineRule="exact"/>
        <w:rPr>
          <w:rFonts w:ascii="Times New Roman" w:cs="Times New Roman" w:eastAsia="Times New Roman" w:hAnsi="Times New Roman"/>
          <w:sz w:val="18"/>
          <w:szCs w:val="18"/>
          <w:color w:val="auto"/>
        </w:rPr>
      </w:pPr>
    </w:p>
    <w:p>
      <w:pPr>
        <w:ind w:left="-1120" w:right="100" w:firstLine="1663"/>
        <w:spacing w:after="0" w:line="261" w:lineRule="auto"/>
        <w:tabs>
          <w:tab w:leader="none" w:pos="79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leasing (as lessor), licensing (as licensor) or other Transfer of assets (including securities) (x) having a fair market value or for consideration exceeding $10 million (as adjusted by the CPI Adjustment), taken as a whole, or (y) to which the revenues or the profits attributable exceed $10 million (as adjusted by the CPI Adjustment), taken as a whole, in any one transaction or series of related transactions, in each case, determined using the most recent quarterly consolidated financial statement of the Company;</w:t>
      </w:r>
    </w:p>
    <w:p>
      <w:pPr>
        <w:spacing w:after="0" w:line="125" w:lineRule="exact"/>
        <w:rPr>
          <w:rFonts w:ascii="Times New Roman" w:cs="Times New Roman" w:eastAsia="Times New Roman" w:hAnsi="Times New Roman"/>
          <w:sz w:val="18"/>
          <w:szCs w:val="18"/>
          <w:color w:val="auto"/>
        </w:rPr>
      </w:pPr>
    </w:p>
    <w:p>
      <w:pPr>
        <w:ind w:left="-1120" w:right="60" w:firstLine="1663"/>
        <w:spacing w:after="0" w:line="266" w:lineRule="auto"/>
        <w:tabs>
          <w:tab w:leader="none" w:pos="8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entering into of any agreement with respect to or consummation of any acquisition of any business or assets that has or have a fair market value in excess of $10 million (as adjusted by the CPI Adjustment) taken as a whole, in any one transaction or series of related transactions, whether by purchase and sale, merger, consolidation, restructuring, recapitalization or otherwise;</w:t>
      </w:r>
    </w:p>
    <w:p>
      <w:pPr>
        <w:spacing w:after="0" w:line="121" w:lineRule="exact"/>
        <w:rPr>
          <w:rFonts w:ascii="Times New Roman" w:cs="Times New Roman" w:eastAsia="Times New Roman" w:hAnsi="Times New Roman"/>
          <w:sz w:val="18"/>
          <w:szCs w:val="18"/>
          <w:color w:val="auto"/>
        </w:rPr>
      </w:pPr>
    </w:p>
    <w:p>
      <w:pPr>
        <w:ind w:left="-1120" w:right="320" w:firstLine="1663"/>
        <w:spacing w:after="0" w:line="282" w:lineRule="auto"/>
        <w:tabs>
          <w:tab w:leader="none" w:pos="89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of claims or suits in which the Company is a party for an amount that exceeds the relevant provision(s) in the Budget by more than $1 million (as adjusted by the CPI Adjustment) or where equitable or injunctive relief is included as part of such settlement;</w:t>
      </w:r>
    </w:p>
    <w:p>
      <w:pPr>
        <w:spacing w:after="0" w:line="94" w:lineRule="exact"/>
        <w:rPr>
          <w:rFonts w:ascii="Times New Roman" w:cs="Times New Roman" w:eastAsia="Times New Roman" w:hAnsi="Times New Roman"/>
          <w:sz w:val="18"/>
          <w:szCs w:val="18"/>
          <w:color w:val="auto"/>
        </w:rPr>
      </w:pPr>
    </w:p>
    <w:p>
      <w:pPr>
        <w:ind w:left="-1120" w:right="60" w:firstLine="1663"/>
        <w:spacing w:after="0" w:line="261" w:lineRule="auto"/>
        <w:tabs>
          <w:tab w:leader="none" w:pos="9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entering into, modification or termination of any material contract or transaction or series of related transactions (including by way of barter) between (x) the Company or any of its Subsidiaries and (y)(1) any Member or any Affiliate of any Member, or (2) any Person in which any Founding Member has taken, or is negotiating to take, a material financial interest, in each case, other than relating to the purchase or sale of products or services in the ordinary course of business of the Company;</w:t>
      </w:r>
    </w:p>
    <w:p>
      <w:pPr>
        <w:spacing w:after="0" w:line="125" w:lineRule="exact"/>
        <w:rPr>
          <w:rFonts w:ascii="Times New Roman" w:cs="Times New Roman" w:eastAsia="Times New Roman" w:hAnsi="Times New Roman"/>
          <w:sz w:val="18"/>
          <w:szCs w:val="18"/>
          <w:color w:val="auto"/>
        </w:rPr>
      </w:pPr>
    </w:p>
    <w:p>
      <w:pPr>
        <w:ind w:left="-1120" w:right="520" w:firstLine="1663"/>
        <w:spacing w:after="0" w:line="282" w:lineRule="auto"/>
        <w:tabs>
          <w:tab w:leader="none" w:pos="93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entering into of any agreement for the Company to provide to any new Member or Affiliate of any new Member any services similar to those set forth in the Exhibitor Services Agreements, or the admission to the Company of any new Member;</w:t>
      </w:r>
    </w:p>
    <w:p>
      <w:pPr>
        <w:spacing w:after="0" w:line="107" w:lineRule="exact"/>
        <w:rPr>
          <w:rFonts w:ascii="Times New Roman" w:cs="Times New Roman" w:eastAsia="Times New Roman" w:hAnsi="Times New Roman"/>
          <w:sz w:val="18"/>
          <w:szCs w:val="18"/>
          <w:color w:val="auto"/>
        </w:rPr>
      </w:pPr>
    </w:p>
    <w:p>
      <w:pPr>
        <w:jc w:val="both"/>
        <w:ind w:left="-1120" w:right="140" w:firstLine="1663"/>
        <w:spacing w:after="0" w:line="266" w:lineRule="auto"/>
        <w:tabs>
          <w:tab w:leader="none" w:pos="8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entering into, or the modification or termination of, any agreement for the Company to provide any services to any Person (other than a Member or Affiliate of a Member), that requires capital expenditures or guaranteed payments in excess of $1 million (as adjusted by the CPI Adjustment) annually;</w:t>
      </w:r>
    </w:p>
    <w:p>
      <w:pPr>
        <w:spacing w:after="0" w:line="121" w:lineRule="exact"/>
        <w:rPr>
          <w:rFonts w:ascii="Times New Roman" w:cs="Times New Roman" w:eastAsia="Times New Roman" w:hAnsi="Times New Roman"/>
          <w:sz w:val="18"/>
          <w:szCs w:val="18"/>
          <w:color w:val="auto"/>
        </w:rPr>
      </w:pPr>
    </w:p>
    <w:p>
      <w:pPr>
        <w:ind w:left="-1120" w:right="80" w:firstLine="1663"/>
        <w:spacing w:after="0" w:line="256" w:lineRule="auto"/>
        <w:tabs>
          <w:tab w:leader="none" w:pos="93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dissolution of the Company; the adoption of a plan of liquidation of the Company; any action by the Company to commence any suit, case, proceeding or other action (x) under any existing or future law of any jurisdiction relating to bankruptcy, insolvency, reorganization or relief of debtors seeking to have an order for relief entered with respect to the Company, or seeking to adjudicate the Company as bankrupt or insolvent, or seeking reorganization, arrangement, adjustment, winding-up, liquidation, dissolution, composition or other relief with respect to the Company, or (y) seeking appointment of a receiver, trustee, custodian or other similar official for the Company, or for all or any material portion of the assets of the Company, or making a general assignment for the benefit of the creditors of the Company;</w:t>
      </w:r>
    </w:p>
    <w:p>
      <w:pPr>
        <w:spacing w:after="0" w:line="133" w:lineRule="exact"/>
        <w:rPr>
          <w:rFonts w:ascii="Times New Roman" w:cs="Times New Roman" w:eastAsia="Times New Roman" w:hAnsi="Times New Roman"/>
          <w:sz w:val="18"/>
          <w:szCs w:val="18"/>
          <w:color w:val="auto"/>
        </w:rPr>
      </w:pPr>
    </w:p>
    <w:p>
      <w:pPr>
        <w:ind w:left="980" w:hanging="437"/>
        <w:spacing w:after="0"/>
        <w:tabs>
          <w:tab w:leader="none" w:pos="9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any tax matter pursuant to Section 6.2;</w:t>
      </w:r>
    </w:p>
    <w:p>
      <w:pPr>
        <w:spacing w:after="0" w:line="171" w:lineRule="exact"/>
        <w:rPr>
          <w:rFonts w:ascii="Times New Roman" w:cs="Times New Roman" w:eastAsia="Times New Roman" w:hAnsi="Times New Roman"/>
          <w:sz w:val="18"/>
          <w:szCs w:val="18"/>
          <w:color w:val="auto"/>
        </w:rPr>
      </w:pPr>
    </w:p>
    <w:p>
      <w:pPr>
        <w:ind w:left="1040" w:hanging="497"/>
        <w:spacing w:after="0"/>
        <w:tabs>
          <w:tab w:leader="none" w:pos="10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determinations pursuant to Section 5.5;</w:t>
      </w:r>
    </w:p>
    <w:p>
      <w:pPr>
        <w:spacing w:after="0" w:line="171" w:lineRule="exact"/>
        <w:rPr>
          <w:rFonts w:ascii="Times New Roman" w:cs="Times New Roman" w:eastAsia="Times New Roman" w:hAnsi="Times New Roman"/>
          <w:sz w:val="18"/>
          <w:szCs w:val="18"/>
          <w:color w:val="auto"/>
        </w:rPr>
      </w:pPr>
    </w:p>
    <w:p>
      <w:pPr>
        <w:ind w:left="940" w:hanging="397"/>
        <w:spacing w:after="0"/>
        <w:tabs>
          <w:tab w:leader="none" w:pos="9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change to any provision in this Section 4.3 or Article 8;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895985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38" w:name="page139"/>
    <w:bookmarkEnd w:id="138"/>
    <w:p>
      <w:pPr>
        <w:spacing w:after="0" w:line="140" w:lineRule="exact"/>
        <w:rPr>
          <w:sz w:val="20"/>
          <w:szCs w:val="20"/>
          <w:color w:val="auto"/>
        </w:rPr>
      </w:pPr>
    </w:p>
    <w:p>
      <w:pPr>
        <w:ind w:right="420" w:firstLine="1663"/>
        <w:spacing w:after="0" w:line="282" w:lineRule="auto"/>
        <w:tabs>
          <w:tab w:leader="none" w:pos="20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expenditure by the Company to replace, upgrade or modify any equipment or software owned by any of the Founding Members or their Affiliates.</w:t>
      </w:r>
    </w:p>
    <w:p>
      <w:pPr>
        <w:spacing w:after="0" w:line="107" w:lineRule="exact"/>
        <w:rPr>
          <w:rFonts w:ascii="Times New Roman" w:cs="Times New Roman" w:eastAsia="Times New Roman" w:hAnsi="Times New Roman"/>
          <w:sz w:val="18"/>
          <w:szCs w:val="18"/>
          <w:color w:val="auto"/>
        </w:rPr>
      </w:pPr>
    </w:p>
    <w:p>
      <w:pPr>
        <w:ind w:right="180" w:firstLine="1026"/>
        <w:spacing w:after="0" w:line="274" w:lineRule="auto"/>
        <w:tabs>
          <w:tab w:leader="none" w:pos="1263"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Founding Member shall permanently cease to be entitled to participate in giving Founding Member Approval if at any time the Founding Member owns less than five percent of the then issued and outstanding Common Units, including Common Units acquired from another Founding Member or an Affiliate of another Founding Member (which, for purposes of this Section 4.3(c), shall be calculated to include (i) all shares of NCM Inc. common stock beneficially owned by such Founding Member as of the date of determination as a result of the exercise of the Founding Member’s Redemption Right, (ii) any shares of NCM Inc. common stock issued in connection with any dividend or distribution on NCM Inc. common stock so received as a result of the exercise of the Founding Member’s Redemption Right, and (iii) any shares of NCM Inc. common stock acquired from</w:t>
      </w:r>
    </w:p>
    <w:p>
      <w:pPr>
        <w:spacing w:after="0" w:line="1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another Founding Member provided that such other Founding Member acquired such shares of NCM Inc. common stock in a transaction described in clause (i) or (ii) above, but excluding (x) any shares of NCM Inc. common stock otherwise acquired by the Founding Members, and (y) any Common Units issued to NCM Inc. by the Company pursuant to Section 3.5(b) in connection with the exercise of a Founding Member’s Redemption Right (unless the Founding Member has disposed of any of the shares of NCM Inc. common stock received in connection with the exercise of the Founding Member’s Redemption Right (other than to another Founding Member in a transaction described in clause (iii) above), in which case a number of Common Units issued to NCM Inc. by the Company pursuant to Section 3.5(b) in connection with such exercise of the Founding Member’s Redemption Right equal to the number of shares of NCM Inc. common stock disposed of by such Founding Member shall be included in determining such Founding Member’s ownership interest)).</w:t>
      </w:r>
    </w:p>
    <w:p>
      <w:pPr>
        <w:spacing w:after="0" w:line="130" w:lineRule="exact"/>
        <w:rPr>
          <w:sz w:val="20"/>
          <w:szCs w:val="20"/>
          <w:color w:val="auto"/>
        </w:rPr>
      </w:pPr>
    </w:p>
    <w:p>
      <w:pPr>
        <w:ind w:right="520" w:firstLine="1026"/>
        <w:spacing w:after="0" w:line="282" w:lineRule="auto"/>
        <w:tabs>
          <w:tab w:leader="none" w:pos="127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matters provided for in Section 4.3(b), the Founding Member Approval rights shall not affect the Manager’s right to conduct the Company’s business under this Agreement.</w:t>
      </w:r>
    </w:p>
    <w:p>
      <w:pPr>
        <w:spacing w:after="0" w:line="104" w:lineRule="exact"/>
        <w:rPr>
          <w:sz w:val="20"/>
          <w:szCs w:val="20"/>
          <w:color w:val="auto"/>
        </w:rPr>
      </w:pPr>
    </w:p>
    <w:p>
      <w:pPr>
        <w:jc w:val="both"/>
        <w:ind w:right="2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u w:val="single" w:color="auto"/>
          <w:color w:val="auto"/>
        </w:rPr>
        <w:t>Duties</w:t>
      </w:r>
      <w:r>
        <w:rPr>
          <w:rFonts w:ascii="Times New Roman" w:cs="Times New Roman" w:eastAsia="Times New Roman" w:hAnsi="Times New Roman"/>
          <w:sz w:val="18"/>
          <w:szCs w:val="18"/>
          <w:color w:val="auto"/>
        </w:rPr>
        <w:t>. The Manager shall carry out its duties in good faith, in a manner that it believes to be in the best interests of the Company. The Manager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devote such time to the business and affairs of the Company as it may determine, in its reasonable discretion, is necessary for the efficient carrying on of the Company’s business.</w:t>
      </w:r>
    </w:p>
    <w:p>
      <w:pPr>
        <w:spacing w:after="0" w:line="117"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u w:val="single" w:color="auto"/>
          <w:color w:val="auto"/>
        </w:rPr>
        <w:t>Reliance by Third Parties</w:t>
      </w:r>
      <w:r>
        <w:rPr>
          <w:rFonts w:ascii="Times New Roman" w:cs="Times New Roman" w:eastAsia="Times New Roman" w:hAnsi="Times New Roman"/>
          <w:sz w:val="18"/>
          <w:szCs w:val="18"/>
          <w:color w:val="auto"/>
        </w:rPr>
        <w:t>. No third party dealing with the Company shall be required to ascertain whether the Manager is acting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provisions of this Agreement. All third parties may rely on a document executed by the Manager as binding the Company. The foregoing provisions shall not apply to third parties who are Affiliates of a Member or a Manager. If the Manager acts without authority it shall be liable to the Members for any damages arising out of its unauthorized actions.</w:t>
      </w:r>
    </w:p>
    <w:p>
      <w:pPr>
        <w:spacing w:after="0" w:line="122" w:lineRule="exact"/>
        <w:rPr>
          <w:sz w:val="20"/>
          <w:szCs w:val="20"/>
          <w:color w:val="auto"/>
        </w:rPr>
      </w:pPr>
    </w:p>
    <w:p>
      <w:pPr>
        <w:ind w:right="5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4.6 </w:t>
      </w:r>
      <w:r>
        <w:rPr>
          <w:rFonts w:ascii="Times New Roman" w:cs="Times New Roman" w:eastAsia="Times New Roman" w:hAnsi="Times New Roman"/>
          <w:sz w:val="18"/>
          <w:szCs w:val="18"/>
          <w:b w:val="1"/>
          <w:bCs w:val="1"/>
          <w:u w:val="single" w:color="auto"/>
          <w:color w:val="auto"/>
        </w:rPr>
        <w:t>Resignation</w:t>
      </w:r>
      <w:r>
        <w:rPr>
          <w:rFonts w:ascii="Times New Roman" w:cs="Times New Roman" w:eastAsia="Times New Roman" w:hAnsi="Times New Roman"/>
          <w:sz w:val="18"/>
          <w:szCs w:val="18"/>
          <w:color w:val="auto"/>
        </w:rPr>
        <w:t>. The Manager may resign at any time by giving written notice to the Members. Unless otherwise specified in the notice,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resignation shall take effect upon receipt thereof by the Members, and the acceptance of the resignation shall not be necessary to make it effective.</w:t>
      </w:r>
    </w:p>
    <w:p>
      <w:pPr>
        <w:spacing w:after="0" w:line="1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4.7 </w:t>
      </w:r>
      <w:r>
        <w:rPr>
          <w:rFonts w:ascii="Times New Roman" w:cs="Times New Roman" w:eastAsia="Times New Roman" w:hAnsi="Times New Roman"/>
          <w:sz w:val="18"/>
          <w:szCs w:val="18"/>
          <w:b w:val="1"/>
          <w:bCs w:val="1"/>
          <w:u w:val="single" w:color="auto"/>
          <w:color w:val="auto"/>
        </w:rPr>
        <w:t>Removal</w:t>
      </w:r>
      <w:r>
        <w:rPr>
          <w:rFonts w:ascii="Times New Roman" w:cs="Times New Roman" w:eastAsia="Times New Roman" w:hAnsi="Times New Roman"/>
          <w:sz w:val="18"/>
          <w:szCs w:val="18"/>
          <w:color w:val="auto"/>
        </w:rPr>
        <w:t>. The Manager may only be removed by NCM Inc.</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4.8 </w:t>
      </w:r>
      <w:r>
        <w:rPr>
          <w:rFonts w:ascii="Times New Roman" w:cs="Times New Roman" w:eastAsia="Times New Roman" w:hAnsi="Times New Roman"/>
          <w:sz w:val="18"/>
          <w:szCs w:val="18"/>
          <w:b w:val="1"/>
          <w:bCs w:val="1"/>
          <w:u w:val="single" w:color="auto"/>
          <w:color w:val="auto"/>
        </w:rPr>
        <w:t>Vacancies</w:t>
      </w:r>
      <w:r>
        <w:rPr>
          <w:rFonts w:ascii="Times New Roman" w:cs="Times New Roman" w:eastAsia="Times New Roman" w:hAnsi="Times New Roman"/>
          <w:sz w:val="18"/>
          <w:szCs w:val="18"/>
          <w:color w:val="auto"/>
        </w:rPr>
        <w:t>. Vacancies in the position of Manager occurring for any reason shall be filled by NCM Inc.</w:t>
      </w:r>
    </w:p>
    <w:p>
      <w:pPr>
        <w:spacing w:after="0" w:line="171"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4.9 </w:t>
      </w:r>
      <w:r>
        <w:rPr>
          <w:rFonts w:ascii="Times New Roman" w:cs="Times New Roman" w:eastAsia="Times New Roman" w:hAnsi="Times New Roman"/>
          <w:sz w:val="18"/>
          <w:szCs w:val="18"/>
          <w:b w:val="1"/>
          <w:bCs w:val="1"/>
          <w:u w:val="single" w:color="auto"/>
          <w:color w:val="auto"/>
        </w:rPr>
        <w:t>Information Relating to the Company</w:t>
      </w:r>
      <w:r>
        <w:rPr>
          <w:rFonts w:ascii="Times New Roman" w:cs="Times New Roman" w:eastAsia="Times New Roman" w:hAnsi="Times New Roman"/>
          <w:sz w:val="18"/>
          <w:szCs w:val="18"/>
          <w:color w:val="auto"/>
        </w:rPr>
        <w:t>. Upon request, the Manager shall supply to a Member (i) any information required to be available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Members under the LLC Act, and (ii) any other information requested by such Member regarding the Company or its activities,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obtaining the information described in this clause (ii) is not unduly burdensome to the Manager. During ordinary business hours, each Member and its authorized representative shall have access to all books, records and materials in the Company’s offices regarding the Company or its activities.</w:t>
      </w:r>
    </w:p>
    <w:p>
      <w:pPr>
        <w:spacing w:after="0" w:line="122"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4.10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The Company shall maintain or cause to be maintained in force at all times, for the protection of the Company and the Members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extent of their insurable interests, such insurance as the Manager believes is warranted for the operations being conducted.</w:t>
      </w:r>
    </w:p>
    <w:p>
      <w:pPr>
        <w:spacing w:after="0" w:line="87" w:lineRule="exact"/>
        <w:rPr>
          <w:sz w:val="20"/>
          <w:szCs w:val="20"/>
          <w:color w:val="auto"/>
        </w:rPr>
      </w:pPr>
    </w:p>
    <w:p>
      <w:pPr>
        <w:ind w:right="18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4.11 </w:t>
      </w:r>
      <w:r>
        <w:rPr>
          <w:rFonts w:ascii="Times New Roman" w:cs="Times New Roman" w:eastAsia="Times New Roman" w:hAnsi="Times New Roman"/>
          <w:sz w:val="18"/>
          <w:szCs w:val="18"/>
          <w:b w:val="1"/>
          <w:bCs w:val="1"/>
          <w:u w:val="single" w:color="auto"/>
          <w:color w:val="auto"/>
        </w:rPr>
        <w:t>Transactions Between Company and Manager</w:t>
      </w:r>
      <w:r>
        <w:rPr>
          <w:rFonts w:ascii="Times New Roman" w:cs="Times New Roman" w:eastAsia="Times New Roman" w:hAnsi="Times New Roman"/>
          <w:sz w:val="18"/>
          <w:szCs w:val="18"/>
          <w:color w:val="auto"/>
        </w:rPr>
        <w:t>. The Manager may cause the Company to contract and deal with the Manager,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 of the Manager, provided such contracts and dealings are on terms comparable to and competitive with those available to the Company from others dealing at arm’s length or are approved by a Majority Member Vote. The Members hereby approve the Common Unit Adjustment Agreement,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9" w:name="page140"/>
    <w:bookmarkEnd w:id="139"/>
    <w:p>
      <w:pPr>
        <w:ind w:right="200"/>
        <w:spacing w:after="0" w:line="282" w:lineRule="auto"/>
        <w:rPr>
          <w:sz w:val="20"/>
          <w:szCs w:val="20"/>
          <w:color w:val="auto"/>
        </w:rPr>
      </w:pPr>
      <w:r>
        <w:rPr>
          <w:rFonts w:ascii="Times New Roman" w:cs="Times New Roman" w:eastAsia="Times New Roman" w:hAnsi="Times New Roman"/>
          <w:sz w:val="18"/>
          <w:szCs w:val="18"/>
          <w:color w:val="auto"/>
        </w:rPr>
        <w:t>Exhibitor Services Agreements, the Loews Agreement, the Management Services Agreement, the Software License Agreement, the 2023 Credit Facility, the Subscription Agreement and the Tax Receivable Agreement.</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4.12 </w:t>
      </w:r>
      <w:r>
        <w:rPr>
          <w:rFonts w:ascii="Times New Roman" w:cs="Times New Roman" w:eastAsia="Times New Roman" w:hAnsi="Times New Roman"/>
          <w:sz w:val="18"/>
          <w:szCs w:val="18"/>
          <w:b w:val="1"/>
          <w:bCs w:val="1"/>
          <w:u w:val="single" w:color="auto"/>
          <w:color w:val="auto"/>
        </w:rPr>
        <w:t>Officers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right="40" w:firstLine="1026"/>
        <w:spacing w:after="0" w:line="255" w:lineRule="auto"/>
        <w:tabs>
          <w:tab w:leader="none" w:pos="126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may, from time to time, designate one or more Persons to fill one or more officer positions of the Company. Any officers so designated shall have such titles and authority and perform such duties as the Manager may, from time to time, delegate to them. If the title given to a particular officer is one commonly used for officers of a business corporation, the assignment of such title shall constitute the delegation to such officer of the authority and duties that are normally associated with that office, subject to any specific delegation of authority and duties made to such officer, or restrictions placed thereon, by the Manager. Each officer shall hold office until his or her successor is duly designated, until his or her death or until he or she resigns or is removed in the manner hereinafter provided. Any number of offices may be held by the same Person. The salaries or other compensation, if any, of the officers of the Company shall be fixed from time to time by the Manager.</w:t>
      </w:r>
    </w:p>
    <w:p>
      <w:pPr>
        <w:spacing w:after="0" w:line="134" w:lineRule="exact"/>
        <w:rPr>
          <w:rFonts w:ascii="Times New Roman" w:cs="Times New Roman" w:eastAsia="Times New Roman" w:hAnsi="Times New Roman"/>
          <w:sz w:val="18"/>
          <w:szCs w:val="18"/>
          <w:color w:val="auto"/>
        </w:rPr>
      </w:pPr>
    </w:p>
    <w:p>
      <w:pPr>
        <w:ind w:right="120" w:firstLine="1026"/>
        <w:spacing w:after="0" w:line="261" w:lineRule="auto"/>
        <w:tabs>
          <w:tab w:leader="none" w:pos="127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officer of the Company may resign at any time by giving written notice thereof to the Manager. Any officer may be removed, either with or without cause, by the Manager whenever in its judgment the best interests of the Company will be served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removal shall be without prejudice to the contract rights, if any, of the Person so removed. Designation of an officer shall not, by itself, create contract rights.</w:t>
      </w:r>
    </w:p>
    <w:p>
      <w:pPr>
        <w:spacing w:after="0" w:line="122" w:lineRule="exact"/>
        <w:rPr>
          <w:sz w:val="20"/>
          <w:szCs w:val="20"/>
          <w:color w:val="auto"/>
        </w:rPr>
      </w:pPr>
    </w:p>
    <w:p>
      <w:pPr>
        <w:ind w:right="18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4.13 </w:t>
      </w:r>
      <w:r>
        <w:rPr>
          <w:rFonts w:ascii="Times New Roman" w:cs="Times New Roman" w:eastAsia="Times New Roman" w:hAnsi="Times New Roman"/>
          <w:sz w:val="18"/>
          <w:szCs w:val="18"/>
          <w:b w:val="1"/>
          <w:bCs w:val="1"/>
          <w:u w:val="single" w:color="auto"/>
          <w:color w:val="auto"/>
        </w:rPr>
        <w:t>Management Fee; Reimbursement of Expenses</w:t>
      </w:r>
      <w:r>
        <w:rPr>
          <w:rFonts w:ascii="Times New Roman" w:cs="Times New Roman" w:eastAsia="Times New Roman" w:hAnsi="Times New Roman"/>
          <w:sz w:val="18"/>
          <w:szCs w:val="18"/>
          <w:color w:val="auto"/>
        </w:rPr>
        <w:t>. Except as provided in the Management Services Agreement, the Manager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compensation for performance of its duties hereunder unless such compensation has been approved by a Majority Member Vote. The Manager shall be reimbursed by the Company for any reasonable out-of-pocket expenses incurred on behalf of the Company.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4.14 </w:t>
      </w:r>
      <w:r>
        <w:rPr>
          <w:rFonts w:ascii="Times New Roman" w:cs="Times New Roman" w:eastAsia="Times New Roman" w:hAnsi="Times New Roman"/>
          <w:sz w:val="18"/>
          <w:szCs w:val="18"/>
          <w:b w:val="1"/>
          <w:bCs w:val="1"/>
          <w:u w:val="single" w:color="auto"/>
          <w:color w:val="auto"/>
        </w:rPr>
        <w:t>Limitation of Liability; Exculpation</w:t>
      </w:r>
      <w:r>
        <w:rPr>
          <w:rFonts w:ascii="Times New Roman" w:cs="Times New Roman" w:eastAsia="Times New Roman" w:hAnsi="Times New Roman"/>
          <w:sz w:val="18"/>
          <w:szCs w:val="18"/>
          <w:b w:val="1"/>
          <w:bCs w:val="1"/>
          <w:color w:val="auto"/>
        </w:rPr>
        <w:t>.</w:t>
      </w:r>
    </w:p>
    <w:p>
      <w:pPr>
        <w:spacing w:after="0" w:line="94" w:lineRule="exact"/>
        <w:rPr>
          <w:sz w:val="20"/>
          <w:szCs w:val="20"/>
          <w:color w:val="auto"/>
        </w:rPr>
      </w:pPr>
    </w:p>
    <w:p>
      <w:pPr>
        <w:ind w:firstLine="1026"/>
        <w:spacing w:after="0" w:line="261" w:lineRule="auto"/>
        <w:tabs>
          <w:tab w:leader="none" w:pos="126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Manager, Member or officer of the Company, nor any of their respective Subsidiaries or Affiliates (including any stockholder of REG, Marquee Holdings, Cinemark or NCM Inc. that would be deemed an Affiliate but for the exception set forth in subsections (iii), (iv), (v) or (vi) of the definition of Affiliate herein, or any of such stockholder’s Affiliates) nor any of their respective direct or indirect officers, directors, trustees, members, partners, equity holders, employees or agents, nor any of their heirs, executors, successors and assigns (individually, an “</w:t>
      </w:r>
      <w:r>
        <w:rPr>
          <w:rFonts w:ascii="Times New Roman" w:cs="Times New Roman" w:eastAsia="Times New Roman" w:hAnsi="Times New Roman"/>
          <w:sz w:val="18"/>
          <w:szCs w:val="18"/>
          <w:b w:val="1"/>
          <w:bCs w:val="1"/>
          <w:u w:val="single" w:color="auto"/>
          <w:color w:val="auto"/>
        </w:rPr>
        <w:t>Indemnitee</w:t>
      </w:r>
      <w:r>
        <w:rPr>
          <w:rFonts w:ascii="Times New Roman" w:cs="Times New Roman" w:eastAsia="Times New Roman" w:hAnsi="Times New Roman"/>
          <w:sz w:val="18"/>
          <w:szCs w:val="18"/>
          <w:color w:val="auto"/>
        </w:rPr>
        <w:t>”), shall be liable to</w:t>
      </w:r>
    </w:p>
    <w:p>
      <w:pPr>
        <w:spacing w:after="0" w:line="1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or any Member for any act or omission by such Indemnitee in connection with the conduct of affairs of the Company or otherwise incurred in connection with the Company or this Agreement or the matters contemplated herein, in each case unless such act or omission was the result of gross negligence or willful misconduct or constitutes a breach of, or a failure to comply with, any agreement between (x) such Indemnitee and (y) the Company or its Subsidiaries and Affiliates.</w:t>
      </w:r>
    </w:p>
    <w:p>
      <w:pPr>
        <w:spacing w:after="0" w:line="122" w:lineRule="exact"/>
        <w:rPr>
          <w:sz w:val="20"/>
          <w:szCs w:val="20"/>
          <w:color w:val="auto"/>
        </w:rPr>
      </w:pPr>
    </w:p>
    <w:p>
      <w:pPr>
        <w:ind w:firstLine="1026"/>
        <w:spacing w:after="0" w:line="256" w:lineRule="auto"/>
        <w:tabs>
          <w:tab w:leader="none" w:pos="127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or otherwise applicable provision of law or equity, whenever in this Agreement a Manager, Member or officer of the Company is permitted or required to make a decision (i) in its “sole discretion” or “discretion,” with “complete discretion” or under a grant of similar authority or latitude, such Manager, Member or officer shall be entitled to consider only such interests and factors as it desires, including its own interests, and shall, to the fullest extent permitted by applicable law, have no duty or obligation to give any consideration to any interest of or factors affecting the Company or the Members, or (ii) in its “good faith” or under another expressed standard, such Manager, Member or officer shall act under such express standard and shall not be subject to any other or different standards.</w:t>
      </w:r>
    </w:p>
    <w:p>
      <w:pPr>
        <w:spacing w:after="0" w:line="133" w:lineRule="exact"/>
        <w:rPr>
          <w:rFonts w:ascii="Times New Roman" w:cs="Times New Roman" w:eastAsia="Times New Roman" w:hAnsi="Times New Roman"/>
          <w:sz w:val="18"/>
          <w:szCs w:val="18"/>
          <w:color w:val="auto"/>
        </w:rPr>
      </w:pPr>
    </w:p>
    <w:p>
      <w:pPr>
        <w:ind w:firstLine="1026"/>
        <w:spacing w:after="0" w:line="254" w:lineRule="auto"/>
        <w:tabs>
          <w:tab w:leader="none" w:pos="126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Manager, Member, Liquidator or officer of the Company may consult with legal counsel and accountants selected by it at its expense or with legal counsel and accountants for the Company at the Company’s expense. Each Manager, Member, Liquidator and officer of the Company shall be fully protected in relying in good faith upon the records of the Company and upon information, opinions, reports, or statements presented by another Manager, Member, Liquidator or officer, or employee of the Company, or committees of the Company, Manager or Members, or by any other Person (including, without limitation, legal counsel and public accountants) as to matters that the Manager, Member, Liquidator or officer reasonably believes are within such other Person’s professional or expert competence, including information, opinions, reports or statements as to the value and amount of the assets, liabilities, Net Income or Net Losses of the Company, or the value and amount of assets or reserves or contracts, agreements or other undertakings that would be sufficient to pay claims and obligations of the Company or to make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0" w:name="page141"/>
    <w:bookmarkEnd w:id="140"/>
    <w:p>
      <w:pPr>
        <w:spacing w:after="0" w:line="14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reasonable provision to pay such claims and obligations, or any other facts pertinent to the existence and amount of assets from which distributions to Members or creditors might properly be paid.</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4.15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right="60" w:firstLine="1026"/>
        <w:spacing w:after="0" w:line="255" w:lineRule="auto"/>
        <w:tabs>
          <w:tab w:leader="none" w:pos="126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Rights</w:t>
      </w:r>
      <w:r>
        <w:rPr>
          <w:rFonts w:ascii="Times New Roman" w:cs="Times New Roman" w:eastAsia="Times New Roman" w:hAnsi="Times New Roman"/>
          <w:sz w:val="18"/>
          <w:szCs w:val="18"/>
          <w:color w:val="auto"/>
        </w:rPr>
        <w:t>. The Company shall indemnify and hold harmless each Indemnitee from and against any and all losses, claims, demands, costs, damages, liabilities, expenses of any nature (including attorneys’ fees and disbursements), judgments, fines, settlements (whether on an individual or joint and several basis) and other amounts arising from any and all claims, demands, actions, suits or proceedings, whether civil, criminal, administrative, arbitral or investigative, in which the Indemnitee was involved or may be involved, or threatened to be involved, as a party or otherwise, arising out of or in connection with the business of the Company, this Agreement, any Person’s status as a Manager, Member or officer of the Company or any action taken by any Manager, Member or officer of the Company or under this Agreement or otherwise on behalf of the Company (collectively, “</w:t>
      </w:r>
      <w:r>
        <w:rPr>
          <w:rFonts w:ascii="Times New Roman" w:cs="Times New Roman" w:eastAsia="Times New Roman" w:hAnsi="Times New Roman"/>
          <w:sz w:val="18"/>
          <w:szCs w:val="18"/>
          <w:b w:val="1"/>
          <w:bCs w:val="1"/>
          <w:u w:val="single" w:color="auto"/>
          <w:color w:val="auto"/>
        </w:rPr>
        <w:t>Liabilities</w:t>
      </w:r>
      <w:r>
        <w:rPr>
          <w:rFonts w:ascii="Times New Roman" w:cs="Times New Roman" w:eastAsia="Times New Roman" w:hAnsi="Times New Roman"/>
          <w:sz w:val="18"/>
          <w:szCs w:val="18"/>
          <w:color w:val="auto"/>
        </w:rPr>
        <w:t>”), regardless of whether the Indemnitee continues to be a Manager, Member or officer of the Company, or an Affiliate, officer, director,</w:t>
      </w:r>
    </w:p>
    <w:p>
      <w:pPr>
        <w:spacing w:after="0" w:line="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employee, trustee, member or partner or agent of a Manager, Member or officer of the Company, to the fullest extent permitted by the LLC Act and all other applicable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Indemnitee shall be entitled to indemnification hereunder only to the extent that such Indemnitee’s conduct did not result from gross negligence or willful misconduct. The termination of any proceeding by settlement, judgment, order, conviction, or upon a plea of nolo contendere or its equivalent shall not, of itself, create a presumption that such Indemnitee’s conduct resulted from gross negligence or willful misconduct.</w:t>
      </w:r>
    </w:p>
    <w:p>
      <w:pPr>
        <w:spacing w:after="0" w:line="122" w:lineRule="exact"/>
        <w:rPr>
          <w:sz w:val="20"/>
          <w:szCs w:val="20"/>
          <w:color w:val="auto"/>
        </w:rPr>
      </w:pPr>
    </w:p>
    <w:p>
      <w:pPr>
        <w:jc w:val="both"/>
        <w:ind w:right="120" w:firstLine="1026"/>
        <w:spacing w:after="0" w:line="261" w:lineRule="auto"/>
        <w:tabs>
          <w:tab w:leader="none" w:pos="127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Expenses incurred by an Indemnitee in defending against any Liability or potential Liability subject to this Section 4.15 shall, from time to time, be advanced by the Company prior to the final disposition of such Liability upon receipt by the Company of an undertaking reasonably acceptable in form and substance to the Manager by or on behalf of the Indemnitee to repay such amount if it shall be determined that such Person is not entitled to be indemnified as authorized in this Section 4.15.</w:t>
      </w:r>
    </w:p>
    <w:p>
      <w:pPr>
        <w:spacing w:after="0" w:line="125" w:lineRule="exact"/>
        <w:rPr>
          <w:rFonts w:ascii="Times New Roman" w:cs="Times New Roman" w:eastAsia="Times New Roman" w:hAnsi="Times New Roman"/>
          <w:sz w:val="18"/>
          <w:szCs w:val="18"/>
          <w:color w:val="auto"/>
        </w:rPr>
      </w:pPr>
    </w:p>
    <w:p>
      <w:pPr>
        <w:ind w:firstLine="1026"/>
        <w:spacing w:after="0" w:line="261" w:lineRule="auto"/>
        <w:tabs>
          <w:tab w:leader="none" w:pos="126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Rights Non-Exclusive; Rights of Indemnified Parties</w:t>
      </w:r>
      <w:r>
        <w:rPr>
          <w:rFonts w:ascii="Times New Roman" w:cs="Times New Roman" w:eastAsia="Times New Roman" w:hAnsi="Times New Roman"/>
          <w:sz w:val="18"/>
          <w:szCs w:val="18"/>
          <w:color w:val="auto"/>
        </w:rPr>
        <w:t>. The indemnification provided by this Section 4.15 shall be in addition to any other rights to which those indemnified may be entitled under any agreement, by a Majority Member Vote, as a matter of law or equity, or otherwise. Such indemnification shall continue with respect to an Indemnitee even though it has ceased to serve in any particular capacity and shall inure to the benefit of its heirs, executors, successors, assigns and other legal representatives.</w:t>
      </w:r>
    </w:p>
    <w:p>
      <w:pPr>
        <w:spacing w:after="0" w:line="125" w:lineRule="exact"/>
        <w:rPr>
          <w:rFonts w:ascii="Times New Roman" w:cs="Times New Roman" w:eastAsia="Times New Roman" w:hAnsi="Times New Roman"/>
          <w:sz w:val="18"/>
          <w:szCs w:val="18"/>
          <w:color w:val="auto"/>
        </w:rPr>
      </w:pPr>
    </w:p>
    <w:p>
      <w:pPr>
        <w:ind w:right="280" w:firstLine="1026"/>
        <w:spacing w:after="0" w:line="282" w:lineRule="auto"/>
        <w:tabs>
          <w:tab w:leader="none" w:pos="127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Assets of the Company</w:t>
      </w:r>
      <w:r>
        <w:rPr>
          <w:rFonts w:ascii="Times New Roman" w:cs="Times New Roman" w:eastAsia="Times New Roman" w:hAnsi="Times New Roman"/>
          <w:sz w:val="18"/>
          <w:szCs w:val="18"/>
          <w:color w:val="auto"/>
        </w:rPr>
        <w:t>. Any indemnification under this Section 4.15 shall be satisfied solely out of the assets of the Company, and no Member shall be subject to personal liability or required to fund or cause to be funded any obligation by reason of these indemnification provisions.</w:t>
      </w:r>
    </w:p>
    <w:p>
      <w:pPr>
        <w:spacing w:after="0" w:line="107" w:lineRule="exact"/>
        <w:rPr>
          <w:rFonts w:ascii="Times New Roman" w:cs="Times New Roman" w:eastAsia="Times New Roman" w:hAnsi="Times New Roman"/>
          <w:sz w:val="18"/>
          <w:szCs w:val="18"/>
          <w:color w:val="auto"/>
        </w:rPr>
      </w:pPr>
    </w:p>
    <w:p>
      <w:pPr>
        <w:ind w:right="40" w:firstLine="1026"/>
        <w:spacing w:after="0" w:line="261" w:lineRule="auto"/>
        <w:tabs>
          <w:tab w:leader="none" w:pos="126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Liability Insurance</w:t>
      </w:r>
      <w:r>
        <w:rPr>
          <w:rFonts w:ascii="Times New Roman" w:cs="Times New Roman" w:eastAsia="Times New Roman" w:hAnsi="Times New Roman"/>
          <w:sz w:val="18"/>
          <w:szCs w:val="18"/>
          <w:color w:val="auto"/>
        </w:rPr>
        <w:t>. The Company may purchase and maintain insurance, at the Company’s expense, on behalf of such Persons as the Manager shall reasonably determine, against any liability that may be asserted against, or any expense that may be incurred by, such Person in connection with the activities of the Company and its Subsidiaries or Affiliates regardless of whether the Company would have the obligation to indemnify such Person against such liability under the provisions of this Agreement.</w:t>
      </w:r>
    </w:p>
    <w:p>
      <w:pPr>
        <w:spacing w:after="0" w:line="122" w:lineRule="exact"/>
        <w:rPr>
          <w:sz w:val="20"/>
          <w:szCs w:val="20"/>
          <w:color w:val="auto"/>
        </w:rPr>
      </w:pPr>
    </w:p>
    <w:p>
      <w:pPr>
        <w:ind w:right="12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4.16 </w:t>
      </w:r>
      <w:r>
        <w:rPr>
          <w:rFonts w:ascii="Times New Roman" w:cs="Times New Roman" w:eastAsia="Times New Roman" w:hAnsi="Times New Roman"/>
          <w:sz w:val="18"/>
          <w:szCs w:val="18"/>
          <w:b w:val="1"/>
          <w:bCs w:val="1"/>
          <w:u w:val="single" w:color="auto"/>
          <w:color w:val="auto"/>
        </w:rPr>
        <w:t>Title to Assets</w:t>
      </w:r>
      <w:r>
        <w:rPr>
          <w:rFonts w:ascii="Times New Roman" w:cs="Times New Roman" w:eastAsia="Times New Roman" w:hAnsi="Times New Roman"/>
          <w:sz w:val="18"/>
          <w:szCs w:val="18"/>
          <w:color w:val="auto"/>
        </w:rPr>
        <w:t>. Unless specifically licensed or leased to the Company, title to the assets of the Company, whether real, personal or mixed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tangible or intangible, shall be deemed to be owned by the Company as an entity, and no Members, individually or collectively, shall have any ownership interest in such assets (other than licensed or leased assets) or any portion thereof.</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CAPITAL CONTRIBUTIONS; DISTRIBUTIONS</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Capital Contributions</w:t>
      </w:r>
      <w:r>
        <w:rPr>
          <w:rFonts w:ascii="Times New Roman" w:cs="Times New Roman" w:eastAsia="Times New Roman" w:hAnsi="Times New Roman"/>
          <w:sz w:val="18"/>
          <w:szCs w:val="18"/>
          <w:b w:val="1"/>
          <w:bCs w:val="1"/>
          <w:color w:val="auto"/>
        </w:rPr>
        <w:t>.</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The AMC Founding Member, as the successor to NCN, and the Regal Founding Member have made their required Capital Contributions</w:t>
      </w:r>
    </w:p>
    <w:p>
      <w:pPr>
        <w:spacing w:after="0" w:line="63"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to the Company as set forth in the Contribution and Unit Holders Agreement, Cinemark Media has made its required Capital Contribution to the Company as set forth in the Contribution Agreement and NCM Inc. has made its required Capital Contribution to the Company as set forth in the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848360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1" w:name="page142"/>
    <w:bookmarkEnd w:id="141"/>
    <w:p>
      <w:pPr>
        <w:spacing w:after="0" w:line="5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Agreement. Except as provided in Sections 3.5(b), 3.5(c), 5.1(b) and otherwise in this Agreement, no Member shall be required to make any other capital contribution to, or provide credit support for, the Company.</w:t>
      </w:r>
    </w:p>
    <w:p>
      <w:pPr>
        <w:spacing w:after="0" w:line="108" w:lineRule="exact"/>
        <w:rPr>
          <w:sz w:val="20"/>
          <w:szCs w:val="20"/>
          <w:color w:val="auto"/>
        </w:rPr>
      </w:pPr>
    </w:p>
    <w:p>
      <w:pPr>
        <w:ind w:right="520" w:firstLine="1026"/>
        <w:spacing w:after="0" w:line="282" w:lineRule="auto"/>
        <w:tabs>
          <w:tab w:leader="none" w:pos="127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Capital Contributions that NCM Inc. has made as provided in Section 5.1(a), NCM Inc. shall make the following additional Capital Contributions to the Company:</w:t>
      </w:r>
    </w:p>
    <w:p>
      <w:pPr>
        <w:spacing w:after="0" w:line="26" w:lineRule="exact"/>
        <w:rPr>
          <w:rFonts w:ascii="Times New Roman" w:cs="Times New Roman" w:eastAsia="Times New Roman" w:hAnsi="Times New Roman"/>
          <w:sz w:val="18"/>
          <w:szCs w:val="18"/>
          <w:color w:val="auto"/>
        </w:rPr>
      </w:pPr>
    </w:p>
    <w:p>
      <w:pPr>
        <w:ind w:right="760" w:firstLine="1663"/>
        <w:spacing w:after="0" w:line="282" w:lineRule="auto"/>
        <w:tabs>
          <w:tab w:leader="none" w:pos="187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due date of the Company’s obligation to make a payment under Section 3.02(a) of the Tax Receivable Agreement, NCM Inc. shall contribute to the Company an amount equal to any ESA-Related Tax Benefit Payment; and</w:t>
      </w:r>
    </w:p>
    <w:p>
      <w:pPr>
        <w:spacing w:after="0" w:line="107" w:lineRule="exact"/>
        <w:rPr>
          <w:rFonts w:ascii="Times New Roman" w:cs="Times New Roman" w:eastAsia="Times New Roman" w:hAnsi="Times New Roman"/>
          <w:sz w:val="18"/>
          <w:szCs w:val="18"/>
          <w:color w:val="auto"/>
        </w:rPr>
      </w:pPr>
    </w:p>
    <w:p>
      <w:pPr>
        <w:ind w:right="700" w:firstLine="1663"/>
        <w:spacing w:after="0" w:line="282" w:lineRule="auto"/>
        <w:tabs>
          <w:tab w:leader="none" w:pos="19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due date of the Company’s obligation to make a payment under Section 3.02(b) of the Tax Receivable Agreement, NCM Inc. shall contribute to the Company an amount equal to any increase in any ESA-Related Tax Benefit Payment.</w:t>
      </w:r>
    </w:p>
    <w:p>
      <w:pPr>
        <w:spacing w:after="0" w:line="107" w:lineRule="exact"/>
        <w:rPr>
          <w:rFonts w:ascii="Times New Roman" w:cs="Times New Roman" w:eastAsia="Times New Roman" w:hAnsi="Times New Roman"/>
          <w:sz w:val="18"/>
          <w:szCs w:val="18"/>
          <w:color w:val="auto"/>
        </w:rPr>
      </w:pPr>
    </w:p>
    <w:p>
      <w:pPr>
        <w:ind w:right="100" w:firstLine="1026"/>
        <w:spacing w:after="0" w:line="282" w:lineRule="auto"/>
        <w:tabs>
          <w:tab w:leader="none" w:pos="126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Article 9 of this Agreement, no Member shall be entitled to withdraw, or demand the return of, any part its Capital Contributions or Capital Account. No Member shall be entitled to interest on or with respect to any Capital Contribution or Capital Account.</w:t>
      </w:r>
    </w:p>
    <w:p>
      <w:pPr>
        <w:spacing w:after="0" w:line="107" w:lineRule="exact"/>
        <w:rPr>
          <w:rFonts w:ascii="Times New Roman" w:cs="Times New Roman" w:eastAsia="Times New Roman" w:hAnsi="Times New Roman"/>
          <w:sz w:val="18"/>
          <w:szCs w:val="18"/>
          <w:color w:val="auto"/>
        </w:rPr>
      </w:pPr>
    </w:p>
    <w:p>
      <w:pPr>
        <w:ind w:right="160" w:firstLine="1026"/>
        <w:spacing w:after="0" w:line="282" w:lineRule="auto"/>
        <w:tabs>
          <w:tab w:leader="none" w:pos="127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Agreement, no Person shall have any preemptive, preferential or similar right to subscribe for or to acquire any Units.</w:t>
      </w:r>
    </w:p>
    <w:p>
      <w:pPr>
        <w:spacing w:after="0" w:line="104"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u w:val="single" w:color="auto"/>
          <w:color w:val="auto"/>
        </w:rPr>
        <w:t>Loans from Members</w:t>
      </w:r>
      <w:r>
        <w:rPr>
          <w:rFonts w:ascii="Times New Roman" w:cs="Times New Roman" w:eastAsia="Times New Roman" w:hAnsi="Times New Roman"/>
          <w:sz w:val="18"/>
          <w:szCs w:val="18"/>
          <w:color w:val="auto"/>
        </w:rPr>
        <w:t>. Loans by Members to the Company shall not be considered contributions to the capital of the Company hereunder.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Member shall advance funds to the Company in excess of the amounts required to be contributed to the capital of the Company, the making of such advances shall not result in any increase in the amount of the Capital Account of such Member and shall be payable or collectible in accordance with the terms and conditions upon which advances are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terms of any such loan shall not be less favorable to the Company, taken as a whole, than would be available to the Company from unrelated lenders and such loan shall be approved by the Manager (or a Majority Member Vote in the event the Manager is making the loan to the Company).</w:t>
      </w:r>
    </w:p>
    <w:p>
      <w:pPr>
        <w:spacing w:after="0" w:line="128" w:lineRule="exact"/>
        <w:rPr>
          <w:sz w:val="20"/>
          <w:szCs w:val="20"/>
          <w:color w:val="auto"/>
        </w:rPr>
      </w:pPr>
    </w:p>
    <w:p>
      <w:pPr>
        <w:ind w:right="36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b w:val="1"/>
          <w:bCs w:val="1"/>
          <w:u w:val="single" w:color="auto"/>
          <w:color w:val="auto"/>
        </w:rPr>
        <w:t>Loans from Third Parties</w:t>
      </w:r>
      <w:r>
        <w:rPr>
          <w:rFonts w:ascii="Times New Roman" w:cs="Times New Roman" w:eastAsia="Times New Roman" w:hAnsi="Times New Roman"/>
          <w:sz w:val="18"/>
          <w:szCs w:val="18"/>
          <w:color w:val="auto"/>
        </w:rPr>
        <w:t>. The Company may incur Indebtedness, or enter into other similar credit, guarantee, financing or refinancing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arrangements for any purpose with any Person upon such terms as the Manager determines appropriate;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incur any Indebtedness that is recourse to any Member, except to the extent otherwise agreed to in writing by the applicable Member in its sole discretion.</w:t>
      </w:r>
    </w:p>
    <w:p>
      <w:pPr>
        <w:spacing w:after="0" w:line="117"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b w:val="1"/>
          <w:bCs w:val="1"/>
          <w:u w:val="single" w:color="auto"/>
          <w:color w:val="auto"/>
        </w:rPr>
        <w:t>Distributions</w:t>
      </w:r>
      <w:r>
        <w:rPr>
          <w:rFonts w:ascii="Times New Roman" w:cs="Times New Roman" w:eastAsia="Times New Roman" w:hAnsi="Times New Roman"/>
          <w:sz w:val="18"/>
          <w:szCs w:val="18"/>
          <w:color w:val="auto"/>
        </w:rPr>
        <w:t>. Except as provided in Section 3.5(c)(ii), all distributions made by the Company, if any, shall be made in accordance with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5.4.</w:t>
      </w:r>
    </w:p>
    <w:p>
      <w:pPr>
        <w:spacing w:after="0" w:line="1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Nonliquidating Distributions</w:t>
      </w:r>
      <w:r>
        <w:rPr>
          <w:rFonts w:ascii="Times New Roman" w:cs="Times New Roman" w:eastAsia="Times New Roman" w:hAnsi="Times New Roman"/>
          <w:sz w:val="18"/>
          <w:szCs w:val="18"/>
          <w:color w:val="auto"/>
        </w:rPr>
        <w:t>. The Manager will cause the Company to make distributions of the Distribution Amount in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manner:</w:t>
      </w:r>
    </w:p>
    <w:p>
      <w:pPr>
        <w:spacing w:after="0" w:line="9" w:lineRule="exact"/>
        <w:rPr>
          <w:sz w:val="20"/>
          <w:szCs w:val="20"/>
          <w:color w:val="auto"/>
        </w:rPr>
      </w:pPr>
    </w:p>
    <w:p>
      <w:pPr>
        <w:ind w:right="280" w:firstLine="1663"/>
        <w:spacing w:after="0" w:line="255" w:lineRule="auto"/>
        <w:tabs>
          <w:tab w:leader="none" w:pos="187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calendar days following the last day of each Fiscal Period (or the next Business Day if the 60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calendar day is not a Business Day), the Company shall make a distribution in an amount equal to the Distribution Amount for such Fiscal Period, excluding the Deferred Distribution Amount, to the Members.</w:t>
      </w:r>
    </w:p>
    <w:p>
      <w:pPr>
        <w:spacing w:after="0" w:line="185" w:lineRule="exact"/>
        <w:rPr>
          <w:rFonts w:ascii="Times New Roman" w:cs="Times New Roman" w:eastAsia="Times New Roman" w:hAnsi="Times New Roman"/>
          <w:sz w:val="18"/>
          <w:szCs w:val="18"/>
          <w:color w:val="auto"/>
        </w:rPr>
      </w:pPr>
    </w:p>
    <w:p>
      <w:pPr>
        <w:ind w:right="60" w:firstLine="1505"/>
        <w:spacing w:after="0" w:line="255" w:lineRule="auto"/>
        <w:tabs>
          <w:tab w:leader="none" w:pos="179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5 calendar days prior to the date that the Distribution Amount will be paid (or the next Business Day if the 5th calendar day is not a Business Day), the Company shall notify each member of the total Distribution Amount that is payable to the Member. Each Member (the “</w:t>
      </w:r>
      <w:r>
        <w:rPr>
          <w:rFonts w:ascii="Times New Roman" w:cs="Times New Roman" w:eastAsia="Times New Roman" w:hAnsi="Times New Roman"/>
          <w:sz w:val="18"/>
          <w:szCs w:val="18"/>
          <w:b w:val="1"/>
          <w:bCs w:val="1"/>
          <w:color w:val="auto"/>
        </w:rPr>
        <w:t>Deferring Member</w:t>
      </w:r>
      <w:r>
        <w:rPr>
          <w:rFonts w:ascii="Times New Roman" w:cs="Times New Roman" w:eastAsia="Times New Roman" w:hAnsi="Times New Roman"/>
          <w:sz w:val="18"/>
          <w:szCs w:val="18"/>
          <w:color w:val="auto"/>
        </w:rPr>
        <w:t>”) may choose to defer all or any portion of its share of the Distribution Amount by notifying the Company of the total amount that the Member is deferring within such 5-calendar day period (such</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the “</w:t>
      </w:r>
      <w:r>
        <w:rPr>
          <w:rFonts w:ascii="Times New Roman" w:cs="Times New Roman" w:eastAsia="Times New Roman" w:hAnsi="Times New Roman"/>
          <w:sz w:val="18"/>
          <w:szCs w:val="18"/>
          <w:b w:val="1"/>
          <w:bCs w:val="1"/>
          <w:color w:val="auto"/>
        </w:rPr>
        <w:t>Deferred Distribution Amount</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firstLine="1505"/>
        <w:spacing w:after="0" w:line="258" w:lineRule="auto"/>
        <w:tabs>
          <w:tab w:leader="none" w:pos="178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Deferring Member may require that the Company distribute the Deferred Distribution Amount, or a portion of the total amount, upon 30 days written notice subject to any restrictions in the 2023 Credit Facility and the Company’s availability of sufficient cash to distribute the requested amount. The Manager may determine to distribute the Deferred Distribution Amounts prior to the end of the 30 day notice period. If the distribution of the Deferred Distribution Amount is restricted by the 2023 Credit Facility, then the distribution shall be made promptly following the date that the 2023 Credit Facility does not restrict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2" w:name="page143"/>
    <w:bookmarkEnd w:id="142"/>
    <w:p>
      <w:pPr>
        <w:spacing w:after="0" w:line="194" w:lineRule="exact"/>
        <w:rPr>
          <w:sz w:val="20"/>
          <w:szCs w:val="20"/>
          <w:color w:val="auto"/>
        </w:rPr>
      </w:pPr>
    </w:p>
    <w:p>
      <w:pPr>
        <w:jc w:val="both"/>
        <w:ind w:left="760" w:right="120" w:firstLine="745"/>
        <w:spacing w:after="0" w:line="266" w:lineRule="auto"/>
        <w:tabs>
          <w:tab w:leader="none" w:pos="1793"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Distribution Amounts shall be treated as accrued liabilities. The Deferred Distribution Amount shall not accrue interest. The Deferred Distribution Amounts shall not be used to fund the distribution of Distribution Amounts and no Member other than the Deferring Member shall have any ownership claim to the Deferred Distribution Amount.</w:t>
      </w:r>
    </w:p>
    <w:p>
      <w:pPr>
        <w:spacing w:after="0" w:line="175" w:lineRule="exact"/>
        <w:rPr>
          <w:rFonts w:ascii="Times New Roman" w:cs="Times New Roman" w:eastAsia="Times New Roman" w:hAnsi="Times New Roman"/>
          <w:sz w:val="18"/>
          <w:szCs w:val="18"/>
          <w:color w:val="auto"/>
        </w:rPr>
      </w:pPr>
    </w:p>
    <w:p>
      <w:pPr>
        <w:ind w:right="20" w:firstLine="1663"/>
        <w:spacing w:after="0" w:line="257" w:lineRule="auto"/>
        <w:tabs>
          <w:tab w:leader="none" w:pos="1920" w:val="left"/>
        </w:tabs>
        <w:numPr>
          <w:ilvl w:val="3"/>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Section 5.4(b), all distributions of the Distribution Amounts shall be made among the Members pro rata in accordance with their Percentage Interests;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(i) the Company is in default under any Funded Indebtedness, (ii) the distribution would cause the Company to default under any Funded Indebtedness, or (iii) restrictions imposed on the Company’s funds pursuant to any Funded Indebtedness, cause</w:t>
      </w:r>
    </w:p>
    <w:p>
      <w:pPr>
        <w:spacing w:after="0" w:line="1" w:lineRule="exact"/>
        <w:rPr>
          <w:rFonts w:ascii="Times New Roman" w:cs="Times New Roman" w:eastAsia="Times New Roman" w:hAnsi="Times New Roman"/>
          <w:sz w:val="18"/>
          <w:szCs w:val="18"/>
          <w:color w:val="auto"/>
        </w:rPr>
      </w:pPr>
    </w:p>
    <w:p>
      <w:pPr>
        <w:ind w:right="20" w:firstLine="8"/>
        <w:spacing w:after="0" w:line="253" w:lineRule="auto"/>
        <w:tabs>
          <w:tab w:leader="none" w:pos="25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product of the Distribution Amount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NCM Inc.’s Percentage interest, to be less than the sum of (y) the product of the Tax Distribution Amount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NCM Inc.’s Percentage Interest,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Tax Receivable Distribution Amount, then the Company shall distribute the Tax Distribution Amount among the Members pro rata in accordance with their Percentage Interests and distribute the Tax Receivable Distribution Amount to NCM Inc.; provided further that the Deferred Distribution Amounts shall only be distributed to the applicable Deferring Member.</w:t>
      </w:r>
    </w:p>
    <w:p>
      <w:pPr>
        <w:spacing w:after="0" w:line="130" w:lineRule="exact"/>
        <w:rPr>
          <w:rFonts w:ascii="Times New Roman" w:cs="Times New Roman" w:eastAsia="Times New Roman" w:hAnsi="Times New Roman"/>
          <w:sz w:val="18"/>
          <w:szCs w:val="18"/>
          <w:color w:val="auto"/>
        </w:rPr>
      </w:pPr>
    </w:p>
    <w:p>
      <w:pPr>
        <w:ind w:firstLine="1663"/>
        <w:spacing w:after="0" w:line="254" w:lineRule="auto"/>
        <w:tabs>
          <w:tab w:leader="none" w:pos="1970" w:val="left"/>
        </w:tabs>
        <w:numPr>
          <w:ilvl w:val="3"/>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determine Available Cash (i) for each Fiscal Period, and (ii) for each Fiscal Year (the “</w:t>
      </w:r>
      <w:r>
        <w:rPr>
          <w:rFonts w:ascii="Times New Roman" w:cs="Times New Roman" w:eastAsia="Times New Roman" w:hAnsi="Times New Roman"/>
          <w:sz w:val="18"/>
          <w:szCs w:val="18"/>
          <w:b w:val="1"/>
          <w:bCs w:val="1"/>
          <w:u w:val="single" w:color="auto"/>
          <w:color w:val="auto"/>
        </w:rPr>
        <w:t>Distribution Year</w:t>
      </w:r>
      <w:r>
        <w:rPr>
          <w:rFonts w:ascii="Times New Roman" w:cs="Times New Roman" w:eastAsia="Times New Roman" w:hAnsi="Times New Roman"/>
          <w:sz w:val="18"/>
          <w:szCs w:val="18"/>
          <w:color w:val="auto"/>
        </w:rPr>
        <w:t>”) in connection with the preparation of the audited report delivered to the Members for the Distribution Year, as provided in Section 6.9(c). To the extent Available Cash for the Distribution Year is greater than the total Distribution Amount distributed to the Members under Section 5.4(a)(i) with respect to the four Fiscal Periods in such Distribution Year (the “</w:t>
      </w:r>
      <w:r>
        <w:rPr>
          <w:rFonts w:ascii="Times New Roman" w:cs="Times New Roman" w:eastAsia="Times New Roman" w:hAnsi="Times New Roman"/>
          <w:sz w:val="18"/>
          <w:szCs w:val="18"/>
          <w:b w:val="1"/>
          <w:bCs w:val="1"/>
          <w:u w:val="single" w:color="auto"/>
          <w:color w:val="auto"/>
        </w:rPr>
        <w:t>Distribution Increase</w:t>
      </w:r>
      <w:r>
        <w:rPr>
          <w:rFonts w:ascii="Times New Roman" w:cs="Times New Roman" w:eastAsia="Times New Roman" w:hAnsi="Times New Roman"/>
          <w:sz w:val="18"/>
          <w:szCs w:val="18"/>
          <w:color w:val="auto"/>
        </w:rPr>
        <w:t>”), the Distribution Increase will be added to Available Cash for the second Fiscal Period in the Fiscal Year following the Distribution Year. To the extent Available Cash for the Distribution Year is less than the total Distribution Amount distributed to the Members under Section 5.4(a)(i) with respect to the four Fiscal Periods in such Distribution Year (the “</w:t>
      </w:r>
      <w:r>
        <w:rPr>
          <w:rFonts w:ascii="Times New Roman" w:cs="Times New Roman" w:eastAsia="Times New Roman" w:hAnsi="Times New Roman"/>
          <w:sz w:val="18"/>
          <w:szCs w:val="18"/>
          <w:b w:val="1"/>
          <w:bCs w:val="1"/>
          <w:u w:val="single" w:color="auto"/>
          <w:color w:val="auto"/>
        </w:rPr>
        <w:t>Distribution Decrease</w:t>
      </w:r>
      <w:r>
        <w:rPr>
          <w:rFonts w:ascii="Times New Roman" w:cs="Times New Roman" w:eastAsia="Times New Roman" w:hAnsi="Times New Roman"/>
          <w:sz w:val="18"/>
          <w:szCs w:val="18"/>
          <w:color w:val="auto"/>
        </w:rPr>
        <w:t>”), the Distribution Decrease will be subtracted from Available Cash for the second Fiscal Period in the Fiscal Year following the Distribution Year. Any Distribution Increase or Distribution Decrease provided for in this Section 5.4(a)(iii) shall be taken into account in the distributions made to the Members under Section 5.4(a)(i) following the last day of the second Fiscal Period in the Fiscal Year following the Distribution Year.</w:t>
      </w:r>
    </w:p>
    <w:p>
      <w:pPr>
        <w:spacing w:after="0" w:line="138" w:lineRule="exact"/>
        <w:rPr>
          <w:rFonts w:ascii="Times New Roman" w:cs="Times New Roman" w:eastAsia="Times New Roman" w:hAnsi="Times New Roman"/>
          <w:sz w:val="18"/>
          <w:szCs w:val="18"/>
          <w:color w:val="auto"/>
        </w:rPr>
      </w:pPr>
    </w:p>
    <w:p>
      <w:pPr>
        <w:ind w:right="80" w:firstLine="1663"/>
        <w:spacing w:after="0" w:line="282" w:lineRule="auto"/>
        <w:tabs>
          <w:tab w:leader="none" w:pos="1960" w:val="left"/>
        </w:tabs>
        <w:numPr>
          <w:ilvl w:val="3"/>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three (3) Business days of receiving or being deemed to receive any ESA-Related Payment from an ESA Party pursuant to Sections 3.02 or 5.03 of the Tax Receivable Agreement, the Company shall distribute such ESA-Related Payment to NCM Inc.</w:t>
      </w:r>
    </w:p>
    <w:p>
      <w:pPr>
        <w:spacing w:after="0" w:line="107" w:lineRule="exact"/>
        <w:rPr>
          <w:rFonts w:ascii="Times New Roman" w:cs="Times New Roman" w:eastAsia="Times New Roman" w:hAnsi="Times New Roman"/>
          <w:sz w:val="18"/>
          <w:szCs w:val="18"/>
          <w:color w:val="auto"/>
        </w:rPr>
      </w:pPr>
    </w:p>
    <w:p>
      <w:pPr>
        <w:jc w:val="both"/>
        <w:ind w:right="240" w:firstLine="1026"/>
        <w:spacing w:after="0" w:line="266" w:lineRule="auto"/>
        <w:tabs>
          <w:tab w:leader="none" w:pos="127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Liquidating Distributions</w:t>
      </w:r>
      <w:r>
        <w:rPr>
          <w:rFonts w:ascii="Times New Roman" w:cs="Times New Roman" w:eastAsia="Times New Roman" w:hAnsi="Times New Roman"/>
          <w:sz w:val="18"/>
          <w:szCs w:val="18"/>
          <w:color w:val="auto"/>
        </w:rPr>
        <w:t>. All distributions made in connection with the sale, exchange or other disposition of all or substantially all of the Company’s assets, or with respect to the winding up and liquidation of the Company, shall be made among the Members pro rata in accordance with their Percentage Interests.</w:t>
      </w:r>
    </w:p>
    <w:p>
      <w:pPr>
        <w:spacing w:after="0" w:line="121" w:lineRule="exact"/>
        <w:rPr>
          <w:rFonts w:ascii="Times New Roman" w:cs="Times New Roman" w:eastAsia="Times New Roman" w:hAnsi="Times New Roman"/>
          <w:sz w:val="18"/>
          <w:szCs w:val="18"/>
          <w:color w:val="auto"/>
        </w:rPr>
      </w:pPr>
    </w:p>
    <w:p>
      <w:pPr>
        <w:ind w:right="180" w:firstLine="1026"/>
        <w:spacing w:after="0" w:line="261" w:lineRule="auto"/>
        <w:tabs>
          <w:tab w:leader="none" w:pos="126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Sole Discretion of the Manager</w:t>
      </w:r>
      <w:r>
        <w:rPr>
          <w:rFonts w:ascii="Times New Roman" w:cs="Times New Roman" w:eastAsia="Times New Roman" w:hAnsi="Times New Roman"/>
          <w:sz w:val="18"/>
          <w:szCs w:val="18"/>
          <w:color w:val="auto"/>
        </w:rPr>
        <w:t>. Except as specified in Sections 3.4(e), 3.5(c)(ii), 4.3, 5.4(a), 5.4(b), 7.3 or 9.1(a), (i) the Company shall have no obligation to distribute any cash or other property of the Company to the Members, (ii) the Manager shall have sole discretion in determining whether to distribute any cash or other property of the Company, when available, and in determining the timing, kind and amount of any and all distributions, and (iii) no Member is entitled to receive any distribution unless and until declared by the Manager.</w:t>
      </w:r>
    </w:p>
    <w:p>
      <w:pPr>
        <w:spacing w:after="0" w:line="112" w:lineRule="exact"/>
        <w:rPr>
          <w:rFonts w:ascii="Times New Roman" w:cs="Times New Roman" w:eastAsia="Times New Roman" w:hAnsi="Times New Roman"/>
          <w:sz w:val="18"/>
          <w:szCs w:val="18"/>
          <w:color w:val="auto"/>
        </w:rPr>
      </w:pPr>
    </w:p>
    <w:p>
      <w:pPr>
        <w:ind w:right="100" w:firstLine="1026"/>
        <w:spacing w:after="0" w:line="266" w:lineRule="auto"/>
        <w:tabs>
          <w:tab w:leader="none" w:pos="127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Distributions in Kind</w:t>
      </w:r>
      <w:r>
        <w:rPr>
          <w:rFonts w:ascii="Times New Roman" w:cs="Times New Roman" w:eastAsia="Times New Roman" w:hAnsi="Times New Roman"/>
          <w:sz w:val="18"/>
          <w:szCs w:val="18"/>
          <w:color w:val="auto"/>
        </w:rPr>
        <w:t>. No Member has any right to demand or receive property other than cash. However, the Manager may, in its sole discretion, elect to make distributions, entirely or in part, in property of the Company other than cash. Property distributed in kind shall be deemed to have been sold for their valuation determined in accordance with Section 5.5.</w:t>
      </w:r>
    </w:p>
    <w:p>
      <w:pPr>
        <w:spacing w:after="0" w:line="121" w:lineRule="exact"/>
        <w:rPr>
          <w:rFonts w:ascii="Times New Roman" w:cs="Times New Roman" w:eastAsia="Times New Roman" w:hAnsi="Times New Roman"/>
          <w:sz w:val="18"/>
          <w:szCs w:val="18"/>
          <w:color w:val="auto"/>
        </w:rPr>
      </w:pPr>
    </w:p>
    <w:p>
      <w:pPr>
        <w:ind w:left="1280" w:hanging="254"/>
        <w:spacing w:after="0"/>
        <w:tabs>
          <w:tab w:leader="none" w:pos="128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Limitations on Distributions</w:t>
      </w:r>
      <w:r>
        <w:rPr>
          <w:rFonts w:ascii="Times New Roman" w:cs="Times New Roman" w:eastAsia="Times New Roman" w:hAnsi="Times New Roman"/>
          <w:sz w:val="17"/>
          <w:szCs w:val="17"/>
          <w:color w:val="auto"/>
        </w:rPr>
        <w:t>. Notwithstanding anything in this Agreement to the contrary, no distribution shall be made in violation of the</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LLC Act.</w:t>
      </w:r>
    </w:p>
    <w:p>
      <w:pPr>
        <w:spacing w:after="0" w:line="152" w:lineRule="exact"/>
        <w:rPr>
          <w:rFonts w:ascii="Times New Roman" w:cs="Times New Roman" w:eastAsia="Times New Roman" w:hAnsi="Times New Roman"/>
          <w:sz w:val="17"/>
          <w:szCs w:val="17"/>
          <w:color w:val="auto"/>
        </w:rPr>
      </w:pPr>
    </w:p>
    <w:p>
      <w:pPr>
        <w:jc w:val="both"/>
        <w:ind w:right="200" w:firstLine="1026"/>
        <w:spacing w:after="0" w:line="266" w:lineRule="auto"/>
        <w:tabs>
          <w:tab w:leader="none" w:pos="124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w:t>
      </w:r>
      <w:r>
        <w:rPr>
          <w:rFonts w:ascii="Times New Roman" w:cs="Times New Roman" w:eastAsia="Times New Roman" w:hAnsi="Times New Roman"/>
          <w:sz w:val="18"/>
          <w:szCs w:val="18"/>
          <w:color w:val="auto"/>
        </w:rPr>
        <w:t>. The Members hereby consent and agree that, except as expressly provided herein or required by applicable law and except for distributions not made in compliance with this Agreement, no Member shall have an obligation to return cash or other property paid or distributed to such Member by the Company, whether such obligation would have arisen under § 18-502(b) of the LLC 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3" w:name="page144"/>
    <w:bookmarkEnd w:id="143"/>
    <w:p>
      <w:pPr>
        <w:spacing w:after="0" w:line="13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5.5 </w:t>
      </w:r>
      <w:r>
        <w:rPr>
          <w:rFonts w:ascii="Times New Roman" w:cs="Times New Roman" w:eastAsia="Times New Roman" w:hAnsi="Times New Roman"/>
          <w:sz w:val="18"/>
          <w:szCs w:val="18"/>
          <w:b w:val="1"/>
          <w:bCs w:val="1"/>
          <w:u w:val="single" w:color="auto"/>
          <w:color w:val="auto"/>
        </w:rPr>
        <w:t>Valuation</w:t>
      </w:r>
      <w:r>
        <w:rPr>
          <w:rFonts w:ascii="Times New Roman" w:cs="Times New Roman" w:eastAsia="Times New Roman" w:hAnsi="Times New Roman"/>
          <w:sz w:val="18"/>
          <w:szCs w:val="18"/>
          <w:color w:val="auto"/>
        </w:rPr>
        <w:t>. All valuation determinations to be made under this Agreement shall be made pursuant to the terms of this Section,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determinations shall be conclusive and binding on the Company, all Members, former Members, their successors, assigns, legal representatives and any other Person, except for computational errors or fraud, and to the fullest extent permitted by law, no such Person shall have the right to an accounting or an appraisal of the assets of the Company or any successor thereto except for computational errors or fraud. Valuations shall be determined by a reasonable method of valuation determined by the Manager, which may include an independent appraisal, a reasonable estimate by the Manager or some other reasonable method of valuation. Distributions of property in kind shall be valued at fair market value;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valuation under this Section shall be determined by an independent appraiser selected by the Manager if so requested by any Founding Member.</w:t>
      </w:r>
    </w:p>
    <w:p>
      <w:pPr>
        <w:spacing w:after="0" w:line="29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17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u w:val="single" w:color="auto"/>
          <w:color w:val="auto"/>
        </w:rPr>
        <w:t>BOOKS AND RECORDS; TAX; CAPITAL ACCOUNTS; ALLOCATIONS</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u w:val="single" w:color="auto"/>
          <w:color w:val="auto"/>
        </w:rPr>
        <w:t>General Accounting Matters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right="480" w:firstLine="1026"/>
        <w:spacing w:after="0" w:line="282" w:lineRule="auto"/>
        <w:tabs>
          <w:tab w:leader="none" w:pos="126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Allocations of Net Income or Net Losses pursuant to Section 6.4 shall be made at the end of each Fiscal Period, at such times as the Carrying Value of Company assets is adjusted pursuant to the definition thereof and at such other times as required by this Agreement.</w:t>
      </w:r>
    </w:p>
    <w:p>
      <w:pPr>
        <w:spacing w:after="0" w:line="107" w:lineRule="exact"/>
        <w:rPr>
          <w:rFonts w:ascii="Times New Roman" w:cs="Times New Roman" w:eastAsia="Times New Roman" w:hAnsi="Times New Roman"/>
          <w:sz w:val="18"/>
          <w:szCs w:val="18"/>
          <w:color w:val="auto"/>
        </w:rPr>
      </w:pPr>
    </w:p>
    <w:p>
      <w:pPr>
        <w:ind w:right="60" w:firstLine="1026"/>
        <w:spacing w:after="0" w:line="266" w:lineRule="auto"/>
        <w:tabs>
          <w:tab w:leader="none" w:pos="127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shall be supplied with the information of the Company necessary to enable such Member to prepare in a timely manner (and in any event within 120 days after the end of the Company Fiscal Year) its federal, state and local income tax returns and such other financial or other statements and reports that the Manager deems appropriate.</w:t>
      </w:r>
    </w:p>
    <w:p>
      <w:pPr>
        <w:spacing w:after="0" w:line="121" w:lineRule="exact"/>
        <w:rPr>
          <w:rFonts w:ascii="Times New Roman" w:cs="Times New Roman" w:eastAsia="Times New Roman" w:hAnsi="Times New Roman"/>
          <w:sz w:val="18"/>
          <w:szCs w:val="18"/>
          <w:color w:val="auto"/>
        </w:rPr>
      </w:pPr>
    </w:p>
    <w:p>
      <w:pPr>
        <w:ind w:right="120" w:firstLine="1026"/>
        <w:spacing w:after="0" w:line="261" w:lineRule="auto"/>
        <w:tabs>
          <w:tab w:leader="none" w:pos="126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shall keep or cause to be kept books and records pertaining to the Company’s business showing all of its assets and liabilities, receipts and disbursements, Net Income and Net Losses, Members’ Capital Accounts and all transactions entered into by the Company. Such books and records of the Company shall be kept at the office of the Company and the Members and their representatives shall at all reasonable times have free access thereto for the purpose of inspecting or copying the same.</w:t>
      </w:r>
    </w:p>
    <w:p>
      <w:pPr>
        <w:spacing w:after="0" w:line="112" w:lineRule="exact"/>
        <w:rPr>
          <w:rFonts w:ascii="Times New Roman" w:cs="Times New Roman" w:eastAsia="Times New Roman" w:hAnsi="Times New Roman"/>
          <w:sz w:val="18"/>
          <w:szCs w:val="18"/>
          <w:color w:val="auto"/>
        </w:rPr>
      </w:pPr>
    </w:p>
    <w:p>
      <w:pPr>
        <w:ind w:right="60" w:firstLine="1026"/>
        <w:spacing w:after="0" w:line="282" w:lineRule="auto"/>
        <w:tabs>
          <w:tab w:leader="none" w:pos="127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books of account shall be kept on an accrual basis or as otherwise provided by the Manager and otherwise in accordance with GAAP, except that for income tax purposes such books shall be kept in accordance with applicable tax accounting principles.</w:t>
      </w:r>
    </w:p>
    <w:p>
      <w:pPr>
        <w:spacing w:after="0" w:line="107" w:lineRule="exact"/>
        <w:rPr>
          <w:rFonts w:ascii="Times New Roman" w:cs="Times New Roman" w:eastAsia="Times New Roman" w:hAnsi="Times New Roman"/>
          <w:sz w:val="18"/>
          <w:szCs w:val="18"/>
          <w:color w:val="auto"/>
        </w:rPr>
      </w:pPr>
    </w:p>
    <w:p>
      <w:pPr>
        <w:ind w:right="100" w:firstLine="1026"/>
        <w:spacing w:after="0" w:line="258" w:lineRule="auto"/>
        <w:tabs>
          <w:tab w:leader="none" w:pos="126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shall cause each of its Subsidiaries to, (i) maintain accurate books and records reflecting its assets and liabilities and maintain proper and adequate “internal control over financial reporting” (as such term is defined in Rules 13a-15(f) and 15d-15(f) promulgated under the Exchange Act, and as such rules may be amended and supplemented from time to time); and (ii) deliver to any Member, immediately upon request, certifications and statements with respect to the Company and its Subsidiaries satisfying the requirements of Rule 13a-l4(a) or 15d-14(a) under the Exchange Act, and 18 U.S.C. § 1350 (Section 906 of the Sarbanes-Oxley Act of 2002).</w:t>
      </w:r>
    </w:p>
    <w:p>
      <w:pPr>
        <w:spacing w:after="0" w:line="129" w:lineRule="exact"/>
        <w:rPr>
          <w:rFonts w:ascii="Times New Roman" w:cs="Times New Roman" w:eastAsia="Times New Roman" w:hAnsi="Times New Roman"/>
          <w:sz w:val="18"/>
          <w:szCs w:val="18"/>
          <w:color w:val="auto"/>
        </w:rPr>
      </w:pPr>
    </w:p>
    <w:p>
      <w:pPr>
        <w:ind w:right="100" w:firstLine="1026"/>
        <w:spacing w:after="0" w:line="255" w:lineRule="auto"/>
        <w:tabs>
          <w:tab w:leader="none" w:pos="124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confidentiality provisions of this Agreement, the Company will permit representatives of a Member and its Affiliates, at their expense, to obtain all books and accounts, documents and other information (other than documents and information relating to pricing or other proprietary information of any Member or its Affiliates collected pursuant to any Exhibitor Services Agreement) in the possession of the Company and its Subsidiaries, if any, as may reasonably be requested in order to enable such Member to monitor its investment in the Company and to exercise its rights under this Agreement and, to the extent applicable, to provide such other access and information as may be reasonably required to enable such Member to account for the investment in the Company and otherwise comply with the requirements of applicable laws, generally accepted accounting principles and requirements of any Governmental Authority.</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u w:val="single" w:color="auto"/>
          <w:color w:val="auto"/>
        </w:rPr>
        <w:t>Certain Tax Matters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firstLine="1026"/>
        <w:spacing w:after="0" w:line="266" w:lineRule="auto"/>
        <w:tabs>
          <w:tab w:leader="none" w:pos="126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make the TEFRA Election for all taxable years of the Company. The “tax matters partner” for purposes of Section 6231(a)(7) of the Code shall be NCM Inc. (the “</w:t>
      </w:r>
      <w:r>
        <w:rPr>
          <w:rFonts w:ascii="Times New Roman" w:cs="Times New Roman" w:eastAsia="Times New Roman" w:hAnsi="Times New Roman"/>
          <w:sz w:val="18"/>
          <w:szCs w:val="18"/>
          <w:b w:val="1"/>
          <w:bCs w:val="1"/>
          <w:u w:val="single" w:color="auto"/>
          <w:color w:val="auto"/>
        </w:rPr>
        <w:t>Tax Matters Member</w:t>
      </w:r>
      <w:r>
        <w:rPr>
          <w:rFonts w:ascii="Times New Roman" w:cs="Times New Roman" w:eastAsia="Times New Roman" w:hAnsi="Times New Roman"/>
          <w:sz w:val="18"/>
          <w:szCs w:val="18"/>
          <w:color w:val="auto"/>
        </w:rPr>
        <w:t>”). The Tax Matters Member shall have all the rights, duties, powers and obligations provided for in Sections 6221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4" w:name="page145"/>
    <w:bookmarkEnd w:id="144"/>
    <w:p>
      <w:pPr>
        <w:spacing w:after="0" w:line="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through 6232 of the Code with respect to the Company. The Tax Matters Member shall inform each other Significant Member of all significant matters that may come to its attention in its capacity as such by giving notice thereof within ten (10) days after becoming aware thereof and, within such time, shall forward to each other Significant Member copies of all significant written communications it may receive in such capacity. This provision is not intended to authorize the Tax Matters Member to take any action left to the determination of an individual Member under Sections 6222 through 6231 of the Code. All references to Code Sections in this Section 6.2(a) (including in the definition of TEFRA) are to such Sections as they existed prior to the enactment of the Bipartisan Budget Act of 2015, Pub. L No. 114-74. This Section 6.2(a) shall apply only with respect to taxable years of the Company that end on or before December 27, 2018, regardless of the year in which an audit or other tax proceeding with respect to such taxable year may arise.</w:t>
      </w:r>
    </w:p>
    <w:p>
      <w:pPr>
        <w:spacing w:after="0" w:line="54" w:lineRule="exact"/>
        <w:rPr>
          <w:sz w:val="20"/>
          <w:szCs w:val="20"/>
          <w:color w:val="auto"/>
        </w:rPr>
      </w:pPr>
    </w:p>
    <w:p>
      <w:pPr>
        <w:ind w:right="20" w:firstLine="1026"/>
        <w:spacing w:after="0" w:line="256" w:lineRule="auto"/>
        <w:tabs>
          <w:tab w:leader="none" w:pos="127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6.2(b) shall apply with respect to taxable years of the Company beginning on or after December 28, 2018 (other than with respect to an audit or other tax proceeding for a taxable year described in Section 6.2(a) above). All references to Code Sections in this Section 6.2(b) are to such Code Sections as they existed following the enactment of the Bipartisan Budget Act of 2015, Pub. L No. 114-74, as the same may be amended from time to time. The Company shall make an election under Code Section 6221(b) on its federal income tax return for each taxable year in which the Company is eligible to make such an election. For any taxable year for which the Company does not make such election or the election is otherwise inapplicable:</w:t>
      </w:r>
    </w:p>
    <w:p>
      <w:pPr>
        <w:spacing w:after="0" w:line="52" w:lineRule="exact"/>
        <w:rPr>
          <w:rFonts w:ascii="Times New Roman" w:cs="Times New Roman" w:eastAsia="Times New Roman" w:hAnsi="Times New Roman"/>
          <w:sz w:val="18"/>
          <w:szCs w:val="18"/>
          <w:color w:val="auto"/>
        </w:rPr>
      </w:pPr>
    </w:p>
    <w:p>
      <w:pPr>
        <w:ind w:firstLine="1663"/>
        <w:spacing w:after="0" w:line="253" w:lineRule="auto"/>
        <w:tabs>
          <w:tab w:leader="none" w:pos="187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designate NCM Inc. as its “partnership representative” within the meaning of Code Section 6223 (and NCM Inc. shall serve in any similar capacity under state, local or foreign law) by making such designation on its respective federal income tax return for each taxable year in which the Company is in existence or otherwise in a manner consistent with the Code and the regulations promulgated thereunder (the “</w:t>
      </w:r>
      <w:r>
        <w:rPr>
          <w:rFonts w:ascii="Times New Roman" w:cs="Times New Roman" w:eastAsia="Times New Roman" w:hAnsi="Times New Roman"/>
          <w:sz w:val="18"/>
          <w:szCs w:val="18"/>
          <w:b w:val="1"/>
          <w:bCs w:val="1"/>
          <w:u w:val="single" w:color="auto"/>
          <w:color w:val="auto"/>
        </w:rPr>
        <w:t>Partnership Representative</w:t>
      </w:r>
      <w:r>
        <w:rPr>
          <w:rFonts w:ascii="Times New Roman" w:cs="Times New Roman" w:eastAsia="Times New Roman" w:hAnsi="Times New Roman"/>
          <w:sz w:val="18"/>
          <w:szCs w:val="18"/>
          <w:color w:val="auto"/>
        </w:rPr>
        <w:t>”). NCM Inc. shall remain the Partnership Representative until it is replaced by a successor Partnership Representative designated by a unanimous vote of the Significant Members in accordance with the procedures set forth in the Code and the regulations promulgated thereunder; provided, however, NCM Inc. (or any successor Partnership Representative) may resign, in its sole discretion, as the Partnership Representative in accordance with the procedures set forth in the Code and the regulations promulgated thereunder. Subject to the provisions of this Section 6.2(b), the Partnership Representative shall be authorized to undertake all actions on behalf of the Company specified under Code Sections 6221 through 6231 and the Treasury Regulations promulgated thereunder. The Partnership Representative (in the case of a Partnership Representative other than an individual) shall further designate an individual to act on behalf of the Partnership Representative (the “</w:t>
      </w:r>
      <w:r>
        <w:rPr>
          <w:rFonts w:ascii="Times New Roman" w:cs="Times New Roman" w:eastAsia="Times New Roman" w:hAnsi="Times New Roman"/>
          <w:sz w:val="18"/>
          <w:szCs w:val="18"/>
          <w:b w:val="1"/>
          <w:bCs w:val="1"/>
          <w:u w:val="single" w:color="auto"/>
          <w:color w:val="auto"/>
        </w:rPr>
        <w:t>Designated Individual</w:t>
      </w:r>
      <w:r>
        <w:rPr>
          <w:rFonts w:ascii="Times New Roman" w:cs="Times New Roman" w:eastAsia="Times New Roman" w:hAnsi="Times New Roman"/>
          <w:sz w:val="18"/>
          <w:szCs w:val="18"/>
          <w:color w:val="auto"/>
        </w:rPr>
        <w:t>”), which Designated Individual may be removed and replaced by the Partnership Representative, in its sole discretion, in a manner consistent with the Code and the regulations promulgated thereunder. Subject to the provisions of this Section 6.2(b), the Partnership Representative shall be authorized to undertake all actions on behalf of the Company specified under Code Sections 6221 through 6231 and the regulations promulgated thereunder.</w:t>
      </w:r>
    </w:p>
    <w:p>
      <w:pPr>
        <w:spacing w:after="0" w:line="52" w:lineRule="exact"/>
        <w:rPr>
          <w:rFonts w:ascii="Times New Roman" w:cs="Times New Roman" w:eastAsia="Times New Roman" w:hAnsi="Times New Roman"/>
          <w:sz w:val="18"/>
          <w:szCs w:val="18"/>
          <w:color w:val="auto"/>
        </w:rPr>
      </w:pPr>
    </w:p>
    <w:p>
      <w:pPr>
        <w:ind w:right="140" w:firstLine="1663"/>
        <w:spacing w:after="0" w:line="256" w:lineRule="auto"/>
        <w:tabs>
          <w:tab w:leader="none" w:pos="192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audit or tax proceeding results in an imputed underpayment under Code Section 6225, then the Partnership Representative shall cause the Company to make an election under Code Section 6226(a) no later than forty five (45) days after the date of the notice of final partnership adjustment. The Partnership Representative shall cause the Company to furnish to each Member for any portion of the year or years audited a statement reflecting the Member’s allocable share of the adjusted items as determined in the notice of final partnership adjustment and each such Member shall take such adjustments into account as required under Code Section 6226(b) and shall be liable for any related interest, penalty, addition to tax or additional amount.</w:t>
      </w:r>
    </w:p>
    <w:p>
      <w:pPr>
        <w:spacing w:after="0" w:line="52" w:lineRule="exact"/>
        <w:rPr>
          <w:rFonts w:ascii="Times New Roman" w:cs="Times New Roman" w:eastAsia="Times New Roman" w:hAnsi="Times New Roman"/>
          <w:sz w:val="18"/>
          <w:szCs w:val="18"/>
          <w:color w:val="auto"/>
        </w:rPr>
      </w:pPr>
    </w:p>
    <w:p>
      <w:pPr>
        <w:ind w:left="1980" w:hanging="317"/>
        <w:spacing w:after="0"/>
        <w:tabs>
          <w:tab w:leader="none" w:pos="198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right="40" w:firstLine="1663"/>
        <w:spacing w:after="0" w:line="256" w:lineRule="auto"/>
        <w:tabs>
          <w:tab w:leader="none" w:pos="19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agrees to cooperate with reasonable requests by the Partnership Representative for information regarding such Member as may be necessary or appropriate in connection with any tax audit or related proceeding, and to provide such information (which may be freely disclosed to the Internal Revenue Service or other relevant taxing authorities) that is either (a) related to such Member’s investment in the Company if such information can be obtained or prepared by such Member using commercially reasonable efforts or (b) unrelated to such Member’s investment in the Company if the Member elects, in its sole discretion, to provide such information, which shall be deemed to be the Confidential Information of such Member.</w:t>
      </w:r>
    </w:p>
    <w:p>
      <w:pPr>
        <w:spacing w:after="0" w:line="52" w:lineRule="exact"/>
        <w:rPr>
          <w:rFonts w:ascii="Times New Roman" w:cs="Times New Roman" w:eastAsia="Times New Roman" w:hAnsi="Times New Roman"/>
          <w:sz w:val="18"/>
          <w:szCs w:val="18"/>
          <w:color w:val="auto"/>
        </w:rPr>
      </w:pPr>
    </w:p>
    <w:p>
      <w:pPr>
        <w:ind w:right="40" w:firstLine="1663"/>
        <w:spacing w:after="0" w:line="282" w:lineRule="auto"/>
        <w:tabs>
          <w:tab w:leader="none" w:pos="191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reasonable costs and expenses incurred by the Partnership Representative in its capacity as such during the course of an audit or other tax proceeding shall be borne pro rata by the Members in accordance with their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b w:val="1"/>
          <w:bCs w:val="1"/>
          <w:u w:val="single" w:color="auto"/>
          <w:color w:val="auto"/>
        </w:rPr>
        <w:t>Capital Accounts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right="220" w:firstLine="1026"/>
        <w:spacing w:after="0" w:line="268" w:lineRule="auto"/>
        <w:tabs>
          <w:tab w:leader="none" w:pos="126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for each Member on the books of the Company a capital account (a “</w:t>
      </w:r>
      <w:r>
        <w:rPr>
          <w:rFonts w:ascii="Times New Roman" w:cs="Times New Roman" w:eastAsia="Times New Roman" w:hAnsi="Times New Roman"/>
          <w:sz w:val="18"/>
          <w:szCs w:val="18"/>
          <w:b w:val="1"/>
          <w:bCs w:val="1"/>
          <w:u w:val="single" w:color="auto"/>
          <w:color w:val="auto"/>
        </w:rPr>
        <w:t>Capital Account</w:t>
      </w:r>
      <w:r>
        <w:rPr>
          <w:rFonts w:ascii="Times New Roman" w:cs="Times New Roman" w:eastAsia="Times New Roman" w:hAnsi="Times New Roman"/>
          <w:sz w:val="18"/>
          <w:szCs w:val="18"/>
          <w:color w:val="auto"/>
        </w:rPr>
        <w:t>”). Each Member’s Capital Account shall be maintained in accordance with the provisions of Treasury Regulations Section 1.704-1(b)(2)(iv) and the provisions of this Agreement.</w:t>
      </w:r>
    </w:p>
    <w:p>
      <w:pPr>
        <w:spacing w:after="0" w:line="120" w:lineRule="exact"/>
        <w:rPr>
          <w:rFonts w:ascii="Times New Roman" w:cs="Times New Roman" w:eastAsia="Times New Roman" w:hAnsi="Times New Roman"/>
          <w:sz w:val="18"/>
          <w:szCs w:val="18"/>
          <w:color w:val="auto"/>
        </w:rPr>
      </w:pPr>
    </w:p>
    <w:p>
      <w:pPr>
        <w:ind w:left="1280" w:hanging="254"/>
        <w:spacing w:after="0"/>
        <w:tabs>
          <w:tab w:leader="none" w:pos="12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Account of a Member shall be credited with the amount of all Capital Contributions by such Member to the Company. The</w:t>
      </w:r>
    </w:p>
    <w:p>
      <w:pPr>
        <w:spacing w:after="0" w:line="6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Capital Account of a Member shall be increased by the amount of any Net Income (or items of gross income) allocated to such Member pursuant to this Article 6, and decreased by (i) the amount of any Net Losses (or items of loss or deduction) allocated to such Member pursuant to this Article 6 and (ii) the amount of any cash distributed to such Member and (iii) the fair market value of any asset distributed in kind to such Member (net of all liabilities secured by such asset that such Member is considered to assume or take subject to under Section 752 of the Code). The Capital Account of the Member also shall be adjusted appropriately to reflect any other adjustment required pursuant to Treasury Regulations Section 1.704-1 or 1.704-2.</w:t>
      </w:r>
    </w:p>
    <w:p>
      <w:pPr>
        <w:spacing w:after="0" w:line="126" w:lineRule="exact"/>
        <w:rPr>
          <w:sz w:val="20"/>
          <w:szCs w:val="20"/>
          <w:color w:val="auto"/>
        </w:rPr>
      </w:pPr>
    </w:p>
    <w:p>
      <w:pPr>
        <w:ind w:right="80" w:firstLine="1026"/>
        <w:spacing w:after="0" w:line="282" w:lineRule="auto"/>
        <w:tabs>
          <w:tab w:leader="none" w:pos="126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Interest in the Company is Transferred, the transferee of such Interest shall succeed to the portion of the transferor’s Capital Account attributable to such Interest.</w:t>
      </w:r>
    </w:p>
    <w:p>
      <w:pPr>
        <w:spacing w:after="0" w:line="107" w:lineRule="exact"/>
        <w:rPr>
          <w:rFonts w:ascii="Times New Roman" w:cs="Times New Roman" w:eastAsia="Times New Roman" w:hAnsi="Times New Roman"/>
          <w:sz w:val="18"/>
          <w:szCs w:val="18"/>
          <w:color w:val="auto"/>
        </w:rPr>
      </w:pPr>
    </w:p>
    <w:p>
      <w:pPr>
        <w:ind w:right="440" w:firstLine="1026"/>
        <w:spacing w:after="0" w:line="282" w:lineRule="auto"/>
        <w:tabs>
          <w:tab w:leader="none" w:pos="127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6, the Manager may apply any reasonable convention in determining the date during the same month on which any Member is admitted to the Company.</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6.4 </w:t>
      </w:r>
      <w:r>
        <w:rPr>
          <w:rFonts w:ascii="Times New Roman" w:cs="Times New Roman" w:eastAsia="Times New Roman" w:hAnsi="Times New Roman"/>
          <w:sz w:val="18"/>
          <w:szCs w:val="18"/>
          <w:b w:val="1"/>
          <w:bCs w:val="1"/>
          <w:u w:val="single" w:color="auto"/>
          <w:color w:val="auto"/>
        </w:rPr>
        <w:t>Allocations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firstLine="1026"/>
        <w:spacing w:after="0" w:line="261" w:lineRule="auto"/>
        <w:tabs>
          <w:tab w:leader="none" w:pos="126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as provided in Section 6.4(b) and as otherwise provided in this Agreement, Net Income and Net Losses, and, to the extent necessary, individual items of Company income, gain, loss and deduction, shall be allocated to the Members in such amounts, to the maximum extent possible, to make the Adjusted Capital Account Balances of the Members (after the application of this Section 6.4(a)) to be in proportion to the Members’ Percentage Interests.</w:t>
      </w:r>
    </w:p>
    <w:p>
      <w:pPr>
        <w:spacing w:after="0" w:line="125" w:lineRule="exact"/>
        <w:rPr>
          <w:rFonts w:ascii="Times New Roman" w:cs="Times New Roman" w:eastAsia="Times New Roman" w:hAnsi="Times New Roman"/>
          <w:sz w:val="18"/>
          <w:szCs w:val="18"/>
          <w:color w:val="auto"/>
        </w:rPr>
      </w:pPr>
    </w:p>
    <w:p>
      <w:pPr>
        <w:ind w:left="1280" w:hanging="254"/>
        <w:spacing w:after="0"/>
        <w:tabs>
          <w:tab w:leader="none" w:pos="12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Allocations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right="80" w:firstLine="1663"/>
        <w:spacing w:after="0" w:line="255" w:lineRule="auto"/>
        <w:tabs>
          <w:tab w:leader="none" w:pos="187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Qualified Income Offset</w:t>
      </w:r>
      <w:r>
        <w:rPr>
          <w:rFonts w:ascii="Times New Roman" w:cs="Times New Roman" w:eastAsia="Times New Roman" w:hAnsi="Times New Roman"/>
          <w:sz w:val="18"/>
          <w:szCs w:val="18"/>
          <w:color w:val="auto"/>
        </w:rPr>
        <w:t>. If any Member receives an unexpected adjustment, allocation, or distribution described in Section l.704-l(b)(2)(ii)(d)(4-6) of the Treasury Regulations in any Fiscal Year or other period which would cause such Member to have a deficit Adjusted Capital Account Balance as of the end of such Fiscal Year or other period, items of Company income and gain (consisting of a pro rata portion of each item of Company income, including gross income and gain) shall be specifically allocated to such Member in an amount and manner sufficient to eliminate, to the extent required by the Treasury Regulations, the deficit in such Member’s Adjusted Capital Account Balance as quickly as possible. This Section 6.4(b)(i) is intended to comply with the qualified income offset provision in Section l.704-l(b)(2)(ii)(d) of the Treasury Regulations and shall be interpreted consistently therewith.</w:t>
      </w:r>
    </w:p>
    <w:p>
      <w:pPr>
        <w:spacing w:after="0" w:line="134" w:lineRule="exact"/>
        <w:rPr>
          <w:rFonts w:ascii="Times New Roman" w:cs="Times New Roman" w:eastAsia="Times New Roman" w:hAnsi="Times New Roman"/>
          <w:sz w:val="18"/>
          <w:szCs w:val="18"/>
          <w:color w:val="auto"/>
        </w:rPr>
      </w:pPr>
    </w:p>
    <w:p>
      <w:pPr>
        <w:ind w:right="80" w:firstLine="1663"/>
        <w:spacing w:after="0" w:line="266" w:lineRule="auto"/>
        <w:tabs>
          <w:tab w:leader="none" w:pos="19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Gross Income Allocation</w:t>
      </w:r>
      <w:r>
        <w:rPr>
          <w:rFonts w:ascii="Times New Roman" w:cs="Times New Roman" w:eastAsia="Times New Roman" w:hAnsi="Times New Roman"/>
          <w:sz w:val="18"/>
          <w:szCs w:val="18"/>
          <w:color w:val="auto"/>
        </w:rPr>
        <w:t>. If any Member would otherwise have a deficit Adjusted Capital Account Balance as of the last day of any Fiscal Year or other period, individual items of income and gain of the Company shall be specifically allocated to such Member (in the manner specified in Section 6.4(b)(i)) so as to eliminate such deficit as quickly as possible.</w:t>
      </w:r>
    </w:p>
    <w:p>
      <w:pPr>
        <w:spacing w:after="0" w:line="121" w:lineRule="exact"/>
        <w:rPr>
          <w:rFonts w:ascii="Times New Roman" w:cs="Times New Roman" w:eastAsia="Times New Roman" w:hAnsi="Times New Roman"/>
          <w:sz w:val="18"/>
          <w:szCs w:val="18"/>
          <w:color w:val="auto"/>
        </w:rPr>
      </w:pPr>
    </w:p>
    <w:p>
      <w:pPr>
        <w:ind w:left="1980" w:hanging="317"/>
        <w:spacing w:after="0"/>
        <w:tabs>
          <w:tab w:leader="none" w:pos="1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Partnership Minimum Gain Chargeback</w:t>
      </w:r>
      <w:r>
        <w:rPr>
          <w:rFonts w:ascii="Times New Roman" w:cs="Times New Roman" w:eastAsia="Times New Roman" w:hAnsi="Times New Roman"/>
          <w:sz w:val="18"/>
          <w:szCs w:val="18"/>
          <w:color w:val="auto"/>
        </w:rPr>
        <w:t>. If there is a net decrease in Partnership Minimum Gain during a Fiscal Year or other</w:t>
      </w:r>
    </w:p>
    <w:p>
      <w:pPr>
        <w:spacing w:after="0" w:line="6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period, each Member shall be allocated items of Company gross income and gain for such Fiscal Year or other period (and, if necessary, subsequent Fiscal Years or periods) in proportion to, and to the extent of, such Member’s share of such net decrease, except to the extent such allocation would not be required by Section 1.704-2(f) of the Treasury Regulations. The amounts referred to in this Section 6.4(b)(iii), and the items to be so allocated shall be determined in accordance with Section 1.704-2 of the Treasury Regulations. This Section 6.4(b)(iii) is intended to constitute a “minimum gain chargeback” provision as described in Section 1.704-2(f) or 1.704-2(j)(2) of the Treasury Regulations and shall be interpreted consistently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6" w:name="page147"/>
    <w:bookmarkEnd w:id="146"/>
    <w:p>
      <w:pPr>
        <w:spacing w:after="0" w:line="140" w:lineRule="exact"/>
        <w:rPr>
          <w:sz w:val="20"/>
          <w:szCs w:val="20"/>
          <w:color w:val="auto"/>
        </w:rPr>
      </w:pPr>
    </w:p>
    <w:p>
      <w:pPr>
        <w:jc w:val="both"/>
        <w:ind w:left="-1026" w:right="180" w:firstLine="1663"/>
        <w:spacing w:after="0" w:line="256" w:lineRule="auto"/>
        <w:tabs>
          <w:tab w:leader="none" w:pos="933"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Partner Nonrecourse Debt Minimum Gain Chargeback</w:t>
      </w:r>
      <w:r>
        <w:rPr>
          <w:rFonts w:ascii="Times New Roman" w:cs="Times New Roman" w:eastAsia="Times New Roman" w:hAnsi="Times New Roman"/>
          <w:sz w:val="18"/>
          <w:szCs w:val="18"/>
          <w:color w:val="auto"/>
        </w:rPr>
        <w:t>. If there is a net decrease in Partner Nonrecourse Debt Minimum Gain during a Fiscal Year or other period, then each Member shall be allocated items of Company gross income or gain equal to such Member’s share of such net decrease, except to the extent such allocation would not be required under Section l.704-2(i)(4) or 1.704-2(j)(2) of the Treasury Regulations. The amounts referred to in this Section 6.4(b)(iv) and the items to be so allocated shall be determined in accordance with Section 1.704-2 of the Treasury Regulations. This Section 6.4(b)(iv) is intended to comply with the minimum gain chargeback requirement contained in Section 1.704-2(i)(4) of the Treasury Regulations and shall be interpreted consistently therewith.</w:t>
      </w:r>
    </w:p>
    <w:p>
      <w:pPr>
        <w:spacing w:after="0" w:line="133" w:lineRule="exact"/>
        <w:rPr>
          <w:rFonts w:ascii="Times New Roman" w:cs="Times New Roman" w:eastAsia="Times New Roman" w:hAnsi="Times New Roman"/>
          <w:sz w:val="18"/>
          <w:szCs w:val="18"/>
          <w:color w:val="auto"/>
        </w:rPr>
      </w:pPr>
    </w:p>
    <w:p>
      <w:pPr>
        <w:ind w:left="-1026" w:firstLine="1663"/>
        <w:spacing w:after="0" w:line="261" w:lineRule="auto"/>
        <w:tabs>
          <w:tab w:leader="none" w:pos="883"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Net Loss Allocations</w:t>
      </w:r>
      <w:r>
        <w:rPr>
          <w:rFonts w:ascii="Times New Roman" w:cs="Times New Roman" w:eastAsia="Times New Roman" w:hAnsi="Times New Roman"/>
          <w:sz w:val="18"/>
          <w:szCs w:val="18"/>
          <w:color w:val="auto"/>
        </w:rPr>
        <w:t>. With respect to any Member, notwithstanding the provisions of Section 6.4(a), the amount of Net Losses for any Fiscal Year or other period that would otherwise be allocated to a Member under Section 6.4(a) shall not cause or increase a deficit Adjusted Capital Account Balance. Any Net Losses in excess of the limitation set forth in this Section 6.4(b)(v) shall be allocated among the Members, pro rata, to the extent each, respectively, is liable or exposed with respect to any debt or other obligations of the Company.</w:t>
      </w:r>
    </w:p>
    <w:p>
      <w:pPr>
        <w:spacing w:after="0" w:line="125" w:lineRule="exact"/>
        <w:rPr>
          <w:rFonts w:ascii="Times New Roman" w:cs="Times New Roman" w:eastAsia="Times New Roman" w:hAnsi="Times New Roman"/>
          <w:sz w:val="18"/>
          <w:szCs w:val="18"/>
          <w:color w:val="auto"/>
        </w:rPr>
      </w:pPr>
    </w:p>
    <w:p>
      <w:pPr>
        <w:ind w:left="-1026" w:right="160" w:firstLine="1663"/>
        <w:spacing w:after="0" w:line="266" w:lineRule="auto"/>
        <w:tabs>
          <w:tab w:leader="none" w:pos="933"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Partner Nonrecourse Deductions</w:t>
      </w:r>
      <w:r>
        <w:rPr>
          <w:rFonts w:ascii="Times New Roman" w:cs="Times New Roman" w:eastAsia="Times New Roman" w:hAnsi="Times New Roman"/>
          <w:sz w:val="18"/>
          <w:szCs w:val="18"/>
          <w:color w:val="auto"/>
        </w:rPr>
        <w:t>. Partner nonrecourse deductions (as described in Section 1.704-2(i) of the Treasury Regulations) for any Fiscal Year or other period shall be specifically allocated to the Members who bear the economic risk of loss with respect to Partner Nonrecourse Debt to which such partner nonrecourse deductions are attributable in accordance with Section 1.704-2(i)(1) of the Treasury Regulations.</w:t>
      </w:r>
    </w:p>
    <w:p>
      <w:pPr>
        <w:spacing w:after="0" w:line="121" w:lineRule="exact"/>
        <w:rPr>
          <w:rFonts w:ascii="Times New Roman" w:cs="Times New Roman" w:eastAsia="Times New Roman" w:hAnsi="Times New Roman"/>
          <w:sz w:val="18"/>
          <w:szCs w:val="18"/>
          <w:color w:val="auto"/>
        </w:rPr>
      </w:pPr>
    </w:p>
    <w:p>
      <w:pPr>
        <w:ind w:left="-1026" w:right="320" w:firstLine="1663"/>
        <w:spacing w:after="0" w:line="282" w:lineRule="auto"/>
        <w:tabs>
          <w:tab w:leader="none" w:pos="983"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Nonrecourse Deductions</w:t>
      </w:r>
      <w:r>
        <w:rPr>
          <w:rFonts w:ascii="Times New Roman" w:cs="Times New Roman" w:eastAsia="Times New Roman" w:hAnsi="Times New Roman"/>
          <w:sz w:val="18"/>
          <w:szCs w:val="18"/>
          <w:color w:val="auto"/>
        </w:rPr>
        <w:t>. Nonrecourse deductions (as described in Section 1.704-2(b) of the Treasury Regulations) for any Fiscal Year or other period shall be allocated to the Members in accordance with their relative Percentage Interests.</w:t>
      </w:r>
    </w:p>
    <w:p>
      <w:pPr>
        <w:spacing w:after="0" w:line="107" w:lineRule="exact"/>
        <w:rPr>
          <w:rFonts w:ascii="Times New Roman" w:cs="Times New Roman" w:eastAsia="Times New Roman" w:hAnsi="Times New Roman"/>
          <w:sz w:val="18"/>
          <w:szCs w:val="18"/>
          <w:color w:val="auto"/>
        </w:rPr>
      </w:pPr>
    </w:p>
    <w:p>
      <w:pPr>
        <w:ind w:left="-1026" w:right="220" w:firstLine="1663"/>
        <w:spacing w:after="0" w:line="266" w:lineRule="auto"/>
        <w:tabs>
          <w:tab w:leader="none" w:pos="1033"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Excess Nonrecourse Liabilities</w:t>
      </w:r>
      <w:r>
        <w:rPr>
          <w:rFonts w:ascii="Times New Roman" w:cs="Times New Roman" w:eastAsia="Times New Roman" w:hAnsi="Times New Roman"/>
          <w:sz w:val="18"/>
          <w:szCs w:val="18"/>
          <w:color w:val="auto"/>
        </w:rPr>
        <w:t>. If the built-in gain in Company assets subject to Nonrecourse Debts exceeds the gain described in Section 1.752-3(a)(2) of the Treasury Regulations, the Excess Nonrecourse Liabilities shall be allocated among the Members in accordance with their relative Percentage Interests.</w:t>
      </w:r>
    </w:p>
    <w:p>
      <w:pPr>
        <w:spacing w:after="0" w:line="108" w:lineRule="exact"/>
        <w:rPr>
          <w:rFonts w:ascii="Times New Roman" w:cs="Times New Roman" w:eastAsia="Times New Roman" w:hAnsi="Times New Roman"/>
          <w:sz w:val="18"/>
          <w:szCs w:val="18"/>
          <w:color w:val="auto"/>
        </w:rPr>
      </w:pPr>
    </w:p>
    <w:p>
      <w:pPr>
        <w:ind w:left="-1026" w:right="20" w:firstLine="1663"/>
        <w:spacing w:after="0" w:line="261" w:lineRule="auto"/>
        <w:tabs>
          <w:tab w:leader="none" w:pos="933"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Ordering Rules</w:t>
      </w:r>
      <w:r>
        <w:rPr>
          <w:rFonts w:ascii="Times New Roman" w:cs="Times New Roman" w:eastAsia="Times New Roman" w:hAnsi="Times New Roman"/>
          <w:sz w:val="18"/>
          <w:szCs w:val="18"/>
          <w:color w:val="auto"/>
        </w:rPr>
        <w:t>. Anything contained in this Agreement to the contrary notwithstanding, allocations for any Fiscal Period or other period of nonrecourse deductions (as described in Section 1.704-2(b) of the Treasury Regulations) or partner nonrecourse deductions (as described in Section 1.704-2(i) of the Treasury Regulations), or of items required to be allocated pursuant to the minimum gain chargeback requirements contained in Sections 6.4(b)(iii) and 6.4(b)(iv), shall be made before any other allocations hereunder.</w:t>
      </w:r>
    </w:p>
    <w:p>
      <w:pPr>
        <w:spacing w:after="0" w:line="125" w:lineRule="exact"/>
        <w:rPr>
          <w:rFonts w:ascii="Times New Roman" w:cs="Times New Roman" w:eastAsia="Times New Roman" w:hAnsi="Times New Roman"/>
          <w:sz w:val="18"/>
          <w:szCs w:val="18"/>
          <w:color w:val="auto"/>
        </w:rPr>
      </w:pPr>
    </w:p>
    <w:p>
      <w:pPr>
        <w:ind w:left="-1026" w:firstLine="1663"/>
        <w:spacing w:after="0" w:line="312" w:lineRule="auto"/>
        <w:tabs>
          <w:tab w:leader="none" w:pos="883"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Special Allocation</w:t>
      </w:r>
      <w:r>
        <w:rPr>
          <w:rFonts w:ascii="Times New Roman" w:cs="Times New Roman" w:eastAsia="Times New Roman" w:hAnsi="Times New Roman"/>
          <w:sz w:val="17"/>
          <w:szCs w:val="17"/>
          <w:color w:val="auto"/>
        </w:rPr>
        <w:t>. If, for federal income tax purposes, the Company is deemed to have made a deductible payment to a Member that is not actually paid, then notwithstanding Section 6.4(a), the deduction attributable to such payment shall be specially allocated to such Member.</w:t>
      </w:r>
    </w:p>
    <w:p>
      <w:pPr>
        <w:spacing w:after="0" w:line="81" w:lineRule="exact"/>
        <w:rPr>
          <w:rFonts w:ascii="Times New Roman" w:cs="Times New Roman" w:eastAsia="Times New Roman" w:hAnsi="Times New Roman"/>
          <w:sz w:val="17"/>
          <w:szCs w:val="17"/>
          <w:color w:val="auto"/>
        </w:rPr>
      </w:pPr>
    </w:p>
    <w:p>
      <w:pPr>
        <w:ind w:left="-1026" w:firstLine="1026"/>
        <w:spacing w:after="0" w:line="253" w:lineRule="auto"/>
        <w:tabs>
          <w:tab w:leader="none" w:pos="23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Curative Provisions</w:t>
      </w:r>
      <w:r>
        <w:rPr>
          <w:rFonts w:ascii="Times New Roman" w:cs="Times New Roman" w:eastAsia="Times New Roman" w:hAnsi="Times New Roman"/>
          <w:sz w:val="18"/>
          <w:szCs w:val="18"/>
          <w:color w:val="auto"/>
        </w:rPr>
        <w:t>. The allocations set forth in Section 6.4(b)(i)-(viii) (the “</w:t>
      </w:r>
      <w:r>
        <w:rPr>
          <w:rFonts w:ascii="Times New Roman" w:cs="Times New Roman" w:eastAsia="Times New Roman" w:hAnsi="Times New Roman"/>
          <w:sz w:val="18"/>
          <w:szCs w:val="18"/>
          <w:b w:val="1"/>
          <w:bCs w:val="1"/>
          <w:u w:val="single" w:color="auto"/>
          <w:color w:val="auto"/>
        </w:rPr>
        <w:t>Regulatory Allocations</w:t>
      </w:r>
      <w:r>
        <w:rPr>
          <w:rFonts w:ascii="Times New Roman" w:cs="Times New Roman" w:eastAsia="Times New Roman" w:hAnsi="Times New Roman"/>
          <w:sz w:val="18"/>
          <w:szCs w:val="18"/>
          <w:color w:val="auto"/>
        </w:rPr>
        <w:t>”) are intended to comply with certain requirements of Section 1.704-1(b) and 1.704-2 of the Treasury Regulations. The Regulatory Allocations may not be consistent with the manner in which the Members intend to allocate Net Income and Net Losses or make Company contributions. Accordingly, notwithstanding the other provisions of this Agreement, but subject to the Regulatory Allocations, Members shall reallocate items of income, gain, deductions and loss among the Members so as to eliminate the effect of the Regulatory Allocations and thereby cause the respective Capital Accounts of the Members to be in the amounts (or as close thereto as possible) they would have been if Net Income and Net Losses (and such other items of income, gain, deduction and loss) had been allocated without reference to the Regulatory Allocations. In general, the Members anticipate that this will be accomplished by specially allocating other Net Income and Net Losses (and such other items of income, gain, deduction and loss) among the Members so that the net amount of the Regulatory Allocations and such special allocations to each such Member is zero. In addition, if in any Fiscal Year or other period there is a decrease in Partnership Minimum Gain, or in Partner Nonrecourse Debt Minimum Gain, and application of the minimum gain chargeback requirements set forth in this Section 6.4 would cause a distortion in the economic arrangement among the Members, the Manager may, if it does not expect that the Company will have sufficient other income to correct such distortion, request the Internal Revenue Service to waive either or both of such minimum gain chargeback requirements. If such request is granted, this Agreement shall be applied in such instance as if it did not contain such minimum gain chargeback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875030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74"/>
          </w:cols>
          <w:pgMar w:left="1346" w:top="1440" w:right="379" w:bottom="1440" w:gutter="0" w:footer="0" w:header="0"/>
        </w:sectPr>
      </w:pPr>
    </w:p>
    <w:bookmarkStart w:id="147" w:name="page148"/>
    <w:bookmarkEnd w:id="147"/>
    <w:p>
      <w:pPr>
        <w:spacing w:after="0" w:line="136" w:lineRule="exact"/>
        <w:rPr>
          <w:sz w:val="20"/>
          <w:szCs w:val="20"/>
          <w:color w:val="auto"/>
        </w:rPr>
      </w:pPr>
    </w:p>
    <w:p>
      <w:pPr>
        <w:jc w:val="both"/>
        <w:ind w:right="8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6.5 </w:t>
      </w:r>
      <w:r>
        <w:rPr>
          <w:rFonts w:ascii="Times New Roman" w:cs="Times New Roman" w:eastAsia="Times New Roman" w:hAnsi="Times New Roman"/>
          <w:sz w:val="18"/>
          <w:szCs w:val="18"/>
          <w:b w:val="1"/>
          <w:bCs w:val="1"/>
          <w:u w:val="single" w:color="auto"/>
          <w:color w:val="auto"/>
        </w:rPr>
        <w:t>Allocations of Net Income and Net Losses for Federal Income Tax Purposes</w:t>
      </w:r>
      <w:r>
        <w:rPr>
          <w:rFonts w:ascii="Times New Roman" w:cs="Times New Roman" w:eastAsia="Times New Roman" w:hAnsi="Times New Roman"/>
          <w:sz w:val="18"/>
          <w:szCs w:val="18"/>
          <w:color w:val="auto"/>
        </w:rPr>
        <w:t>. The Company’s ordinary income and losses and capital gains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losses as determined for federal income tax purposes (and each item of income, gain, loss or deduction entering into the computation thereof) shall be allocated to the Members in the same proportions as the corresponding “book” items are allocated pursuant to Section 6.4 of this Agreement.</w:t>
      </w:r>
    </w:p>
    <w:p>
      <w:pPr>
        <w:ind w:right="160"/>
        <w:spacing w:after="0" w:line="253" w:lineRule="auto"/>
        <w:rPr>
          <w:sz w:val="20"/>
          <w:szCs w:val="20"/>
          <w:color w:val="auto"/>
        </w:rPr>
      </w:pPr>
      <w:r>
        <w:rPr>
          <w:rFonts w:ascii="Times New Roman" w:cs="Times New Roman" w:eastAsia="Times New Roman" w:hAnsi="Times New Roman"/>
          <w:sz w:val="18"/>
          <w:szCs w:val="18"/>
          <w:color w:val="auto"/>
        </w:rPr>
        <w:t>Notwithstanding the foregoing sentence, federal income tax items relating to any Section 704(c) Property shall be allocated among the Members in accordance with Section 704(c) of the Code and Treasury Regulations Section 1.704-1(b)(2)(iv)(g) to take into account the difference between the fair market value and the tax basis of such Section 704(c) Property using any method approved by the Manager and prescribed under Treasury Regulations corresponding to Section 704(c) of the Code. Items described in this Section 6.5 shall neither be credited nor charged to the Members’ Capital Accounts.</w:t>
      </w:r>
    </w:p>
    <w:p>
      <w:pPr>
        <w:spacing w:after="0" w:line="117"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6.6 </w:t>
      </w:r>
      <w:r>
        <w:rPr>
          <w:rFonts w:ascii="Times New Roman" w:cs="Times New Roman" w:eastAsia="Times New Roman" w:hAnsi="Times New Roman"/>
          <w:sz w:val="18"/>
          <w:szCs w:val="18"/>
          <w:b w:val="1"/>
          <w:bCs w:val="1"/>
          <w:u w:val="single" w:color="auto"/>
          <w:color w:val="auto"/>
        </w:rPr>
        <w:t>Elections</w:t>
      </w:r>
      <w:r>
        <w:rPr>
          <w:rFonts w:ascii="Times New Roman" w:cs="Times New Roman" w:eastAsia="Times New Roman" w:hAnsi="Times New Roman"/>
          <w:sz w:val="18"/>
          <w:szCs w:val="18"/>
          <w:color w:val="auto"/>
        </w:rPr>
        <w:t>. Except as otherwise expressly provided herein, all elections required or permitted to be made by the Company under the Code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applicable tax law, and all decisions with respect to the calculation of its taxable income or tax loss under the Code or other applicable tax law, shall be made in such manner as may be reasonably determined by the Manager;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make (i) the election to amortize organizational expenses pursuant to Section 709 of the Code and the regulations promulgated thereunder, and (ii) the TEFRA Election as provided in Section 6.2.</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6.7 </w:t>
      </w:r>
      <w:r>
        <w:rPr>
          <w:rFonts w:ascii="Times New Roman" w:cs="Times New Roman" w:eastAsia="Times New Roman" w:hAnsi="Times New Roman"/>
          <w:sz w:val="18"/>
          <w:szCs w:val="18"/>
          <w:b w:val="1"/>
          <w:bCs w:val="1"/>
          <w:u w:val="single" w:color="auto"/>
          <w:color w:val="auto"/>
        </w:rPr>
        <w:t>Tax Year</w:t>
      </w:r>
      <w:r>
        <w:rPr>
          <w:rFonts w:ascii="Times New Roman" w:cs="Times New Roman" w:eastAsia="Times New Roman" w:hAnsi="Times New Roman"/>
          <w:sz w:val="18"/>
          <w:szCs w:val="18"/>
          <w:color w:val="auto"/>
        </w:rPr>
        <w:t>. The taxable year of the Company shall be the same as its Fiscal Year.</w:t>
      </w:r>
    </w:p>
    <w:p>
      <w:pPr>
        <w:spacing w:after="0" w:line="17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6.8 </w:t>
      </w:r>
      <w:r>
        <w:rPr>
          <w:rFonts w:ascii="Times New Roman" w:cs="Times New Roman" w:eastAsia="Times New Roman" w:hAnsi="Times New Roman"/>
          <w:sz w:val="18"/>
          <w:szCs w:val="18"/>
          <w:b w:val="1"/>
          <w:bCs w:val="1"/>
          <w:u w:val="single" w:color="auto"/>
          <w:color w:val="auto"/>
        </w:rPr>
        <w:t>Withholding Requirements</w:t>
      </w:r>
      <w:r>
        <w:rPr>
          <w:rFonts w:ascii="Times New Roman" w:cs="Times New Roman" w:eastAsia="Times New Roman" w:hAnsi="Times New Roman"/>
          <w:sz w:val="18"/>
          <w:szCs w:val="18"/>
          <w:color w:val="auto"/>
        </w:rPr>
        <w:t>. Notwithstanding any provision herein to the contrary, the Manager is authorized to take any and all actions that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determines to be necessary or appropriate to ensure that the Company satisfies any and all withholding and tax payment obligations under Section 1441, 1445, 1446 or any other provision of the Code or other applicable law. Without limiting the generality of the foregoing, the Manager may withhold from distributions the amount that it determines is required to be withheld from the amount otherwise distributable to any Member pursuant to Article 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amount shall be deemed to have been distributed to such Member for purposes of applying Article 5 and this Article 6. The Manager will not withhold any amounts from cash or other property distributable to any Member to satisfy any withholding and tax payment obligations to the extent that such Member demonstrates to the Manager’s satisfaction that such Member is not subject to such withholding and tax payment obligation. In the event that the Manager withholds or pays tax in respect of any Member for any period in excess of the amount of cash or other property otherwise distributable to such Member for such period (or there is a determination by any taxing authority that the Company should have withheld or paid any tax for any period in excess of the tax, if any, that it actually withheld or paid for such period), such excess amount (or such additional amount) shall be treated as a recourse loan to such Member that shall bear interest at the rate of ten percent per annum and be payable on demand.</w:t>
      </w:r>
    </w:p>
    <w:p>
      <w:pPr>
        <w:spacing w:after="0" w:line="1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6.9 </w:t>
      </w:r>
      <w:r>
        <w:rPr>
          <w:rFonts w:ascii="Times New Roman" w:cs="Times New Roman" w:eastAsia="Times New Roman" w:hAnsi="Times New Roman"/>
          <w:sz w:val="18"/>
          <w:szCs w:val="18"/>
          <w:b w:val="1"/>
          <w:bCs w:val="1"/>
          <w:u w:val="single" w:color="auto"/>
          <w:color w:val="auto"/>
        </w:rPr>
        <w:t>Reports to Members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right="420" w:firstLine="1026"/>
        <w:spacing w:after="0" w:line="282" w:lineRule="auto"/>
        <w:tabs>
          <w:tab w:leader="none" w:pos="126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and records of the Company shall be audited as of the end of each Fiscal Year by the Company’s independent public accountants.</w:t>
      </w:r>
    </w:p>
    <w:p>
      <w:pPr>
        <w:spacing w:after="0" w:line="107" w:lineRule="exact"/>
        <w:rPr>
          <w:rFonts w:ascii="Times New Roman" w:cs="Times New Roman" w:eastAsia="Times New Roman" w:hAnsi="Times New Roman"/>
          <w:sz w:val="18"/>
          <w:szCs w:val="18"/>
          <w:color w:val="auto"/>
        </w:rPr>
      </w:pPr>
    </w:p>
    <w:p>
      <w:pPr>
        <w:ind w:right="220" w:firstLine="1026"/>
        <w:spacing w:after="0" w:line="266" w:lineRule="auto"/>
        <w:tabs>
          <w:tab w:leader="none" w:pos="127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calendar days after the end of each Fiscal Period of each Fiscal Year of the Company (or the next Business Day if the 60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calendar day is not a Business Day), the Company shall send to each Person who was a Member during such period an unaudited report setting forth the following as of the end of such Fiscal Period:</w:t>
      </w:r>
    </w:p>
    <w:p>
      <w:pPr>
        <w:spacing w:after="0" w:line="121" w:lineRule="exact"/>
        <w:rPr>
          <w:rFonts w:ascii="Times New Roman" w:cs="Times New Roman" w:eastAsia="Times New Roman" w:hAnsi="Times New Roman"/>
          <w:sz w:val="18"/>
          <w:szCs w:val="18"/>
          <w:color w:val="auto"/>
        </w:rPr>
      </w:pPr>
    </w:p>
    <w:p>
      <w:pPr>
        <w:ind w:left="1880" w:hanging="217"/>
        <w:spacing w:after="0"/>
        <w:tabs>
          <w:tab w:leader="none" w:pos="188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such Fiscal Period is the last Fiscal Period of the Fiscal Year, an unaudited balance sheet as of the end of such period;</w:t>
      </w:r>
    </w:p>
    <w:p>
      <w:pPr>
        <w:spacing w:after="0" w:line="171" w:lineRule="exact"/>
        <w:rPr>
          <w:rFonts w:ascii="Times New Roman" w:cs="Times New Roman" w:eastAsia="Times New Roman" w:hAnsi="Times New Roman"/>
          <w:sz w:val="18"/>
          <w:szCs w:val="18"/>
          <w:color w:val="auto"/>
        </w:rPr>
      </w:pPr>
    </w:p>
    <w:p>
      <w:pPr>
        <w:ind w:left="1920" w:hanging="257"/>
        <w:spacing w:after="0"/>
        <w:tabs>
          <w:tab w:leader="none" w:pos="19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such Fiscal Period is the last Fiscal Period of the Fiscal Year, an unaudited income statement of the Company for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w:t>
      </w:r>
    </w:p>
    <w:p>
      <w:pPr>
        <w:spacing w:after="0" w:line="152" w:lineRule="exact"/>
        <w:rPr>
          <w:rFonts w:ascii="Times New Roman" w:cs="Times New Roman" w:eastAsia="Times New Roman" w:hAnsi="Times New Roman"/>
          <w:sz w:val="18"/>
          <w:szCs w:val="18"/>
          <w:color w:val="auto"/>
        </w:rPr>
      </w:pPr>
    </w:p>
    <w:p>
      <w:pPr>
        <w:ind w:left="1980" w:hanging="317"/>
        <w:spacing w:after="0"/>
        <w:tabs>
          <w:tab w:leader="none" w:pos="198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of each Member’s Capital Account;</w:t>
      </w:r>
    </w:p>
    <w:p>
      <w:pPr>
        <w:spacing w:after="0" w:line="171" w:lineRule="exact"/>
        <w:rPr>
          <w:rFonts w:ascii="Times New Roman" w:cs="Times New Roman" w:eastAsia="Times New Roman" w:hAnsi="Times New Roman"/>
          <w:sz w:val="18"/>
          <w:szCs w:val="18"/>
          <w:color w:val="auto"/>
        </w:rPr>
      </w:pPr>
    </w:p>
    <w:p>
      <w:pPr>
        <w:ind w:left="1960" w:hanging="297"/>
        <w:spacing w:after="0"/>
        <w:tabs>
          <w:tab w:leader="none" w:pos="19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the Company’s activities during such period; and</w:t>
      </w:r>
    </w:p>
    <w:p>
      <w:pPr>
        <w:spacing w:after="0" w:line="171" w:lineRule="exact"/>
        <w:rPr>
          <w:rFonts w:ascii="Times New Roman" w:cs="Times New Roman" w:eastAsia="Times New Roman" w:hAnsi="Times New Roman"/>
          <w:sz w:val="18"/>
          <w:szCs w:val="18"/>
          <w:color w:val="auto"/>
        </w:rPr>
      </w:pPr>
    </w:p>
    <w:p>
      <w:pPr>
        <w:ind w:left="1920" w:hanging="257"/>
        <w:spacing w:after="0"/>
        <w:tabs>
          <w:tab w:leader="none" w:pos="19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flow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48" w:name="page149"/>
    <w:bookmarkEnd w:id="148"/>
    <w:p>
      <w:pPr>
        <w:ind w:right="60" w:firstLine="1026"/>
        <w:spacing w:after="0" w:line="266" w:lineRule="auto"/>
        <w:tabs>
          <w:tab w:leader="none" w:pos="126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100 calendar days after the end of each Fiscal Year of the Company (or the next Business Day if the 100</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calendar day is not a Business Day), the Company shall send to each Person who was a Member during such period an audited report setting forth the following as of the end of such Fiscal Year:</w:t>
      </w:r>
    </w:p>
    <w:p>
      <w:pPr>
        <w:spacing w:after="0" w:line="40" w:lineRule="exact"/>
        <w:rPr>
          <w:rFonts w:ascii="Times New Roman" w:cs="Times New Roman" w:eastAsia="Times New Roman" w:hAnsi="Times New Roman"/>
          <w:sz w:val="18"/>
          <w:szCs w:val="18"/>
          <w:color w:val="auto"/>
        </w:rPr>
      </w:pPr>
    </w:p>
    <w:p>
      <w:pPr>
        <w:ind w:left="1880" w:hanging="217"/>
        <w:spacing w:after="0"/>
        <w:tabs>
          <w:tab w:leader="none" w:pos="18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audited balance sheet as of the end of such Fiscal Year;</w:t>
      </w:r>
    </w:p>
    <w:p>
      <w:pPr>
        <w:spacing w:after="0" w:line="171" w:lineRule="exact"/>
        <w:rPr>
          <w:rFonts w:ascii="Times New Roman" w:cs="Times New Roman" w:eastAsia="Times New Roman" w:hAnsi="Times New Roman"/>
          <w:sz w:val="18"/>
          <w:szCs w:val="18"/>
          <w:color w:val="auto"/>
        </w:rPr>
      </w:pPr>
    </w:p>
    <w:p>
      <w:pPr>
        <w:ind w:left="1920" w:hanging="257"/>
        <w:spacing w:after="0"/>
        <w:tabs>
          <w:tab w:leader="none" w:pos="192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audited income statement of the Company for such Fiscal Year;</w:t>
      </w:r>
    </w:p>
    <w:p>
      <w:pPr>
        <w:spacing w:after="0" w:line="171" w:lineRule="exact"/>
        <w:rPr>
          <w:rFonts w:ascii="Times New Roman" w:cs="Times New Roman" w:eastAsia="Times New Roman" w:hAnsi="Times New Roman"/>
          <w:sz w:val="18"/>
          <w:szCs w:val="18"/>
          <w:color w:val="auto"/>
        </w:rPr>
      </w:pPr>
    </w:p>
    <w:p>
      <w:pPr>
        <w:ind w:left="1980" w:hanging="317"/>
        <w:spacing w:after="0"/>
        <w:tabs>
          <w:tab w:leader="none" w:pos="19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of each Member’s Capital Account; and</w:t>
      </w:r>
    </w:p>
    <w:p>
      <w:pPr>
        <w:spacing w:after="0" w:line="171" w:lineRule="exact"/>
        <w:rPr>
          <w:rFonts w:ascii="Times New Roman" w:cs="Times New Roman" w:eastAsia="Times New Roman" w:hAnsi="Times New Roman"/>
          <w:sz w:val="18"/>
          <w:szCs w:val="18"/>
          <w:color w:val="auto"/>
        </w:rPr>
      </w:pPr>
    </w:p>
    <w:p>
      <w:pPr>
        <w:ind w:left="1960" w:hanging="297"/>
        <w:spacing w:after="0"/>
        <w:tabs>
          <w:tab w:leader="none" w:pos="196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flow statement.</w:t>
      </w:r>
    </w:p>
    <w:p>
      <w:pPr>
        <w:spacing w:after="0" w:line="171" w:lineRule="exact"/>
        <w:rPr>
          <w:rFonts w:ascii="Times New Roman" w:cs="Times New Roman" w:eastAsia="Times New Roman" w:hAnsi="Times New Roman"/>
          <w:sz w:val="18"/>
          <w:szCs w:val="18"/>
          <w:color w:val="auto"/>
        </w:rPr>
      </w:pPr>
    </w:p>
    <w:p>
      <w:pPr>
        <w:ind w:left="1280" w:hanging="254"/>
        <w:spacing w:after="0"/>
        <w:tabs>
          <w:tab w:leader="none" w:pos="12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each Member with monthly “flash reports.”</w:t>
      </w:r>
    </w:p>
    <w:p>
      <w:pPr>
        <w:spacing w:after="0" w:line="171" w:lineRule="exact"/>
        <w:rPr>
          <w:rFonts w:ascii="Times New Roman" w:cs="Times New Roman" w:eastAsia="Times New Roman" w:hAnsi="Times New Roman"/>
          <w:sz w:val="18"/>
          <w:szCs w:val="18"/>
          <w:color w:val="auto"/>
        </w:rPr>
      </w:pPr>
    </w:p>
    <w:p>
      <w:pPr>
        <w:ind w:right="280" w:firstLine="1026"/>
        <w:spacing w:after="0" w:line="266" w:lineRule="auto"/>
        <w:tabs>
          <w:tab w:leader="none" w:pos="126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reasonable promptness, the Manager will deliver such other information available to the Manager, including financial statements and computations, as any Member may from time to time reasonably request in order to comply with regulatory requirements, including reporting requirements, to which such Member is subject.</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6.10 </w:t>
      </w:r>
      <w:r>
        <w:rPr>
          <w:rFonts w:ascii="Times New Roman" w:cs="Times New Roman" w:eastAsia="Times New Roman" w:hAnsi="Times New Roman"/>
          <w:sz w:val="18"/>
          <w:szCs w:val="18"/>
          <w:b w:val="1"/>
          <w:bCs w:val="1"/>
          <w:u w:val="single" w:color="auto"/>
          <w:color w:val="auto"/>
        </w:rPr>
        <w:t>Auditors</w:t>
      </w:r>
      <w:r>
        <w:rPr>
          <w:rFonts w:ascii="Times New Roman" w:cs="Times New Roman" w:eastAsia="Times New Roman" w:hAnsi="Times New Roman"/>
          <w:sz w:val="18"/>
          <w:szCs w:val="18"/>
          <w:color w:val="auto"/>
        </w:rPr>
        <w:t>. The auditors of the Company shall be Deloitte &amp; Touche LLP, unless otherwise determined by the Manager.</w:t>
      </w:r>
    </w:p>
    <w:p>
      <w:pPr>
        <w:spacing w:after="0" w:line="171" w:lineRule="exact"/>
        <w:rPr>
          <w:sz w:val="20"/>
          <w:szCs w:val="20"/>
          <w:color w:val="auto"/>
        </w:rPr>
      </w:pPr>
    </w:p>
    <w:p>
      <w:pPr>
        <w:jc w:val="both"/>
        <w:ind w:right="8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6.11 </w:t>
      </w:r>
      <w:r>
        <w:rPr>
          <w:rFonts w:ascii="Times New Roman" w:cs="Times New Roman" w:eastAsia="Times New Roman" w:hAnsi="Times New Roman"/>
          <w:sz w:val="18"/>
          <w:szCs w:val="18"/>
          <w:b w:val="1"/>
          <w:bCs w:val="1"/>
          <w:u w:val="single" w:color="auto"/>
          <w:color w:val="auto"/>
        </w:rPr>
        <w:t>Transfers During Year</w:t>
      </w:r>
      <w:r>
        <w:rPr>
          <w:rFonts w:ascii="Times New Roman" w:cs="Times New Roman" w:eastAsia="Times New Roman" w:hAnsi="Times New Roman"/>
          <w:sz w:val="18"/>
          <w:szCs w:val="18"/>
          <w:color w:val="auto"/>
        </w:rPr>
        <w:t>. In order to avoid an interim closing of the Company’s books, the allocation of Net Income and Net Losses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 6 between a Member who Transfers part or all of its Interest in the Company during the Company’s Fiscal Year and such Member’s transferee, or to a Member whose Percentage Interest varies during the course of the Company’s Fiscal Year, may be determined pursuant to any method chosen by the Manager.</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6.12 </w:t>
      </w:r>
      <w:r>
        <w:rPr>
          <w:rFonts w:ascii="Times New Roman" w:cs="Times New Roman" w:eastAsia="Times New Roman" w:hAnsi="Times New Roman"/>
          <w:sz w:val="18"/>
          <w:szCs w:val="18"/>
          <w:b w:val="1"/>
          <w:bCs w:val="1"/>
          <w:u w:val="single" w:color="auto"/>
          <w:color w:val="auto"/>
        </w:rPr>
        <w:t>Code Section 754 Election</w:t>
      </w:r>
      <w:r>
        <w:rPr>
          <w:rFonts w:ascii="Times New Roman" w:cs="Times New Roman" w:eastAsia="Times New Roman" w:hAnsi="Times New Roman"/>
          <w:sz w:val="18"/>
          <w:szCs w:val="18"/>
          <w:color w:val="auto"/>
        </w:rPr>
        <w:t>. Pursuant to the Tax Receivable Agreement, the Company shall make the election provided for under Code Section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754.</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DISSOLUTION</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u w:val="single" w:color="auto"/>
          <w:color w:val="auto"/>
        </w:rPr>
        <w:t>Dissolution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280" w:hanging="254"/>
        <w:spacing w:after="0"/>
        <w:tabs>
          <w:tab w:leader="none" w:pos="12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dissolved and subsequently terminated upon the occurrence of the first of the following events:</w:t>
      </w:r>
    </w:p>
    <w:p>
      <w:pPr>
        <w:spacing w:after="0" w:line="90" w:lineRule="exact"/>
        <w:rPr>
          <w:rFonts w:ascii="Times New Roman" w:cs="Times New Roman" w:eastAsia="Times New Roman" w:hAnsi="Times New Roman"/>
          <w:sz w:val="18"/>
          <w:szCs w:val="18"/>
          <w:color w:val="auto"/>
        </w:rPr>
      </w:pPr>
    </w:p>
    <w:p>
      <w:pPr>
        <w:ind w:left="1880" w:hanging="217"/>
        <w:spacing w:after="0"/>
        <w:tabs>
          <w:tab w:leader="none" w:pos="1880"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unanimous decision of the Members that then hold Common Units to dissolve the Company;</w:t>
      </w:r>
    </w:p>
    <w:p>
      <w:pPr>
        <w:spacing w:after="0" w:line="171" w:lineRule="exact"/>
        <w:rPr>
          <w:rFonts w:ascii="Times New Roman" w:cs="Times New Roman" w:eastAsia="Times New Roman" w:hAnsi="Times New Roman"/>
          <w:sz w:val="18"/>
          <w:szCs w:val="18"/>
          <w:color w:val="auto"/>
        </w:rPr>
      </w:pPr>
    </w:p>
    <w:p>
      <w:pPr>
        <w:ind w:left="1920" w:hanging="257"/>
        <w:spacing w:after="0"/>
        <w:tabs>
          <w:tab w:leader="none" w:pos="1920"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of judicial dissolution of the Company pursuant to § 18-802 of the LLC Act; or</w:t>
      </w:r>
    </w:p>
    <w:p>
      <w:pPr>
        <w:spacing w:after="0" w:line="157" w:lineRule="exact"/>
        <w:rPr>
          <w:rFonts w:ascii="Times New Roman" w:cs="Times New Roman" w:eastAsia="Times New Roman" w:hAnsi="Times New Roman"/>
          <w:sz w:val="18"/>
          <w:szCs w:val="18"/>
          <w:color w:val="auto"/>
        </w:rPr>
      </w:pPr>
    </w:p>
    <w:p>
      <w:pPr>
        <w:ind w:right="360" w:firstLine="1663"/>
        <w:spacing w:after="0" w:line="282" w:lineRule="auto"/>
        <w:tabs>
          <w:tab w:leader="none" w:pos="1970"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legal existence of the last remaining Member or the occurrence of any other event that causes the last remaining Member to cease to be a Member of the Company, unless the Company is continued without dissolution pursuant to Section 7.1(b).</w:t>
      </w:r>
    </w:p>
    <w:p>
      <w:pPr>
        <w:spacing w:after="0" w:line="107" w:lineRule="exact"/>
        <w:rPr>
          <w:rFonts w:ascii="Times New Roman" w:cs="Times New Roman" w:eastAsia="Times New Roman" w:hAnsi="Times New Roman"/>
          <w:sz w:val="18"/>
          <w:szCs w:val="18"/>
          <w:color w:val="auto"/>
        </w:rPr>
      </w:pPr>
    </w:p>
    <w:p>
      <w:pPr>
        <w:ind w:firstLine="1026"/>
        <w:spacing w:after="0" w:line="255" w:lineRule="auto"/>
        <w:tabs>
          <w:tab w:leader="none" w:pos="1273"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that causes the last remaining Member of the Company to cease to be a Member of the Company (other than upon continuation of the Company without dissolution upon an assignment by the Member of all of its Interest in the Company and the admission of the transferee as a Member pursuant to Section 8.2), to the fullest extent permitted by law, the personal representative of such Member is hereby authorized to, and shall, within 90 days after the occurrence of the event that terminated the continued membership of such Member in the Company, agree in writing</w:t>
      </w:r>
    </w:p>
    <w:p>
      <w:pPr>
        <w:spacing w:after="0" w:line="2" w:lineRule="exact"/>
        <w:rPr>
          <w:rFonts w:ascii="Times New Roman" w:cs="Times New Roman" w:eastAsia="Times New Roman" w:hAnsi="Times New Roman"/>
          <w:sz w:val="18"/>
          <w:szCs w:val="18"/>
          <w:color w:val="auto"/>
        </w:rPr>
      </w:pPr>
    </w:p>
    <w:p>
      <w:pPr>
        <w:ind w:right="100" w:firstLine="8"/>
        <w:spacing w:after="0" w:line="260" w:lineRule="auto"/>
        <w:tabs>
          <w:tab w:leader="none" w:pos="21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continue the Company and (ii) to the admission of the personal representative or its nominee or designee, as the case may be, as a substitute Member of the Company, effective as of the occurrence of the event that terminated the continued membership of such Member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868680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49" w:name="page150"/>
    <w:bookmarkEnd w:id="149"/>
    <w:p>
      <w:pPr>
        <w:spacing w:after="0" w:line="140" w:lineRule="exact"/>
        <w:rPr>
          <w:sz w:val="20"/>
          <w:szCs w:val="20"/>
          <w:color w:val="auto"/>
        </w:rPr>
      </w:pPr>
    </w:p>
    <w:p>
      <w:pPr>
        <w:jc w:val="both"/>
        <w:ind w:right="420" w:firstLine="1026"/>
        <w:spacing w:after="0" w:line="266" w:lineRule="auto"/>
        <w:tabs>
          <w:tab w:leader="none" w:pos="126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bankruptcy (as defined in §§ 18-101(1) and 18-304 of the LLC Act) of a Member shall not cause the Member to cease to be a Member of the Company and upon the occurrence of such an event, the Company shall continue without dissolution.</w:t>
      </w:r>
    </w:p>
    <w:p>
      <w:pPr>
        <w:spacing w:after="0" w:line="118"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u w:val="single" w:color="auto"/>
          <w:color w:val="auto"/>
        </w:rPr>
        <w:t>Winding-Up</w:t>
      </w:r>
      <w:r>
        <w:rPr>
          <w:rFonts w:ascii="Times New Roman" w:cs="Times New Roman" w:eastAsia="Times New Roman" w:hAnsi="Times New Roman"/>
          <w:sz w:val="18"/>
          <w:szCs w:val="18"/>
          <w:color w:val="auto"/>
        </w:rPr>
        <w:t>. When the Company is dissolved, the business and property of the Company shall be wound up in an orderly manner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Manager or by a liquidating trustee as may be appointed by the Manager (the Manager or such liquidating trustee, as the case may be, the “</w:t>
      </w:r>
      <w:r>
        <w:rPr>
          <w:rFonts w:ascii="Times New Roman" w:cs="Times New Roman" w:eastAsia="Times New Roman" w:hAnsi="Times New Roman"/>
          <w:sz w:val="18"/>
          <w:szCs w:val="18"/>
          <w:b w:val="1"/>
          <w:bCs w:val="1"/>
          <w:u w:val="single" w:color="auto"/>
          <w:color w:val="auto"/>
        </w:rPr>
        <w:t>Liquidator</w:t>
      </w:r>
      <w:r>
        <w:rPr>
          <w:rFonts w:ascii="Times New Roman" w:cs="Times New Roman" w:eastAsia="Times New Roman" w:hAnsi="Times New Roman"/>
          <w:sz w:val="18"/>
          <w:szCs w:val="18"/>
          <w:color w:val="auto"/>
        </w:rPr>
        <w:t>”). If the Members are unable to agree with respect to the distribution of any Company assets, then the Liquidator shall use its reasonable best efforts to reduce to cash and Cash Equivalents such assets of the Company as the Liquidator shall deem it advisable to sell, subject to obtaining fair market value for such assets and any tax or other legal considerations. No Member shall take any action (with respect to the Company) that is inconsistent with, or not necessary to or appropriate for, the winding up of the Company’s business and affairs.</w:t>
      </w:r>
    </w:p>
    <w:p>
      <w:pPr>
        <w:spacing w:after="0" w:line="1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b w:val="1"/>
          <w:bCs w:val="1"/>
          <w:u w:val="single" w:color="auto"/>
          <w:color w:val="auto"/>
        </w:rPr>
        <w:t>Final Distribution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right="180" w:firstLine="1026"/>
        <w:spacing w:after="0" w:line="282" w:lineRule="auto"/>
        <w:tabs>
          <w:tab w:leader="none" w:pos="126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reasonable following the event that caused the dissolution of the Company, the assets of the Company shall be applied in the following manner and order:</w:t>
      </w:r>
    </w:p>
    <w:p>
      <w:pPr>
        <w:spacing w:after="0" w:line="26" w:lineRule="exact"/>
        <w:rPr>
          <w:rFonts w:ascii="Times New Roman" w:cs="Times New Roman" w:eastAsia="Times New Roman" w:hAnsi="Times New Roman"/>
          <w:sz w:val="18"/>
          <w:szCs w:val="18"/>
          <w:color w:val="auto"/>
        </w:rPr>
      </w:pPr>
    </w:p>
    <w:p>
      <w:pPr>
        <w:ind w:right="140" w:firstLine="1663"/>
        <w:spacing w:after="0" w:line="266" w:lineRule="auto"/>
        <w:tabs>
          <w:tab w:leader="none" w:pos="187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expenses of the winding-up, liquidation and dissolution of the Company, and all creditors of the Company, other than Members, either by actual payment or by making a reasonable provision therefor, in the manner, and in the order of priority, set forth in § 18-804 of the LLC Act;</w:t>
      </w:r>
    </w:p>
    <w:p>
      <w:pPr>
        <w:spacing w:after="0" w:line="121" w:lineRule="exact"/>
        <w:rPr>
          <w:rFonts w:ascii="Times New Roman" w:cs="Times New Roman" w:eastAsia="Times New Roman" w:hAnsi="Times New Roman"/>
          <w:sz w:val="18"/>
          <w:szCs w:val="18"/>
          <w:color w:val="auto"/>
        </w:rPr>
      </w:pPr>
    </w:p>
    <w:p>
      <w:pPr>
        <w:ind w:right="740" w:firstLine="1663"/>
        <w:spacing w:after="0" w:line="282" w:lineRule="auto"/>
        <w:tabs>
          <w:tab w:leader="none" w:pos="19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in accordance with the provisions of this Agreement, on a pro rata basis, the debts payable to all creditors of the Company that are Members, either by actual payment or by making a reasonable provision therefor; and</w:t>
      </w:r>
    </w:p>
    <w:p>
      <w:pPr>
        <w:spacing w:after="0" w:line="107" w:lineRule="exact"/>
        <w:rPr>
          <w:rFonts w:ascii="Times New Roman" w:cs="Times New Roman" w:eastAsia="Times New Roman" w:hAnsi="Times New Roman"/>
          <w:sz w:val="18"/>
          <w:szCs w:val="18"/>
          <w:color w:val="auto"/>
        </w:rPr>
      </w:pPr>
    </w:p>
    <w:p>
      <w:pPr>
        <w:ind w:right="360" w:firstLine="1663"/>
        <w:spacing w:after="0" w:line="282" w:lineRule="auto"/>
        <w:tabs>
          <w:tab w:leader="none" w:pos="197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distribute the remaining assets of the Company to the Members in accordance with Section 5.4(b), taking into account all adjustments to Capital Accounts or offsets required under this Agreement through the date of distribution.</w:t>
      </w:r>
    </w:p>
    <w:p>
      <w:pPr>
        <w:spacing w:after="0" w:line="94" w:lineRule="exact"/>
        <w:rPr>
          <w:rFonts w:ascii="Times New Roman" w:cs="Times New Roman" w:eastAsia="Times New Roman" w:hAnsi="Times New Roman"/>
          <w:sz w:val="18"/>
          <w:szCs w:val="18"/>
          <w:color w:val="auto"/>
        </w:rPr>
      </w:pPr>
    </w:p>
    <w:p>
      <w:pPr>
        <w:ind w:right="240" w:firstLine="1026"/>
        <w:spacing w:after="0" w:line="266" w:lineRule="auto"/>
        <w:tabs>
          <w:tab w:leader="none" w:pos="127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Member has a deficit balance in its Capital Account in excess of any unpaid Capital Contributions (if any), such Member shall have no obligation to make any Capital Contribution to the Company with respect to such deficit, and such deficit shall not be considered a debt owed to the Company or to any other Person for any purpose whatsoever.</w:t>
      </w:r>
    </w:p>
    <w:p>
      <w:pPr>
        <w:spacing w:after="0" w:line="121" w:lineRule="exact"/>
        <w:rPr>
          <w:rFonts w:ascii="Times New Roman" w:cs="Times New Roman" w:eastAsia="Times New Roman" w:hAnsi="Times New Roman"/>
          <w:sz w:val="18"/>
          <w:szCs w:val="18"/>
          <w:color w:val="auto"/>
        </w:rPr>
      </w:pPr>
    </w:p>
    <w:p>
      <w:pPr>
        <w:ind w:right="20" w:firstLine="1026"/>
        <w:spacing w:after="0" w:line="282" w:lineRule="auto"/>
        <w:tabs>
          <w:tab w:leader="none" w:pos="126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shall look solely to the assets of the Company for the amounts distributable to it hereunder and shall have no right or power to demand or receive property therefor from any other Member.</w:t>
      </w:r>
    </w:p>
    <w:p>
      <w:pPr>
        <w:spacing w:after="0" w:line="107" w:lineRule="exact"/>
        <w:rPr>
          <w:rFonts w:ascii="Times New Roman" w:cs="Times New Roman" w:eastAsia="Times New Roman" w:hAnsi="Times New Roman"/>
          <w:sz w:val="18"/>
          <w:szCs w:val="18"/>
          <w:color w:val="auto"/>
        </w:rPr>
      </w:pPr>
    </w:p>
    <w:p>
      <w:pPr>
        <w:ind w:firstLine="1026"/>
        <w:spacing w:after="0" w:line="266" w:lineRule="auto"/>
        <w:tabs>
          <w:tab w:leader="none" w:pos="127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terminate when (i) all of the assets of the Company, after payment of or due provision for all debts, liabilities and obligations of the Company shall have been distributed to the Member in the manner provided for in this Agreement, and (ii) the Certificate shall have been canceled in the manner required by the LLC Act.</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TRANSFER; SUBSTITUTION; ADJUSTMENTS</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b w:val="1"/>
          <w:bCs w:val="1"/>
          <w:u w:val="single" w:color="auto"/>
          <w:color w:val="auto"/>
        </w:rPr>
        <w:t>Restrictions on Transfer</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right="60" w:firstLine="1026"/>
        <w:spacing w:after="0" w:line="255" w:lineRule="auto"/>
        <w:tabs>
          <w:tab w:leader="none" w:pos="126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to the contrary, each Member may, subject to Section 8.1(b), Section 8.1(c) and Article 9 (in the case of a Transfer pursuant to a Member’s exercise of its Redemption Right), Transfer any or all of its Units. It is a condition to any Transfer by a Member (the “</w:t>
      </w:r>
      <w:r>
        <w:rPr>
          <w:rFonts w:ascii="Times New Roman" w:cs="Times New Roman" w:eastAsia="Times New Roman" w:hAnsi="Times New Roman"/>
          <w:sz w:val="18"/>
          <w:szCs w:val="18"/>
          <w:b w:val="1"/>
          <w:bCs w:val="1"/>
          <w:u w:val="single" w:color="auto"/>
          <w:color w:val="auto"/>
        </w:rPr>
        <w:t>Transferring Member</w:t>
      </w:r>
      <w:r>
        <w:rPr>
          <w:rFonts w:ascii="Times New Roman" w:cs="Times New Roman" w:eastAsia="Times New Roman" w:hAnsi="Times New Roman"/>
          <w:sz w:val="18"/>
          <w:szCs w:val="18"/>
          <w:color w:val="auto"/>
        </w:rPr>
        <w:t>”) otherwise permitted hereunder that the transferee (i) agrees to become a party to, and be bound by the terms of, this Agreement to the same extent as the Transferring Member, and (ii) assumes by operation of law or express agreement all of the obligations of the Transferring Member under this Agreement or to which such Transferring Member is a party with respect to such Transferred Units or other Equity Interests in the Company. Notwithstanding the foregoing, any transferee of any Transferred Units or other Equity Interests in the Company shall be subject to any and all ownership limitations contained in this Agreement or any other agreement with the Company to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Transferring Member is a party. Any transferee, whether or not admitted as a Member, shall take subject to the obligations of the transferor hereunder.</w:t>
      </w:r>
    </w:p>
    <w:p>
      <w:pPr>
        <w:spacing w:after="0" w:line="171" w:lineRule="exact"/>
        <w:rPr>
          <w:sz w:val="20"/>
          <w:szCs w:val="20"/>
          <w:color w:val="auto"/>
        </w:rPr>
      </w:pPr>
    </w:p>
    <w:p>
      <w:pPr>
        <w:ind w:right="160" w:firstLine="1026"/>
        <w:spacing w:after="0" w:line="282" w:lineRule="auto"/>
        <w:tabs>
          <w:tab w:leader="none" w:pos="1273"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restrictions on Transfer herein contained, including, without limitation, the provisions of this Article 8, any purported Transfer or assignment of a Unit or other Equity Interests in the Company by any Member made in the following events shall be void ab initio:</w:t>
      </w:r>
    </w:p>
    <w:p>
      <w:pPr>
        <w:spacing w:after="0" w:line="26" w:lineRule="exact"/>
        <w:rPr>
          <w:rFonts w:ascii="Times New Roman" w:cs="Times New Roman" w:eastAsia="Times New Roman" w:hAnsi="Times New Roman"/>
          <w:sz w:val="18"/>
          <w:szCs w:val="18"/>
          <w:color w:val="auto"/>
        </w:rPr>
      </w:pPr>
    </w:p>
    <w:p>
      <w:pPr>
        <w:ind w:left="1880" w:hanging="217"/>
        <w:spacing w:after="0"/>
        <w:tabs>
          <w:tab w:leader="none" w:pos="1880"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who lacks the legal right, power or capacity to own Units;</w:t>
      </w:r>
    </w:p>
    <w:p>
      <w:pPr>
        <w:spacing w:after="0" w:line="171" w:lineRule="exact"/>
        <w:rPr>
          <w:rFonts w:ascii="Times New Roman" w:cs="Times New Roman" w:eastAsia="Times New Roman" w:hAnsi="Times New Roman"/>
          <w:sz w:val="18"/>
          <w:szCs w:val="18"/>
          <w:color w:val="auto"/>
        </w:rPr>
      </w:pPr>
    </w:p>
    <w:p>
      <w:pPr>
        <w:ind w:right="160" w:firstLine="1663"/>
        <w:spacing w:after="0" w:line="282" w:lineRule="auto"/>
        <w:tabs>
          <w:tab w:leader="none" w:pos="1920"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Transfer would cause the Company to become, with respect to any employee benefit plan subject to Title I of ERISA, a “party-in-interest” (as defined in Section 3(14) of ERISA) or a “disqualified person” (as defined in Section 4975(c) of the Code);</w:t>
      </w:r>
    </w:p>
    <w:p>
      <w:pPr>
        <w:spacing w:after="0" w:line="107" w:lineRule="exact"/>
        <w:rPr>
          <w:rFonts w:ascii="Times New Roman" w:cs="Times New Roman" w:eastAsia="Times New Roman" w:hAnsi="Times New Roman"/>
          <w:sz w:val="18"/>
          <w:szCs w:val="18"/>
          <w:color w:val="auto"/>
        </w:rPr>
      </w:pPr>
    </w:p>
    <w:p>
      <w:pPr>
        <w:ind w:right="120" w:firstLine="1663"/>
        <w:spacing w:after="0" w:line="282" w:lineRule="auto"/>
        <w:tabs>
          <w:tab w:leader="none" w:pos="1970"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Transfer would, in the opinion of counsel to the Company, cause any portion of the assets of the Company to constitute assets of any employee benefit plan pursuant to Department of Labor Regulations Section 2510.3-101;</w:t>
      </w:r>
    </w:p>
    <w:p>
      <w:pPr>
        <w:spacing w:after="0" w:line="94" w:lineRule="exact"/>
        <w:rPr>
          <w:rFonts w:ascii="Times New Roman" w:cs="Times New Roman" w:eastAsia="Times New Roman" w:hAnsi="Times New Roman"/>
          <w:sz w:val="18"/>
          <w:szCs w:val="18"/>
          <w:color w:val="auto"/>
        </w:rPr>
      </w:pPr>
    </w:p>
    <w:p>
      <w:pPr>
        <w:ind w:right="400" w:firstLine="1663"/>
        <w:spacing w:after="0" w:line="282" w:lineRule="auto"/>
        <w:tabs>
          <w:tab w:leader="none" w:pos="1960"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Transfer requires the registration of such Units pursuant to any applicable federal, state or foreign securities laws or would otherwise violate any federal, state or foreign securities laws or regulations applicable to the Company or the Units;</w:t>
      </w:r>
    </w:p>
    <w:p>
      <w:pPr>
        <w:spacing w:after="0" w:line="107" w:lineRule="exact"/>
        <w:rPr>
          <w:rFonts w:ascii="Times New Roman" w:cs="Times New Roman" w:eastAsia="Times New Roman" w:hAnsi="Times New Roman"/>
          <w:sz w:val="18"/>
          <w:szCs w:val="18"/>
          <w:color w:val="auto"/>
        </w:rPr>
      </w:pPr>
    </w:p>
    <w:p>
      <w:pPr>
        <w:ind w:firstLine="1663"/>
        <w:spacing w:after="0" w:line="266" w:lineRule="auto"/>
        <w:tabs>
          <w:tab w:leader="none" w:pos="1910"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Transfer is effectuated through an “established securities market” or a “secondary market (or the substantial equivalent thereof)” within the meaning of Section 7704 of the Code or such Transfer would result in a materially increased risk that the Company would he treated as a “publicly traded partnership,” as such term is defined in Sections 469(k)(2) or 7704(b) of the Code;</w:t>
      </w:r>
    </w:p>
    <w:p>
      <w:pPr>
        <w:spacing w:after="0" w:line="121" w:lineRule="exact"/>
        <w:rPr>
          <w:rFonts w:ascii="Times New Roman" w:cs="Times New Roman" w:eastAsia="Times New Roman" w:hAnsi="Times New Roman"/>
          <w:sz w:val="18"/>
          <w:szCs w:val="18"/>
          <w:color w:val="auto"/>
        </w:rPr>
      </w:pPr>
    </w:p>
    <w:p>
      <w:pPr>
        <w:ind w:firstLine="1663"/>
        <w:spacing w:after="0" w:line="282" w:lineRule="auto"/>
        <w:tabs>
          <w:tab w:leader="none" w:pos="1960"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Transfer subjects the Company to be regulated under the Investment Company Act of 1940, the Investment Advisors Act of 1940 or ERISA, each as amended;</w:t>
      </w:r>
    </w:p>
    <w:p>
      <w:pPr>
        <w:spacing w:after="0" w:line="107" w:lineRule="exact"/>
        <w:rPr>
          <w:rFonts w:ascii="Times New Roman" w:cs="Times New Roman" w:eastAsia="Times New Roman" w:hAnsi="Times New Roman"/>
          <w:sz w:val="18"/>
          <w:szCs w:val="18"/>
          <w:color w:val="auto"/>
        </w:rPr>
      </w:pPr>
    </w:p>
    <w:p>
      <w:pPr>
        <w:ind w:left="2020" w:hanging="357"/>
        <w:spacing w:after="0"/>
        <w:tabs>
          <w:tab w:leader="none" w:pos="2020"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Transfer may cause the Company to cease to be classified as a partnership for federal or state income tax purposes;</w:t>
      </w:r>
    </w:p>
    <w:p>
      <w:pPr>
        <w:spacing w:after="0" w:line="171" w:lineRule="exact"/>
        <w:rPr>
          <w:rFonts w:ascii="Times New Roman" w:cs="Times New Roman" w:eastAsia="Times New Roman" w:hAnsi="Times New Roman"/>
          <w:sz w:val="18"/>
          <w:szCs w:val="18"/>
          <w:color w:val="auto"/>
        </w:rPr>
      </w:pPr>
    </w:p>
    <w:p>
      <w:pPr>
        <w:ind w:left="2060" w:hanging="397"/>
        <w:spacing w:after="0"/>
        <w:tabs>
          <w:tab w:leader="none" w:pos="2060"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Transfer violates any applicable laws; or</w:t>
      </w:r>
    </w:p>
    <w:p>
      <w:pPr>
        <w:spacing w:after="0" w:line="171" w:lineRule="exact"/>
        <w:rPr>
          <w:rFonts w:ascii="Times New Roman" w:cs="Times New Roman" w:eastAsia="Times New Roman" w:hAnsi="Times New Roman"/>
          <w:sz w:val="18"/>
          <w:szCs w:val="18"/>
          <w:color w:val="auto"/>
        </w:rPr>
      </w:pPr>
    </w:p>
    <w:p>
      <w:pPr>
        <w:jc w:val="both"/>
        <w:ind w:right="220" w:firstLine="1663"/>
        <w:spacing w:after="0" w:line="312" w:lineRule="auto"/>
        <w:tabs>
          <w:tab w:leader="none" w:pos="1960" w:val="left"/>
        </w:tabs>
        <w:numPr>
          <w:ilvl w:val="2"/>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does not receive written instruments (including without limitation, copies of any instruments of Transfer and such assignee’s consent to be bound by this Agreement as an assignee) that are in a form satisfactory to the Manager (in its sole and absolute discretion).</w:t>
      </w:r>
    </w:p>
    <w:p>
      <w:pPr>
        <w:spacing w:after="0" w:line="85" w:lineRule="exact"/>
        <w:rPr>
          <w:rFonts w:ascii="Times New Roman" w:cs="Times New Roman" w:eastAsia="Times New Roman" w:hAnsi="Times New Roman"/>
          <w:sz w:val="17"/>
          <w:szCs w:val="17"/>
          <w:color w:val="auto"/>
        </w:rPr>
      </w:pPr>
    </w:p>
    <w:p>
      <w:pPr>
        <w:ind w:left="1280" w:hanging="254"/>
        <w:spacing w:after="0"/>
        <w:tabs>
          <w:tab w:leader="none" w:pos="128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Transferring Member shall, unless otherwise determined by the Company, (i) deliver to the Company, between ten (10) days and thirty</w:t>
      </w:r>
    </w:p>
    <w:p>
      <w:pPr>
        <w:spacing w:after="0" w:line="2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before the Transfer, a validly executed, complete and accurate IRS Form W-9 or (ii) ensure that, contemporaneously with the Transfer, the</w:t>
      </w:r>
    </w:p>
    <w:p>
      <w:pPr>
        <w:spacing w:after="0" w:line="9" w:lineRule="exact"/>
        <w:rPr>
          <w:rFonts w:ascii="Times New Roman" w:cs="Times New Roman" w:eastAsia="Times New Roman" w:hAnsi="Times New Roman"/>
          <w:sz w:val="18"/>
          <w:szCs w:val="18"/>
          <w:color w:val="auto"/>
        </w:rPr>
      </w:pPr>
    </w:p>
    <w:p>
      <w:pPr>
        <w:ind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transferee of such interest properly withholds and remits to the IRS the amount of tax required to be withheld upon the Transfer by Section 1446(f) of the Code (and promptly provide evidence to the Company of such withholding and remittance). A Transferring Member and the transferee of such Units shall jointly and severally indemnify and hold harmless the Company against any loss (including taxes, interest, penalties, and any related expenses) arising out of such Transfer.</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b w:val="1"/>
          <w:bCs w:val="1"/>
          <w:u w:val="single" w:color="auto"/>
          <w:color w:val="auto"/>
        </w:rPr>
        <w:t>Substituted Members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firstLine="1026"/>
        <w:spacing w:after="0" w:line="256" w:lineRule="auto"/>
        <w:tabs>
          <w:tab w:leader="none" w:pos="126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shall have the right to substitute a transferee as a Member in his or her place with respect to any Units or other Equity Interests in the Company so Transferred (including any transferee permitted by Section 8.1) unless (i) such Transfer is made in compliance with the terms of this Agreement and any other agreements with the Company or other Members to which such transferor Member is a party and (ii) such transferee assumes, by written instrument satisfactory to the Company pursuant to Section 8.l(b)(ix) above, all the rights and powers and is subject to all the restrictions and liabilities that were applicable to the transferor by virtue of the transferor’s ownership of the Units or other Equity Interests in the Company being Transferred.</w:t>
      </w:r>
    </w:p>
    <w:p>
      <w:pPr>
        <w:spacing w:after="0" w:line="133" w:lineRule="exact"/>
        <w:rPr>
          <w:rFonts w:ascii="Times New Roman" w:cs="Times New Roman" w:eastAsia="Times New Roman" w:hAnsi="Times New Roman"/>
          <w:sz w:val="18"/>
          <w:szCs w:val="18"/>
          <w:color w:val="auto"/>
        </w:rPr>
      </w:pPr>
    </w:p>
    <w:p>
      <w:pPr>
        <w:ind w:right="200" w:firstLine="1026"/>
        <w:spacing w:after="0" w:line="266" w:lineRule="auto"/>
        <w:tabs>
          <w:tab w:leader="none" w:pos="127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8.2(c) and otherwise in this Agreement, a transferee who has been admitted as a Member in accordance with Section 8.2(a) shall have all the rights and powers and be subject to all the restrictions and liabilities of a Member under this Agreement holding the same Units or other Equity Interests in the Company. The admission of any transferee as a Member shall be subject to the provisions of Section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1" w:name="page152"/>
    <w:bookmarkEnd w:id="151"/>
    <w:p>
      <w:pPr>
        <w:spacing w:after="0" w:line="140" w:lineRule="exact"/>
        <w:rPr>
          <w:sz w:val="20"/>
          <w:szCs w:val="20"/>
          <w:color w:val="auto"/>
        </w:rPr>
      </w:pPr>
    </w:p>
    <w:p>
      <w:pPr>
        <w:jc w:val="both"/>
        <w:ind w:right="180" w:firstLine="1026"/>
        <w:spacing w:after="0" w:line="261" w:lineRule="auto"/>
        <w:tabs>
          <w:tab w:leader="none" w:pos="126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Transfer by a Founding Member, the transferee shall not have the rights and powers of a Founding Member under this Agreement unless (i) the transferee is a Permitted Transferee of the Founding Member prior to and following the Transfer, or (ii) in the case of a direct or indirect Change of Control of the Founding Member, or any direct or indirect holder of equity in the Founding Member, following the Change of Control the Founding Member’s ESA Party or its stockholders owns 50% or more of the general voting power of the transferee.</w:t>
      </w:r>
    </w:p>
    <w:p>
      <w:pPr>
        <w:spacing w:after="0" w:line="108" w:lineRule="exact"/>
        <w:rPr>
          <w:sz w:val="20"/>
          <w:szCs w:val="20"/>
          <w:color w:val="auto"/>
        </w:rPr>
      </w:pPr>
    </w:p>
    <w:p>
      <w:pPr>
        <w:ind w:right="4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8.3 </w:t>
      </w:r>
      <w:r>
        <w:rPr>
          <w:rFonts w:ascii="Times New Roman" w:cs="Times New Roman" w:eastAsia="Times New Roman" w:hAnsi="Times New Roman"/>
          <w:sz w:val="18"/>
          <w:szCs w:val="18"/>
          <w:b w:val="1"/>
          <w:bCs w:val="1"/>
          <w:u w:val="single" w:color="auto"/>
          <w:color w:val="auto"/>
        </w:rPr>
        <w:t>Effect of Void Transfers</w:t>
      </w:r>
      <w:r>
        <w:rPr>
          <w:rFonts w:ascii="Times New Roman" w:cs="Times New Roman" w:eastAsia="Times New Roman" w:hAnsi="Times New Roman"/>
          <w:sz w:val="18"/>
          <w:szCs w:val="18"/>
          <w:color w:val="auto"/>
        </w:rPr>
        <w:t>. No Transfer of any Units owned by a Member in violation hereof shall be made or recorded on the books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any such purported Transfer shall be void and of no effect.</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REDEMPTION RIGHT OF MEMBER</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9.1 </w:t>
      </w:r>
      <w:r>
        <w:rPr>
          <w:rFonts w:ascii="Times New Roman" w:cs="Times New Roman" w:eastAsia="Times New Roman" w:hAnsi="Times New Roman"/>
          <w:sz w:val="18"/>
          <w:szCs w:val="18"/>
          <w:b w:val="1"/>
          <w:bCs w:val="1"/>
          <w:u w:val="single" w:color="auto"/>
          <w:color w:val="auto"/>
        </w:rPr>
        <w:t>Redemption Right of a Member</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firstLine="1026"/>
        <w:spacing w:after="0" w:line="252" w:lineRule="auto"/>
        <w:tabs>
          <w:tab w:leader="none" w:pos="126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(other than NCM Inc.) shall be entitled to cause the Company to redeem its Common Units (the “</w:t>
      </w:r>
      <w:r>
        <w:rPr>
          <w:rFonts w:ascii="Times New Roman" w:cs="Times New Roman" w:eastAsia="Times New Roman" w:hAnsi="Times New Roman"/>
          <w:sz w:val="18"/>
          <w:szCs w:val="18"/>
          <w:b w:val="1"/>
          <w:bCs w:val="1"/>
          <w:u w:val="single" w:color="auto"/>
          <w:color w:val="auto"/>
        </w:rPr>
        <w:t>Redemption Right</w:t>
      </w:r>
      <w:r>
        <w:rPr>
          <w:rFonts w:ascii="Times New Roman" w:cs="Times New Roman" w:eastAsia="Times New Roman" w:hAnsi="Times New Roman"/>
          <w:sz w:val="18"/>
          <w:szCs w:val="18"/>
          <w:color w:val="auto"/>
        </w:rPr>
        <w:t>”) from time to time. A Member desiring to exercise its Redemption Right (the “</w:t>
      </w:r>
      <w:r>
        <w:rPr>
          <w:rFonts w:ascii="Times New Roman" w:cs="Times New Roman" w:eastAsia="Times New Roman" w:hAnsi="Times New Roman"/>
          <w:sz w:val="18"/>
          <w:szCs w:val="18"/>
          <w:b w:val="1"/>
          <w:bCs w:val="1"/>
          <w:u w:val="single" w:color="auto"/>
          <w:color w:val="auto"/>
        </w:rPr>
        <w:t>Redeeming Member</w:t>
      </w:r>
      <w:r>
        <w:rPr>
          <w:rFonts w:ascii="Times New Roman" w:cs="Times New Roman" w:eastAsia="Times New Roman" w:hAnsi="Times New Roman"/>
          <w:sz w:val="18"/>
          <w:szCs w:val="18"/>
          <w:color w:val="auto"/>
        </w:rPr>
        <w:t>”) shall exercise such right by giving written notice (the “</w:t>
      </w:r>
      <w:r>
        <w:rPr>
          <w:rFonts w:ascii="Times New Roman" w:cs="Times New Roman" w:eastAsia="Times New Roman" w:hAnsi="Times New Roman"/>
          <w:sz w:val="18"/>
          <w:szCs w:val="18"/>
          <w:b w:val="1"/>
          <w:bCs w:val="1"/>
          <w:u w:val="single" w:color="auto"/>
          <w:color w:val="auto"/>
        </w:rPr>
        <w:t>Redemption Notice</w:t>
      </w:r>
      <w:r>
        <w:rPr>
          <w:rFonts w:ascii="Times New Roman" w:cs="Times New Roman" w:eastAsia="Times New Roman" w:hAnsi="Times New Roman"/>
          <w:sz w:val="18"/>
          <w:szCs w:val="18"/>
          <w:color w:val="auto"/>
        </w:rPr>
        <w:t>”) to the Company (with a copy to NCM Inc.). The Redemption Notice shall specify the number of Common Units (the “</w:t>
      </w:r>
      <w:r>
        <w:rPr>
          <w:rFonts w:ascii="Times New Roman" w:cs="Times New Roman" w:eastAsia="Times New Roman" w:hAnsi="Times New Roman"/>
          <w:sz w:val="18"/>
          <w:szCs w:val="18"/>
          <w:b w:val="1"/>
          <w:bCs w:val="1"/>
          <w:u w:val="single" w:color="auto"/>
          <w:color w:val="auto"/>
        </w:rPr>
        <w:t>Redeemed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Units</w:t>
      </w:r>
      <w:r>
        <w:rPr>
          <w:rFonts w:ascii="Times New Roman" w:cs="Times New Roman" w:eastAsia="Times New Roman" w:hAnsi="Times New Roman"/>
          <w:sz w:val="18"/>
          <w:szCs w:val="18"/>
          <w:color w:val="auto"/>
        </w:rPr>
        <w:t>”) that the Redeeming Member elects to have the Company redeem, whether it intends to sell the shares of NCM Inc. common stock received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Settlement in an underwritten public offering substantially simultaneously with the redemption of its Common Units, the number of shares to be sold at the initial closing of the offering (an “</w:t>
      </w:r>
      <w:r>
        <w:rPr>
          <w:rFonts w:ascii="Times New Roman" w:cs="Times New Roman" w:eastAsia="Times New Roman" w:hAnsi="Times New Roman"/>
          <w:sz w:val="18"/>
          <w:szCs w:val="18"/>
          <w:b w:val="1"/>
          <w:bCs w:val="1"/>
          <w:u w:val="single" w:color="auto"/>
          <w:color w:val="auto"/>
        </w:rPr>
        <w:t>Underwritten Resale</w:t>
      </w:r>
      <w:r>
        <w:rPr>
          <w:rFonts w:ascii="Times New Roman" w:cs="Times New Roman" w:eastAsia="Times New Roman" w:hAnsi="Times New Roman"/>
          <w:sz w:val="18"/>
          <w:szCs w:val="18"/>
          <w:color w:val="auto"/>
        </w:rPr>
        <w:t>”), and the date upon which the exercise of the Redemption Right shall occur, which date shall not be less than three (3) Business Days nor more than ten (10) Business Days after delivery of the Redemption Notice (any such date, a “</w:t>
      </w:r>
      <w:r>
        <w:rPr>
          <w:rFonts w:ascii="Times New Roman" w:cs="Times New Roman" w:eastAsia="Times New Roman" w:hAnsi="Times New Roman"/>
          <w:sz w:val="18"/>
          <w:szCs w:val="18"/>
          <w:b w:val="1"/>
          <w:bCs w:val="1"/>
          <w:u w:val="single" w:color="auto"/>
          <w:color w:val="auto"/>
        </w:rPr>
        <w:t>Redemption Date</w:t>
      </w:r>
      <w:r>
        <w:rPr>
          <w:rFonts w:ascii="Times New Roman" w:cs="Times New Roman" w:eastAsia="Times New Roman" w:hAnsi="Times New Roman"/>
          <w:sz w:val="18"/>
          <w:szCs w:val="18"/>
          <w:color w:val="auto"/>
        </w:rPr>
        <w:t>”). Notwithstanding the foregoing sentence, if the Redeeming Member specified an Underwritten Resale, and an underwriter is granted and exercises an over-allotment option, the Redeeming Member shall deliver an amendment to its Redemption Notice (the “</w:t>
      </w:r>
      <w:r>
        <w:rPr>
          <w:rFonts w:ascii="Times New Roman" w:cs="Times New Roman" w:eastAsia="Times New Roman" w:hAnsi="Times New Roman"/>
          <w:sz w:val="18"/>
          <w:szCs w:val="18"/>
          <w:b w:val="1"/>
          <w:bCs w:val="1"/>
          <w:u w:val="single" w:color="auto"/>
          <w:color w:val="auto"/>
        </w:rPr>
        <w:t>Redemption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specifying the number of additional Common Units that it elects to redeem to satisfy the over-allotment option exercise and a 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which shall not be less than one (1) Business Day after the delivery of the Redemption Notice Amendment. Each Member delivering a Redemption Notice or Redemption Notice Amendment shall, simultaneously with the delivery of such Redemption Notice or Redemption Notice Amendment, deliver the certificates representing the Redeemed Units to the Company. Unless the Redeeming Member has timely delivered a Retraction Notice or a Termination Notice as provided in Section 9.1(b), on the Redemption Date (to be effective immediately prior to the close of business on the Redemption Date) (i) the Redeeming Member shall transfer and surrender the Redeemed Units to the Company, free and clear of all liens and encumbrances, and (ii) the Company shall (x) cancel the Redeemed Units, (y) transfer to the Redeeming Member the consideration to which the Redeeming Member is entitled under Section 9.1(b), and (z) issue to the Redeeming Member pursuant to Section 3.4(h) a certificate for a number of Common Units equal to the difference (if any) between the number of Common Units evidenced by the certificate surrendered by the Redeeming Member pursuant to clause (i) of this Section 9.1(a) and the Redeemed Units.</w:t>
      </w:r>
    </w:p>
    <w:p>
      <w:pPr>
        <w:spacing w:after="0" w:line="59" w:lineRule="exact"/>
        <w:rPr>
          <w:rFonts w:ascii="Times New Roman" w:cs="Times New Roman" w:eastAsia="Times New Roman" w:hAnsi="Times New Roman"/>
          <w:sz w:val="18"/>
          <w:szCs w:val="18"/>
          <w:color w:val="auto"/>
        </w:rPr>
      </w:pPr>
    </w:p>
    <w:p>
      <w:pPr>
        <w:ind w:left="1280" w:hanging="254"/>
        <w:spacing w:after="0"/>
        <w:tabs>
          <w:tab w:leader="none" w:pos="12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 shall be subject to the following:</w:t>
      </w:r>
    </w:p>
    <w:p>
      <w:pPr>
        <w:spacing w:after="0" w:line="117" w:lineRule="exact"/>
        <w:rPr>
          <w:rFonts w:ascii="Times New Roman" w:cs="Times New Roman" w:eastAsia="Times New Roman" w:hAnsi="Times New Roman"/>
          <w:sz w:val="18"/>
          <w:szCs w:val="18"/>
          <w:color w:val="auto"/>
        </w:rPr>
      </w:pPr>
    </w:p>
    <w:p>
      <w:pPr>
        <w:ind w:left="1680" w:firstLine="499"/>
        <w:spacing w:after="0" w:line="255" w:lineRule="auto"/>
        <w:tabs>
          <w:tab w:leader="none" w:pos="240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exercising its Redemption Right, a Redeeming Member, at NCM Inc.’s option as provided in Section 3.5(b) and subject to Section 9.1(d), shall be entitled to receive the Share Settlement or the Cash Settlement. Within three (3) Business Days of delivery of the Redemption Notice, NCM Inc. shall give written notice (the “</w:t>
      </w:r>
      <w:r>
        <w:rPr>
          <w:rFonts w:ascii="Times New Roman" w:cs="Times New Roman" w:eastAsia="Times New Roman" w:hAnsi="Times New Roman"/>
          <w:sz w:val="18"/>
          <w:szCs w:val="18"/>
          <w:b w:val="1"/>
          <w:bCs w:val="1"/>
          <w:u w:val="single" w:color="auto"/>
          <w:color w:val="auto"/>
        </w:rPr>
        <w:t>Contribution Notice</w:t>
      </w:r>
      <w:r>
        <w:rPr>
          <w:rFonts w:ascii="Times New Roman" w:cs="Times New Roman" w:eastAsia="Times New Roman" w:hAnsi="Times New Roman"/>
          <w:sz w:val="18"/>
          <w:szCs w:val="18"/>
          <w:color w:val="auto"/>
        </w:rPr>
        <w:t xml:space="preserve">”) to the Company (with a copy to the Redeeming Member) of its intended settlement method;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NCM Inc. does not timely deliver a Contribution Notice, NCM Inc. shall be deemed to have elected the Share Settlement method. If NCM Inc. elects the Cash Settlement method, the Redeeming Member may retract its Redemption Notice by giving written notice (the “</w:t>
      </w:r>
      <w:r>
        <w:rPr>
          <w:rFonts w:ascii="Times New Roman" w:cs="Times New Roman" w:eastAsia="Times New Roman" w:hAnsi="Times New Roman"/>
          <w:sz w:val="18"/>
          <w:szCs w:val="18"/>
          <w:b w:val="1"/>
          <w:bCs w:val="1"/>
          <w:u w:val="single" w:color="auto"/>
          <w:color w:val="auto"/>
        </w:rPr>
        <w:t>Retraction Notice</w:t>
      </w:r>
      <w:r>
        <w:rPr>
          <w:rFonts w:ascii="Times New Roman" w:cs="Times New Roman" w:eastAsia="Times New Roman" w:hAnsi="Times New Roman"/>
          <w:sz w:val="18"/>
          <w:szCs w:val="18"/>
          <w:color w:val="auto"/>
        </w:rPr>
        <w:t>”) to the Company (with a copy to NCM Inc.) within two (2) Business Days of delivery of the Contribution Notice.</w:t>
      </w:r>
    </w:p>
    <w:p>
      <w:pPr>
        <w:spacing w:after="0" w:line="80" w:lineRule="exact"/>
        <w:rPr>
          <w:rFonts w:ascii="Times New Roman" w:cs="Times New Roman" w:eastAsia="Times New Roman" w:hAnsi="Times New Roman"/>
          <w:sz w:val="18"/>
          <w:szCs w:val="18"/>
          <w:color w:val="auto"/>
        </w:rPr>
      </w:pPr>
    </w:p>
    <w:p>
      <w:pPr>
        <w:ind w:left="1680" w:right="60" w:firstLine="499"/>
        <w:spacing w:after="0" w:line="266" w:lineRule="auto"/>
        <w:tabs>
          <w:tab w:leader="none" w:pos="245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Redeeming Member has advised the Company that it intends to have an Underwritten Resale and the Redeeming Member reasonably determines that market conditions with respect to NCM Inc. common stock make it inadvisable to proceed with the Underwritten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8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Resale or if the managing underwriter for the Underwritten Resale advises the Redeeming Member that it does not intend to close</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the sale of shares of NCM Inc. in the Underwritten Resale, the Redeeming Member may terminate the Redemption Notice (the</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Termination Notice</w:t>
      </w:r>
      <w:r>
        <w:rPr>
          <w:rFonts w:ascii="Times New Roman" w:cs="Times New Roman" w:eastAsia="Times New Roman" w:hAnsi="Times New Roman"/>
          <w:sz w:val="18"/>
          <w:szCs w:val="18"/>
          <w:color w:val="auto"/>
        </w:rPr>
        <w:t>”) at any time prior to the Redemption Date by giving notice to the Company (with a copy to NCM Inc.) prior</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to the Redemption Date.</w:t>
      </w:r>
    </w:p>
    <w:p>
      <w:pPr>
        <w:spacing w:after="0" w:line="99" w:lineRule="exact"/>
        <w:rPr>
          <w:sz w:val="20"/>
          <w:szCs w:val="20"/>
          <w:color w:val="auto"/>
        </w:rPr>
      </w:pPr>
    </w:p>
    <w:p>
      <w:pPr>
        <w:jc w:val="both"/>
        <w:ind w:left="1680" w:firstLine="499"/>
        <w:spacing w:after="0" w:line="258" w:lineRule="auto"/>
        <w:tabs>
          <w:tab w:leader="none" w:pos="250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delivery of a Retraction Notice or a Termination Notice shall terminate all of the Redeeming Member’s, the Company’s and NCM Inc.’s rights and obligations under this Section 9.1 arising from the Redemption Notice; provided, however, that the Company shall immediately deliver to the Redeeming Member any and all certificates representing the Redeemed Units that the Redeeming Member previously delivered to the Company in connection with the Redemption Notice and/or Redemption Notice Amendment.</w:t>
      </w:r>
    </w:p>
    <w:p>
      <w:pPr>
        <w:spacing w:after="0" w:line="75" w:lineRule="exact"/>
        <w:rPr>
          <w:rFonts w:ascii="Times New Roman" w:cs="Times New Roman" w:eastAsia="Times New Roman" w:hAnsi="Times New Roman"/>
          <w:sz w:val="18"/>
          <w:szCs w:val="18"/>
          <w:color w:val="auto"/>
        </w:rPr>
      </w:pPr>
    </w:p>
    <w:p>
      <w:pPr>
        <w:ind w:left="1680" w:right="80" w:firstLine="859"/>
        <w:spacing w:after="0" w:line="282" w:lineRule="auto"/>
        <w:tabs>
          <w:tab w:leader="none" w:pos="2854"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a Redemption Notice shall be deemed to trigger the notice period under Section 5.4(a)(i)(B) for the distribution of any Deferred Distribution Amounts owed to the Redeeming Member.</w:t>
      </w:r>
    </w:p>
    <w:p>
      <w:pPr>
        <w:spacing w:after="0" w:line="54" w:lineRule="exact"/>
        <w:rPr>
          <w:sz w:val="20"/>
          <w:szCs w:val="20"/>
          <w:color w:val="auto"/>
        </w:rPr>
      </w:pPr>
    </w:p>
    <w:p>
      <w:pPr>
        <w:jc w:val="both"/>
        <w:ind w:left="1680" w:right="40" w:firstLine="499"/>
        <w:spacing w:after="0" w:line="261" w:lineRule="auto"/>
        <w:tabs>
          <w:tab w:leader="none" w:pos="2444"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certificate representing the Redeemed Units no longer represents the correct number of Common Units due to an adjustment of Common Units effected pursuant to Section 3.4(g) or 3.5(d) in accordance with this Agreement, the number of shares delivered in connection with a Share Settlement shall reflect the number of shares equal to the number of as adjusted Redeemed Units.</w:t>
      </w:r>
    </w:p>
    <w:p>
      <w:pPr>
        <w:spacing w:after="0" w:line="125" w:lineRule="exact"/>
        <w:rPr>
          <w:rFonts w:ascii="Times New Roman" w:cs="Times New Roman" w:eastAsia="Times New Roman" w:hAnsi="Times New Roman"/>
          <w:sz w:val="18"/>
          <w:szCs w:val="18"/>
          <w:color w:val="auto"/>
        </w:rPr>
      </w:pPr>
    </w:p>
    <w:p>
      <w:pPr>
        <w:ind w:left="1280" w:hanging="254"/>
        <w:spacing w:after="0"/>
        <w:tabs>
          <w:tab w:leader="none" w:pos="12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NCM Inc. common stock and the Redeemed Units Equivalent that a Redeeming Member is entitled to receive</w:t>
      </w:r>
    </w:p>
    <w:p>
      <w:pPr>
        <w:spacing w:after="0" w:line="6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 xml:space="preserve">under Section 9.1(b) (whether through a Share Settlement or Cash Settlement) shall not be adjusted on account of any distributions previously made with respect to the Redeemed Units or dividends previously paid with respect to NCM Inc.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Redeeming Member causes the Company to redeem Redeemed Units and the Redemption Date occurs subsequent to the record date for any distribution with respect to the Redeemed Units but prior to payment of such distribution, the Redeeming Member shall be entitled to receive such distribution with respect to the Redeemed Units on the date that it is made notwithstanding that the Redeeming Member transferred and surrendered the Redeemed Units to the Company prior to such date.</w:t>
      </w:r>
    </w:p>
    <w:p>
      <w:pPr>
        <w:spacing w:after="0" w:line="131" w:lineRule="exact"/>
        <w:rPr>
          <w:sz w:val="20"/>
          <w:szCs w:val="20"/>
          <w:color w:val="auto"/>
        </w:rPr>
      </w:pPr>
    </w:p>
    <w:p>
      <w:pPr>
        <w:ind w:right="40" w:firstLine="1026"/>
        <w:spacing w:after="0" w:line="261" w:lineRule="auto"/>
        <w:tabs>
          <w:tab w:leader="none" w:pos="127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reclassification or other similar transaction as a result of which the shares of NCM Inc. common stock are converted into another security, then in exercising it Redemption Right a Redeeming Member shall be entitled to receive the amount of such security that the Redeeming Member would have received if such Redemption Right had been exercised and the Redemption Date had occurred immediately prior to the record date of such reclassification or other similar transaction.</w:t>
      </w:r>
    </w:p>
    <w:p>
      <w:pPr>
        <w:spacing w:after="0" w:line="125" w:lineRule="exact"/>
        <w:rPr>
          <w:rFonts w:ascii="Times New Roman" w:cs="Times New Roman" w:eastAsia="Times New Roman" w:hAnsi="Times New Roman"/>
          <w:sz w:val="18"/>
          <w:szCs w:val="18"/>
          <w:color w:val="auto"/>
        </w:rPr>
      </w:pPr>
    </w:p>
    <w:p>
      <w:pPr>
        <w:ind w:right="480" w:firstLine="1026"/>
        <w:spacing w:after="0" w:line="282" w:lineRule="auto"/>
        <w:tabs>
          <w:tab w:leader="none" w:pos="126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9.1 and Section 3.5(b) shall be interpreted and applied in a manner consistent with the corresponding provisions of NCM Inc.’s certificate of incorporation.</w:t>
      </w:r>
    </w:p>
    <w:p>
      <w:pPr>
        <w:spacing w:after="0" w:line="107" w:lineRule="exact"/>
        <w:rPr>
          <w:rFonts w:ascii="Times New Roman" w:cs="Times New Roman" w:eastAsia="Times New Roman" w:hAnsi="Times New Roman"/>
          <w:sz w:val="18"/>
          <w:szCs w:val="18"/>
          <w:color w:val="auto"/>
        </w:rPr>
      </w:pPr>
    </w:p>
    <w:p>
      <w:pPr>
        <w:ind w:firstLine="1026"/>
        <w:spacing w:after="0" w:line="256" w:lineRule="auto"/>
        <w:tabs>
          <w:tab w:leader="none" w:pos="124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the event that the Manager determines in its sole discretion that the exercise of a Redemption Right by a Redeeming Member would, alone or together with other past or proposed Transfers, result in an increased risk that the Company would be treated as a “publicly traded partnership,” as such term is defined in Sections 469(k)(2) or 7704(b) of the Code, the Manager shall be permitted to impose additional requirements as to the timing and procedures of the exercise of a Redemption Right as the Manager determines in good faith may be reasonably required to prevent the Company from being treated as a “publicly traded partnership”. In such case, the Manager will inform the Members of such additional requirements in writing.</w:t>
      </w:r>
    </w:p>
    <w:p>
      <w:pPr>
        <w:spacing w:after="0" w:line="12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9.2 </w:t>
      </w:r>
      <w:r>
        <w:rPr>
          <w:rFonts w:ascii="Times New Roman" w:cs="Times New Roman" w:eastAsia="Times New Roman" w:hAnsi="Times New Roman"/>
          <w:sz w:val="18"/>
          <w:szCs w:val="18"/>
          <w:b w:val="1"/>
          <w:bCs w:val="1"/>
          <w:u w:val="single" w:color="auto"/>
          <w:color w:val="auto"/>
        </w:rPr>
        <w:t>Effect of Exercise of Redemption Right</w:t>
      </w:r>
      <w:r>
        <w:rPr>
          <w:rFonts w:ascii="Times New Roman" w:cs="Times New Roman" w:eastAsia="Times New Roman" w:hAnsi="Times New Roman"/>
          <w:sz w:val="18"/>
          <w:szCs w:val="18"/>
          <w:color w:val="auto"/>
        </w:rPr>
        <w:t>. This Agreement shall continue notwithstanding the exercise of a Redeeming Member’s 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and all governance or other rights set forth herein shall be exercised by the remaining Members and the Redeeming Member (to the extent of such Redeeming Member’s remaining Interest in the Company). No exercise of a Redeeming Member’s Redemption Right shall relieve such Redeeming Member of any prior breach of this Agreement. Notwithstanding the exercise of a Redeeming Member’s Redemption Right, the Exhibitor Services Agreement executed between such Redeeming Member’s ESA Party (if such Redeeming Member is a Founding Member) and the Company shall remain in full force and effect in accordance with the terms of such Exhibitor Services Agreement. The Redeeming Member (if a Founding Member) and its Affiliates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3" w:name="page154"/>
    <w:bookmarkEnd w:id="153"/>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retain all ownership and rights with respect to its theatres and other assets that are not Contributed Assets (as defined in Section 2.5 of the Contribution and Unit Holders Agreement). All Contributed Assets of such Member shall remain the sole and exclusive property of the Company.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171"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10.1 </w:t>
      </w:r>
      <w:r>
        <w:rPr>
          <w:rFonts w:ascii="Times New Roman" w:cs="Times New Roman" w:eastAsia="Times New Roman" w:hAnsi="Times New Roman"/>
          <w:sz w:val="18"/>
          <w:szCs w:val="18"/>
          <w:b w:val="1"/>
          <w:bCs w:val="1"/>
          <w:u w:val="single" w:color="auto"/>
          <w:color w:val="auto"/>
        </w:rPr>
        <w:t>Agreement to Cooperate; Further Assurances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at any time any further action is necessary or desirable to carry out the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the proper officers and Managers of the Company and each Member and their respective Affiliates shall execute such further documents (including assignments, acknowledgments and consents and other instruments of Transfer) and shall take such further action as shall be necessary or desirable to effect such Transfer and to otherwise carry out the purposes of this Agreement, in each case to the extent not inconsistent with applicable law.</w:t>
      </w:r>
    </w:p>
    <w:p>
      <w:pPr>
        <w:spacing w:after="0" w:line="109"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10.2 </w:t>
      </w: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 Except as otherwise expressly provided in this Agreement (including as provided in Sections 4.3(b)(vi) and 4.3(b)(xix)),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amendments to this Agreement shall require a Majority Member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this Agreement may not be amended so as to materially impair the voting power or economic rights of any outstanding Common Units in relation to any other outstanding Units or of any Member in relation to the other Members, in either case, without the consent of each Member and the holders representing a majority of the then issued and outstanding Units or the affected Member, as the case may be, and (ii) Article 8 may only be amended with the approval of the Manager and a Majority Member Vote.</w:t>
      </w:r>
    </w:p>
    <w:p>
      <w:pPr>
        <w:spacing w:after="0" w:line="125"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10.3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 During the term of this Agreement, and for a period of three years after the earlier of (x) the dissolution of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termination of this Agreement or (y) the date upon which such Member ceases to be a Member of the Company:</w:t>
      </w:r>
    </w:p>
    <w:p>
      <w:pPr>
        <w:spacing w:after="0" w:line="105" w:lineRule="exact"/>
        <w:rPr>
          <w:sz w:val="20"/>
          <w:szCs w:val="20"/>
          <w:color w:val="auto"/>
        </w:rPr>
      </w:pPr>
    </w:p>
    <w:p>
      <w:pPr>
        <w:ind w:right="40" w:firstLine="1026"/>
        <w:spacing w:after="0" w:line="266" w:lineRule="auto"/>
        <w:tabs>
          <w:tab w:leader="none" w:pos="148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Member shall use and cause its Affiliates to use the same degree of care it uses to safeguard its own Confidential Information (as defined below) and to cause its and its Affiliates’ directors, officers, employees, agents and representatives to keep confidential all Confidential Information, including but not limited to Intellectual Property and other Proprietary Information of the other Members and the Company, and</w:t>
      </w:r>
    </w:p>
    <w:p>
      <w:pPr>
        <w:spacing w:after="0" w:line="121" w:lineRule="exact"/>
        <w:rPr>
          <w:rFonts w:ascii="Times New Roman" w:cs="Times New Roman" w:eastAsia="Times New Roman" w:hAnsi="Times New Roman"/>
          <w:sz w:val="18"/>
          <w:szCs w:val="18"/>
          <w:color w:val="auto"/>
        </w:rPr>
      </w:pPr>
    </w:p>
    <w:p>
      <w:pPr>
        <w:ind w:firstLine="1663"/>
        <w:spacing w:after="0" w:line="254" w:lineRule="auto"/>
        <w:tabs>
          <w:tab w:leader="none" w:pos="192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shall hold and shall cause its Affiliates to hold and shall cause its and its Affiliates’ directors, officers, employees, agents and representatives to hold in confidence, unless compelled to disclose by judicial or administrative process or, in the opinion of counsel, by the requirements of law, all documents and information concerning any other party hereto furnished it by such other party or its representatives in connection with the transactions contemplated by this Agreement (together with the information referred to in clause (i) above, the “</w:t>
      </w:r>
      <w:r>
        <w:rPr>
          <w:rFonts w:ascii="Times New Roman" w:cs="Times New Roman" w:eastAsia="Times New Roman" w:hAnsi="Times New Roman"/>
          <w:sz w:val="18"/>
          <w:szCs w:val="18"/>
          <w:b w:val="1"/>
          <w:bCs w:val="1"/>
          <w:u w:val="single" w:color="auto"/>
          <w:color w:val="auto"/>
        </w:rPr>
        <w:t>Confidential Information</w:t>
      </w:r>
      <w:r>
        <w:rPr>
          <w:rFonts w:ascii="Times New Roman" w:cs="Times New Roman" w:eastAsia="Times New Roman" w:hAnsi="Times New Roman"/>
          <w:sz w:val="18"/>
          <w:szCs w:val="18"/>
          <w:color w:val="auto"/>
        </w:rPr>
        <w:t>”)), except to the extent that any such information can be shown to have been (A) previously known by the party to which it is furnished lawfully and without breaching or having breached an obligation of such party or the disclosing party to keep such documents and information confidential, (B) in the public domain through no fault of the disclosing party, or (C) independently developed by the disclosing party without using or having used the Confidential Information.</w:t>
      </w:r>
    </w:p>
    <w:p>
      <w:pPr>
        <w:spacing w:after="0" w:line="137" w:lineRule="exact"/>
        <w:rPr>
          <w:rFonts w:ascii="Times New Roman" w:cs="Times New Roman" w:eastAsia="Times New Roman" w:hAnsi="Times New Roman"/>
          <w:sz w:val="18"/>
          <w:szCs w:val="18"/>
          <w:color w:val="auto"/>
        </w:rPr>
      </w:pPr>
    </w:p>
    <w:p>
      <w:pPr>
        <w:ind w:right="240" w:firstLine="1026"/>
        <w:spacing w:after="0" w:line="258" w:lineRule="auto"/>
        <w:tabs>
          <w:tab w:leader="none" w:pos="127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agrees that the Confidential Information of the Company shall only be disclosed in secrecy and confidence, and is to be maintained by them in secrecy and confidence subject to the terms hereof. Each Member shall (i) not, directly or indirectly, use the Confidential Information of the Company, except as necessary in the ordinary course of the Company’s business, or disclose the Confidential Information of the Company to any third party and (ii) inform all of its employees to whom the Confidential Information of the Company is entrusted or exposed of the requirements of this Section and of their obligations relating thereto.</w:t>
      </w:r>
    </w:p>
    <w:p>
      <w:pPr>
        <w:spacing w:after="0" w:line="125" w:lineRule="exact"/>
        <w:rPr>
          <w:rFonts w:ascii="Times New Roman" w:cs="Times New Roman" w:eastAsia="Times New Roman" w:hAnsi="Times New Roman"/>
          <w:sz w:val="18"/>
          <w:szCs w:val="18"/>
          <w:color w:val="auto"/>
        </w:rPr>
      </w:pPr>
    </w:p>
    <w:p>
      <w:pPr>
        <w:ind w:right="100" w:firstLine="1026"/>
        <w:spacing w:after="0" w:line="286" w:lineRule="auto"/>
        <w:tabs>
          <w:tab w:leader="none" w:pos="126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preserve the confidentiality of all Confidential Information supplied by the Members and their Affiliates (“</w:t>
      </w:r>
      <w:r>
        <w:rPr>
          <w:rFonts w:ascii="Times New Roman" w:cs="Times New Roman" w:eastAsia="Times New Roman" w:hAnsi="Times New Roman"/>
          <w:sz w:val="18"/>
          <w:szCs w:val="18"/>
          <w:b w:val="1"/>
          <w:bCs w:val="1"/>
          <w:u w:val="single" w:color="auto"/>
          <w:color w:val="auto"/>
        </w:rPr>
        <w:t>Member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Information</w:t>
      </w:r>
      <w:r>
        <w:rPr>
          <w:rFonts w:ascii="Times New Roman" w:cs="Times New Roman" w:eastAsia="Times New Roman" w:hAnsi="Times New Roman"/>
          <w:sz w:val="18"/>
          <w:szCs w:val="18"/>
          <w:color w:val="auto"/>
        </w:rPr>
        <w:t>”) to the same extent that a Member must preserve the confidentiality of Confidential Information pursuant to Sections 10.3(a)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948690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54" w:name="page155"/>
    <w:bookmarkEnd w:id="154"/>
    <w:p>
      <w:pPr>
        <w:ind w:right="40" w:firstLine="1026"/>
        <w:spacing w:after="0" w:line="255" w:lineRule="auto"/>
        <w:tabs>
          <w:tab w:leader="none" w:pos="127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Information shall not be supplied by the Company or its Subsidiaries to any Person who is not an employee of the Company or the Manager, including any employee of a Member who is not an employee of the Company or the Manager. Notwithstanding the foregoing, Member Information may be disclosed to authorized third-party contractors of the Company if the Company determines that such disclosure is reasonably necessary to further the business of the Company, and if such contractor executes a non-disclosure agreement preventing such contractor from disclosing such Member Information for the benefit of each provider of Member Information in a form reasonably acceptable to the Manager. Member Information disclosed by any Member to the Company or the Manager shall not be shared with any other Member that is not the Manager without the disclosing Member’s written consent.</w:t>
      </w:r>
    </w:p>
    <w:p>
      <w:pPr>
        <w:spacing w:after="0" w:line="131"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10.4 </w:t>
      </w:r>
      <w:r>
        <w:rPr>
          <w:rFonts w:ascii="Times New Roman" w:cs="Times New Roman" w:eastAsia="Times New Roman" w:hAnsi="Times New Roman"/>
          <w:sz w:val="18"/>
          <w:szCs w:val="18"/>
          <w:b w:val="1"/>
          <w:bCs w:val="1"/>
          <w:u w:val="single" w:color="auto"/>
          <w:color w:val="auto"/>
        </w:rPr>
        <w:t>Injunctive Relief</w:t>
      </w:r>
      <w:r>
        <w:rPr>
          <w:rFonts w:ascii="Times New Roman" w:cs="Times New Roman" w:eastAsia="Times New Roman" w:hAnsi="Times New Roman"/>
          <w:sz w:val="18"/>
          <w:szCs w:val="18"/>
          <w:color w:val="auto"/>
        </w:rPr>
        <w:t>. The Company and each Member acknowledge and agree that a violation of any of the terms of this Agreement will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other Members and the Company, as the case may be, irreparable injury for which an adequate remedy at law is not available. Accordingly, it is agreed that each of the Members and the Company will be entitled to an injunction, restraining order or other equitable relief to prevent breaches of the provisions of this Agreement and to enforce specifically the terms and provisions hereof in any court of competent jurisdiction, in addition to any other remedy to which they may be entitled at law or, equity. Nothing stated herein shall limit any other remedies provided under this Agreement or available to the parties at law or in equity.</w:t>
      </w:r>
    </w:p>
    <w:p>
      <w:pPr>
        <w:spacing w:after="0" w:line="128"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10.5 </w:t>
      </w:r>
      <w:r>
        <w:rPr>
          <w:rFonts w:ascii="Times New Roman" w:cs="Times New Roman" w:eastAsia="Times New Roman" w:hAnsi="Times New Roman"/>
          <w:sz w:val="18"/>
          <w:szCs w:val="18"/>
          <w:b w:val="1"/>
          <w:bCs w:val="1"/>
          <w:u w:val="single" w:color="auto"/>
          <w:color w:val="auto"/>
        </w:rPr>
        <w:t>Successors, Assigns and Transferees</w:t>
      </w:r>
      <w:r>
        <w:rPr>
          <w:rFonts w:ascii="Times New Roman" w:cs="Times New Roman" w:eastAsia="Times New Roman" w:hAnsi="Times New Roman"/>
          <w:sz w:val="18"/>
          <w:szCs w:val="18"/>
          <w:color w:val="auto"/>
        </w:rPr>
        <w:t>. The provisions of this Agreement will be binding upon and will inure to the benefit of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their respective successors and Permitted Transferees, and nothing in this Agreement, express or implied, is intended to or shall confer upon any other Person, including but not limited to any creditor of the Company or its Subsidiaries, any right, benefit, or remedy of any nature by reason of this Agreement. An assignment of the rights, interests or obligations hereunder, including but not limited to an assignment by operation of law, shall be null and void unless a provision of this Agreement specifically provides otherwise or the Company gives its prior written consent therefor.</w:t>
      </w:r>
    </w:p>
    <w:p>
      <w:pPr>
        <w:spacing w:after="0" w:line="125"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10.6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demands or other communications to be given under or by reason of this Agreement shall be in writing and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delivered by hand or sent by facsimile, electronic mail or nationally recognized overnight delivery service and shall be deemed given when received if delivered on a Business Day during normal business hours of the recipient or, if not so delivered, on the next Business Day following receipt. Notices to the Company or any Member shall be delivered to the Company or such Member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as it may be revised from time to time. Any party to this Agreement may change its address or fax number for notices, demands and other communications under this Agreement by giving notice of such change to the other parties hereto in accordance with this Section 10.6.</w:t>
      </w:r>
    </w:p>
    <w:p>
      <w:pPr>
        <w:spacing w:after="0" w:line="12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10.7 </w:t>
      </w:r>
      <w:r>
        <w:rPr>
          <w:rFonts w:ascii="Times New Roman" w:cs="Times New Roman" w:eastAsia="Times New Roman" w:hAnsi="Times New Roman"/>
          <w:sz w:val="18"/>
          <w:szCs w:val="18"/>
          <w:b w:val="1"/>
          <w:bCs w:val="1"/>
          <w:u w:val="single" w:color="auto"/>
          <w:color w:val="auto"/>
        </w:rPr>
        <w:t>Integration</w:t>
      </w:r>
      <w:r>
        <w:rPr>
          <w:rFonts w:ascii="Times New Roman" w:cs="Times New Roman" w:eastAsia="Times New Roman" w:hAnsi="Times New Roman"/>
          <w:sz w:val="18"/>
          <w:szCs w:val="18"/>
          <w:color w:val="auto"/>
        </w:rPr>
        <w:t>. This Agreement, together with the other Joint Venture Agreements and the documents referred to herein or therein, or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hereto or thereto, contain the exclusive entire and final understanding of the parties with respect to the subject matter hereof and thereof. There are no agreements, representations, warranties, covenants or undertakings with respect to the subject matter hereof and thereof other than those expressly set forth herein and therein. Except as expressly set forth herein, this Agreement together with the other Joint Venture Agreements supersede all other prior agreements, discussions, negotiations, communications and understandings between the parties with respect to such subject matter hereof and thereof. No party has relied on any statement, representation, warranty, or promise not expressly contained in this Agreement or another Joint Venture Agreement in connection with this transaction.</w:t>
      </w:r>
    </w:p>
    <w:p>
      <w:pPr>
        <w:spacing w:after="0" w:line="129" w:lineRule="exact"/>
        <w:rPr>
          <w:sz w:val="20"/>
          <w:szCs w:val="20"/>
          <w:color w:val="auto"/>
        </w:rPr>
      </w:pPr>
    </w:p>
    <w:p>
      <w:pPr>
        <w:ind w:right="40" w:firstLine="509"/>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10.8 </w:t>
      </w:r>
      <w:r>
        <w:rPr>
          <w:rFonts w:ascii="Times New Roman" w:cs="Times New Roman" w:eastAsia="Times New Roman" w:hAnsi="Times New Roman"/>
          <w:sz w:val="17"/>
          <w:szCs w:val="17"/>
          <w:b w:val="1"/>
          <w:bCs w:val="1"/>
          <w:u w:val="single" w:color="auto"/>
          <w:color w:val="auto"/>
        </w:rPr>
        <w:t>Severability</w:t>
      </w:r>
      <w:r>
        <w:rPr>
          <w:rFonts w:ascii="Times New Roman" w:cs="Times New Roman" w:eastAsia="Times New Roman" w:hAnsi="Times New Roman"/>
          <w:sz w:val="17"/>
          <w:szCs w:val="17"/>
          <w:color w:val="auto"/>
        </w:rPr>
        <w:t>. If one or more of the provisions, paragraphs, words, clauses, phrases or sentences contained herein, or the application thereof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circumstances, is held invalid, illegal or unenforceable in any respect for any reason, then such provision, paragraph, word, clause, phrase or sentence shall be deemed restated to reflect the original intention of the parties as nearly as possible in accordance with applicable law and the remainder of this Agreement. The legality and enforceability of any such provision, paragraph, word, clause, phrase or sentence in every other respect and of the remaining provisions, paragraphs, words, clauses, phrases or sentences hereof will not be in any way impaired, it being intended that all obligations, rights, powers and privileges of the Company and the Members will be enforceable to the fullest extent permitted by law. Upon such determination of invalidity, illegality or unenforceability, the Company and the Members shall negotiate in good faith to amend this Agreement to effect the original intent of the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5" w:name="page156"/>
    <w:bookmarkEnd w:id="155"/>
    <w:p>
      <w:pPr>
        <w:spacing w:after="0" w:line="136" w:lineRule="exact"/>
        <w:rPr>
          <w:sz w:val="20"/>
          <w:szCs w:val="20"/>
          <w:color w:val="auto"/>
        </w:rPr>
      </w:pPr>
    </w:p>
    <w:p>
      <w:pPr>
        <w:ind w:right="18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10.9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one or more counterparts and by different parties on separate counterparts, each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deemed an original, but all of which will constitute one and the same instrument. The parties agree that this Agreement shall be legally binding upon the electronic transmission, including by facsimile or email, by each party of a signed signature page hereof to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10.10 </w:t>
      </w:r>
      <w:r>
        <w:rPr>
          <w:rFonts w:ascii="Times New Roman" w:cs="Times New Roman" w:eastAsia="Times New Roman" w:hAnsi="Times New Roman"/>
          <w:sz w:val="18"/>
          <w:szCs w:val="18"/>
          <w:b w:val="1"/>
          <w:bCs w:val="1"/>
          <w:u w:val="single" w:color="auto"/>
          <w:color w:val="auto"/>
        </w:rPr>
        <w:t>Governing Law; Submission to Jurisdiction</w:t>
      </w:r>
      <w:r>
        <w:rPr>
          <w:rFonts w:ascii="Times New Roman" w:cs="Times New Roman" w:eastAsia="Times New Roman" w:hAnsi="Times New Roman"/>
          <w:sz w:val="18"/>
          <w:szCs w:val="18"/>
          <w:b w:val="1"/>
          <w:bCs w:val="1"/>
          <w:color w:val="auto"/>
        </w:rPr>
        <w:t>.</w:t>
      </w:r>
    </w:p>
    <w:p>
      <w:pPr>
        <w:spacing w:after="0" w:line="94" w:lineRule="exact"/>
        <w:rPr>
          <w:sz w:val="20"/>
          <w:szCs w:val="20"/>
          <w:color w:val="auto"/>
        </w:rPr>
      </w:pPr>
    </w:p>
    <w:p>
      <w:pPr>
        <w:jc w:val="both"/>
        <w:ind w:right="60" w:firstLine="1026"/>
        <w:spacing w:after="0" w:line="266" w:lineRule="auto"/>
        <w:tabs>
          <w:tab w:leader="none" w:pos="126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to be construed in accordance with and governed by the internal laws of the State of Delaware without giving effect to any choice of law rule that would cause the application of the laws of any jurisdiction other than the internal laws of the State of Delaware to the rights and duties of the parties.</w:t>
      </w:r>
    </w:p>
    <w:p>
      <w:pPr>
        <w:spacing w:after="0" w:line="121" w:lineRule="exact"/>
        <w:rPr>
          <w:rFonts w:ascii="Times New Roman" w:cs="Times New Roman" w:eastAsia="Times New Roman" w:hAnsi="Times New Roman"/>
          <w:sz w:val="18"/>
          <w:szCs w:val="18"/>
          <w:color w:val="auto"/>
        </w:rPr>
      </w:pPr>
    </w:p>
    <w:p>
      <w:pPr>
        <w:jc w:val="both"/>
        <w:ind w:right="40" w:firstLine="1026"/>
        <w:spacing w:after="0" w:line="266" w:lineRule="auto"/>
        <w:tabs>
          <w:tab w:leader="none" w:pos="127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agrees that any legal action or other legal proceeding relating to this Agreement or the enforcement of any provision of this Agreement shall be brought or otherwise commenced exclusively in any state or federal court located in Delaware or in New York, New York. Subject to the preceding sentence, each party thereto:</w:t>
      </w:r>
    </w:p>
    <w:p>
      <w:pPr>
        <w:spacing w:after="0" w:line="40" w:lineRule="exact"/>
        <w:rPr>
          <w:rFonts w:ascii="Times New Roman" w:cs="Times New Roman" w:eastAsia="Times New Roman" w:hAnsi="Times New Roman"/>
          <w:sz w:val="18"/>
          <w:szCs w:val="18"/>
          <w:color w:val="auto"/>
        </w:rPr>
      </w:pPr>
    </w:p>
    <w:p>
      <w:pPr>
        <w:ind w:right="360" w:firstLine="1663"/>
        <w:spacing w:after="0" w:line="266" w:lineRule="auto"/>
        <w:tabs>
          <w:tab w:leader="none" w:pos="187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and irrevocably consents and submits to the jurisdiction of each state and federal court located in Delaware or New York, New York (and each appellate court located in Delaware or the State of New York) in connection with any such legal proceeding, including to enforce any settlement, order or award;</w:t>
      </w:r>
    </w:p>
    <w:p>
      <w:pPr>
        <w:spacing w:after="0" w:line="121" w:lineRule="exact"/>
        <w:rPr>
          <w:rFonts w:ascii="Times New Roman" w:cs="Times New Roman" w:eastAsia="Times New Roman" w:hAnsi="Times New Roman"/>
          <w:sz w:val="18"/>
          <w:szCs w:val="18"/>
          <w:color w:val="auto"/>
        </w:rPr>
      </w:pPr>
    </w:p>
    <w:p>
      <w:pPr>
        <w:ind w:right="20" w:firstLine="1663"/>
        <w:spacing w:after="0" w:line="266" w:lineRule="auto"/>
        <w:tabs>
          <w:tab w:leader="none" w:pos="19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service of process in any such proceeding in any manner permitted by the applicable laws of Delaware or the State of New York, and agrees that service of process by registered or certified mail, return receipt requested, at its address specified pursuant to Section 10.6 is reasonably calculated to give actual notice, to the extent permitted by applicable law;</w:t>
      </w:r>
    </w:p>
    <w:p>
      <w:pPr>
        <w:spacing w:after="0" w:line="108" w:lineRule="exact"/>
        <w:rPr>
          <w:rFonts w:ascii="Times New Roman" w:cs="Times New Roman" w:eastAsia="Times New Roman" w:hAnsi="Times New Roman"/>
          <w:sz w:val="18"/>
          <w:szCs w:val="18"/>
          <w:color w:val="auto"/>
        </w:rPr>
      </w:pPr>
    </w:p>
    <w:p>
      <w:pPr>
        <w:ind w:left="1980" w:hanging="317"/>
        <w:spacing w:after="0"/>
        <w:tabs>
          <w:tab w:leader="none" w:pos="198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each state and federal court located in Delaware or New York, New York shall be deemed to be a convenient forum;</w:t>
      </w:r>
    </w:p>
    <w:p>
      <w:pPr>
        <w:spacing w:after="0" w:line="171" w:lineRule="exact"/>
        <w:rPr>
          <w:rFonts w:ascii="Times New Roman" w:cs="Times New Roman" w:eastAsia="Times New Roman" w:hAnsi="Times New Roman"/>
          <w:sz w:val="18"/>
          <w:szCs w:val="18"/>
          <w:color w:val="auto"/>
        </w:rPr>
      </w:pPr>
    </w:p>
    <w:p>
      <w:pPr>
        <w:ind w:right="80" w:firstLine="1663"/>
        <w:spacing w:after="0" w:line="261" w:lineRule="auto"/>
        <w:tabs>
          <w:tab w:leader="none" w:pos="19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and agrees not to assert (by way of motion, as a defense or otherwise), in any such legal proceeding commenced in any state or federal court located in Delaware or New York, New York, any claim that such party is not subject personally to the jurisdiction of such court, that such legal proceeding has been brought in an inconvenient forum, that the venue of such proceeding is improper or that this Agreement or the subject matter hereof or thereof may not be enforced in or by such court; and</w:t>
      </w:r>
    </w:p>
    <w:p>
      <w:pPr>
        <w:spacing w:after="0" w:line="125" w:lineRule="exact"/>
        <w:rPr>
          <w:rFonts w:ascii="Times New Roman" w:cs="Times New Roman" w:eastAsia="Times New Roman" w:hAnsi="Times New Roman"/>
          <w:sz w:val="18"/>
          <w:szCs w:val="18"/>
          <w:color w:val="auto"/>
        </w:rPr>
      </w:pPr>
    </w:p>
    <w:p>
      <w:pPr>
        <w:ind w:firstLine="1663"/>
        <w:spacing w:after="0" w:line="261" w:lineRule="auto"/>
        <w:tabs>
          <w:tab w:leader="none" w:pos="191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to the entry of an order to enforce any resolution, settlement, order or award made pursuant to this Section by the state and federal courts located in Delaware or New York, New York and in connection therewith hereby waives, and agrees not to assert by way of motion, as a defense, or otherwise, any claim that such resolution, settlement, order or award is inconsistent with or violative of the laws or public policy of the laws of Delaware or the State of New York or any other jurisdiction.</w:t>
      </w:r>
    </w:p>
    <w:p>
      <w:pPr>
        <w:spacing w:after="0" w:line="125" w:lineRule="exact"/>
        <w:rPr>
          <w:rFonts w:ascii="Times New Roman" w:cs="Times New Roman" w:eastAsia="Times New Roman" w:hAnsi="Times New Roman"/>
          <w:sz w:val="18"/>
          <w:szCs w:val="18"/>
          <w:color w:val="auto"/>
        </w:rPr>
      </w:pPr>
    </w:p>
    <w:p>
      <w:pPr>
        <w:ind w:right="480" w:firstLine="1026"/>
        <w:spacing w:after="0" w:line="261" w:lineRule="auto"/>
        <w:tabs>
          <w:tab w:leader="none" w:pos="126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action or other proceeding relating to this Agreement or the enforcement of any provision of this Agreement, the prevailing party (as determined by the court) shall be entitled to payment by the non-prevailing party of all costs and expenses (including reasonable attorneys’ fees) incurred by the prevailing party, including any costs and expenses incurred in connection with any challenge to the jurisdiction or the convenience or propriety of venue of proceedings before any state or federal court located in Delaware or New York, New York.</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to the Agreement and Amendments on file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10.26.5</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NATIONAL CINEMEDIA, INC.</w:t>
      </w:r>
    </w:p>
    <w:p>
      <w:pPr>
        <w:jc w:val="center"/>
        <w:spacing w:after="0"/>
        <w:rPr>
          <w:sz w:val="20"/>
          <w:szCs w:val="20"/>
          <w:color w:val="auto"/>
        </w:rPr>
      </w:pPr>
      <w:r>
        <w:rPr>
          <w:rFonts w:ascii="Times New Roman" w:cs="Times New Roman" w:eastAsia="Times New Roman" w:hAnsi="Times New Roman"/>
          <w:sz w:val="22"/>
          <w:szCs w:val="22"/>
          <w:b w:val="1"/>
          <w:bCs w:val="1"/>
          <w:color w:val="auto"/>
        </w:rPr>
        <w:t>2020 OMNIBUS INCENTIVE PLAN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TIME-BASED RESTRICTED STOCK UNIT AGREEMENT</w:t>
      </w:r>
    </w:p>
    <w:p>
      <w:pPr>
        <w:spacing w:after="0" w:line="210"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color w:val="auto"/>
        </w:rPr>
        <w:t>The Compensation Committee of the Board of Directors of National CineMedia,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granted an award of Time-Based Restricted Stock Units under the National CineMedia, Inc. 2020 Omnibus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to the Grantee named below. This Time-Based Restricted Stock Unit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evidences the terms of the Company’s grant of Restricted Stock Units, each representing the right to receive one share of the Company’s Common Stock, on the terms and subject to the conditions set forth herein and in the Plan. Any capitalized term in this Agreement shall have the meaning assigned to it in this Agreement or in the Plan, as applicable.</w:t>
      </w:r>
    </w:p>
    <w:p>
      <w:pPr>
        <w:spacing w:after="0" w:line="69" w:lineRule="exact"/>
        <w:rPr>
          <w:sz w:val="20"/>
          <w:szCs w:val="20"/>
          <w:color w:val="auto"/>
        </w:rPr>
      </w:pPr>
    </w:p>
    <w:p>
      <w:pPr>
        <w:ind w:right="8760" w:firstLine="8"/>
        <w:spacing w:after="0" w:line="456" w:lineRule="auto"/>
        <w:tabs>
          <w:tab w:leader="none" w:pos="432" w:val="left"/>
        </w:tabs>
        <w:numPr>
          <w:ilvl w:val="0"/>
          <w:numId w:val="1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NOTICE OF GRANT Name of Grantee:</w:t>
      </w:r>
    </w:p>
    <w:p>
      <w:pPr>
        <w:ind w:right="8040"/>
        <w:spacing w:after="0" w:line="43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Number of Restricted Stock Units: Grant Date:</w:t>
      </w:r>
    </w:p>
    <w:p>
      <w:pPr>
        <w:spacing w:after="0" w:line="1"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Vesting Schedule: </w:t>
      </w:r>
      <w:r>
        <w:rPr>
          <w:rFonts w:ascii="Times New Roman" w:cs="Times New Roman" w:eastAsia="Times New Roman" w:hAnsi="Times New Roman"/>
          <w:sz w:val="22"/>
          <w:szCs w:val="22"/>
          <w:color w:val="auto"/>
        </w:rPr>
        <w:t>Except as provided otherwise in this Agreement or the Plan (including but not limited to Section 10(c)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which provides for accelerated vesting upon certain terminations in connection with a Change of Control), and subject to Grantee’s continuous Service (as defined below), the Restricted Stock Units shall vest, and the forfeiture provisions set forth in this Agreement shall lapse as follows:</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b w:val="1"/>
          <w:bCs w:val="1"/>
          <w:color w:val="auto"/>
        </w:rPr>
        <w:t>Service Vesting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Percentage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Restricted Stock Units that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24085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6">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Number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Restricted Stock Units that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20320</wp:posOffset>
            </wp:positionV>
            <wp:extent cx="241744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7">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3">
            <w:col w:w="2320" w:space="720"/>
            <w:col w:w="3220" w:space="720"/>
            <w:col w:w="4260"/>
          </w:cols>
          <w:pgMar w:left="320" w:top="1413" w:right="339" w:bottom="1440" w:gutter="0" w:footer="0" w:header="0"/>
          <w:type w:val="continuous"/>
        </w:sectPr>
      </w:pPr>
    </w:p>
    <w:p>
      <w:pPr>
        <w:ind w:left="416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-160020</wp:posOffset>
            </wp:positionV>
            <wp:extent cx="6703695" cy="1885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8">
                      <a:extLst>
                        <a:ext uri="{28A0092B-C50C-407E-A947-70E740481C1C}"/>
                      </a:extLst>
                    </a:blip>
                    <a:srcRect/>
                    <a:stretch>
                      <a:fillRect/>
                    </a:stretch>
                  </pic:blipFill>
                  <pic:spPr bwMode="auto">
                    <a:xfrm>
                      <a:off x="0" y="0"/>
                      <a:ext cx="6703695" cy="188595"/>
                    </a:xfrm>
                    <a:prstGeom prst="rect">
                      <a:avLst/>
                    </a:prstGeom>
                    <a:noFill/>
                  </pic:spPr>
                </pic:pic>
              </a:graphicData>
            </a:graphic>
          </wp:anchor>
        </w:drawing>
      </w:r>
    </w:p>
    <w:p>
      <w:pPr>
        <w:spacing w:after="0" w:line="2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-160020</wp:posOffset>
            </wp:positionV>
            <wp:extent cx="6703695" cy="1885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9">
                      <a:extLst>
                        <a:ext uri="{28A0092B-C50C-407E-A947-70E740481C1C}"/>
                      </a:extLst>
                    </a:blip>
                    <a:srcRect/>
                    <a:stretch>
                      <a:fillRect/>
                    </a:stretch>
                  </pic:blipFill>
                  <pic:spPr bwMode="auto">
                    <a:xfrm>
                      <a:off x="0" y="0"/>
                      <a:ext cx="6703695" cy="188595"/>
                    </a:xfrm>
                    <a:prstGeom prst="rect">
                      <a:avLst/>
                    </a:prstGeom>
                    <a:noFill/>
                  </pic:spPr>
                </pic:pic>
              </a:graphicData>
            </a:graphic>
          </wp:anchor>
        </w:drawing>
      </w:r>
    </w:p>
    <w:p>
      <w:pPr>
        <w:spacing w:after="0" w:line="236" w:lineRule="exact"/>
        <w:rPr>
          <w:sz w:val="20"/>
          <w:szCs w:val="20"/>
          <w:color w:val="auto"/>
        </w:rPr>
      </w:pPr>
    </w:p>
    <w:p>
      <w:pPr>
        <w:ind w:left="440" w:hanging="432"/>
        <w:spacing w:after="0"/>
        <w:tabs>
          <w:tab w:leader="none" w:pos="440"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RESTRICTED STOCK UNIT AGREEMENT</w:t>
      </w:r>
    </w:p>
    <w:p>
      <w:pPr>
        <w:spacing w:after="0" w:line="206" w:lineRule="exact"/>
        <w:rPr>
          <w:sz w:val="20"/>
          <w:szCs w:val="20"/>
          <w:color w:val="auto"/>
        </w:rPr>
      </w:pPr>
    </w:p>
    <w:p>
      <w:pPr>
        <w:ind w:right="40" w:firstLine="8"/>
        <w:spacing w:after="0" w:line="237" w:lineRule="auto"/>
        <w:tabs>
          <w:tab w:leader="none" w:pos="432" w:val="left"/>
        </w:tabs>
        <w:numPr>
          <w:ilvl w:val="0"/>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Grant of Restricted Stock Units. </w:t>
      </w:r>
      <w:r>
        <w:rPr>
          <w:rFonts w:ascii="Times New Roman" w:cs="Times New Roman" w:eastAsia="Times New Roman" w:hAnsi="Times New Roman"/>
          <w:sz w:val="22"/>
          <w:szCs w:val="22"/>
          <w:color w:val="auto"/>
        </w:rPr>
        <w:t>Subject to the terms and conditions of this Agreement and the Plan, the Company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Grantee the number of Restricted Stock Units set forth in the Notice of Grant, effective on the Grant Date set forth in the Notice of Grant, and subject to the terms and conditions of the Plan, which is incorporated herein by reference. Each Restricted Stock Unit represents the right to receive one share of Common Stock, on the terms and subject to the conditions set forth in this Agreement and the Plan. In the event of a conflict between the terms and conditions of the Plan and this Agreement, the terms and conditions of the Plan shall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57" w:name="page158"/>
    <w:bookmarkEnd w:id="157"/>
    <w:p>
      <w:pPr>
        <w:ind w:left="-8" w:right="140" w:firstLine="8"/>
        <w:spacing w:after="0" w:line="264" w:lineRule="auto"/>
        <w:tabs>
          <w:tab w:leader="none" w:pos="424"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Transfer Restrictions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shall not sell, transfer, assign, pledge or otherwise encumber or dispose of, by operation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 or otherwise, the Restricted Stock Units.</w:t>
      </w:r>
    </w:p>
    <w:p>
      <w:pPr>
        <w:spacing w:after="0" w:line="145" w:lineRule="exact"/>
        <w:rPr>
          <w:rFonts w:ascii="Times New Roman" w:cs="Times New Roman" w:eastAsia="Times New Roman" w:hAnsi="Times New Roman"/>
          <w:sz w:val="22"/>
          <w:szCs w:val="22"/>
          <w:b w:val="1"/>
          <w:bCs w:val="1"/>
          <w:color w:val="auto"/>
        </w:rPr>
      </w:pPr>
    </w:p>
    <w:p>
      <w:pPr>
        <w:ind w:left="-8" w:right="20" w:firstLine="8"/>
        <w:spacing w:after="0" w:line="234" w:lineRule="auto"/>
        <w:tabs>
          <w:tab w:leader="none" w:pos="640"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Lapse of Restrictions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period between the Grant Date and the final Service Vesting Date is referred to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Vesting Period</w:t>
      </w:r>
      <w:r>
        <w:rPr>
          <w:rFonts w:ascii="Times New Roman" w:cs="Times New Roman" w:eastAsia="Times New Roman" w:hAnsi="Times New Roman"/>
          <w:sz w:val="22"/>
          <w:szCs w:val="22"/>
          <w:color w:val="auto"/>
        </w:rPr>
        <w:t>.” Except as provided otherwise in this Agreement and the Plan (including but not limited to Section 10(c) of the Plan which provides for accelerated vesting upon certain terminations in connection with a Change of Control), if Grantee has been in continuous service to the Company or another entity the service providers of which are eligible to receive Awards under the Plan from the Grant Date through the applicable Service Vesting Date as an employee, director, consultant or advisor (herein referred to as “</w:t>
      </w:r>
      <w:r>
        <w:rPr>
          <w:rFonts w:ascii="Times New Roman" w:cs="Times New Roman" w:eastAsia="Times New Roman" w:hAnsi="Times New Roman"/>
          <w:sz w:val="22"/>
          <w:szCs w:val="22"/>
          <w:b w:val="1"/>
          <w:bCs w:val="1"/>
          <w:color w:val="auto"/>
        </w:rPr>
        <w:t>Service</w:t>
      </w:r>
      <w:r>
        <w:rPr>
          <w:rFonts w:ascii="Times New Roman" w:cs="Times New Roman" w:eastAsia="Times New Roman" w:hAnsi="Times New Roman"/>
          <w:sz w:val="22"/>
          <w:szCs w:val="22"/>
          <w:color w:val="auto"/>
        </w:rPr>
        <w:t>”), the Restricted Stock Units shall vest as set forth on the Vesting Schedule in the Notice of Grant. As soon as practicable after the Service Vesting Date and in all events no later than March 15 of the calendar year following the calendar year in which the Service Vesting Date occurs, the Company will issue to the Grantee the shares of Common Stock subject to the Restricted Stock Units that vested on such Service Vesting Date. Only following the issuance of the shares of Common Stock to the Grantee may the Grantee transfer the shares of Common Stock (subject to applicable securities law requirements and the Company’s policies and procedures).</w:t>
      </w:r>
    </w:p>
    <w:p>
      <w:pPr>
        <w:spacing w:after="0" w:line="177" w:lineRule="exact"/>
        <w:rPr>
          <w:rFonts w:ascii="Times New Roman" w:cs="Times New Roman" w:eastAsia="Times New Roman" w:hAnsi="Times New Roman"/>
          <w:sz w:val="22"/>
          <w:szCs w:val="22"/>
          <w:b w:val="1"/>
          <w:bCs w:val="1"/>
          <w:color w:val="auto"/>
        </w:rPr>
      </w:pPr>
    </w:p>
    <w:p>
      <w:pPr>
        <w:ind w:left="-8" w:right="20" w:firstLine="8"/>
        <w:spacing w:after="0" w:line="234" w:lineRule="auto"/>
        <w:tabs>
          <w:tab w:leader="none" w:pos="424"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Termination of Service. </w:t>
      </w:r>
      <w:r>
        <w:rPr>
          <w:rFonts w:ascii="Times New Roman" w:cs="Times New Roman" w:eastAsia="Times New Roman" w:hAnsi="Times New Roman"/>
          <w:sz w:val="22"/>
          <w:szCs w:val="22"/>
          <w:color w:val="auto"/>
        </w:rPr>
        <w:t>If Grantee terminates Service prior to the Service Vesting Date on account of death, becoming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disabled (as defined in Section 409A of the Internal Revenue Code), or termination by the Company other than for Cause, Grantee shall be entitled to earn a percentage of the Restricted Stock Units (the </w:t>
      </w:r>
      <w:r>
        <w:rPr>
          <w:rFonts w:ascii="Times New Roman" w:cs="Times New Roman" w:eastAsia="Times New Roman" w:hAnsi="Times New Roman"/>
          <w:sz w:val="22"/>
          <w:szCs w:val="22"/>
          <w:b w:val="1"/>
          <w:bCs w:val="1"/>
          <w:color w:val="auto"/>
        </w:rPr>
        <w:t>“Retained Units”</w:t>
      </w:r>
      <w:r>
        <w:rPr>
          <w:rFonts w:ascii="Times New Roman" w:cs="Times New Roman" w:eastAsia="Times New Roman" w:hAnsi="Times New Roman"/>
          <w:sz w:val="22"/>
          <w:szCs w:val="22"/>
          <w:color w:val="auto"/>
        </w:rPr>
        <w:t>) equal to the ratio that the number of days of Service of Grantee during the Vesting Period bears to the total number of days in the Vesting Period. The Retained Units shall immediately vest on the date Grantee terminates Service and the remaining Restricted Stock Units shall be forfeited upon Grantee’s termination of Service. If Grantee terminates Service prior to the Service Vesting Date as a result of termination by the Company for Cause or voluntary termination by Grantee, all unvested Restricted Stock Units shall be forfeited upon Grantee’s termination of Service. Upon forfeiture of the Restricted Stock Units, Grantee shall have no further rights with respect thereto. Section 10(c) of the Plan provides for accelerated vesting with respect to certain terminations in connection with a Change of Control.</w:t>
      </w:r>
    </w:p>
    <w:p>
      <w:pPr>
        <w:spacing w:after="0" w:line="179" w:lineRule="exact"/>
        <w:rPr>
          <w:rFonts w:ascii="Times New Roman" w:cs="Times New Roman" w:eastAsia="Times New Roman" w:hAnsi="Times New Roman"/>
          <w:sz w:val="22"/>
          <w:szCs w:val="22"/>
          <w:b w:val="1"/>
          <w:bCs w:val="1"/>
          <w:color w:val="auto"/>
        </w:rPr>
      </w:pPr>
    </w:p>
    <w:p>
      <w:pPr>
        <w:ind w:left="-8" w:firstLine="8"/>
        <w:spacing w:after="0" w:line="236" w:lineRule="auto"/>
        <w:tabs>
          <w:tab w:leader="none" w:pos="424"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Leave of Absence. </w:t>
      </w:r>
      <w:r>
        <w:rPr>
          <w:rFonts w:ascii="Times New Roman" w:cs="Times New Roman" w:eastAsia="Times New Roman" w:hAnsi="Times New Roman"/>
          <w:sz w:val="22"/>
          <w:szCs w:val="22"/>
          <w:color w:val="auto"/>
        </w:rPr>
        <w:t>For purposes of the Restricted Stock Units, Service does not terminate when Grantee goes on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leave of absence that was approved by the Company or an affiliate in writing, if the terms of the leave provide for continued Service crediting, or when continued Service crediting is required by applicable law. However, Service will be treated as terminating 90 days after Grantee went on the approved leave, unless Grantee’s right to return to active work is guaranteed by law or by a contract. Service terminates in any event when the approved leave ends unless Grantee immediately returns to active Service. The Compensation Committee determines, in its sole discretion, which leaves of absence count for this purpose, and when Service terminates for all purposes under the Plan.</w:t>
      </w:r>
    </w:p>
    <w:p>
      <w:pPr>
        <w:spacing w:after="0" w:line="175" w:lineRule="exact"/>
        <w:rPr>
          <w:rFonts w:ascii="Times New Roman" w:cs="Times New Roman" w:eastAsia="Times New Roman" w:hAnsi="Times New Roman"/>
          <w:sz w:val="22"/>
          <w:szCs w:val="22"/>
          <w:b w:val="1"/>
          <w:bCs w:val="1"/>
          <w:color w:val="auto"/>
        </w:rPr>
      </w:pPr>
    </w:p>
    <w:p>
      <w:pPr>
        <w:ind w:left="-8" w:right="240" w:firstLine="8"/>
        <w:spacing w:after="0" w:line="263" w:lineRule="auto"/>
        <w:tabs>
          <w:tab w:leader="none" w:pos="424" w:val="left"/>
        </w:tabs>
        <w:numPr>
          <w:ilvl w:val="0"/>
          <w:numId w:val="1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Dividends. </w:t>
      </w:r>
      <w:r>
        <w:rPr>
          <w:rFonts w:ascii="Times New Roman" w:cs="Times New Roman" w:eastAsia="Times New Roman" w:hAnsi="Times New Roman"/>
          <w:sz w:val="21"/>
          <w:szCs w:val="21"/>
          <w:color w:val="auto"/>
        </w:rPr>
        <w:t>During the period between the Grant Date and the Service Vesting Date, the Company shall accrue an amount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equal to the regular, special and extraordinary cash dividends declared and paid with respect to each share of Common Stock underlying the Restricted Stock Units which amount shall be retained by the Company and shall be subject to the same vesting</w:t>
      </w:r>
    </w:p>
    <w:p>
      <w:pPr>
        <w:spacing w:after="0" w:line="31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632460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02" w:right="359" w:bottom="1440" w:gutter="0" w:footer="0" w:header="0"/>
        </w:sectPr>
      </w:pPr>
    </w:p>
    <w:bookmarkStart w:id="158" w:name="page159"/>
    <w:bookmarkEnd w:id="158"/>
    <w:p>
      <w:pPr>
        <w:ind w:right="120"/>
        <w:spacing w:after="0" w:line="244" w:lineRule="auto"/>
        <w:rPr>
          <w:sz w:val="20"/>
          <w:szCs w:val="20"/>
          <w:color w:val="auto"/>
        </w:rPr>
      </w:pPr>
      <w:r>
        <w:rPr>
          <w:rFonts w:ascii="Times New Roman" w:cs="Times New Roman" w:eastAsia="Times New Roman" w:hAnsi="Times New Roman"/>
          <w:sz w:val="22"/>
          <w:szCs w:val="22"/>
          <w:color w:val="auto"/>
        </w:rPr>
        <w:t>requirements as specified in the Notice of Grant above. Any accrued dividend equivalents to which Grantee becomes entitled upon vesting on the Service Vesting Date shall be paid to Grantee as soon as practicable following the Service Vesting Date, but in no event later than March 15 of the calendar year following the calendar year when the Restricted Stock Units vest.</w:t>
      </w:r>
    </w:p>
    <w:p>
      <w:pPr>
        <w:spacing w:after="0" w:line="169" w:lineRule="exact"/>
        <w:rPr>
          <w:sz w:val="20"/>
          <w:szCs w:val="20"/>
          <w:color w:val="auto"/>
        </w:rPr>
      </w:pPr>
    </w:p>
    <w:p>
      <w:pPr>
        <w:ind w:right="20" w:firstLine="8"/>
        <w:spacing w:after="0" w:line="237" w:lineRule="auto"/>
        <w:tabs>
          <w:tab w:leader="none" w:pos="432"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Tax Withholding. </w:t>
      </w:r>
      <w:r>
        <w:rPr>
          <w:rFonts w:ascii="Times New Roman" w:cs="Times New Roman" w:eastAsia="Times New Roman" w:hAnsi="Times New Roman"/>
          <w:sz w:val="22"/>
          <w:szCs w:val="22"/>
          <w:color w:val="auto"/>
        </w:rPr>
        <w:t>The Company or any affiliate shall have the right to deduct from payments of any kind otherwise due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any federal, state, local or foreign taxes of any kind required by law to be withheld upon the issuance, vesting or payment of any shares of Common Stock upon the vesting of the Restricted Stock Units or the payment of dividend equivalents. The Company shall not deliver any shares of Common Stock to the Grantee until it is satisfied that all required withholdings have been made. The Company may, at its discretion and to the extent permitted by applicable law, satisfy such withholding obligations in one or more of the following ways:</w:t>
      </w:r>
    </w:p>
    <w:p>
      <w:pPr>
        <w:spacing w:after="0" w:line="206" w:lineRule="exact"/>
        <w:rPr>
          <w:rFonts w:ascii="Times New Roman" w:cs="Times New Roman" w:eastAsia="Times New Roman" w:hAnsi="Times New Roman"/>
          <w:sz w:val="22"/>
          <w:szCs w:val="22"/>
          <w:b w:val="1"/>
          <w:bCs w:val="1"/>
          <w:color w:val="auto"/>
        </w:rPr>
      </w:pPr>
    </w:p>
    <w:p>
      <w:pPr>
        <w:ind w:left="1140" w:hanging="383"/>
        <w:spacing w:after="0" w:line="247" w:lineRule="auto"/>
        <w:tabs>
          <w:tab w:leader="none" w:pos="1140"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Sell-to-Cover. At such time as the Grantee is not aware of any material nonpublic information about the Company or the Common Stock and when the Grantee is permitted to do so under the Company’s insider trading policy, the Grantee shall execute the instructions set forth in Schedule A attached hereto (the “</w:t>
      </w:r>
      <w:r>
        <w:rPr>
          <w:rFonts w:ascii="Times New Roman" w:cs="Times New Roman" w:eastAsia="Times New Roman" w:hAnsi="Times New Roman"/>
          <w:sz w:val="21"/>
          <w:szCs w:val="21"/>
          <w:b w:val="1"/>
          <w:bCs w:val="1"/>
          <w:color w:val="auto"/>
        </w:rPr>
        <w:t>Automatic Sale Instructions</w:t>
      </w:r>
      <w:r>
        <w:rPr>
          <w:rFonts w:ascii="Times New Roman" w:cs="Times New Roman" w:eastAsia="Times New Roman" w:hAnsi="Times New Roman"/>
          <w:sz w:val="21"/>
          <w:szCs w:val="21"/>
          <w:color w:val="auto"/>
        </w:rPr>
        <w:t>”) as the means of satisfying such withholding tax obligation if elected by the Company under this Section 7. If the Grantee does not execute the Automatic Sale Instructions prior to an applicable vesting date and the Company elects to satisfy tax withholding under this clause (a), then the Grantee agrees that if under applicable law the Grantee will owe taxes at such vesting date on the portion of the award then vested, then the Company shall be entitled to immediate payment from the Grantee of the amount of any tax required to be withheld by the Company.</w:t>
      </w:r>
    </w:p>
    <w:p>
      <w:pPr>
        <w:spacing w:after="0" w:line="198" w:lineRule="exact"/>
        <w:rPr>
          <w:rFonts w:ascii="Times New Roman" w:cs="Times New Roman" w:eastAsia="Times New Roman" w:hAnsi="Times New Roman"/>
          <w:sz w:val="21"/>
          <w:szCs w:val="21"/>
          <w:color w:val="auto"/>
        </w:rPr>
      </w:pPr>
    </w:p>
    <w:p>
      <w:pPr>
        <w:ind w:left="1140" w:right="140" w:hanging="383"/>
        <w:spacing w:after="0" w:line="234" w:lineRule="auto"/>
        <w:tabs>
          <w:tab w:leader="none" w:pos="114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 Withholding. Grantee hereby authorizes the Company to withhold from the number of shares of Common Stock that would otherwise be issued to Grantee upon vesting of the Restricted Stock Units a number of whole shares of Common Stock having a fair market value equal to the Company’s required tax withholding with respect to the Award and to deduct any remaining amount due from any payments due to Grantee. Any shares of Common Stock issued or withheld shall have an aggregate fair market value not in excess of the minimum statutory total tax withholding obligation. The fair market value of the shares of Common Stock used to satisfy the withholding obligation shall be determined by the Company as of the date that the amount of tax to be withheld is to be determined. Shares of Common Stock used to satisfy any tax withholding obligation must be vested and cannot be subject to any repurchase, forfeiture, or other similar requirements.</w:t>
      </w:r>
    </w:p>
    <w:p>
      <w:pPr>
        <w:spacing w:after="0" w:line="210" w:lineRule="exact"/>
        <w:rPr>
          <w:sz w:val="20"/>
          <w:szCs w:val="20"/>
          <w:color w:val="auto"/>
        </w:rPr>
      </w:pPr>
    </w:p>
    <w:p>
      <w:pPr>
        <w:ind w:right="360"/>
        <w:spacing w:after="0" w:line="239" w:lineRule="auto"/>
        <w:rPr>
          <w:sz w:val="20"/>
          <w:szCs w:val="20"/>
          <w:color w:val="auto"/>
        </w:rPr>
      </w:pPr>
      <w:r>
        <w:rPr>
          <w:rFonts w:ascii="Times New Roman" w:cs="Times New Roman" w:eastAsia="Times New Roman" w:hAnsi="Times New Roman"/>
          <w:sz w:val="22"/>
          <w:szCs w:val="22"/>
          <w:color w:val="auto"/>
        </w:rPr>
        <w:t>The Participant acknowledges and agrees that the Company has the authority to determine the method by which such tax withholding obligations will be satisfied, including requiring an automatic sale of shares under this Section or an alternative arrangement that does have a negative impact on the Grantee. The Company may take such actions without further consent or instruction from the Grantee, to the extent permitted by applicable law.</w:t>
      </w:r>
    </w:p>
    <w:p>
      <w:pPr>
        <w:spacing w:after="0" w:line="176" w:lineRule="exact"/>
        <w:rPr>
          <w:sz w:val="20"/>
          <w:szCs w:val="20"/>
          <w:color w:val="auto"/>
        </w:rPr>
      </w:pPr>
    </w:p>
    <w:p>
      <w:pPr>
        <w:ind w:right="320" w:firstLine="8"/>
        <w:spacing w:after="0" w:line="262" w:lineRule="auto"/>
        <w:tabs>
          <w:tab w:leader="none" w:pos="432" w:val="left"/>
        </w:tabs>
        <w:numPr>
          <w:ilvl w:val="0"/>
          <w:numId w:val="1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Effect of Prohibited Transfer. </w:t>
      </w:r>
      <w:r>
        <w:rPr>
          <w:rFonts w:ascii="Times New Roman" w:cs="Times New Roman" w:eastAsia="Times New Roman" w:hAnsi="Times New Roman"/>
          <w:sz w:val="22"/>
          <w:szCs w:val="22"/>
          <w:color w:val="auto"/>
        </w:rPr>
        <w:t>If any transfer of Restricted Stock Units is made or attempted to be made contrary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of this Agreement, the Company shall have the right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9" w:name="page160"/>
    <w:bookmarkEnd w:id="159"/>
    <w:p>
      <w:pPr>
        <w:ind w:right="60"/>
        <w:spacing w:after="0" w:line="236" w:lineRule="auto"/>
        <w:rPr>
          <w:sz w:val="20"/>
          <w:szCs w:val="20"/>
          <w:color w:val="auto"/>
        </w:rPr>
      </w:pPr>
      <w:r>
        <w:rPr>
          <w:rFonts w:ascii="Times New Roman" w:cs="Times New Roman" w:eastAsia="Times New Roman" w:hAnsi="Times New Roman"/>
          <w:sz w:val="22"/>
          <w:szCs w:val="22"/>
          <w:color w:val="auto"/>
        </w:rPr>
        <w:t>to disregard such transfer and to terminate this award of Restricted Stock Units as a result of such prohibited transfer. In addition to any other legal or equitable remedies it may have, the Company may enforce its rights to specific performance to the extent permitted by law and may exercise such other equitable remedies then available. The Company may refuse for any purpose to recognize any transferee who receives Restricted Stock Units contrary to the provisions of this Agreement as a holder of the Restricted Stock Units and shall not be obligated, and will not, issue any shares of Common Stock upon the vesting of such Restricted Stock Units to such prohibited transferee.</w:t>
      </w:r>
    </w:p>
    <w:p>
      <w:pPr>
        <w:spacing w:after="0" w:line="177" w:lineRule="exact"/>
        <w:rPr>
          <w:sz w:val="20"/>
          <w:szCs w:val="20"/>
          <w:color w:val="auto"/>
        </w:rPr>
      </w:pPr>
    </w:p>
    <w:p>
      <w:pPr>
        <w:jc w:val="both"/>
        <w:ind w:firstLine="8"/>
        <w:spacing w:after="0" w:line="241" w:lineRule="auto"/>
        <w:tabs>
          <w:tab w:leader="none" w:pos="432"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Investment Representations. </w:t>
      </w:r>
      <w:r>
        <w:rPr>
          <w:rFonts w:ascii="Times New Roman" w:cs="Times New Roman" w:eastAsia="Times New Roman" w:hAnsi="Times New Roman"/>
          <w:sz w:val="22"/>
          <w:szCs w:val="22"/>
          <w:color w:val="auto"/>
        </w:rPr>
        <w:t>The Compensation Committee may require Grantee (or Grantee’s estate or heirs) to represent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warrant in writing that the individual is acquiring the shares of Common Stock upon vesting of the Restricted Stock Units for investment and without any present intention to sell or distribute such shares and to make such other representations as are deemed necessary or appropriate by the Company and its counsel.</w:t>
      </w:r>
    </w:p>
    <w:p>
      <w:pPr>
        <w:spacing w:after="0" w:line="171" w:lineRule="exact"/>
        <w:rPr>
          <w:rFonts w:ascii="Times New Roman" w:cs="Times New Roman" w:eastAsia="Times New Roman" w:hAnsi="Times New Roman"/>
          <w:sz w:val="22"/>
          <w:szCs w:val="22"/>
          <w:b w:val="1"/>
          <w:bCs w:val="1"/>
          <w:color w:val="auto"/>
        </w:rPr>
      </w:pPr>
    </w:p>
    <w:p>
      <w:pPr>
        <w:ind w:right="20" w:firstLine="8"/>
        <w:spacing w:after="0" w:line="246" w:lineRule="auto"/>
        <w:tabs>
          <w:tab w:leader="none" w:pos="432"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Continued Service. </w:t>
      </w:r>
      <w:r>
        <w:rPr>
          <w:rFonts w:ascii="Times New Roman" w:cs="Times New Roman" w:eastAsia="Times New Roman" w:hAnsi="Times New Roman"/>
          <w:sz w:val="22"/>
          <w:szCs w:val="22"/>
          <w:color w:val="auto"/>
        </w:rPr>
        <w:t>Neither the grant of the Restricted Stock Units nor this Agreement gives Grantee the right to continue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 with the Company or its affiliates in any capacity. The Company and its affiliates reserve the right to terminate Grantee’s Service at any time and for any reason not prohibited by law.</w:t>
      </w:r>
    </w:p>
    <w:p>
      <w:pPr>
        <w:spacing w:after="0" w:line="167" w:lineRule="exact"/>
        <w:rPr>
          <w:rFonts w:ascii="Times New Roman" w:cs="Times New Roman" w:eastAsia="Times New Roman" w:hAnsi="Times New Roman"/>
          <w:sz w:val="22"/>
          <w:szCs w:val="22"/>
          <w:b w:val="1"/>
          <w:bCs w:val="1"/>
          <w:color w:val="auto"/>
        </w:rPr>
      </w:pPr>
    </w:p>
    <w:p>
      <w:pPr>
        <w:ind w:right="260" w:firstLine="8"/>
        <w:spacing w:after="0" w:line="263" w:lineRule="auto"/>
        <w:tabs>
          <w:tab w:leader="none" w:pos="432" w:val="left"/>
        </w:tabs>
        <w:numPr>
          <w:ilvl w:val="0"/>
          <w:numId w:val="1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Governing Law. </w:t>
      </w:r>
      <w:r>
        <w:rPr>
          <w:rFonts w:ascii="Times New Roman" w:cs="Times New Roman" w:eastAsia="Times New Roman" w:hAnsi="Times New Roman"/>
          <w:sz w:val="21"/>
          <w:szCs w:val="21"/>
          <w:color w:val="auto"/>
        </w:rPr>
        <w:t>The validity and construction of this Agreement and the Plan shall be construed in accordance with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governed by the laws of the State of Delaware other than any conflicts or choice of law rule or principle that might otherwise refer construction or interpretation of the Plan and this Agreement to the substantive laws of any other jurisdiction.</w:t>
      </w:r>
    </w:p>
    <w:p>
      <w:pPr>
        <w:spacing w:after="0" w:line="151" w:lineRule="exact"/>
        <w:rPr>
          <w:rFonts w:ascii="Times New Roman" w:cs="Times New Roman" w:eastAsia="Times New Roman" w:hAnsi="Times New Roman"/>
          <w:sz w:val="21"/>
          <w:szCs w:val="21"/>
          <w:b w:val="1"/>
          <w:bCs w:val="1"/>
          <w:color w:val="auto"/>
        </w:rPr>
      </w:pPr>
    </w:p>
    <w:p>
      <w:pPr>
        <w:ind w:right="580" w:firstLine="8"/>
        <w:spacing w:after="0" w:line="262" w:lineRule="auto"/>
        <w:tabs>
          <w:tab w:leader="none" w:pos="432"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Binding Effect. </w:t>
      </w:r>
      <w:r>
        <w:rPr>
          <w:rFonts w:ascii="Times New Roman" w:cs="Times New Roman" w:eastAsia="Times New Roman" w:hAnsi="Times New Roman"/>
          <w:sz w:val="22"/>
          <w:szCs w:val="22"/>
          <w:color w:val="auto"/>
        </w:rPr>
        <w:t>This Agreement shall be binding upon and inure to the benefit of the Company and Grantee and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heirs, executors, administrators, legal representatives, successors and assigns.</w:t>
      </w:r>
    </w:p>
    <w:p>
      <w:pPr>
        <w:spacing w:after="0" w:line="147" w:lineRule="exact"/>
        <w:rPr>
          <w:rFonts w:ascii="Times New Roman" w:cs="Times New Roman" w:eastAsia="Times New Roman" w:hAnsi="Times New Roman"/>
          <w:sz w:val="22"/>
          <w:szCs w:val="22"/>
          <w:b w:val="1"/>
          <w:bCs w:val="1"/>
          <w:color w:val="auto"/>
        </w:rPr>
      </w:pPr>
    </w:p>
    <w:p>
      <w:pPr>
        <w:jc w:val="both"/>
        <w:ind w:right="200" w:firstLine="8"/>
        <w:spacing w:after="0" w:line="247" w:lineRule="auto"/>
        <w:tabs>
          <w:tab w:leader="none" w:pos="432"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Treatment; Section 83(b)</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may incur tax liability as a result of the vesting of the Restricted Stock Units,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 of dividend equivalents or the disposition of shares of Common Stock issued upon the vesting of the Restricted Stock Units. Grantee should consult his or her own tax adviser for tax advice.</w:t>
      </w:r>
    </w:p>
    <w:p>
      <w:pPr>
        <w:spacing w:after="0" w:line="17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Grantee hereby acknowledges that Grantee has been informed that no election under Section 83(b) of the Internal Revenue Code is permitted with respect to the Restricted Stock Units.</w:t>
      </w:r>
    </w:p>
    <w:p>
      <w:pPr>
        <w:spacing w:after="0" w:line="154" w:lineRule="exact"/>
        <w:rPr>
          <w:sz w:val="20"/>
          <w:szCs w:val="20"/>
          <w:color w:val="auto"/>
        </w:rPr>
      </w:pPr>
    </w:p>
    <w:p>
      <w:pPr>
        <w:ind w:right="480" w:firstLine="8"/>
        <w:spacing w:after="0" w:line="262" w:lineRule="auto"/>
        <w:tabs>
          <w:tab w:leader="none" w:pos="432"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Amendment. </w:t>
      </w:r>
      <w:r>
        <w:rPr>
          <w:rFonts w:ascii="Times New Roman" w:cs="Times New Roman" w:eastAsia="Times New Roman" w:hAnsi="Times New Roman"/>
          <w:sz w:val="22"/>
          <w:szCs w:val="22"/>
          <w:color w:val="auto"/>
        </w:rPr>
        <w:t>The terms and conditions set forth in this Agreement may only be amended by the written consent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Grantee, except to the extent set forth in the Plan.</w:t>
      </w:r>
    </w:p>
    <w:p>
      <w:pPr>
        <w:spacing w:after="0" w:line="149" w:lineRule="exact"/>
        <w:rPr>
          <w:rFonts w:ascii="Times New Roman" w:cs="Times New Roman" w:eastAsia="Times New Roman" w:hAnsi="Times New Roman"/>
          <w:sz w:val="22"/>
          <w:szCs w:val="22"/>
          <w:b w:val="1"/>
          <w:bCs w:val="1"/>
          <w:color w:val="auto"/>
        </w:rPr>
      </w:pPr>
    </w:p>
    <w:p>
      <w:pPr>
        <w:ind w:right="20" w:firstLine="8"/>
        <w:spacing w:after="0" w:line="246" w:lineRule="auto"/>
        <w:tabs>
          <w:tab w:leader="none" w:pos="432"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2020 Omnibus Incentive Plan. </w:t>
      </w:r>
      <w:r>
        <w:rPr>
          <w:rFonts w:ascii="Times New Roman" w:cs="Times New Roman" w:eastAsia="Times New Roman" w:hAnsi="Times New Roman"/>
          <w:sz w:val="22"/>
          <w:szCs w:val="22"/>
          <w:color w:val="auto"/>
        </w:rPr>
        <w:t>The Restricted Stock Units and payment of dividend equivalents granted hereunder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such additional terms and conditions as may be imposed under the terms of the Plan, a copy of which has been provided to Grantee. A copy of the Prospectus for the 2020 Omnibus Incentive Plan shall also be provided to Grantee.</w:t>
      </w:r>
    </w:p>
    <w:p>
      <w:pPr>
        <w:spacing w:after="0" w:line="167" w:lineRule="exact"/>
        <w:rPr>
          <w:rFonts w:ascii="Times New Roman" w:cs="Times New Roman" w:eastAsia="Times New Roman" w:hAnsi="Times New Roman"/>
          <w:sz w:val="22"/>
          <w:szCs w:val="22"/>
          <w:b w:val="1"/>
          <w:bCs w:val="1"/>
          <w:color w:val="auto"/>
        </w:rPr>
      </w:pPr>
    </w:p>
    <w:p>
      <w:pPr>
        <w:ind w:right="280" w:firstLine="8"/>
        <w:spacing w:after="0" w:line="246" w:lineRule="auto"/>
        <w:tabs>
          <w:tab w:leader="none" w:pos="432"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[Executive Restrictive Covenants</w:t>
      </w:r>
      <w:r>
        <w:rPr>
          <w:rFonts w:ascii="Times New Roman" w:cs="Times New Roman" w:eastAsia="Times New Roman" w:hAnsi="Times New Roman"/>
          <w:sz w:val="22"/>
          <w:szCs w:val="22"/>
          <w:color w:val="auto"/>
        </w:rPr>
        <w:t>. The issuances under this Agreement are contingent upon and in consideration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having executed and delivered to the Company’s designated contact no later than _________ a signature page to the Restrictive Covenant</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60" w:name="page161"/>
    <w:bookmarkEnd w:id="160"/>
    <w:p>
      <w:pPr>
        <w:spacing w:after="0" w:line="239" w:lineRule="auto"/>
        <w:rPr>
          <w:sz w:val="20"/>
          <w:szCs w:val="20"/>
          <w:color w:val="auto"/>
        </w:rPr>
      </w:pPr>
      <w:r>
        <w:rPr>
          <w:rFonts w:ascii="Times New Roman" w:cs="Times New Roman" w:eastAsia="Times New Roman" w:hAnsi="Times New Roman"/>
          <w:sz w:val="22"/>
          <w:szCs w:val="22"/>
          <w:color w:val="auto"/>
        </w:rPr>
        <w:t>Agreement between the Grantee and the Company attached as Schedule B attached hereto (the “Restrictive Covenant Agreement”). For the avoidance of doubt, if the Participant has not executed and delivered to the Company’s designated contact the Restrictive Covenant Agreement, the grant of the Restricted Stock Units represented by this Agreement will never take effect and will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NATIONAL CINEMEDIA, INC.</w:t>
      </w:r>
    </w:p>
    <w:p>
      <w:pPr>
        <w:spacing w:after="0" w:line="21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By: _________________________________</w:t>
      </w:r>
    </w:p>
    <w:p>
      <w:pPr>
        <w:spacing w:after="0" w:line="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Ronnie Ng</w:t>
      </w:r>
    </w:p>
    <w:p>
      <w:pPr>
        <w:ind w:left="534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3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8" w:right="419" w:bottom="1440" w:gutter="0" w:footer="0" w:header="0"/>
        </w:sectPr>
      </w:pPr>
    </w:p>
    <w:bookmarkStart w:id="161" w:name="page162"/>
    <w:bookmarkEnd w:id="161"/>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Schedule A</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Automatic Sale Instructions</w:t>
      </w:r>
    </w:p>
    <w:p>
      <w:pPr>
        <w:spacing w:after="0" w:line="2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undersigned hereby consents and agrees that any taxes due on a vesting date as a result of the vesting of RSUs on such date shall be paid through an automatic sale of shares as follows:</w:t>
      </w:r>
    </w:p>
    <w:p>
      <w:pPr>
        <w:spacing w:after="0" w:line="158" w:lineRule="exact"/>
        <w:rPr>
          <w:sz w:val="20"/>
          <w:szCs w:val="20"/>
          <w:color w:val="auto"/>
        </w:rPr>
      </w:pPr>
    </w:p>
    <w:p>
      <w:pPr>
        <w:ind w:right="180" w:firstLine="757"/>
        <w:spacing w:after="0" w:line="236" w:lineRule="auto"/>
        <w:tabs>
          <w:tab w:leader="none" w:pos="1181"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vesting of RSUs pursuant to Section 3 hereof, the Company shall arrange for the sale of such number of shares of Common Stock issuable with respect to the RSUs that vest pursuant to Section 3 as is sufficient to generate net proceeds sufficient to satisfy the Company’s minimum statutory withholding obligations with respect to the income recognized by the Grantee upon the vesting of the RSUs (based on minimum statutory withholding rates for all tax purposes, including payroll and social security taxes, that are applicable to such income), and the net proceeds of such sale shall be delivered to the Company in satisfaction of such tax withholding obligations.</w:t>
      </w:r>
    </w:p>
    <w:p>
      <w:pPr>
        <w:spacing w:after="0" w:line="181" w:lineRule="exact"/>
        <w:rPr>
          <w:rFonts w:ascii="Times New Roman" w:cs="Times New Roman" w:eastAsia="Times New Roman" w:hAnsi="Times New Roman"/>
          <w:sz w:val="22"/>
          <w:szCs w:val="22"/>
          <w:color w:val="auto"/>
        </w:rPr>
      </w:pPr>
    </w:p>
    <w:p>
      <w:pPr>
        <w:ind w:right="100" w:firstLine="757"/>
        <w:spacing w:after="0" w:line="238" w:lineRule="auto"/>
        <w:tabs>
          <w:tab w:leader="none" w:pos="1181"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Grantee hereby appoints the Chief Executive Officer, Chief Financial Officer, and the Executive Vice President, General Counsel and Secretary and any of them acting alone and with full power of substitution, to serve as his or her attorneys in fact to arrange for the sale of the Grantee’s Common Stock in accordance with this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The Grantee agrees to execute and deliver such documents, instruments and certificates as may reasonably be required in connection with the sale of the shares pursuant to this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right="20" w:firstLine="757"/>
        <w:spacing w:after="0" w:line="236" w:lineRule="auto"/>
        <w:tabs>
          <w:tab w:leader="none" w:pos="1181"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Grantee represents to the Company that, as of the date hereof, (i) he or she is not aware of any material nonpublic information about the Company or the Common Stock and (ii) he or she is not prohibited from entering into these Automatic Sale Instructions under the Company’s insider trading policy. The Grantee and the Company have structured this Agreement, including this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to constitute a “binding contract” relating to the sale of Common Stock, consistent with the affirmative defense to liability under Section 10(b) of the Securities Exchange Act of 1934 under Rule 10b5-1(c) promulgated under such Act.</w:t>
      </w:r>
    </w:p>
    <w:p>
      <w:pPr>
        <w:spacing w:after="0" w:line="26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The Company shall not deliver any shares of Common Stock to the Grantee until it is satisfied that all required withholdings have been made.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0" w:lineRule="exact"/>
        <w:rPr>
          <w:sz w:val="20"/>
          <w:szCs w:val="20"/>
          <w:color w:val="auto"/>
        </w:rPr>
      </w:pPr>
    </w:p>
    <w:p>
      <w:pPr>
        <w:spacing w:after="0" w:line="27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Grantee Name: ________________</w:t>
      </w:r>
    </w:p>
    <w:p>
      <w:pPr>
        <w:spacing w:after="0" w:line="23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Date: __________________________</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B</w:t>
      </w:r>
    </w:p>
    <w:p>
      <w:pPr>
        <w:spacing w:after="0" w:line="23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Restrictive Covenant Agreement</w:t>
      </w:r>
    </w:p>
    <w:p>
      <w:pPr>
        <w:spacing w:after="0" w:line="1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(Long-Term Inventive Program)</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The Grantee hereby consents and agrees in consideration of the Grantee’s grant of Restricted Stock Units under the Time-Based Restricted Stock Unit Agreement, dated ___________, Grantee has read and accepted the terms and conditions of this Restrictive</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Covenant Agreement. Grantee understands and agrees that if Grantee does not accept and refuses to agree to this Restrictive Covenant Agreement on or prior to _____________, the Compensation and Leadership Committee shall, in its sole discretion, cancel the grant.</w:t>
      </w:r>
    </w:p>
    <w:p>
      <w:pPr>
        <w:spacing w:after="0" w:line="2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Grantee agrees that Grantee has had at least 14 days to consider this Restrictive Covenant Agreement. This Restrictive Covenant Agreement will be effective as of the date following the Grantee’s signature below, which will be no earlier than 14 days following Grantee’s receipt.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provisions of this Restrictive Covenant Agreement will survive the termination of the Grantee’s employment for any reason.</w:t>
      </w:r>
    </w:p>
    <w:p>
      <w:pPr>
        <w:spacing w:after="0" w:line="218" w:lineRule="exact"/>
        <w:rPr>
          <w:sz w:val="20"/>
          <w:szCs w:val="20"/>
          <w:color w:val="auto"/>
        </w:rPr>
      </w:pPr>
    </w:p>
    <w:p>
      <w:pPr>
        <w:jc w:val="both"/>
        <w:ind w:firstLine="757"/>
        <w:spacing w:after="0" w:line="244" w:lineRule="auto"/>
        <w:tabs>
          <w:tab w:leader="none" w:pos="1018"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 xml:space="preserve">. Grantee acknowledges that the Company is engaged in a highly competitive business and that the preservation of its Proprietary or Confidential Information (as defined in </w:t>
      </w:r>
      <w:r>
        <w:rPr>
          <w:rFonts w:ascii="Times New Roman" w:cs="Times New Roman" w:eastAsia="Times New Roman" w:hAnsi="Times New Roman"/>
          <w:sz w:val="21"/>
          <w:szCs w:val="21"/>
          <w:u w:val="single" w:color="auto"/>
          <w:color w:val="auto"/>
        </w:rPr>
        <w:t>Section 1(a)</w:t>
      </w:r>
      <w:r>
        <w:rPr>
          <w:rFonts w:ascii="Times New Roman" w:cs="Times New Roman" w:eastAsia="Times New Roman" w:hAnsi="Times New Roman"/>
          <w:sz w:val="21"/>
          <w:szCs w:val="21"/>
          <w:color w:val="auto"/>
        </w:rPr>
        <w:t xml:space="preserve"> below) to which Grantee has been exposed or acquired, and will continue to be exposed to and acquire, is critical to the Company’s continued business success. Grantee also acknowledges that the Company’s relationships with its business partners hereinafter “</w:t>
      </w:r>
      <w:r>
        <w:rPr>
          <w:rFonts w:ascii="Times New Roman" w:cs="Times New Roman" w:eastAsia="Times New Roman" w:hAnsi="Times New Roman"/>
          <w:sz w:val="21"/>
          <w:szCs w:val="21"/>
          <w:u w:val="single" w:color="auto"/>
          <w:color w:val="auto"/>
        </w:rPr>
        <w:t>Business Partners</w:t>
      </w:r>
      <w:r>
        <w:rPr>
          <w:rFonts w:ascii="Times New Roman" w:cs="Times New Roman" w:eastAsia="Times New Roman" w:hAnsi="Times New Roman"/>
          <w:sz w:val="21"/>
          <w:szCs w:val="21"/>
          <w:color w:val="auto"/>
        </w:rPr>
        <w:t xml:space="preserve">” which means NCM LLC, AMC, Cinemark and Regal and all their respective Affiliates together with any chain, circuit or group (of any nature of description) of movie theaters or like venues </w:t>
      </w:r>
      <w:r>
        <w:rPr>
          <w:rFonts w:ascii="Times New Roman" w:cs="Times New Roman" w:eastAsia="Times New Roman" w:hAnsi="Times New Roman"/>
          <w:sz w:val="21"/>
          <w:szCs w:val="21"/>
          <w:u w:val="single" w:color="auto"/>
          <w:color w:val="auto"/>
        </w:rPr>
        <w:t>which</w:t>
      </w:r>
      <w:r>
        <w:rPr>
          <w:rFonts w:ascii="Times New Roman" w:cs="Times New Roman" w:eastAsia="Times New Roman" w:hAnsi="Times New Roman"/>
          <w:sz w:val="21"/>
          <w:szCs w:val="21"/>
          <w:color w:val="auto"/>
        </w:rPr>
        <w:t xml:space="preserve"> now or hereafter enter into business relations with the Company), are extremely valuable and that, by virtue of Grantee’s employment with the Company, Grantee may have contact with such Business Partners on behalf of and for the benefit of the Company. As a result, Grantee’s engaging in or working for or with any business which is directly or indirectly competitive with the Company’s business, given Grantee’s knowledge of the Company’s Proprietary or Confidential Information, would cause the Company great and irreparable harm if not done in strict compliance with the provisions of this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Therefore, Grantee acknowledges and agrees that in consideration of all of the above and in exchange for access to the Company’s Proprietary or Confidential Information, Grantee will be bound by, and comply in all respects with, the provisions of this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For purposes of this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any references to the time period of Grantee’s employment with the Company shall date back to Grantee’s original hire date with the Company.</w:t>
      </w:r>
    </w:p>
    <w:p>
      <w:pPr>
        <w:spacing w:after="0" w:line="180" w:lineRule="exact"/>
        <w:rPr>
          <w:rFonts w:ascii="Times New Roman" w:cs="Times New Roman" w:eastAsia="Times New Roman" w:hAnsi="Times New Roman"/>
          <w:sz w:val="21"/>
          <w:szCs w:val="21"/>
          <w:color w:val="auto"/>
        </w:rPr>
      </w:pPr>
    </w:p>
    <w:p>
      <w:pPr>
        <w:jc w:val="both"/>
        <w:ind w:firstLine="1505"/>
        <w:spacing w:after="0" w:line="235" w:lineRule="auto"/>
        <w:tabs>
          <w:tab w:leader="none" w:pos="2036"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Grantee shall at all times hold in strict confidence any Proprietary or Confidential Information related to the Company or any of its affiliates (which shall mean any entity that, directly or indirectly, is controlled by, controls or is under common control with the Company and/or any entity in which the Company has a significant equity interest, in either case as determined by the Board, hereinafter “</w:t>
      </w:r>
      <w:r>
        <w:rPr>
          <w:rFonts w:ascii="Times New Roman" w:cs="Times New Roman" w:eastAsia="Times New Roman" w:hAnsi="Times New Roman"/>
          <w:sz w:val="22"/>
          <w:szCs w:val="22"/>
          <w:u w:val="single" w:color="auto"/>
          <w:color w:val="auto"/>
        </w:rPr>
        <w:t>Affiliates</w:t>
      </w:r>
      <w:r>
        <w:rPr>
          <w:rFonts w:ascii="Times New Roman" w:cs="Times New Roman" w:eastAsia="Times New Roman" w:hAnsi="Times New Roman"/>
          <w:sz w:val="22"/>
          <w:szCs w:val="22"/>
          <w:color w:val="auto"/>
        </w:rPr>
        <w:t>”) (including without limitation AMC, Cinemark, Regal and NCM, LLC), except that Grantee may disclose such information as required by law, court order, regulation, or similar order provided Grantee shall first have notified the Company of the pendency of such proceeding and afforded the Company an opportunity to</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3" w:name="page164"/>
    <w:bookmarkEnd w:id="163"/>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intervene and defend against disclosure. For purposes of this Agreement, the term “</w:t>
      </w:r>
      <w:r>
        <w:rPr>
          <w:rFonts w:ascii="Times New Roman" w:cs="Times New Roman" w:eastAsia="Times New Roman" w:hAnsi="Times New Roman"/>
          <w:sz w:val="22"/>
          <w:szCs w:val="22"/>
          <w:u w:val="single" w:color="auto"/>
          <w:color w:val="auto"/>
        </w:rPr>
        <w:t>Proprietary or Confidential Information</w:t>
      </w:r>
      <w:r>
        <w:rPr>
          <w:rFonts w:ascii="Times New Roman" w:cs="Times New Roman" w:eastAsia="Times New Roman" w:hAnsi="Times New Roman"/>
          <w:sz w:val="22"/>
          <w:szCs w:val="22"/>
          <w:color w:val="auto"/>
        </w:rPr>
        <w:t>” shall mean all non-public information relating to the Company or any of its Affiliates (including but not limited to all marketing, alliance, social media, advertising, and sales plans and strategies; pricing information; financial, advertising, and product development plans and strategies; compensation and incentive programs for employees; alliance agreements, plans, and processes; plans, strategies, and agreements related to the sale of assets; third party provider agreements, relationships, and strategies; business methods and processes used by the Company and its employees; all personally identifiable information regarding Company employees, contractors, and applicants; lists of actual or potential Business Partners; and all other business plans, trade secrets, or financial information of strategic importance to the Company or its Affiliates) that is not generally known in the Company’s industry, that was learned, discovered, developed, conceived, originated, or prepared during Grantee’s employment with the Company, and the competitive use or disclosure of which would be harmful to the business prospects, financial status, or reputation of the Company or its Affiliates at the time of any disclosure by Grantee.</w:t>
      </w:r>
    </w:p>
    <w:p>
      <w:pPr>
        <w:spacing w:after="0" w:line="214" w:lineRule="exact"/>
        <w:rPr>
          <w:sz w:val="20"/>
          <w:szCs w:val="20"/>
          <w:color w:val="auto"/>
        </w:rPr>
      </w:pPr>
    </w:p>
    <w:p>
      <w:pPr>
        <w:jc w:val="both"/>
        <w:ind w:firstLine="509"/>
        <w:spacing w:after="0" w:line="232" w:lineRule="auto"/>
        <w:rPr>
          <w:sz w:val="20"/>
          <w:szCs w:val="20"/>
          <w:color w:val="auto"/>
        </w:rPr>
      </w:pPr>
      <w:r>
        <w:rPr>
          <w:rFonts w:ascii="Times New Roman" w:cs="Times New Roman" w:eastAsia="Times New Roman" w:hAnsi="Times New Roman"/>
          <w:sz w:val="22"/>
          <w:szCs w:val="22"/>
          <w:color w:val="auto"/>
        </w:rPr>
        <w:t xml:space="preserve">The relationship between Grantee and the Company and its Affiliates is and shall continue to be one in which the Company and its Affiliates repose special trust and confidence in Grantee, and one in which Grantee has and shall have a fiduciary relationship to the Company and its Affiliates. As a result, the Company and its Affiliates shall, in the course of Grantee’s duties to the Company, entrust Grantee with, and disclose to Grantee, Proprietary or Confidential Information. Grantee recognizes that Proprietary or Confidential Information has been developed or acquired, or will be developed or acquired, by the Company and its Affiliates at great expense, is proprietary to the Company and its Affiliates, and is and shall remain the property of the Company and its Affiliates. Grantee acknowledges the confidentiality of Proprietary or Confidential Information and further acknowledges that Grantee could not competently perform Grantee’s duties and responsibilities in Grantee’s position with the Company and/or its Affiliates without access to such information. Grantee acknowledges that any use of Proprietary or Confidential Information by persons not in the employ of the Company and its Affiliates would provide such persons with an unfair competitive advantage which they would not have without the knowledge and/or use of the Proprietary or Confidential Information and that this would cause the Company and its Affiliates irreparable harm. Grantee further acknowledges that because of this unfair competitive advantage, and the Company’s and its Affiliates’ legitimate business interests, which include their need to protect their goodwill and the Proprietary or Confidential Information, Grantee has agreed to the post-employment restrictions set forth in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Nothing in this </w:t>
      </w:r>
      <w:r>
        <w:rPr>
          <w:rFonts w:ascii="Times New Roman" w:cs="Times New Roman" w:eastAsia="Times New Roman" w:hAnsi="Times New Roman"/>
          <w:sz w:val="22"/>
          <w:szCs w:val="22"/>
          <w:u w:val="single" w:color="auto"/>
          <w:color w:val="auto"/>
        </w:rPr>
        <w:t>Section 1(a)</w:t>
      </w:r>
      <w:r>
        <w:rPr>
          <w:rFonts w:ascii="Times New Roman" w:cs="Times New Roman" w:eastAsia="Times New Roman" w:hAnsi="Times New Roman"/>
          <w:sz w:val="22"/>
          <w:szCs w:val="22"/>
          <w:color w:val="auto"/>
        </w:rPr>
        <w:t xml:space="preserve"> is intended, or shall be construed, (i) to limit the protection of any applicable law or policy of the Company or its Affiliates that relates to the protection of trade secrets or confidential or proprietary information or (ii) to limit Grantee’s ability to initiate communications directly with, or to respond to any inquiry from, or provide testimony before, the SEC, FINRA, any other self-regulatory organization or any other state or federal regulatory authority.</w:t>
      </w:r>
    </w:p>
    <w:p>
      <w:pPr>
        <w:spacing w:after="0" w:line="187" w:lineRule="exact"/>
        <w:rPr>
          <w:sz w:val="20"/>
          <w:szCs w:val="20"/>
          <w:color w:val="auto"/>
        </w:rPr>
      </w:pPr>
    </w:p>
    <w:p>
      <w:pPr>
        <w:jc w:val="both"/>
        <w:ind w:firstLine="1505"/>
        <w:spacing w:after="0" w:line="238" w:lineRule="auto"/>
        <w:tabs>
          <w:tab w:leader="none" w:pos="203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of Employees</w:t>
      </w:r>
      <w:r>
        <w:rPr>
          <w:rFonts w:ascii="Times New Roman" w:cs="Times New Roman" w:eastAsia="Times New Roman" w:hAnsi="Times New Roman"/>
          <w:sz w:val="22"/>
          <w:szCs w:val="22"/>
          <w:color w:val="auto"/>
        </w:rPr>
        <w:t>. During Grantee’s employment and for the one-year period following termination of Grantee’s employment for any reason (the “</w:t>
      </w:r>
      <w:r>
        <w:rPr>
          <w:rFonts w:ascii="Times New Roman" w:cs="Times New Roman" w:eastAsia="Times New Roman" w:hAnsi="Times New Roman"/>
          <w:sz w:val="22"/>
          <w:szCs w:val="22"/>
          <w:u w:val="single" w:color="auto"/>
          <w:color w:val="auto"/>
        </w:rPr>
        <w:t>Coverage Period</w:t>
      </w:r>
      <w:r>
        <w:rPr>
          <w:rFonts w:ascii="Times New Roman" w:cs="Times New Roman" w:eastAsia="Times New Roman" w:hAnsi="Times New Roman"/>
          <w:sz w:val="22"/>
          <w:szCs w:val="22"/>
          <w:color w:val="auto"/>
        </w:rPr>
        <w:t>”), Grantee hereby agrees not to, directly or indirectly, solicit, hire, seek to hire, engage or assist any other person or entity (on Grantee’s own behalf or on behalf of such other person or entity) in soliciting, hiring or engaging any person who is at that time an employee, consultant, independent contractor, representative, or other agent of the Company or any of its Affiliates to</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perform services for any entity (other than the Company or its Affiliates), or attempt to induce or encourage any such employee to leave the employ of the Company or its Affiliates.</w:t>
      </w:r>
    </w:p>
    <w:p>
      <w:pPr>
        <w:spacing w:after="0" w:line="158" w:lineRule="exact"/>
        <w:rPr>
          <w:sz w:val="20"/>
          <w:szCs w:val="20"/>
          <w:color w:val="auto"/>
        </w:rPr>
      </w:pPr>
    </w:p>
    <w:p>
      <w:pPr>
        <w:ind w:left="2040" w:hanging="535"/>
        <w:spacing w:after="0"/>
        <w:tabs>
          <w:tab w:leader="none" w:pos="204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45" w:lineRule="auto"/>
        <w:tabs>
          <w:tab w:leader="none" w:pos="2557"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return for, among other things, all of the above and the Company’s promise to provide the Proprietary or Confidential Information described herein, Grantee agrees that during Grantee’s employment and the Coverage Period, Grantee shall not compete with the Company by providing work, services or any other form of assistance (whether or not for compensation) in any capacity, whether as an employee, consultant, partner, or otherwise, to any Competitor that (1) is the same or similar to the services Grantee provided to the Company or (2) creates the reasonable risk that Grantee will (willfully, inadvertently or inevitably) use or disclose the Company’s Proprietary or Confidential Information. “</w:t>
      </w:r>
      <w:r>
        <w:rPr>
          <w:rFonts w:ascii="Times New Roman" w:cs="Times New Roman" w:eastAsia="Times New Roman" w:hAnsi="Times New Roman"/>
          <w:sz w:val="21"/>
          <w:szCs w:val="21"/>
          <w:u w:val="single" w:color="auto"/>
          <w:color w:val="auto"/>
        </w:rPr>
        <w:t>Competitor</w:t>
      </w:r>
      <w:r>
        <w:rPr>
          <w:rFonts w:ascii="Times New Roman" w:cs="Times New Roman" w:eastAsia="Times New Roman" w:hAnsi="Times New Roman"/>
          <w:sz w:val="21"/>
          <w:szCs w:val="21"/>
          <w:color w:val="auto"/>
        </w:rPr>
        <w:t>” includes any business that operates or does business similar in nature to that of the Company during the term of Grantee’s employment in any State, territory, or protectorate of the United States in which the Company or an Affiliate does business and/or in any foreign country in which the Company or an Affiliate has or maintains any place of business, venue, facility, or otherwise conducts business, as of the date of Grantee’s termination of employment with the Company. Grantee further acknowledges and agrees that the restrictions imposed in this subparagraph (i) will not prevent Grantee from earning a livelihood and that they are reasonable.</w:t>
      </w:r>
    </w:p>
    <w:p>
      <w:pPr>
        <w:spacing w:after="0" w:line="173" w:lineRule="exact"/>
        <w:rPr>
          <w:rFonts w:ascii="Times New Roman" w:cs="Times New Roman" w:eastAsia="Times New Roman" w:hAnsi="Times New Roman"/>
          <w:sz w:val="21"/>
          <w:szCs w:val="21"/>
          <w:color w:val="auto"/>
        </w:rPr>
      </w:pPr>
    </w:p>
    <w:p>
      <w:pPr>
        <w:jc w:val="both"/>
        <w:ind w:left="760" w:firstLine="1494"/>
        <w:spacing w:after="0" w:line="233" w:lineRule="auto"/>
        <w:tabs>
          <w:tab w:leader="none" w:pos="2557"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should Grantee consider working for or with any actually, arguably, or potentially competing business following the termination of Grantee’s employment with the Company or any of its Affiliates and during the Coverage Period, then Grantee agrees to provide the Company with two (2) weeks advance written notice of Grantee’s intent to do so, and also to provide the Company with accurate information concerning the nature of Grantee’s anticipated job responsibilities in sufficient detail to allow the Company to meaningfully exercise its rights under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After receipt of such notice, the Company may then agree, in its sole, absolute, and unreviewable discretion, to waive, modify, or condition its rights under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In particular, the Company may agree to modify </w:t>
      </w:r>
      <w:r>
        <w:rPr>
          <w:rFonts w:ascii="Times New Roman" w:cs="Times New Roman" w:eastAsia="Times New Roman" w:hAnsi="Times New Roman"/>
          <w:sz w:val="22"/>
          <w:szCs w:val="22"/>
          <w:u w:val="single" w:color="auto"/>
          <w:color w:val="auto"/>
        </w:rPr>
        <w:t>Section 1(c)</w:t>
      </w:r>
      <w:r>
        <w:rPr>
          <w:rFonts w:ascii="Times New Roman" w:cs="Times New Roman" w:eastAsia="Times New Roman" w:hAnsi="Times New Roman"/>
          <w:sz w:val="22"/>
          <w:szCs w:val="22"/>
          <w:color w:val="auto"/>
        </w:rPr>
        <w:t xml:space="preserve"> if the Company concludes that the work Grantee will be performing for a Competitor is different from the work Grantee was performing during Grantee’s employment with the Company or any of its Affiliates and/or (2) there is no reasonable risk that Grantee will (willfully, inadvertently or inevitably) use or disclose the Company’s Proprietary or Confidential Information.</w:t>
      </w:r>
    </w:p>
    <w:p>
      <w:pPr>
        <w:spacing w:after="0" w:line="187"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of Business Partners</w:t>
      </w:r>
      <w:r>
        <w:rPr>
          <w:rFonts w:ascii="Times New Roman" w:cs="Times New Roman" w:eastAsia="Times New Roman" w:hAnsi="Times New Roman"/>
          <w:sz w:val="22"/>
          <w:szCs w:val="22"/>
          <w:color w:val="auto"/>
        </w:rPr>
        <w:t>. Grantee acknowledges that, by virtue of Grantee’s employment by the Company or its Affiliates, Grantee has gained or will gain knowledge of the identity, characteristics, and preferences of the Company’s Business Partners, among other Proprietary or Confidential Information, and that Grantee would inevitably have to draw on such information if Grantee were to solicit or service the Company’s Business Partners on behalf of a Competitor. Accordingly, during the term of Grantee’s employment and the Coverage Period, Grantee agrees not to, directly or indirectly, solicit the business of or perform any services of the type Grantee performed or sell any products of the type Grantee sold during Grantee’s employment with the Company for or to actual or prospective Business Partners of the Company (i) as to which Grantee performed services, sold products or as to which employees 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persons under Grantee’s supervision or authority performed such services, or had direct contact, or (ii) as to which Grantee had accessed Proprietary or Confidential Information during the course of Grantee’s employment by the Company, or in any manner encourage or induce any such actual or prospective Business Partner to cease doing business with or in any way interfere with the relationship between the Company and its Affiliates and such actual or prospective Business Partner. Grantee further agrees that during the term of Grantee’s employment and the Coverage Period, Grantee will not encourage or assist any Competitor to solicit or service any actual or prospective Business Partners or otherwise seek to encourage or induce any Business Partners to cease doing business with, or reduce the extent of its business dealings with the Company.</w:t>
      </w:r>
    </w:p>
    <w:p>
      <w:pPr>
        <w:spacing w:after="0" w:line="183" w:lineRule="exact"/>
        <w:rPr>
          <w:sz w:val="20"/>
          <w:szCs w:val="20"/>
          <w:color w:val="auto"/>
        </w:rPr>
      </w:pPr>
    </w:p>
    <w:p>
      <w:pPr>
        <w:jc w:val="both"/>
        <w:ind w:firstLine="1505"/>
        <w:spacing w:after="0" w:line="251" w:lineRule="auto"/>
        <w:tabs>
          <w:tab w:leader="none" w:pos="2036"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Non-Interference</w:t>
      </w:r>
      <w:r>
        <w:rPr>
          <w:rFonts w:ascii="Times New Roman" w:cs="Times New Roman" w:eastAsia="Times New Roman" w:hAnsi="Times New Roman"/>
          <w:sz w:val="21"/>
          <w:szCs w:val="21"/>
          <w:color w:val="auto"/>
        </w:rPr>
        <w:t>. During the term of Grantee’s employment and the Coverage Period, Grantee agrees that Grantee shall not, directly or indirectly, induce or encourage any Business Partner or other third party, including any provider of goods or services to the Company, to terminate or diminish its business relationship with the Company; nor will Grantee take any other action that could, directly or indirectly, be detrimental to the Company’s relationships with its Business Partners and providers of goods or services or other business affiliates or that could otherwise interfere with the Company’s business.</w:t>
      </w:r>
    </w:p>
    <w:p>
      <w:pPr>
        <w:spacing w:after="0" w:line="168" w:lineRule="exact"/>
        <w:rPr>
          <w:rFonts w:ascii="Times New Roman" w:cs="Times New Roman" w:eastAsia="Times New Roman" w:hAnsi="Times New Roman"/>
          <w:sz w:val="21"/>
          <w:szCs w:val="21"/>
          <w:color w:val="auto"/>
        </w:rPr>
      </w:pPr>
    </w:p>
    <w:p>
      <w:pPr>
        <w:jc w:val="both"/>
        <w:ind w:firstLine="1505"/>
        <w:spacing w:after="0" w:line="233" w:lineRule="auto"/>
        <w:tabs>
          <w:tab w:leader="none" w:pos="2036"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Grantee agrees during and following the term of Grantee’s employment, not to make, or cause to be made, any statement, observation, or opinion, or communicate any information (whether oral or written, directly or indirectly) that (i) accuses or implies that the other party or its Affiliates, as may be applicable, engaged in any wrongful, unlawful or improper conduct, whether relating to Grantee’s employment (or the termination thereof), the business, management, or operations of the Company or its Affiliates, as may be applicable, or otherwise, or (ii) disparages, impugns, or in any way reflects adversely upon the business or reputation of the other party or its subsidiaries or affiliates, as may be applicable. Nothing herein, however, will be deemed to preclude either party from providing truthful testimony or information pursuant to subpoena, court order, or similar legal process, instituting and pursuing legal action, or engaging in other legally protected speech or activities or to prevent either party from making any disclosure required by the Securities Exchange Act of 1934 or other applicable law (including without limitation Company disclosure deemed advisable under the federal securities laws or the rules of any stock exchange).</w:t>
      </w:r>
    </w:p>
    <w:p>
      <w:pPr>
        <w:spacing w:after="0" w:line="187"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w:t>
      </w:r>
      <w:r>
        <w:rPr>
          <w:rFonts w:ascii="Times New Roman" w:cs="Times New Roman" w:eastAsia="Times New Roman" w:hAnsi="Times New Roman"/>
          <w:sz w:val="22"/>
          <w:szCs w:val="22"/>
          <w:color w:val="auto"/>
        </w:rPr>
        <w:t xml:space="preserve">. Grantee acknowledges that the restrictions contained in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are fair, reasonable, and necessary for the protection of the legitimate business interests of the Company, that the Company will suffer irreparable harm in the event of any actual or threatened breach by Grantee, and that it is difficult to measure in money the damages which will accrue to the Company by reason of a failure by Grantee to perform any of Grantee’s obligations under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Accordingly, if the Company or any of its subsidiaries or Affiliates institutes any action or proceeding to enforce their rights under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to the extent permitted by applicable law, Grantee hereby waives the claim or defense that the Company or its Affiliates has an adequate remedy at law, Grantee shall not claim that any such remedy at law exists, and Grantee consents to the entry of a restraining order, preliminary injunction, or other preliminary, provisional, or permanent court order to enforce this Agreement, and expressly waives any security that might otherwise be required in connection with such relief. Grantee also agrees that any request for such relief by the Company shall be in addition and without prejudice to any claim for monetary damages and/or other relief which the Company might elect to assert. The Parties further agree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that, in the event that any provision of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shall be determined by any court of competent jurisdiction to be unenforceable by reason of its being extended over too great a time, too large a geographic area or too great a range of activities, such provision shall be deemed to be modified to permit its enforcement to the maximum extent permitted by law. The length of time for which the covenants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shall be in force shall be extended by an amount of time equal to the period of time during which a violation of such covenant is deemed by a court of competent jurisdiction to have occurred (including any period required for litigation during which the Company seeks to enforce such covenant). If, notwithstanding such provision, a court in any judicial proceeding refuses to enforce any of the separate covenants included herein, the unenforceable covenant will be considered eliminated from these provisions for the purpose of those proceedings to the extent necessary to permit the remaining separate covenants to be enforced.</w:t>
      </w:r>
    </w:p>
    <w:p>
      <w:pPr>
        <w:spacing w:after="0" w:line="183" w:lineRule="exact"/>
        <w:rPr>
          <w:sz w:val="20"/>
          <w:szCs w:val="20"/>
          <w:color w:val="auto"/>
        </w:rPr>
      </w:pPr>
    </w:p>
    <w:p>
      <w:pPr>
        <w:jc w:val="both"/>
        <w:ind w:firstLine="1505"/>
        <w:spacing w:after="0" w:line="233" w:lineRule="auto"/>
        <w:tabs>
          <w:tab w:leader="none" w:pos="203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Notwithstanding Grantee’s confidentiality and nondisclosure obligations, Grantee is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For the avoidance of doubt, nothing in this Agreement is intended to, nor shall be construed to, conflict with the Defend Trade Secrets Act 18 U.S.C. § 1833(b). Further, Grantee understands that nothing in this Agreement or any other agreement that Grantee may have with the Company or any of its Subsidiaries restricts or prohibits Grantee from communicating with government agencies about possible violations of federal, state, or local laws or otherwise providing information to government agencies filing a complaint with government agencies, or participating in government agency investigations or proceedings, or from making other disclosures that are protected under the whistleblower provisions of state or federal law or regulation, and Grantee does not need the Company’s prior authorization to engage in such conduct.</w:t>
      </w:r>
    </w:p>
    <w:p>
      <w:pPr>
        <w:spacing w:after="0" w:line="200" w:lineRule="exact"/>
        <w:rPr>
          <w:sz w:val="20"/>
          <w:szCs w:val="20"/>
          <w:color w:val="auto"/>
        </w:rPr>
      </w:pPr>
    </w:p>
    <w:p>
      <w:pPr>
        <w:spacing w:after="0" w:line="22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0" w:lineRule="exact"/>
        <w:rPr>
          <w:sz w:val="20"/>
          <w:szCs w:val="20"/>
          <w:color w:val="auto"/>
        </w:rPr>
      </w:pPr>
    </w:p>
    <w:p>
      <w:pPr>
        <w:spacing w:after="0" w:line="27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Grantee Name: ________________</w:t>
      </w:r>
    </w:p>
    <w:p>
      <w:pPr>
        <w:spacing w:after="0" w:line="23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Date: __________________________</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10.26.6</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NATIONAL CINEMEDIA, INC.</w:t>
      </w:r>
    </w:p>
    <w:p>
      <w:pPr>
        <w:jc w:val="center"/>
        <w:spacing w:after="0"/>
        <w:rPr>
          <w:sz w:val="20"/>
          <w:szCs w:val="20"/>
          <w:color w:val="auto"/>
        </w:rPr>
      </w:pPr>
      <w:r>
        <w:rPr>
          <w:rFonts w:ascii="Times New Roman" w:cs="Times New Roman" w:eastAsia="Times New Roman" w:hAnsi="Times New Roman"/>
          <w:sz w:val="22"/>
          <w:szCs w:val="22"/>
          <w:b w:val="1"/>
          <w:bCs w:val="1"/>
          <w:color w:val="auto"/>
        </w:rPr>
        <w:t>2020 OMNIBUS INCENTIVE PLAN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PERFORMANCE-BASED RESTRICTED STOCK UNIT AGREEMENT</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Performance Period:</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Compensation Committee of the Board of Directors of National CineMedia, Inc., a Delaware corporation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granted an award of Performance-Based Restricted Stock Units under the National CineMedia, Inc. 2020 Omnibus</w:t>
      </w:r>
    </w:p>
    <w:p>
      <w:pPr>
        <w:spacing w:after="0" w:line="231" w:lineRule="auto"/>
        <w:rPr>
          <w:sz w:val="20"/>
          <w:szCs w:val="20"/>
          <w:color w:val="auto"/>
        </w:rPr>
      </w:pPr>
      <w:r>
        <w:rPr>
          <w:rFonts w:ascii="Times New Roman" w:cs="Times New Roman" w:eastAsia="Times New Roman" w:hAnsi="Times New Roman"/>
          <w:sz w:val="22"/>
          <w:szCs w:val="22"/>
          <w:color w:val="auto"/>
        </w:rPr>
        <w:t>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to the Grantee named below. This Performance- Based Restricted Stock Unit Agreement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evidences the terms of the Company’s grant of Restricted Stock Units, each representing the right to receive one</w:t>
      </w:r>
    </w:p>
    <w:p>
      <w:pPr>
        <w:spacing w:after="0" w:line="231" w:lineRule="auto"/>
        <w:rPr>
          <w:sz w:val="20"/>
          <w:szCs w:val="20"/>
          <w:color w:val="auto"/>
        </w:rPr>
      </w:pPr>
      <w:r>
        <w:rPr>
          <w:rFonts w:ascii="Times New Roman" w:cs="Times New Roman" w:eastAsia="Times New Roman" w:hAnsi="Times New Roman"/>
          <w:sz w:val="22"/>
          <w:szCs w:val="22"/>
          <w:color w:val="auto"/>
        </w:rPr>
        <w:t>share of the Company’s Common Stock, on the terms and subject to the conditions set forth herein and in the Plan.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capitalized term in this Agreement shall have the meaning assigned to it in this Agreement or in the Plan, as applicable.</w:t>
      </w:r>
    </w:p>
    <w:p>
      <w:pPr>
        <w:spacing w:after="0" w:line="178" w:lineRule="exact"/>
        <w:rPr>
          <w:sz w:val="20"/>
          <w:szCs w:val="20"/>
          <w:color w:val="auto"/>
        </w:rPr>
      </w:pPr>
    </w:p>
    <w:p>
      <w:pPr>
        <w:ind w:right="8760" w:firstLine="8"/>
        <w:spacing w:after="0" w:line="456" w:lineRule="auto"/>
        <w:tabs>
          <w:tab w:leader="none" w:pos="432" w:val="left"/>
        </w:tabs>
        <w:numPr>
          <w:ilvl w:val="0"/>
          <w:numId w:val="15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NOTICE OF GRANT Name of Grantee:</w:t>
      </w:r>
    </w:p>
    <w:p>
      <w:pPr>
        <w:ind w:right="7360"/>
        <w:spacing w:after="0" w:line="435"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Target Number of Restricted Stock Units: Grant Date:</w:t>
      </w:r>
    </w:p>
    <w:p>
      <w:pPr>
        <w:spacing w:after="0" w:line="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2"/>
          <w:szCs w:val="22"/>
          <w:b w:val="1"/>
          <w:bCs w:val="1"/>
          <w:color w:val="auto"/>
        </w:rPr>
        <w:t>Vesting Schedule of Restricted Stock Units</w:t>
      </w:r>
      <w:r>
        <w:rPr>
          <w:rFonts w:ascii="Times New Roman" w:cs="Times New Roman" w:eastAsia="Times New Roman" w:hAnsi="Times New Roman"/>
          <w:sz w:val="22"/>
          <w:szCs w:val="22"/>
          <w:color w:val="auto"/>
        </w:rPr>
        <w:t>: Except as provided otherwise in this Agreement or the Plan (including but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to Section 10(c) of the Plan which provides for accelerated vesting upon certain terminations in connection with a Change in Control), and subject to Grantee’s continuous Service as provided herein, the Performance-Based Restricted Stock Units shall vest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1282065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8" w:name="page169"/>
    <w:bookmarkEnd w:id="168"/>
    <w:p>
      <w:pPr>
        <w:ind w:left="440" w:hanging="378"/>
        <w:spacing w:after="0"/>
        <w:tabs>
          <w:tab w:leader="none" w:pos="440" w:val="left"/>
        </w:tabs>
        <w:numPr>
          <w:ilvl w:val="1"/>
          <w:numId w:val="1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RESTRICTED STOCK UNIT AGREEMENT</w:t>
      </w:r>
    </w:p>
    <w:p>
      <w:pPr>
        <w:spacing w:after="0" w:line="206" w:lineRule="exact"/>
        <w:rPr>
          <w:rFonts w:ascii="Times New Roman" w:cs="Times New Roman" w:eastAsia="Times New Roman" w:hAnsi="Times New Roman"/>
          <w:sz w:val="22"/>
          <w:szCs w:val="22"/>
          <w:b w:val="1"/>
          <w:bCs w:val="1"/>
          <w:color w:val="auto"/>
        </w:rPr>
      </w:pPr>
    </w:p>
    <w:p>
      <w:pPr>
        <w:ind w:right="20" w:firstLine="8"/>
        <w:spacing w:after="0" w:line="237" w:lineRule="auto"/>
        <w:tabs>
          <w:tab w:leader="none" w:pos="432"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b w:val="1"/>
          <w:bCs w:val="1"/>
          <w:color w:val="auto"/>
        </w:rPr>
        <w:t>rant of Restricted Stock Units.</w:t>
      </w:r>
      <w:r>
        <w:rPr>
          <w:rFonts w:ascii="Times New Roman" w:cs="Times New Roman" w:eastAsia="Times New Roman" w:hAnsi="Times New Roman"/>
          <w:sz w:val="22"/>
          <w:szCs w:val="22"/>
          <w:color w:val="auto"/>
        </w:rPr>
        <w:t xml:space="preserve"> Subject to the terms and conditions of this Agreement and the Plan, the Company granted to Grantee the number of Restricted Stock Units set forth in the Notice of Grant, effective on the Grant Date set forth in the Notice of Grant, and subject to the terms and conditions of the Plan, which is incorporated herein by reference. Each Restricted Stock Unit represents the right to receive one share of Common Stock, on the terms and subject to the conditions set forth in this Agreement and the Plan. In the event of a conflict between the terms and conditions of the Plan and this Agreement, the terms and conditions of the Plan shall govern.</w:t>
      </w:r>
    </w:p>
    <w:p>
      <w:pPr>
        <w:spacing w:after="0" w:line="175" w:lineRule="exact"/>
        <w:rPr>
          <w:rFonts w:ascii="Times New Roman" w:cs="Times New Roman" w:eastAsia="Times New Roman" w:hAnsi="Times New Roman"/>
          <w:sz w:val="22"/>
          <w:szCs w:val="22"/>
          <w:b w:val="1"/>
          <w:bCs w:val="1"/>
          <w:color w:val="auto"/>
        </w:rPr>
      </w:pPr>
    </w:p>
    <w:p>
      <w:pPr>
        <w:ind w:right="140" w:firstLine="8"/>
        <w:spacing w:after="0" w:line="262" w:lineRule="auto"/>
        <w:tabs>
          <w:tab w:leader="none" w:pos="432"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Transfer Restrictions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shall not sell, transfer, assign, pledge or otherwise encumber or dispose of, by operation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 or otherwise, the Restricted Stock Units.</w:t>
      </w:r>
    </w:p>
    <w:p>
      <w:pPr>
        <w:spacing w:after="0" w:line="149"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Lapse of Restrictions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period between the Grant Date and the final Vesting Date is referred to as the</w:t>
      </w:r>
    </w:p>
    <w:p>
      <w:pPr>
        <w:spacing w:after="0" w:line="18"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Vesting Period</w:t>
      </w:r>
      <w:r>
        <w:rPr>
          <w:rFonts w:ascii="Times New Roman" w:cs="Times New Roman" w:eastAsia="Times New Roman" w:hAnsi="Times New Roman"/>
          <w:sz w:val="21"/>
          <w:szCs w:val="21"/>
          <w:color w:val="auto"/>
        </w:rPr>
        <w:t>.” Except as provided otherwise in this Agreement and the Plan (including but not limited to Section 10(c) of the Plan which provides for accelerated vesting upon certain terminations in connection with a Change of Control), if the applicable performance metrics set forth in the Notice of Grant have been achieved and the Grantee has been in continuous service to the Company or another entity the service providers of which are eligible to receive Awards under the Plan from the Grant Date through the applicable Vesting Date as an employee, director, consultant or advisor (herein referred to as “</w:t>
      </w:r>
      <w:r>
        <w:rPr>
          <w:rFonts w:ascii="Times New Roman" w:cs="Times New Roman" w:eastAsia="Times New Roman" w:hAnsi="Times New Roman"/>
          <w:sz w:val="21"/>
          <w:szCs w:val="21"/>
          <w:b w:val="1"/>
          <w:bCs w:val="1"/>
          <w:color w:val="auto"/>
        </w:rPr>
        <w:t>Service</w:t>
      </w:r>
      <w:r>
        <w:rPr>
          <w:rFonts w:ascii="Times New Roman" w:cs="Times New Roman" w:eastAsia="Times New Roman" w:hAnsi="Times New Roman"/>
          <w:sz w:val="21"/>
          <w:szCs w:val="21"/>
          <w:color w:val="auto"/>
        </w:rPr>
        <w:t>”), the Restricted Stock Units shall vest as set forth on the Vesting Schedule in the Notice of Grant. As soon as practicable after the Vesting Date and in all events no later than March 15 of the calendar year following the calendar year in which the Vesting Date occurs, the Company will issue to the Grantee the shares of Common Stock subject to the Restricted Stock Units that vested on such Vesting Date. Only following the issuance of the shares of Common Stock to the Grantee may the Grantee transfer the shares of Common Stock (subject to applicable securities law requirements and the Company’s policies and procedures).</w:t>
      </w:r>
    </w:p>
    <w:p>
      <w:pPr>
        <w:spacing w:after="0" w:line="173" w:lineRule="exact"/>
        <w:rPr>
          <w:sz w:val="20"/>
          <w:szCs w:val="20"/>
          <w:color w:val="auto"/>
        </w:rPr>
      </w:pPr>
    </w:p>
    <w:p>
      <w:pPr>
        <w:ind w:firstLine="8"/>
        <w:spacing w:after="0" w:line="246" w:lineRule="auto"/>
        <w:tabs>
          <w:tab w:leader="none" w:pos="432" w:val="left"/>
        </w:tabs>
        <w:numPr>
          <w:ilvl w:val="0"/>
          <w:numId w:val="1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Termination of Service</w:t>
      </w:r>
      <w:r>
        <w:rPr>
          <w:rFonts w:ascii="Times New Roman" w:cs="Times New Roman" w:eastAsia="Times New Roman" w:hAnsi="Times New Roman"/>
          <w:sz w:val="21"/>
          <w:szCs w:val="21"/>
          <w:color w:val="auto"/>
        </w:rPr>
        <w:t>. If Grantee terminates Service prior to the Vesting Date on account of death, becoming disabled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defined in Section 409A of the Internal Revenue Code), or termination by the Company other than for Cause, Grantee shall be entitled to retain a percentage of the Target number of Restricted Stock Units (the “</w:t>
      </w:r>
      <w:r>
        <w:rPr>
          <w:rFonts w:ascii="Times New Roman" w:cs="Times New Roman" w:eastAsia="Times New Roman" w:hAnsi="Times New Roman"/>
          <w:sz w:val="21"/>
          <w:szCs w:val="21"/>
          <w:b w:val="1"/>
          <w:bCs w:val="1"/>
          <w:color w:val="auto"/>
        </w:rPr>
        <w:t>Retained Units</w:t>
      </w:r>
      <w:r>
        <w:rPr>
          <w:rFonts w:ascii="Times New Roman" w:cs="Times New Roman" w:eastAsia="Times New Roman" w:hAnsi="Times New Roman"/>
          <w:sz w:val="21"/>
          <w:szCs w:val="21"/>
          <w:color w:val="auto"/>
        </w:rPr>
        <w:t>”) equal to the ratio that the number of days of Service of Grantee during the Vesting Period bears to the total number of days in the Vesting Period (less any previously vested Restricted Stock Units). The Retained Units shall vest in accordance with the Vesting Schedules set forth in the Notice of Grant as though the Retained Units were the target number of Restricted Stock Units set forth in the Notice of Grant and the remaining Restricted Stock Units shall be forfeited upon Grantee’s termination of Service. If Grantee terminates Service prior to the Vesting Date as a result of termination by the Company for Cause or voluntary termination by Grantee, all Restricted Stock Units shall be forfeited upon Grantee’s termination of Service and Grantee shall have no further rights thereto. Section 10(c) of the Plan provides for accelerated vesting with respect to certain terminations in connection with a Change of Control.</w:t>
      </w:r>
    </w:p>
    <w:p>
      <w:pPr>
        <w:spacing w:after="0" w:line="170" w:lineRule="exact"/>
        <w:rPr>
          <w:rFonts w:ascii="Times New Roman" w:cs="Times New Roman" w:eastAsia="Times New Roman" w:hAnsi="Times New Roman"/>
          <w:sz w:val="21"/>
          <w:szCs w:val="21"/>
          <w:b w:val="1"/>
          <w:bCs w:val="1"/>
          <w:color w:val="auto"/>
        </w:rPr>
      </w:pPr>
    </w:p>
    <w:p>
      <w:pPr>
        <w:ind w:firstLine="8"/>
        <w:spacing w:after="0" w:line="262" w:lineRule="auto"/>
        <w:tabs>
          <w:tab w:leader="none" w:pos="432" w:val="left"/>
        </w:tabs>
        <w:numPr>
          <w:ilvl w:val="0"/>
          <w:numId w:val="1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Leave of Absence</w:t>
      </w:r>
      <w:r>
        <w:rPr>
          <w:rFonts w:ascii="Times New Roman" w:cs="Times New Roman" w:eastAsia="Times New Roman" w:hAnsi="Times New Roman"/>
          <w:sz w:val="22"/>
          <w:szCs w:val="22"/>
          <w:color w:val="auto"/>
        </w:rPr>
        <w:t>. For purposes of the Restricted Stock Units, Service does not terminate when Grantee goes on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leave of absence that was approved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993775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69" w:name="page170"/>
    <w:bookmarkEnd w:id="169"/>
    <w:p>
      <w:pPr>
        <w:ind w:right="260"/>
        <w:spacing w:after="0" w:line="236" w:lineRule="auto"/>
        <w:rPr>
          <w:sz w:val="20"/>
          <w:szCs w:val="20"/>
          <w:color w:val="auto"/>
        </w:rPr>
      </w:pPr>
      <w:r>
        <w:rPr>
          <w:rFonts w:ascii="Times New Roman" w:cs="Times New Roman" w:eastAsia="Times New Roman" w:hAnsi="Times New Roman"/>
          <w:sz w:val="22"/>
          <w:szCs w:val="22"/>
          <w:color w:val="auto"/>
        </w:rPr>
        <w:t>Company or an affiliate in writing, if the terms of the leave provide for continued Service crediting, or when continued Service crediting is required by applicable law. However, Service will be treated as terminating 90 days after Grantee went on the approved leave, unless Grantee’s right to return to active work is guaranteed by law or by a contract. Service terminates in any event when the approved leave ends unless Grantee immediately returns to active Service. The Compensation Committee determines, in its sole discretion, which leaves of absence count for this purpose, and when Service terminates for all purposes under the Plan.</w:t>
      </w:r>
    </w:p>
    <w:p>
      <w:pPr>
        <w:spacing w:after="0" w:line="177" w:lineRule="exact"/>
        <w:rPr>
          <w:sz w:val="20"/>
          <w:szCs w:val="20"/>
          <w:color w:val="auto"/>
        </w:rPr>
      </w:pPr>
    </w:p>
    <w:p>
      <w:pPr>
        <w:ind w:right="80" w:firstLine="8"/>
        <w:spacing w:after="0" w:line="237" w:lineRule="auto"/>
        <w:tabs>
          <w:tab w:leader="none" w:pos="432" w:val="left"/>
        </w:tabs>
        <w:numPr>
          <w:ilvl w:val="0"/>
          <w:numId w:val="1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Dividends</w:t>
      </w:r>
      <w:r>
        <w:rPr>
          <w:rFonts w:ascii="Times New Roman" w:cs="Times New Roman" w:eastAsia="Times New Roman" w:hAnsi="Times New Roman"/>
          <w:sz w:val="22"/>
          <w:szCs w:val="22"/>
          <w:color w:val="auto"/>
        </w:rPr>
        <w:t>. During the period between the Grant Date and the Vesting Date, the Company shall accrue an amount equal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regular, special and extraordinary cash dividends declared and paid with respect to each share of Common Stock underlying the Restricted Stock Units which amount shall be retained by the Company and shall be subject to the same vesting requirements as specified in the Notice of Grant above. Any accrued dividend equivalents to which Grantee becomes entitled upon vesting on the Vesting Date shall be paid to Grantee as soon as practicable following the Vesting Date, but in no event later than March 15 of the calendar year following the calendar year in which the Restricted Stock Units vest.</w:t>
      </w:r>
    </w:p>
    <w:p>
      <w:pPr>
        <w:spacing w:after="0" w:line="175" w:lineRule="exact"/>
        <w:rPr>
          <w:rFonts w:ascii="Times New Roman" w:cs="Times New Roman" w:eastAsia="Times New Roman" w:hAnsi="Times New Roman"/>
          <w:sz w:val="22"/>
          <w:szCs w:val="22"/>
          <w:b w:val="1"/>
          <w:bCs w:val="1"/>
          <w:color w:val="auto"/>
        </w:rPr>
      </w:pPr>
    </w:p>
    <w:p>
      <w:pPr>
        <w:ind w:right="20" w:firstLine="8"/>
        <w:spacing w:after="0" w:line="237" w:lineRule="auto"/>
        <w:tabs>
          <w:tab w:leader="none" w:pos="432" w:val="left"/>
        </w:tabs>
        <w:numPr>
          <w:ilvl w:val="0"/>
          <w:numId w:val="1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Tax Withholding. </w:t>
      </w:r>
      <w:r>
        <w:rPr>
          <w:rFonts w:ascii="Times New Roman" w:cs="Times New Roman" w:eastAsia="Times New Roman" w:hAnsi="Times New Roman"/>
          <w:sz w:val="22"/>
          <w:szCs w:val="22"/>
          <w:color w:val="auto"/>
        </w:rPr>
        <w:t>The Company or any affiliate shall have the right to deduct from payments of any kind otherwise due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any federal, state, local or foreign taxes of any kind required by law to be withheld upon the issuance, vesting or payment of any shares of Common Stock upon the vesting of the Restricted Stock Units or the payment of dividend equivalents. The Company shall not deliver any shares of Common Stock to the Grantee until it is satisfied that all required withholdings have been made. The Company may, at its discretion and to the extent permitted by applicable law, satisfy such withholding obligations in one or more of the following ways:</w:t>
      </w:r>
    </w:p>
    <w:p>
      <w:pPr>
        <w:spacing w:after="0" w:line="206" w:lineRule="exact"/>
        <w:rPr>
          <w:rFonts w:ascii="Times New Roman" w:cs="Times New Roman" w:eastAsia="Times New Roman" w:hAnsi="Times New Roman"/>
          <w:sz w:val="22"/>
          <w:szCs w:val="22"/>
          <w:b w:val="1"/>
          <w:bCs w:val="1"/>
          <w:color w:val="auto"/>
        </w:rPr>
      </w:pPr>
    </w:p>
    <w:p>
      <w:pPr>
        <w:ind w:left="1140" w:hanging="383"/>
        <w:spacing w:after="0" w:line="247" w:lineRule="auto"/>
        <w:tabs>
          <w:tab w:leader="none" w:pos="1140" w:val="left"/>
        </w:tabs>
        <w:numPr>
          <w:ilvl w:val="1"/>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Sell-to-Cover. At such time as the Grantee is not aware of any material nonpublic information about the Company or the Common Stock and when the Grantee is permitted to do so under the Company’s insider trading policy, the Grantee shall execute the instructions set forth in Schedule A attached hereto (the “</w:t>
      </w:r>
      <w:r>
        <w:rPr>
          <w:rFonts w:ascii="Times New Roman" w:cs="Times New Roman" w:eastAsia="Times New Roman" w:hAnsi="Times New Roman"/>
          <w:sz w:val="21"/>
          <w:szCs w:val="21"/>
          <w:b w:val="1"/>
          <w:bCs w:val="1"/>
          <w:color w:val="auto"/>
        </w:rPr>
        <w:t>Automatic Sale Instructions</w:t>
      </w:r>
      <w:r>
        <w:rPr>
          <w:rFonts w:ascii="Times New Roman" w:cs="Times New Roman" w:eastAsia="Times New Roman" w:hAnsi="Times New Roman"/>
          <w:sz w:val="21"/>
          <w:szCs w:val="21"/>
          <w:color w:val="auto"/>
        </w:rPr>
        <w:t>”) as the means of satisfying such withholding tax obligation if elected by the Company under this Section 7. If the Grantee does not execute the Automatic Sale Instructions prior to an applicable vesting date and the Company elects to satisfy tax withholding under this clause (a), then the Grantee agrees that if under applicable law the Grantee will owe taxes at such vesting date on the portion of the award then vested, then the Company shall be entitled to immediate payment from the Grantee of the amount of any tax required to be withheld by the Company.</w:t>
      </w:r>
    </w:p>
    <w:p>
      <w:pPr>
        <w:spacing w:after="0" w:line="198" w:lineRule="exact"/>
        <w:rPr>
          <w:rFonts w:ascii="Times New Roman" w:cs="Times New Roman" w:eastAsia="Times New Roman" w:hAnsi="Times New Roman"/>
          <w:sz w:val="21"/>
          <w:szCs w:val="21"/>
          <w:color w:val="auto"/>
        </w:rPr>
      </w:pPr>
    </w:p>
    <w:p>
      <w:pPr>
        <w:ind w:left="1140" w:right="140" w:hanging="383"/>
        <w:spacing w:after="0" w:line="235" w:lineRule="auto"/>
        <w:tabs>
          <w:tab w:leader="none" w:pos="1140"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 Withholding. Grantee hereby authorizes the Company to withhold from the number of shares of Common Stock that would otherwise be issued to Grantee upon vesting of the Restricted Stock Units a number of whole shares of Common Stock having a fair market value equal to the Company’s required tax withholding with respect to the Award and to deduct any remaining amount due from any payments due to Grantee. Any shares of Common Stock issued or withheld shall have an aggregate fair market value not in excess of the minimum statutory total tax withholding obligation. The fair market value of the shares of Common Stock used to satisfy the withholding obligation shall be determined by the Company as of 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0" w:name="page171"/>
    <w:bookmarkEnd w:id="170"/>
    <w:p>
      <w:pPr>
        <w:jc w:val="both"/>
        <w:ind w:left="1140" w:right="900"/>
        <w:spacing w:after="0" w:line="244" w:lineRule="auto"/>
        <w:rPr>
          <w:sz w:val="20"/>
          <w:szCs w:val="20"/>
          <w:color w:val="auto"/>
        </w:rPr>
      </w:pPr>
      <w:r>
        <w:rPr>
          <w:rFonts w:ascii="Times New Roman" w:cs="Times New Roman" w:eastAsia="Times New Roman" w:hAnsi="Times New Roman"/>
          <w:sz w:val="22"/>
          <w:szCs w:val="22"/>
          <w:color w:val="auto"/>
        </w:rPr>
        <w:t>that the amount of tax to be withheld is to be determined. Shares of Common Stock used to satisfy any tax withholding obligation must be vested and cannot be subject to any repurchase, forfeiture, or other similar requirements.</w:t>
      </w:r>
    </w:p>
    <w:p>
      <w:pPr>
        <w:spacing w:after="0" w:line="200"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22"/>
          <w:szCs w:val="22"/>
          <w:color w:val="auto"/>
        </w:rPr>
        <w:t>The Participant acknowledges and agrees that the Company has the authority to determine the method by which such tax withholding obligations will be satisfied, including requiring an automatic sale of shares under this Section or an alternative arrangement that does have a negative impact on the Grantee. The Company may take such actions without further consent or instruction from the Grantee, to the extent permitted by applicable law.</w:t>
      </w:r>
    </w:p>
    <w:p>
      <w:pPr>
        <w:spacing w:after="0" w:line="176" w:lineRule="exact"/>
        <w:rPr>
          <w:sz w:val="20"/>
          <w:szCs w:val="20"/>
          <w:color w:val="auto"/>
        </w:rPr>
      </w:pPr>
    </w:p>
    <w:p>
      <w:pPr>
        <w:ind w:firstLine="8"/>
        <w:spacing w:after="0" w:line="236" w:lineRule="auto"/>
        <w:tabs>
          <w:tab w:leader="none" w:pos="432" w:val="left"/>
        </w:tabs>
        <w:numPr>
          <w:ilvl w:val="0"/>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 of Prohibited Transfer</w:t>
      </w:r>
      <w:r>
        <w:rPr>
          <w:rFonts w:ascii="Times New Roman" w:cs="Times New Roman" w:eastAsia="Times New Roman" w:hAnsi="Times New Roman"/>
          <w:sz w:val="22"/>
          <w:szCs w:val="22"/>
          <w:color w:val="auto"/>
        </w:rPr>
        <w:t>. If any transfer of Restricted Stock Units is made or attempted to be made contrary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of this Agreement, the Company shall have the right to disregard such transfer and to terminate this award of Restricted Stock Units as a result of such prohibited transfer. In addition to any other legal or equitable remedies it may have, the Company may enforce its rights to specific performance to the extent permitted by law and may exercise such other equitable remedies then available. The Company may refuse for any purpose to recognize any transferee who receives Restricted Stock Units contrary to the provisions of this Agreement as a holder of the Restricted Stock Units and shall not be obligated, and will not, issue any shares of Common Stock upon the vesting of such Restricted Stock Units to such prohibited transferee.</w:t>
      </w:r>
    </w:p>
    <w:p>
      <w:pPr>
        <w:spacing w:after="0" w:line="175" w:lineRule="exact"/>
        <w:rPr>
          <w:rFonts w:ascii="Times New Roman" w:cs="Times New Roman" w:eastAsia="Times New Roman" w:hAnsi="Times New Roman"/>
          <w:sz w:val="22"/>
          <w:szCs w:val="22"/>
          <w:b w:val="1"/>
          <w:bCs w:val="1"/>
          <w:color w:val="auto"/>
        </w:rPr>
      </w:pPr>
    </w:p>
    <w:p>
      <w:pPr>
        <w:jc w:val="both"/>
        <w:ind w:right="20" w:firstLine="8"/>
        <w:spacing w:after="0" w:line="241" w:lineRule="auto"/>
        <w:tabs>
          <w:tab w:leader="none" w:pos="432" w:val="left"/>
        </w:tabs>
        <w:numPr>
          <w:ilvl w:val="0"/>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Investment Representations</w:t>
      </w:r>
      <w:r>
        <w:rPr>
          <w:rFonts w:ascii="Times New Roman" w:cs="Times New Roman" w:eastAsia="Times New Roman" w:hAnsi="Times New Roman"/>
          <w:sz w:val="22"/>
          <w:szCs w:val="22"/>
          <w:color w:val="auto"/>
        </w:rPr>
        <w:t>. The Compensation Committee may require Grantee (or Grantee’s estate or heirs) to represent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warrant in writing that the individual is acquiring the shares of Common Stock upon vesting of the Restricted Stock Units for investment and without any present intention to sell or distribute such shares and to make such other representations as are deemed necessary or appropriate by the Company and its counsel.</w:t>
      </w:r>
    </w:p>
    <w:p>
      <w:pPr>
        <w:spacing w:after="0" w:line="171" w:lineRule="exact"/>
        <w:rPr>
          <w:rFonts w:ascii="Times New Roman" w:cs="Times New Roman" w:eastAsia="Times New Roman" w:hAnsi="Times New Roman"/>
          <w:sz w:val="22"/>
          <w:szCs w:val="22"/>
          <w:b w:val="1"/>
          <w:bCs w:val="1"/>
          <w:color w:val="auto"/>
        </w:rPr>
      </w:pPr>
    </w:p>
    <w:p>
      <w:pPr>
        <w:ind w:right="40" w:firstLine="8"/>
        <w:spacing w:after="0" w:line="246" w:lineRule="auto"/>
        <w:tabs>
          <w:tab w:leader="none" w:pos="432" w:val="left"/>
        </w:tabs>
        <w:numPr>
          <w:ilvl w:val="0"/>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Continued Service</w:t>
      </w:r>
      <w:r>
        <w:rPr>
          <w:rFonts w:ascii="Times New Roman" w:cs="Times New Roman" w:eastAsia="Times New Roman" w:hAnsi="Times New Roman"/>
          <w:sz w:val="22"/>
          <w:szCs w:val="22"/>
          <w:color w:val="auto"/>
        </w:rPr>
        <w:t>. Neither the grant of the Restricted Stock Units nor this Agreement gives Grantee the right to continue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 with the Company or its affiliates in any capacity. The Company and its affiliates reserve the right to terminate Grantee’s Service at any time and for any reason not prohibited by law.</w:t>
      </w:r>
    </w:p>
    <w:p>
      <w:pPr>
        <w:spacing w:after="0" w:line="167" w:lineRule="exact"/>
        <w:rPr>
          <w:rFonts w:ascii="Times New Roman" w:cs="Times New Roman" w:eastAsia="Times New Roman" w:hAnsi="Times New Roman"/>
          <w:sz w:val="22"/>
          <w:szCs w:val="22"/>
          <w:b w:val="1"/>
          <w:bCs w:val="1"/>
          <w:color w:val="auto"/>
        </w:rPr>
      </w:pPr>
    </w:p>
    <w:p>
      <w:pPr>
        <w:ind w:right="280" w:firstLine="8"/>
        <w:spacing w:after="0" w:line="263" w:lineRule="auto"/>
        <w:tabs>
          <w:tab w:leader="none" w:pos="432" w:val="left"/>
        </w:tabs>
        <w:numPr>
          <w:ilvl w:val="0"/>
          <w:numId w:val="15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Governing Law</w:t>
      </w:r>
      <w:r>
        <w:rPr>
          <w:rFonts w:ascii="Times New Roman" w:cs="Times New Roman" w:eastAsia="Times New Roman" w:hAnsi="Times New Roman"/>
          <w:sz w:val="21"/>
          <w:szCs w:val="21"/>
          <w:color w:val="auto"/>
        </w:rPr>
        <w:t>. The validity and construction of this Agreement and the Plan shall be construed in accordance with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governed by the laws of the State of Delaware other than any conflicts or choice of law rule or principle that might otherwise refer construction or interpretation of the Plan and this Agreement to the substantive laws of any other jurisdiction.</w:t>
      </w:r>
    </w:p>
    <w:p>
      <w:pPr>
        <w:spacing w:after="0" w:line="151" w:lineRule="exact"/>
        <w:rPr>
          <w:rFonts w:ascii="Times New Roman" w:cs="Times New Roman" w:eastAsia="Times New Roman" w:hAnsi="Times New Roman"/>
          <w:sz w:val="21"/>
          <w:szCs w:val="21"/>
          <w:b w:val="1"/>
          <w:bCs w:val="1"/>
          <w:color w:val="auto"/>
        </w:rPr>
      </w:pPr>
    </w:p>
    <w:p>
      <w:pPr>
        <w:ind w:right="600" w:firstLine="8"/>
        <w:spacing w:after="0" w:line="262" w:lineRule="auto"/>
        <w:tabs>
          <w:tab w:leader="none" w:pos="432" w:val="left"/>
        </w:tabs>
        <w:numPr>
          <w:ilvl w:val="0"/>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Binding Effect</w:t>
      </w:r>
      <w:r>
        <w:rPr>
          <w:rFonts w:ascii="Times New Roman" w:cs="Times New Roman" w:eastAsia="Times New Roman" w:hAnsi="Times New Roman"/>
          <w:sz w:val="22"/>
          <w:szCs w:val="22"/>
          <w:color w:val="auto"/>
        </w:rPr>
        <w:t>. This Agreement shall be binding upon and inure to the benefit of the Company and Grantee and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heirs, executors, administrators, legal representatives, successors and assigns.</w:t>
      </w:r>
    </w:p>
    <w:p>
      <w:pPr>
        <w:spacing w:after="0" w:line="149" w:lineRule="exact"/>
        <w:rPr>
          <w:rFonts w:ascii="Times New Roman" w:cs="Times New Roman" w:eastAsia="Times New Roman" w:hAnsi="Times New Roman"/>
          <w:sz w:val="22"/>
          <w:szCs w:val="22"/>
          <w:b w:val="1"/>
          <w:bCs w:val="1"/>
          <w:color w:val="auto"/>
        </w:rPr>
      </w:pPr>
    </w:p>
    <w:p>
      <w:pPr>
        <w:jc w:val="both"/>
        <w:ind w:right="220" w:firstLine="8"/>
        <w:spacing w:after="0" w:line="246" w:lineRule="auto"/>
        <w:tabs>
          <w:tab w:leader="none" w:pos="432" w:val="left"/>
        </w:tabs>
        <w:numPr>
          <w:ilvl w:val="0"/>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Treatment; Section 83(b)</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may incur tax liability as a result of the vesting of the Restricted Stock Units,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 of dividend equivalents or the disposition of shares of Common Stock issued upon the vesting of the Restricted Stock Units. Grantee should consult his or her own tax adviser for tax advice.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71" w:name="page172"/>
    <w:bookmarkEnd w:id="171"/>
    <w:p>
      <w:pPr>
        <w:ind w:right="60"/>
        <w:spacing w:after="0" w:line="258" w:lineRule="auto"/>
        <w:rPr>
          <w:sz w:val="20"/>
          <w:szCs w:val="20"/>
          <w:color w:val="auto"/>
        </w:rPr>
      </w:pPr>
      <w:r>
        <w:rPr>
          <w:rFonts w:ascii="Times New Roman" w:cs="Times New Roman" w:eastAsia="Times New Roman" w:hAnsi="Times New Roman"/>
          <w:sz w:val="22"/>
          <w:szCs w:val="22"/>
          <w:color w:val="auto"/>
        </w:rPr>
        <w:t>Grantee hereby acknowledges that Grantee has been informed that no election under Section 83(b) of the Internal Revenue Code is permitted with respect to the Restricted Stock Units.</w:t>
      </w:r>
    </w:p>
    <w:p>
      <w:pPr>
        <w:spacing w:after="0" w:line="154" w:lineRule="exact"/>
        <w:rPr>
          <w:sz w:val="20"/>
          <w:szCs w:val="20"/>
          <w:color w:val="auto"/>
        </w:rPr>
      </w:pPr>
    </w:p>
    <w:p>
      <w:pPr>
        <w:ind w:right="460" w:firstLine="8"/>
        <w:spacing w:after="0" w:line="262" w:lineRule="auto"/>
        <w:tabs>
          <w:tab w:leader="none" w:pos="432" w:val="left"/>
        </w:tabs>
        <w:numPr>
          <w:ilvl w:val="0"/>
          <w:numId w:val="1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The terms and conditions set forth in this Agreement may only be amended by the written consent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Grantee, except to the extent set forth in the Plan.</w:t>
      </w:r>
    </w:p>
    <w:p>
      <w:pPr>
        <w:spacing w:after="0" w:line="149" w:lineRule="exact"/>
        <w:rPr>
          <w:rFonts w:ascii="Times New Roman" w:cs="Times New Roman" w:eastAsia="Times New Roman" w:hAnsi="Times New Roman"/>
          <w:sz w:val="22"/>
          <w:szCs w:val="22"/>
          <w:b w:val="1"/>
          <w:bCs w:val="1"/>
          <w:color w:val="auto"/>
        </w:rPr>
      </w:pPr>
    </w:p>
    <w:p>
      <w:pPr>
        <w:ind w:firstLine="8"/>
        <w:spacing w:after="0" w:line="246" w:lineRule="auto"/>
        <w:tabs>
          <w:tab w:leader="none" w:pos="432" w:val="left"/>
        </w:tabs>
        <w:numPr>
          <w:ilvl w:val="0"/>
          <w:numId w:val="1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2020 Omnibus Incentive Plan</w:t>
      </w:r>
      <w:r>
        <w:rPr>
          <w:rFonts w:ascii="Times New Roman" w:cs="Times New Roman" w:eastAsia="Times New Roman" w:hAnsi="Times New Roman"/>
          <w:sz w:val="22"/>
          <w:szCs w:val="22"/>
          <w:color w:val="auto"/>
        </w:rPr>
        <w:t>. The Restricted Stock Units and payment of dividend equivalents granted hereunder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such additional terms and conditions as may be imposed under the terms of the Plan, a copy of which has been provided to Grantee. A copy of the Prospectus for the 2020 Omnibus Incentive Plan shall also be provided to Grantee.</w:t>
      </w:r>
    </w:p>
    <w:p>
      <w:pPr>
        <w:spacing w:after="0" w:line="167" w:lineRule="exact"/>
        <w:rPr>
          <w:rFonts w:ascii="Times New Roman" w:cs="Times New Roman" w:eastAsia="Times New Roman" w:hAnsi="Times New Roman"/>
          <w:sz w:val="22"/>
          <w:szCs w:val="22"/>
          <w:b w:val="1"/>
          <w:bCs w:val="1"/>
          <w:color w:val="auto"/>
        </w:rPr>
      </w:pPr>
    </w:p>
    <w:p>
      <w:pPr>
        <w:ind w:right="40" w:firstLine="8"/>
        <w:spacing w:after="0" w:line="237" w:lineRule="auto"/>
        <w:tabs>
          <w:tab w:leader="none" w:pos="432" w:val="left"/>
        </w:tabs>
        <w:numPr>
          <w:ilvl w:val="0"/>
          <w:numId w:val="1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[Executive Restrictive Covenants</w:t>
      </w:r>
      <w:r>
        <w:rPr>
          <w:rFonts w:ascii="Times New Roman" w:cs="Times New Roman" w:eastAsia="Times New Roman" w:hAnsi="Times New Roman"/>
          <w:sz w:val="22"/>
          <w:szCs w:val="22"/>
          <w:color w:val="auto"/>
        </w:rPr>
        <w:t>. The issuances under this Agreement are contingent upon and in consideration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 having executed and delivered to the Company’s designated contact no later than _________ a signature page to the Restrictive Covenant Agreement between the Grantee and the Company attached as Schedule B attached hereto (the “Restrictive Covenant Agreement”). For the avoidance of doubt, if the Participant has not executed and delivered to the Company’s designated contact the Restrictive Covenant Agreement, the grant of the Restricted Stock Units represented by this Agreement will never take effect and will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NATIONAL CINEMEDIA, INC.</w:t>
      </w:r>
    </w:p>
    <w:p>
      <w:pPr>
        <w:spacing w:after="0" w:line="21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17"/>
          <w:szCs w:val="17"/>
          <w:color w:val="auto"/>
        </w:rPr>
        <w:t>________________________________________</w:t>
      </w:r>
    </w:p>
    <w:p>
      <w:pPr>
        <w:spacing w:after="0" w:line="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Ronnie Ng</w:t>
      </w:r>
    </w:p>
    <w:p>
      <w:pPr>
        <w:ind w:left="512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172" w:name="page173"/>
    <w:bookmarkEnd w:id="172"/>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Schedule A</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Automatic Sale Instructions</w:t>
      </w:r>
    </w:p>
    <w:p>
      <w:pPr>
        <w:spacing w:after="0" w:line="2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undersigned hereby consents and agrees that any taxes due on a vesting date as a result of the vesting of RSUs on such date shall be paid through an automatic sale of shares as follows:</w:t>
      </w:r>
    </w:p>
    <w:p>
      <w:pPr>
        <w:spacing w:after="0" w:line="158" w:lineRule="exact"/>
        <w:rPr>
          <w:sz w:val="20"/>
          <w:szCs w:val="20"/>
          <w:color w:val="auto"/>
        </w:rPr>
      </w:pPr>
    </w:p>
    <w:p>
      <w:pPr>
        <w:ind w:right="180" w:firstLine="757"/>
        <w:spacing w:after="0" w:line="236" w:lineRule="auto"/>
        <w:tabs>
          <w:tab w:leader="none" w:pos="118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vesting of RSUs pursuant to Section 3 hereof, the Company shall arrange for the sale of such number of shares of Common Stock issuable with respect to the RSUs that vest pursuant to Section 3 as is sufficient to generate net proceeds sufficient to satisfy the Company’s minimum statutory withholding obligations with respect to the income recognized by the Grantee upon the vesting of the RSUs (based on minimum statutory withholding rates for all tax purposes, including payroll and social security taxes, that are applicable to such income), and the net proceeds of such sale shall be delivered to the Company in satisfaction of such tax withholding obligations.</w:t>
      </w:r>
    </w:p>
    <w:p>
      <w:pPr>
        <w:spacing w:after="0" w:line="181" w:lineRule="exact"/>
        <w:rPr>
          <w:rFonts w:ascii="Times New Roman" w:cs="Times New Roman" w:eastAsia="Times New Roman" w:hAnsi="Times New Roman"/>
          <w:sz w:val="22"/>
          <w:szCs w:val="22"/>
          <w:color w:val="auto"/>
        </w:rPr>
      </w:pPr>
    </w:p>
    <w:p>
      <w:pPr>
        <w:ind w:right="100" w:firstLine="757"/>
        <w:spacing w:after="0" w:line="238" w:lineRule="auto"/>
        <w:tabs>
          <w:tab w:leader="none" w:pos="118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Grantee hereby appoints the Chief Executive Officer, Chief Financial Officer, and the Executive Vice President, General Counsel and Secretary and any of them acting alone and with full power of substitution, to serve as his or her attorneys in fact to arrange for the sale of the Grantee’s Common Stock in accordance with this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The Grantee agrees to execute and deliver such documents, instruments and certificates as may reasonably be required in connection with the sale of the shares pursuant to this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right="20" w:firstLine="757"/>
        <w:spacing w:after="0" w:line="236" w:lineRule="auto"/>
        <w:tabs>
          <w:tab w:leader="none" w:pos="118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Grantee represents to the Company that, as of the date hereof, (i) he or she is not aware of any material nonpublic information about the Company or the Common Stock and (ii) he or she is not prohibited from entering into these Automatic Sale Instructions under the Company’s insider trading policy. The Grantee and the Company have structured this Agreement, including this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to constitute a “binding contract” relating to the sale of Common Stock, consistent with the affirmative defense to liability under Section 10(b) of the Securities Exchange Act of 1934 under Rule 10b5-1(c) promulgated under such Act.</w:t>
      </w:r>
    </w:p>
    <w:p>
      <w:pPr>
        <w:spacing w:after="0" w:line="26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The Company shall not deliver any shares of Common Stock to the Grantee until it is satisfied that all required withholdings have been made.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0" w:lineRule="exact"/>
        <w:rPr>
          <w:sz w:val="20"/>
          <w:szCs w:val="20"/>
          <w:color w:val="auto"/>
        </w:rPr>
      </w:pPr>
    </w:p>
    <w:p>
      <w:pPr>
        <w:spacing w:after="0" w:line="27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Grantee Name: ________________</w:t>
      </w:r>
    </w:p>
    <w:p>
      <w:pPr>
        <w:spacing w:after="0" w:line="23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Date: 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B</w:t>
      </w:r>
    </w:p>
    <w:p>
      <w:pPr>
        <w:spacing w:after="0" w:line="23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Restrictive Covenant Agreement</w:t>
      </w:r>
    </w:p>
    <w:p>
      <w:pPr>
        <w:spacing w:after="0" w:line="1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(Long-Term Inventive Program)</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The Grantee hereby consents and agrees in consideration of the Grantee’s grant of Restricted Stock Units under the Performance-Based Restricted Stock Unit Agreement, dated ___________, Grantee has read and accepted the terms and conditions of this</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Restrictive Covenant Agreement. Grantee understands and agrees that if Grantee does not accept and refuses to agree to this Restrictive Covenant Agreement on or prior to _____________, the Compensation and Leadership Committee shall, in its sole discretion, cancel the grant.</w:t>
      </w:r>
    </w:p>
    <w:p>
      <w:pPr>
        <w:spacing w:after="0" w:line="2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Grantee agrees that Grantee has had at least 14 days to consider this Restrictive Covenant Agreement. This Restrictive Covenant Agreement will be effective as of the date following the Grantee’s signature below, which will be no earlier than 14 days following Grantee’s receipt.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provisions of this Restrictive Covenant Agreement will survive the termination of the Grantee’s employment for any reason.</w:t>
      </w:r>
    </w:p>
    <w:p>
      <w:pPr>
        <w:spacing w:after="0" w:line="218" w:lineRule="exact"/>
        <w:rPr>
          <w:sz w:val="20"/>
          <w:szCs w:val="20"/>
          <w:color w:val="auto"/>
        </w:rPr>
      </w:pPr>
    </w:p>
    <w:p>
      <w:pPr>
        <w:jc w:val="both"/>
        <w:ind w:firstLine="757"/>
        <w:spacing w:after="0" w:line="244" w:lineRule="auto"/>
        <w:tabs>
          <w:tab w:leader="none" w:pos="1018"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 xml:space="preserve">. Grantee acknowledges that the Company is engaged in a highly competitive business and that the preservation of its Proprietary or Confidential Information (as defined in </w:t>
      </w:r>
      <w:r>
        <w:rPr>
          <w:rFonts w:ascii="Times New Roman" w:cs="Times New Roman" w:eastAsia="Times New Roman" w:hAnsi="Times New Roman"/>
          <w:sz w:val="21"/>
          <w:szCs w:val="21"/>
          <w:u w:val="single" w:color="auto"/>
          <w:color w:val="auto"/>
        </w:rPr>
        <w:t>Section 1(a)</w:t>
      </w:r>
      <w:r>
        <w:rPr>
          <w:rFonts w:ascii="Times New Roman" w:cs="Times New Roman" w:eastAsia="Times New Roman" w:hAnsi="Times New Roman"/>
          <w:sz w:val="21"/>
          <w:szCs w:val="21"/>
          <w:color w:val="auto"/>
        </w:rPr>
        <w:t xml:space="preserve"> below) to which Grantee has been exposed or acquired, and will continue to be exposed to and acquire, is critical to the Company’s continued business success. Grantee also acknowledges that the Company’s relationships with its business partners hereinafter “</w:t>
      </w:r>
      <w:r>
        <w:rPr>
          <w:rFonts w:ascii="Times New Roman" w:cs="Times New Roman" w:eastAsia="Times New Roman" w:hAnsi="Times New Roman"/>
          <w:sz w:val="21"/>
          <w:szCs w:val="21"/>
          <w:u w:val="single" w:color="auto"/>
          <w:color w:val="auto"/>
        </w:rPr>
        <w:t>Business Partners</w:t>
      </w:r>
      <w:r>
        <w:rPr>
          <w:rFonts w:ascii="Times New Roman" w:cs="Times New Roman" w:eastAsia="Times New Roman" w:hAnsi="Times New Roman"/>
          <w:sz w:val="21"/>
          <w:szCs w:val="21"/>
          <w:color w:val="auto"/>
        </w:rPr>
        <w:t xml:space="preserve">” which means NCM LLC, AMC, Cinemark and Regal and all their respective Affiliates together with any chain, circuit or group (of any nature of description) of movie theaters or like venues </w:t>
      </w:r>
      <w:r>
        <w:rPr>
          <w:rFonts w:ascii="Times New Roman" w:cs="Times New Roman" w:eastAsia="Times New Roman" w:hAnsi="Times New Roman"/>
          <w:sz w:val="21"/>
          <w:szCs w:val="21"/>
          <w:u w:val="single" w:color="auto"/>
          <w:color w:val="auto"/>
        </w:rPr>
        <w:t>which</w:t>
      </w:r>
      <w:r>
        <w:rPr>
          <w:rFonts w:ascii="Times New Roman" w:cs="Times New Roman" w:eastAsia="Times New Roman" w:hAnsi="Times New Roman"/>
          <w:sz w:val="21"/>
          <w:szCs w:val="21"/>
          <w:color w:val="auto"/>
        </w:rPr>
        <w:t xml:space="preserve"> now or hereafter enter into business relations with the Company), are extremely valuable and that, by virtue of Grantee’s employment with the Company, Grantee may have contact with such Business Partners on behalf of and for the benefit of the Company. As a result, Grantee’s engaging in or working for or with any business which is directly or indirectly competitive with the Company’s business, given Grantee’s knowledge of the Company’s Proprietary or Confidential Information, would cause the Company great and irreparable harm if not done in strict compliance with the provisions of this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Therefore, Grantee acknowledges and agrees that in consideration of all of the above and in exchange for access to the Company’s Proprietary or Confidential Information, Grantee will be bound by, and comply in all respects with, the provisions of this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For purposes of this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any references to the time period of Grantee’s employment with the Company shall date back to Grantee’s original hire date with the Company.</w:t>
      </w:r>
    </w:p>
    <w:p>
      <w:pPr>
        <w:spacing w:after="0" w:line="180" w:lineRule="exact"/>
        <w:rPr>
          <w:rFonts w:ascii="Times New Roman" w:cs="Times New Roman" w:eastAsia="Times New Roman" w:hAnsi="Times New Roman"/>
          <w:sz w:val="21"/>
          <w:szCs w:val="21"/>
          <w:color w:val="auto"/>
        </w:rPr>
      </w:pPr>
    </w:p>
    <w:p>
      <w:pPr>
        <w:jc w:val="both"/>
        <w:ind w:firstLine="1505"/>
        <w:spacing w:after="0" w:line="235" w:lineRule="auto"/>
        <w:tabs>
          <w:tab w:leader="none" w:pos="2036"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Grantee shall at all times hold in strict confidence any Proprietary or Confidential Information related to the Company or any of its affiliates (which shall mean any entity that, directly or indirectly, is controlled by, controls or is under common control with the Company and/or any entity in which the Company has a significant equity interest, in either case as determined by the Board, hereinafter “</w:t>
      </w:r>
      <w:r>
        <w:rPr>
          <w:rFonts w:ascii="Times New Roman" w:cs="Times New Roman" w:eastAsia="Times New Roman" w:hAnsi="Times New Roman"/>
          <w:sz w:val="22"/>
          <w:szCs w:val="22"/>
          <w:u w:val="single" w:color="auto"/>
          <w:color w:val="auto"/>
        </w:rPr>
        <w:t>Affiliates</w:t>
      </w:r>
      <w:r>
        <w:rPr>
          <w:rFonts w:ascii="Times New Roman" w:cs="Times New Roman" w:eastAsia="Times New Roman" w:hAnsi="Times New Roman"/>
          <w:sz w:val="22"/>
          <w:szCs w:val="22"/>
          <w:color w:val="auto"/>
        </w:rPr>
        <w:t>”) (including without limitation AMC, Cinemark, Regal and NCM, LLC), except that Grantee may disclose such information as required by law, court order, regulation, or similar order provided Grantee shall first have notified the Company of the pendency of such proceeding and afforded the Company an opportunity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4" w:name="page175"/>
    <w:bookmarkEnd w:id="174"/>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intervene and defend against disclosure. For purposes of this Agreement, the term “</w:t>
      </w:r>
      <w:r>
        <w:rPr>
          <w:rFonts w:ascii="Times New Roman" w:cs="Times New Roman" w:eastAsia="Times New Roman" w:hAnsi="Times New Roman"/>
          <w:sz w:val="22"/>
          <w:szCs w:val="22"/>
          <w:u w:val="single" w:color="auto"/>
          <w:color w:val="auto"/>
        </w:rPr>
        <w:t>Proprietary or Confidential Information</w:t>
      </w:r>
      <w:r>
        <w:rPr>
          <w:rFonts w:ascii="Times New Roman" w:cs="Times New Roman" w:eastAsia="Times New Roman" w:hAnsi="Times New Roman"/>
          <w:sz w:val="22"/>
          <w:szCs w:val="22"/>
          <w:color w:val="auto"/>
        </w:rPr>
        <w:t>” shall mean all non-public information relating to the Company or any of its Affiliates (including but not limited to all marketing, alliance, social media, advertising, and sales plans and strategies; pricing information; financial, advertising, and product development plans and strategies; compensation and incentive programs for employees; alliance agreements, plans, and processes; plans, strategies, and agreements related to the sale of assets; third party provider agreements, relationships, and strategies; business methods and processes used by the Company and its employees; all personally identifiable information regarding Company employees, contractors, and applicants; lists of actual or potential Business Partners; and all other business plans, trade secrets, or financial information of strategic importance to the Company or its Affiliates) that is not generally known in the Company’s industry, that was learned, discovered, developed, conceived, originated, or prepared during Grantee’s employment with the Company, and the competitive use or disclosure of which would be harmful to the business prospects, financial status, or reputation of the Company or its Affiliates at the time of any disclosure by Grantee.</w:t>
      </w:r>
    </w:p>
    <w:p>
      <w:pPr>
        <w:spacing w:after="0" w:line="214" w:lineRule="exact"/>
        <w:rPr>
          <w:sz w:val="20"/>
          <w:szCs w:val="20"/>
          <w:color w:val="auto"/>
        </w:rPr>
      </w:pPr>
    </w:p>
    <w:p>
      <w:pPr>
        <w:jc w:val="both"/>
        <w:ind w:firstLine="509"/>
        <w:spacing w:after="0" w:line="232" w:lineRule="auto"/>
        <w:rPr>
          <w:sz w:val="20"/>
          <w:szCs w:val="20"/>
          <w:color w:val="auto"/>
        </w:rPr>
      </w:pPr>
      <w:r>
        <w:rPr>
          <w:rFonts w:ascii="Times New Roman" w:cs="Times New Roman" w:eastAsia="Times New Roman" w:hAnsi="Times New Roman"/>
          <w:sz w:val="22"/>
          <w:szCs w:val="22"/>
          <w:color w:val="auto"/>
        </w:rPr>
        <w:t xml:space="preserve">The relationship between Grantee and the Company and its Affiliates is and shall continue to be one in which the Company and its Affiliates repose special trust and confidence in Grantee, and one in which Grantee has and shall have a fiduciary relationship to the Company and its Affiliates. As a result, the Company and its Affiliates shall, in the course of Grantee’s duties to the Company, entrust Grantee with, and disclose to Grantee, Proprietary or Confidential Information. Grantee recognizes that Proprietary or Confidential Information has been developed or acquired, or will be developed or acquired, by the Company and its Affiliates at great expense, is proprietary to the Company and its Affiliates, and is and shall remain the property of the Company and its Affiliates. Grantee acknowledges the confidentiality of Proprietary or Confidential Information and further acknowledges that Grantee could not competently perform Grantee’s duties and responsibilities in Grantee’s position with the Company and/or its Affiliates without access to such information. Grantee acknowledges that any use of Proprietary or Confidential Information by persons not in the employ of the Company and its Affiliates would provide such persons with an unfair competitive advantage which they would not have without the knowledge and/or use of the Proprietary or Confidential Information and that this would cause the Company and its Affiliates irreparable harm. Grantee further acknowledges that because of this unfair competitive advantage, and the Company’s and its Affiliates’ legitimate business interests, which include their need to protect their goodwill and the Proprietary or Confidential Information, Grantee has agreed to the post-employment restrictions set forth in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Nothing in this </w:t>
      </w:r>
      <w:r>
        <w:rPr>
          <w:rFonts w:ascii="Times New Roman" w:cs="Times New Roman" w:eastAsia="Times New Roman" w:hAnsi="Times New Roman"/>
          <w:sz w:val="22"/>
          <w:szCs w:val="22"/>
          <w:u w:val="single" w:color="auto"/>
          <w:color w:val="auto"/>
        </w:rPr>
        <w:t>Section 1(a)</w:t>
      </w:r>
      <w:r>
        <w:rPr>
          <w:rFonts w:ascii="Times New Roman" w:cs="Times New Roman" w:eastAsia="Times New Roman" w:hAnsi="Times New Roman"/>
          <w:sz w:val="22"/>
          <w:szCs w:val="22"/>
          <w:color w:val="auto"/>
        </w:rPr>
        <w:t xml:space="preserve"> is intended, or shall be construed, (i) to limit the protection of any applicable law or policy of the Company or its Affiliates that relates to the protection of trade secrets or confidential or proprietary information or (ii) to limit Grantee’s ability to initiate communications directly with, or to respond to any inquiry from, or provide testimony before, the SEC, FINRA, any other self-regulatory organization or any other state or federal regulatory authority.</w:t>
      </w:r>
    </w:p>
    <w:p>
      <w:pPr>
        <w:spacing w:after="0" w:line="187" w:lineRule="exact"/>
        <w:rPr>
          <w:sz w:val="20"/>
          <w:szCs w:val="20"/>
          <w:color w:val="auto"/>
        </w:rPr>
      </w:pPr>
    </w:p>
    <w:p>
      <w:pPr>
        <w:jc w:val="both"/>
        <w:ind w:firstLine="1505"/>
        <w:spacing w:after="0" w:line="238" w:lineRule="auto"/>
        <w:tabs>
          <w:tab w:leader="none" w:pos="203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of Employees</w:t>
      </w:r>
      <w:r>
        <w:rPr>
          <w:rFonts w:ascii="Times New Roman" w:cs="Times New Roman" w:eastAsia="Times New Roman" w:hAnsi="Times New Roman"/>
          <w:sz w:val="22"/>
          <w:szCs w:val="22"/>
          <w:color w:val="auto"/>
        </w:rPr>
        <w:t>. During Grantee’s employment and for the one-year period following termination of Grantee’s employment for any reason (the “</w:t>
      </w:r>
      <w:r>
        <w:rPr>
          <w:rFonts w:ascii="Times New Roman" w:cs="Times New Roman" w:eastAsia="Times New Roman" w:hAnsi="Times New Roman"/>
          <w:sz w:val="22"/>
          <w:szCs w:val="22"/>
          <w:u w:val="single" w:color="auto"/>
          <w:color w:val="auto"/>
        </w:rPr>
        <w:t>Coverage Period</w:t>
      </w:r>
      <w:r>
        <w:rPr>
          <w:rFonts w:ascii="Times New Roman" w:cs="Times New Roman" w:eastAsia="Times New Roman" w:hAnsi="Times New Roman"/>
          <w:sz w:val="22"/>
          <w:szCs w:val="22"/>
          <w:color w:val="auto"/>
        </w:rPr>
        <w:t>”), Grantee hereby agrees not to, directly or indirectly, solicit, hire, seek to hire, engage or assist any other person or entity (on Grantee’s own behalf or on behalf of such other person or entity) in soliciting, hiring or engaging any person who is at that time an employee, consultant, independent contractor, representative, or other agent of the Company or any of its Affiliates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perform services for any entity (other than the Company or its Affiliates), or attempt to induce or encourage any such employee to leave the employ of the Company or its Affiliates.</w:t>
      </w:r>
    </w:p>
    <w:p>
      <w:pPr>
        <w:spacing w:after="0" w:line="158" w:lineRule="exact"/>
        <w:rPr>
          <w:sz w:val="20"/>
          <w:szCs w:val="20"/>
          <w:color w:val="auto"/>
        </w:rPr>
      </w:pPr>
    </w:p>
    <w:p>
      <w:pPr>
        <w:ind w:left="2040" w:hanging="535"/>
        <w:spacing w:after="0"/>
        <w:tabs>
          <w:tab w:leader="none" w:pos="204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45" w:lineRule="auto"/>
        <w:tabs>
          <w:tab w:leader="none" w:pos="2557" w:val="left"/>
        </w:tabs>
        <w:numPr>
          <w:ilvl w:val="1"/>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return for, among other things, all of the above and the Company’s promise to provide the Proprietary or Confidential Information described herein, Grantee agrees that during Grantee’s employment and the Coverage Period, Grantee shall not compete with the Company by providing work, services or any other form of assistance (whether or not for compensation) in any capacity, whether as an employee, consultant, partner, or otherwise, to any Competitor that (1) is the same or similar to the services Grantee provided to the Company or (2) creates the reasonable risk that Grantee will (willfully, inadvertently or inevitably) use or disclose the Company’s Proprietary or Confidential Information. “</w:t>
      </w:r>
      <w:r>
        <w:rPr>
          <w:rFonts w:ascii="Times New Roman" w:cs="Times New Roman" w:eastAsia="Times New Roman" w:hAnsi="Times New Roman"/>
          <w:sz w:val="21"/>
          <w:szCs w:val="21"/>
          <w:u w:val="single" w:color="auto"/>
          <w:color w:val="auto"/>
        </w:rPr>
        <w:t>Competitor</w:t>
      </w:r>
      <w:r>
        <w:rPr>
          <w:rFonts w:ascii="Times New Roman" w:cs="Times New Roman" w:eastAsia="Times New Roman" w:hAnsi="Times New Roman"/>
          <w:sz w:val="21"/>
          <w:szCs w:val="21"/>
          <w:color w:val="auto"/>
        </w:rPr>
        <w:t>” includes any business that operates or does business similar in nature to that of the Company during the term of Grantee’s employment in any State, territory, or protectorate of the United States in which the Company or an Affiliate does business and/or in any foreign country in which the Company or an Affiliate has or maintains any place of business, venue, facility, or otherwise conducts business, as of the date of Grantee’s termination of employment with the Company. Grantee further acknowledges and agrees that the restrictions imposed in this subparagraph (i) will not prevent Grantee from earning a livelihood and that they are reasonable.</w:t>
      </w:r>
    </w:p>
    <w:p>
      <w:pPr>
        <w:spacing w:after="0" w:line="173" w:lineRule="exact"/>
        <w:rPr>
          <w:rFonts w:ascii="Times New Roman" w:cs="Times New Roman" w:eastAsia="Times New Roman" w:hAnsi="Times New Roman"/>
          <w:sz w:val="21"/>
          <w:szCs w:val="21"/>
          <w:color w:val="auto"/>
        </w:rPr>
      </w:pPr>
    </w:p>
    <w:p>
      <w:pPr>
        <w:jc w:val="both"/>
        <w:ind w:left="760" w:firstLine="1494"/>
        <w:spacing w:after="0" w:line="233" w:lineRule="auto"/>
        <w:tabs>
          <w:tab w:leader="none" w:pos="2557"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should Grantee consider working for or with any actually, arguably, or potentially competing business following the termination of Grantee’s employment with the Company or any of its Affiliates and during the Coverage Period, then Grantee agrees to provide the Company with two (2) weeks advance written notice of Grantee’s intent to do so, and also to provide the Company with accurate information concerning the nature of Grantee’s anticipated job responsibilities in sufficient detail to allow the Company to meaningfully exercise its rights under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After receipt of such notice, the Company may then agree, in its sole, absolute, and unreviewable discretion, to waive, modify, or condition its rights under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In particular, the Company may agree to modify </w:t>
      </w:r>
      <w:r>
        <w:rPr>
          <w:rFonts w:ascii="Times New Roman" w:cs="Times New Roman" w:eastAsia="Times New Roman" w:hAnsi="Times New Roman"/>
          <w:sz w:val="22"/>
          <w:szCs w:val="22"/>
          <w:u w:val="single" w:color="auto"/>
          <w:color w:val="auto"/>
        </w:rPr>
        <w:t>Section 1(c)</w:t>
      </w:r>
      <w:r>
        <w:rPr>
          <w:rFonts w:ascii="Times New Roman" w:cs="Times New Roman" w:eastAsia="Times New Roman" w:hAnsi="Times New Roman"/>
          <w:sz w:val="22"/>
          <w:szCs w:val="22"/>
          <w:color w:val="auto"/>
        </w:rPr>
        <w:t xml:space="preserve"> if the Company concludes that the work Grantee will be performing for a Competitor is different from the work Grantee was performing during Grantee’s employment with the Company or any of its Affiliates and/or (2) there is no reasonable risk that Grantee will (willfully, inadvertently or inevitably) use or disclose the Company’s Proprietary or Confidential Information.</w:t>
      </w:r>
    </w:p>
    <w:p>
      <w:pPr>
        <w:spacing w:after="0" w:line="187"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of Business Partners</w:t>
      </w:r>
      <w:r>
        <w:rPr>
          <w:rFonts w:ascii="Times New Roman" w:cs="Times New Roman" w:eastAsia="Times New Roman" w:hAnsi="Times New Roman"/>
          <w:sz w:val="22"/>
          <w:szCs w:val="22"/>
          <w:color w:val="auto"/>
        </w:rPr>
        <w:t>. Grantee acknowledges that, by virtue of Grantee’s employment by the Company or its Affiliates, Grantee has gained or will gain knowledge of the identity, characteristics, and preferences of the Company’s Business Partners, among other Proprietary or Confidential Information, and that Grantee would inevitably have to draw on such information if Grantee were to solicit or service the Company’s Business Partners on behalf of a Competitor. Accordingly, during the term of Grantee’s employment and the Coverage Period, Grantee agrees not to, directly or indirectly, solicit the business of or perform any services of the type Grantee performed or sell any products of the type Grantee sold during Grantee’s employment with the Company for or to actual or prospective Business Partners of the Company (i) as to which Grantee performed services, sold products or as to which employees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persons under Grantee’s supervision or authority performed such services, or had direct contact, or (ii) as to which Grantee had accessed Proprietary or Confidential Information during the course of Grantee’s employment by the Company, or in any manner encourage or induce any such actual or prospective Business Partner to cease doing business with or in any way interfere with the relationship between the Company and its Affiliates and such actual or prospective Business Partner. Grantee further agrees that during the term of Grantee’s employment and the Coverage Period, Grantee will not encourage or assist any Competitor to solicit or service any actual or prospective Business Partners or otherwise seek to encourage or induce any Business Partners to cease doing business with, or reduce the extent of its business dealings with the Company.</w:t>
      </w:r>
    </w:p>
    <w:p>
      <w:pPr>
        <w:spacing w:after="0" w:line="183" w:lineRule="exact"/>
        <w:rPr>
          <w:sz w:val="20"/>
          <w:szCs w:val="20"/>
          <w:color w:val="auto"/>
        </w:rPr>
      </w:pPr>
    </w:p>
    <w:p>
      <w:pPr>
        <w:jc w:val="both"/>
        <w:ind w:firstLine="1505"/>
        <w:spacing w:after="0" w:line="251" w:lineRule="auto"/>
        <w:tabs>
          <w:tab w:leader="none" w:pos="2036"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Non-Interference</w:t>
      </w:r>
      <w:r>
        <w:rPr>
          <w:rFonts w:ascii="Times New Roman" w:cs="Times New Roman" w:eastAsia="Times New Roman" w:hAnsi="Times New Roman"/>
          <w:sz w:val="21"/>
          <w:szCs w:val="21"/>
          <w:color w:val="auto"/>
        </w:rPr>
        <w:t>. During the term of Grantee’s employment and the Coverage Period, Grantee agrees that Grantee shall not, directly or indirectly, induce or encourage any Business Partner or other third party, including any provider of goods or services to the Company, to terminate or diminish its business relationship with the Company; nor will Grantee take any other action that could, directly or indirectly, be detrimental to the Company’s relationships with its Business Partners and providers of goods or services or other business affiliates or that could otherwise interfere with the Company’s business.</w:t>
      </w:r>
    </w:p>
    <w:p>
      <w:pPr>
        <w:spacing w:after="0" w:line="168" w:lineRule="exact"/>
        <w:rPr>
          <w:rFonts w:ascii="Times New Roman" w:cs="Times New Roman" w:eastAsia="Times New Roman" w:hAnsi="Times New Roman"/>
          <w:sz w:val="21"/>
          <w:szCs w:val="21"/>
          <w:color w:val="auto"/>
        </w:rPr>
      </w:pPr>
    </w:p>
    <w:p>
      <w:pPr>
        <w:jc w:val="both"/>
        <w:ind w:firstLine="1505"/>
        <w:spacing w:after="0" w:line="233" w:lineRule="auto"/>
        <w:tabs>
          <w:tab w:leader="none" w:pos="2036"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Grantee agrees during and following the term of Grantee’s employment, not to make, or cause to be made, any statement, observation, or opinion, or communicate any information (whether oral or written, directly or indirectly) that (i) accuses or implies that the other party or its Affiliates, as may be applicable, engaged in any wrongful, unlawful or improper conduct, whether relating to Grantee’s employment (or the termination thereof), the business, management, or operations of the Company or its Affiliates, as may be applicable, or otherwise, or (ii) disparages, impugns, or in any way reflects adversely upon the business or reputation of the other party or its subsidiaries or affiliates, as may be applicable. Nothing herein, however, will be deemed to preclude either party from providing truthful testimony or information pursuant to subpoena, court order, or similar legal process, instituting and pursuing legal action, or engaging in other legally protected speech or activities or to prevent either party from making any disclosure required by the Securities Exchange Act of 1934 or other applicable law (including without limitation Company disclosure deemed advisable under the federal securities laws or the rules of any stock exchange).</w:t>
      </w:r>
    </w:p>
    <w:p>
      <w:pPr>
        <w:spacing w:after="0" w:line="187"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w:t>
      </w:r>
      <w:r>
        <w:rPr>
          <w:rFonts w:ascii="Times New Roman" w:cs="Times New Roman" w:eastAsia="Times New Roman" w:hAnsi="Times New Roman"/>
          <w:sz w:val="22"/>
          <w:szCs w:val="22"/>
          <w:color w:val="auto"/>
        </w:rPr>
        <w:t xml:space="preserve">. Grantee acknowledges that the restrictions contained in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are fair, reasonable, and necessary for the protection of the legitimate business interests of the Company, that the Company will suffer irreparable harm in the event of any actual or threatened breach by Grantee, and that it is difficult to measure in money the damages which will accrue to the Company by reason of a failure by Grantee to perform any of Grantee’s obligations under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Accordingly, if the Company or any of its subsidiaries or Affiliates institutes any action or proceeding to enforce their rights under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to the extent permitted by applicable law, Grantee hereby waives the claim or defense that the Company or its Affiliates has an adequate remedy at law, Grantee shall not claim that any such remedy at law exists, and Grantee consents to the entry of a restraining order, preliminary injunction, or other preliminary, provisional, or permanent court order to enforce this Agreement, and expressly waives any security that might otherwise be required in connection with such relief. Grantee also agrees that any request for such relief by the Company shall be in addition and without prejudice to any claim for monetary damages and/or other relief which the Company might elect to assert. The Parties further 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878205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that, in the event that any provision of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shall be determined by any court of competent jurisdiction to be unenforceable by reason of its being extended over too great a time, too large a geographic area or too great a range of activities, such provision shall be deemed to be modified to permit its enforcement to the maximum extent permitted by law. The length of time for which the covenants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shall be in force shall be extended by an amount of time equal to the period of time during which a violation of such covenant is deemed by a court of competent jurisdiction to have occurred (including any period required for litigation during which the Company seeks to enforce such covenant). If, notwithstanding such provision, a court in any judicial proceeding refuses to enforce any of the separate covenants included herein, the unenforceable covenant will be considered eliminated from these provisions for the purpose of those proceedings to the extent necessary to permit the remaining separate covenants to be enforced.</w:t>
      </w:r>
    </w:p>
    <w:p>
      <w:pPr>
        <w:spacing w:after="0" w:line="183" w:lineRule="exact"/>
        <w:rPr>
          <w:sz w:val="20"/>
          <w:szCs w:val="20"/>
          <w:color w:val="auto"/>
        </w:rPr>
      </w:pPr>
    </w:p>
    <w:p>
      <w:pPr>
        <w:jc w:val="both"/>
        <w:ind w:firstLine="1505"/>
        <w:spacing w:after="0" w:line="233" w:lineRule="auto"/>
        <w:tabs>
          <w:tab w:leader="none" w:pos="2036"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Notwithstanding Grantee’s confidentiality and nondisclosure obligations, Grantee is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For the avoidance of doubt, nothing in this Agreement is intended to, nor shall be construed to, conflict with the Defend Trade Secrets Act 18 U.S.C. § 1833(b). Further, Grantee understands that nothing in this Agreement or any other agreement that Grantee may have with the Company or any of its Subsidiaries restricts or prohibits Grantee from communicating with government agencies about possible violations of federal, state, or local laws or otherwise providing information to government agencies filing a complaint with government agencies, or participating in government agency investigations or proceedings, or from making other disclosures that are protected under the whistleblower provisions of state or federal law or regulation, and Grantee does not need the Company’s prior authorization to engage in such conduct.</w:t>
      </w:r>
    </w:p>
    <w:p>
      <w:pPr>
        <w:spacing w:after="0" w:line="200" w:lineRule="exact"/>
        <w:rPr>
          <w:sz w:val="20"/>
          <w:szCs w:val="20"/>
          <w:color w:val="auto"/>
        </w:rPr>
      </w:pPr>
    </w:p>
    <w:p>
      <w:pPr>
        <w:spacing w:after="0" w:line="22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0" w:lineRule="exact"/>
        <w:rPr>
          <w:sz w:val="20"/>
          <w:szCs w:val="20"/>
          <w:color w:val="auto"/>
        </w:rPr>
      </w:pPr>
    </w:p>
    <w:p>
      <w:pPr>
        <w:spacing w:after="0" w:line="27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Grantee Name: ________________</w:t>
      </w:r>
    </w:p>
    <w:p>
      <w:pPr>
        <w:spacing w:after="0" w:line="23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Date: 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20"/>
          <w:szCs w:val="20"/>
          <w:b w:val="1"/>
          <w:bCs w:val="1"/>
          <w:color w:val="auto"/>
        </w:rPr>
        <w:t>January 30, 2025</w:t>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1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NATIONAL CINEMEDIA, INC.</w:t>
      </w:r>
    </w:p>
    <w:p>
      <w:pPr>
        <w:ind w:left="4100"/>
        <w:spacing w:after="0"/>
        <w:rPr>
          <w:sz w:val="20"/>
          <w:szCs w:val="20"/>
          <w:color w:val="auto"/>
        </w:rPr>
      </w:pPr>
      <w:r>
        <w:rPr>
          <w:rFonts w:ascii="Times New Roman" w:cs="Times New Roman" w:eastAsia="Times New Roman" w:hAnsi="Times New Roman"/>
          <w:sz w:val="22"/>
          <w:szCs w:val="22"/>
          <w:b w:val="1"/>
          <w:bCs w:val="1"/>
          <w:color w:val="auto"/>
        </w:rPr>
        <w:t>NATIONAL CINEMEDIA, LLC</w:t>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Purpose</w:t>
      </w:r>
    </w:p>
    <w:p>
      <w:pPr>
        <w:spacing w:after="0" w:line="210" w:lineRule="exact"/>
        <w:rPr>
          <w:sz w:val="20"/>
          <w:szCs w:val="20"/>
          <w:color w:val="auto"/>
        </w:rPr>
      </w:pPr>
    </w:p>
    <w:p>
      <w:pPr>
        <w:ind w:right="40" w:firstLine="749"/>
        <w:spacing w:after="0" w:line="236" w:lineRule="auto"/>
        <w:rPr>
          <w:sz w:val="20"/>
          <w:szCs w:val="20"/>
          <w:color w:val="auto"/>
        </w:rPr>
      </w:pPr>
      <w:r>
        <w:rPr>
          <w:rFonts w:ascii="Times New Roman" w:cs="Times New Roman" w:eastAsia="Times New Roman" w:hAnsi="Times New Roman"/>
          <w:sz w:val="22"/>
          <w:szCs w:val="22"/>
          <w:color w:val="auto"/>
        </w:rPr>
        <w:t>The purpose of this Insider Trading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is to assure compliance with laws prohibiting “insider trading,” to help protect National CineMedia, Inc. and National CineMedia, LLC and their employees from serious liability and penalties that can result from violation of such laws, and to avoid the appearance of impropriety and resulting damage to our reputation for integrity and ethical conduct. To those ends, this Policy provides guidelines with respect to transactions in the securities of National CineMedia, Inc., National CineMedia, LLC and the companies with which they do business. This Policy also provides guidelines with respect to the handling of confidential information.</w:t>
      </w:r>
    </w:p>
    <w:p>
      <w:pPr>
        <w:spacing w:after="0" w:line="181" w:lineRule="exact"/>
        <w:rPr>
          <w:sz w:val="20"/>
          <w:szCs w:val="20"/>
          <w:color w:val="auto"/>
        </w:rPr>
      </w:pPr>
    </w:p>
    <w:p>
      <w:pPr>
        <w:ind w:right="400" w:firstLine="749"/>
        <w:spacing w:after="0" w:line="258" w:lineRule="auto"/>
        <w:rPr>
          <w:sz w:val="20"/>
          <w:szCs w:val="20"/>
          <w:color w:val="auto"/>
        </w:rPr>
      </w:pPr>
      <w:r>
        <w:rPr>
          <w:rFonts w:ascii="Times New Roman" w:cs="Times New Roman" w:eastAsia="Times New Roman" w:hAnsi="Times New Roman"/>
          <w:sz w:val="22"/>
          <w:szCs w:val="22"/>
          <w:color w:val="auto"/>
        </w:rPr>
        <w:t>In this Policy, we refer to National CineMedia, Inc. as “NCM, Inc.,” National CineMedia, LLC as “NCM LLC,” and National CineMedia, Inc. and National CineMedia, LLC together as the “Company.”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Individual Responsibility</w:t>
      </w:r>
    </w:p>
    <w:p>
      <w:pPr>
        <w:spacing w:after="0" w:line="210" w:lineRule="exact"/>
        <w:rPr>
          <w:sz w:val="20"/>
          <w:szCs w:val="20"/>
          <w:color w:val="auto"/>
        </w:rPr>
      </w:pPr>
    </w:p>
    <w:p>
      <w:pPr>
        <w:ind w:right="140" w:firstLine="749"/>
        <w:spacing w:after="0" w:line="235" w:lineRule="auto"/>
        <w:rPr>
          <w:sz w:val="20"/>
          <w:szCs w:val="20"/>
          <w:color w:val="auto"/>
        </w:rPr>
      </w:pPr>
      <w:r>
        <w:rPr>
          <w:rFonts w:ascii="Times New Roman" w:cs="Times New Roman" w:eastAsia="Times New Roman" w:hAnsi="Times New Roman"/>
          <w:sz w:val="22"/>
          <w:szCs w:val="22"/>
          <w:color w:val="auto"/>
        </w:rPr>
        <w:t>Persons subject to this Policy have ethical and legal obligations to maintain the confidentiality of information about the Company and to not engage in transactions in Securities (defined below) while in possession of Material Nonpublic Information (defined below). Each individual is responsible for making sure that he or she complies with this Policy, and that any family member, household member or entity whose transactions are subject to this Policy, as discussed below, also complies with this Policy. In all cases, the responsibility for determining whether an individual is in possession of Material Nonpublic Information rests with that individual. Persons subject to this Policy could be subject to severe legal penalties and disciplinary action by the Company for any conduct prohibited by this Policy or applicable securities laws, as described below in more detail under the heading “Consequences.”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Administration of the Policy</w:t>
      </w:r>
    </w:p>
    <w:p>
      <w:pPr>
        <w:spacing w:after="0" w:line="210"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22"/>
          <w:szCs w:val="22"/>
          <w:color w:val="auto"/>
        </w:rPr>
        <w:t>The General Counsel and Chief Financial Officer shall administer this policy. Any person who has a question about this Policy or its application to any proposed transaction may obtain additional guidance from the General Counsel and Chief Financial Officer.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Directors </w:t>
      </w:r>
      <w:r>
        <w:rPr>
          <w:rFonts w:ascii="Times New Roman" w:cs="Times New Roman" w:eastAsia="Times New Roman" w:hAnsi="Times New Roman"/>
          <w:sz w:val="22"/>
          <w:szCs w:val="22"/>
          <w:color w:val="auto"/>
        </w:rPr>
        <w:t>— Directors of NCM, Inc.</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Employees </w:t>
      </w:r>
      <w:r>
        <w:rPr>
          <w:rFonts w:ascii="Times New Roman" w:cs="Times New Roman" w:eastAsia="Times New Roman" w:hAnsi="Times New Roman"/>
          <w:sz w:val="22"/>
          <w:szCs w:val="22"/>
          <w:color w:val="auto"/>
        </w:rPr>
        <w:t>— Employees and Officers of, as well as consultants or contractors to, NCM, Inc. or NCM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179" w:name="page180"/>
    <w:bookmarkEnd w:id="179"/>
    <w:p>
      <w:pPr>
        <w:spacing w:after="0" w:line="181" w:lineRule="exact"/>
        <w:rPr>
          <w:sz w:val="20"/>
          <w:szCs w:val="20"/>
          <w:color w:val="auto"/>
        </w:rPr>
      </w:pPr>
    </w:p>
    <w:p>
      <w:pPr>
        <w:ind w:right="200" w:firstLine="749"/>
        <w:spacing w:after="0" w:line="263" w:lineRule="auto"/>
        <w:rPr>
          <w:sz w:val="20"/>
          <w:szCs w:val="20"/>
          <w:color w:val="auto"/>
        </w:rPr>
      </w:pPr>
      <w:r>
        <w:rPr>
          <w:rFonts w:ascii="Times New Roman" w:cs="Times New Roman" w:eastAsia="Times New Roman" w:hAnsi="Times New Roman"/>
          <w:sz w:val="21"/>
          <w:szCs w:val="21"/>
          <w:i w:val="1"/>
          <w:iCs w:val="1"/>
          <w:color w:val="auto"/>
        </w:rPr>
        <w:t xml:space="preserve">Material </w:t>
      </w:r>
      <w:r>
        <w:rPr>
          <w:rFonts w:ascii="Times New Roman" w:cs="Times New Roman" w:eastAsia="Times New Roman" w:hAnsi="Times New Roman"/>
          <w:sz w:val="21"/>
          <w:szCs w:val="21"/>
          <w:color w:val="auto"/>
        </w:rPr>
        <w:t>— Information is considered “material” if a reasonable investor would consider that information important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making a decision to buy, hold or sell Securities. Any information that could be expected to affect a company’s stock price, whether it is positive or negative, should be considered material. See “Examples of Material Nonpublic Information” below.</w:t>
      </w:r>
    </w:p>
    <w:p>
      <w:pPr>
        <w:spacing w:after="0" w:line="151" w:lineRule="exact"/>
        <w:rPr>
          <w:sz w:val="20"/>
          <w:szCs w:val="20"/>
          <w:color w:val="auto"/>
        </w:rPr>
      </w:pPr>
    </w:p>
    <w:p>
      <w:pPr>
        <w:jc w:val="both"/>
        <w:ind w:right="140"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Material Nonpublic Information </w:t>
      </w:r>
      <w:r>
        <w:rPr>
          <w:rFonts w:ascii="Times New Roman" w:cs="Times New Roman" w:eastAsia="Times New Roman" w:hAnsi="Times New Roman"/>
          <w:sz w:val="22"/>
          <w:szCs w:val="22"/>
          <w:color w:val="auto"/>
        </w:rPr>
        <w:t>— Information concerning the Company that is both Material and Nonpublic,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companies when that information is obtained in the course of employment with, or the performance of services on behalf of, the Company.</w:t>
      </w:r>
    </w:p>
    <w:p>
      <w:pPr>
        <w:spacing w:after="0" w:line="167"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Nonpublic </w:t>
      </w:r>
      <w:r>
        <w:rPr>
          <w:rFonts w:ascii="Times New Roman" w:cs="Times New Roman" w:eastAsia="Times New Roman" w:hAnsi="Times New Roman"/>
          <w:sz w:val="22"/>
          <w:szCs w:val="22"/>
          <w:color w:val="auto"/>
        </w:rPr>
        <w:t>— Information that has not been disclosed to the public is generally considered to be nonpublic information.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 order to establish that the information has been disclosed to the public, it may be necessary to demonstrate that the information has been widely disseminated. Information generally would be considered widely disseminated if it was included in the Company’s filings with the Securities and Exchange Commission or in a press release issued by the Company or otherwise widely disseminated to the investing public. Information is considered public </w:t>
      </w:r>
      <w:r>
        <w:rPr>
          <w:rFonts w:ascii="Times New Roman" w:cs="Times New Roman" w:eastAsia="Times New Roman" w:hAnsi="Times New Roman"/>
          <w:sz w:val="22"/>
          <w:szCs w:val="22"/>
          <w:u w:val="single" w:color="auto"/>
          <w:color w:val="auto"/>
        </w:rPr>
        <w:t>one full business day</w:t>
      </w:r>
      <w:r>
        <w:rPr>
          <w:rFonts w:ascii="Times New Roman" w:cs="Times New Roman" w:eastAsia="Times New Roman" w:hAnsi="Times New Roman"/>
          <w:sz w:val="22"/>
          <w:szCs w:val="22"/>
          <w:color w:val="auto"/>
        </w:rPr>
        <w:t xml:space="preserve"> after its public release. If, for example, the Company were to make an announcement before Nasdaq opens on a Monday, no Employee or Director may Trade in Securities until Tuesday. If the Company were to make an announcement during or after Nasdaq’s market hours on a Monday, no Employee or Director may Trade in Securities until Wednesday.</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Officers </w:t>
      </w:r>
      <w:r>
        <w:rPr>
          <w:rFonts w:ascii="Times New Roman" w:cs="Times New Roman" w:eastAsia="Times New Roman" w:hAnsi="Times New Roman"/>
          <w:sz w:val="22"/>
          <w:szCs w:val="22"/>
          <w:color w:val="auto"/>
        </w:rPr>
        <w:t>— Officers of NCM, Inc. or NCM LLC.</w:t>
      </w:r>
    </w:p>
    <w:p>
      <w:pPr>
        <w:spacing w:after="0" w:line="206"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Securities </w:t>
      </w:r>
      <w:r>
        <w:rPr>
          <w:rFonts w:ascii="Times New Roman" w:cs="Times New Roman" w:eastAsia="Times New Roman" w:hAnsi="Times New Roman"/>
          <w:sz w:val="22"/>
          <w:szCs w:val="22"/>
          <w:color w:val="auto"/>
        </w:rPr>
        <w:t>— Equity, debt or convertible securities of NCM, Inc. or NCM LLC and put or call options or other derivative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securities, the value and characteristics of which depend, in part or in whole, on the value and characteristics of the securities of NCM, Inc. or NCM LLC.</w:t>
      </w:r>
    </w:p>
    <w:p>
      <w:pPr>
        <w:spacing w:after="0" w:line="167" w:lineRule="exact"/>
        <w:rPr>
          <w:sz w:val="20"/>
          <w:szCs w:val="20"/>
          <w:color w:val="auto"/>
        </w:rPr>
      </w:pPr>
    </w:p>
    <w:p>
      <w:pPr>
        <w:ind w:right="4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Trade or Trading </w:t>
      </w:r>
      <w:r>
        <w:rPr>
          <w:rFonts w:ascii="Times New Roman" w:cs="Times New Roman" w:eastAsia="Times New Roman" w:hAnsi="Times New Roman"/>
          <w:sz w:val="22"/>
          <w:szCs w:val="22"/>
          <w:color w:val="auto"/>
        </w:rPr>
        <w:t>— Buying or selling, or placing an order to buy or sell Securities either now or in the future, including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through cashless exercise of stock options where shares are sold to pay the exercise price.</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Policy</w:t>
      </w:r>
    </w:p>
    <w:p>
      <w:pPr>
        <w:spacing w:after="0" w:line="206" w:lineRule="exact"/>
        <w:rPr>
          <w:sz w:val="20"/>
          <w:szCs w:val="20"/>
          <w:color w:val="auto"/>
        </w:rPr>
      </w:pPr>
    </w:p>
    <w:p>
      <w:pPr>
        <w:ind w:left="760" w:right="6120" w:hanging="752"/>
        <w:spacing w:after="0" w:line="458" w:lineRule="auto"/>
        <w:tabs>
          <w:tab w:leader="none" w:pos="385" w:val="left"/>
        </w:tabs>
        <w:numPr>
          <w:ilvl w:val="0"/>
          <w:numId w:val="1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Trading in Securities by Employees or Directors </w:t>
      </w:r>
      <w:r>
        <w:rPr>
          <w:rFonts w:ascii="Times New Roman" w:cs="Times New Roman" w:eastAsia="Times New Roman" w:hAnsi="Times New Roman"/>
          <w:sz w:val="21"/>
          <w:szCs w:val="21"/>
          <w:i w:val="1"/>
          <w:iCs w:val="1"/>
          <w:color w:val="auto"/>
        </w:rPr>
        <w:t>Insider Trading</w:t>
      </w:r>
      <w:r>
        <w:rPr>
          <w:rFonts w:ascii="Times New Roman" w:cs="Times New Roman" w:eastAsia="Times New Roman" w:hAnsi="Times New Roman"/>
          <w:sz w:val="21"/>
          <w:szCs w:val="21"/>
          <w:color w:val="auto"/>
        </w:rPr>
        <w:t>. Employees or Directors may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not</w:t>
      </w:r>
      <w:r>
        <w:rPr>
          <w:rFonts w:ascii="Times New Roman" w:cs="Times New Roman" w:eastAsia="Times New Roman" w:hAnsi="Times New Roman"/>
          <w:sz w:val="21"/>
          <w:szCs w:val="21"/>
          <w:color w:val="auto"/>
        </w:rPr>
        <w:t>:</w:t>
      </w:r>
    </w:p>
    <w:p>
      <w:pPr>
        <w:ind w:left="1500" w:hanging="369"/>
        <w:spacing w:after="0"/>
        <w:tabs>
          <w:tab w:leader="none" w:pos="150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or sell Securities while in possession of Material Nonpublic Information; or</w:t>
      </w:r>
    </w:p>
    <w:p>
      <w:pPr>
        <w:spacing w:after="0" w:line="206" w:lineRule="exact"/>
        <w:rPr>
          <w:rFonts w:ascii="Times New Roman" w:cs="Times New Roman" w:eastAsia="Times New Roman" w:hAnsi="Times New Roman"/>
          <w:sz w:val="22"/>
          <w:szCs w:val="22"/>
          <w:color w:val="auto"/>
        </w:rPr>
      </w:pPr>
    </w:p>
    <w:p>
      <w:pPr>
        <w:ind w:left="1500" w:right="160" w:hanging="369"/>
        <w:spacing w:after="0" w:line="258" w:lineRule="auto"/>
        <w:tabs>
          <w:tab w:leader="none" w:pos="150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 in Securities from the time that they learn of Material Nonpublic Information until one full business day after any Material Nonpublic Information regarding the Company is released to the public.</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prohibition includes:</w:t>
      </w:r>
    </w:p>
    <w:p>
      <w:pPr>
        <w:spacing w:after="0" w:line="206" w:lineRule="exact"/>
        <w:rPr>
          <w:sz w:val="20"/>
          <w:szCs w:val="20"/>
          <w:color w:val="auto"/>
        </w:rPr>
      </w:pPr>
    </w:p>
    <w:p>
      <w:pPr>
        <w:ind w:left="1500" w:hanging="369"/>
        <w:spacing w:after="0"/>
        <w:tabs>
          <w:tab w:leader="none" w:pos="150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or sales of Securities by members of the Employee’s household;</w:t>
      </w:r>
    </w:p>
    <w:p>
      <w:pPr>
        <w:spacing w:after="0" w:line="391" w:lineRule="exact"/>
        <w:rPr>
          <w:rFonts w:ascii="Times New Roman" w:cs="Times New Roman" w:eastAsia="Times New Roman" w:hAnsi="Times New Roman"/>
          <w:sz w:val="22"/>
          <w:szCs w:val="22"/>
          <w:color w:val="auto"/>
        </w:rPr>
      </w:pPr>
    </w:p>
    <w:p>
      <w:pPr>
        <w:ind w:left="55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0" w:name="page181"/>
    <w:bookmarkEnd w:id="180"/>
    <w:p>
      <w:pPr>
        <w:spacing w:after="0" w:line="185" w:lineRule="exact"/>
        <w:rPr>
          <w:sz w:val="20"/>
          <w:szCs w:val="20"/>
          <w:color w:val="auto"/>
        </w:rPr>
      </w:pPr>
    </w:p>
    <w:p>
      <w:pPr>
        <w:ind w:left="1500" w:right="400" w:hanging="369"/>
        <w:spacing w:after="0" w:line="258" w:lineRule="auto"/>
        <w:tabs>
          <w:tab w:leader="none" w:pos="150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or sales of Securities by family members who do not live in the Employee’s household but whose transactions in Securities are influenced or controlled by such Employee; and</w:t>
      </w:r>
    </w:p>
    <w:p>
      <w:pPr>
        <w:spacing w:after="0" w:line="15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purchases or sales of Securities by entities controlled by the Employee (corporations, partnerships, trusts, etc.).</w:t>
      </w:r>
    </w:p>
    <w:p>
      <w:pPr>
        <w:spacing w:after="0" w:line="218" w:lineRule="exact"/>
        <w:rPr>
          <w:sz w:val="20"/>
          <w:szCs w:val="20"/>
          <w:color w:val="auto"/>
        </w:rPr>
      </w:pPr>
    </w:p>
    <w:p>
      <w:pPr>
        <w:ind w:right="500" w:firstLine="749"/>
        <w:spacing w:after="0" w:line="244" w:lineRule="auto"/>
        <w:rPr>
          <w:sz w:val="20"/>
          <w:szCs w:val="20"/>
          <w:color w:val="auto"/>
        </w:rPr>
      </w:pPr>
      <w:r>
        <w:rPr>
          <w:rFonts w:ascii="Times New Roman" w:cs="Times New Roman" w:eastAsia="Times New Roman" w:hAnsi="Times New Roman"/>
          <w:sz w:val="22"/>
          <w:szCs w:val="22"/>
          <w:color w:val="auto"/>
        </w:rPr>
        <w:t>The prohibition on Trading while in possession of Material Nonpublic Information continues for as long as any information the Employee has is both Material and Nonpublic – and can continue even after the Employee’s employment or engagement with the Company has terminated.</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Tipping</w:t>
      </w:r>
      <w:r>
        <w:rPr>
          <w:rFonts w:ascii="Times New Roman" w:cs="Times New Roman" w:eastAsia="Times New Roman" w:hAnsi="Times New Roman"/>
          <w:sz w:val="22"/>
          <w:szCs w:val="22"/>
          <w:color w:val="auto"/>
        </w:rPr>
        <w:t>. Employees or Directors may not disclose Material Nonpublic Information regarding the Company to other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Employees or outside parties (except in each case on a need to know basis), or to family members. This is to assure that no</w:t>
      </w:r>
    </w:p>
    <w:p>
      <w:pPr>
        <w:spacing w:after="0"/>
        <w:rPr>
          <w:sz w:val="20"/>
          <w:szCs w:val="20"/>
          <w:color w:val="auto"/>
        </w:rPr>
      </w:pPr>
      <w:r>
        <w:rPr>
          <w:rFonts w:ascii="Times New Roman" w:cs="Times New Roman" w:eastAsia="Times New Roman" w:hAnsi="Times New Roman"/>
          <w:sz w:val="22"/>
          <w:szCs w:val="22"/>
          <w:color w:val="auto"/>
        </w:rPr>
        <w:t>Employee becomes a “tipper,” liable for the Trading of his or her “tippee.”</w:t>
      </w:r>
    </w:p>
    <w:p>
      <w:pPr>
        <w:spacing w:after="0" w:line="178" w:lineRule="exact"/>
        <w:rPr>
          <w:sz w:val="20"/>
          <w:szCs w:val="20"/>
          <w:color w:val="auto"/>
        </w:rPr>
      </w:pPr>
    </w:p>
    <w:p>
      <w:pPr>
        <w:jc w:val="both"/>
        <w:ind w:right="200"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Family Members</w:t>
      </w:r>
      <w:r>
        <w:rPr>
          <w:rFonts w:ascii="Times New Roman" w:cs="Times New Roman" w:eastAsia="Times New Roman" w:hAnsi="Times New Roman"/>
          <w:sz w:val="22"/>
          <w:szCs w:val="22"/>
          <w:color w:val="auto"/>
        </w:rPr>
        <w:t>. All Employees and Directors must instruct (i) their household members and (ii) any family members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who do not live in the Employee’s household but whose transactions in Securities are influenced or controlled by the Employee to observe the above rules and take all reasonable precautions to assure such observance.</w:t>
      </w:r>
    </w:p>
    <w:p>
      <w:pPr>
        <w:spacing w:after="0" w:line="167"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Pre-Clearance. </w:t>
      </w:r>
      <w:r>
        <w:rPr>
          <w:rFonts w:ascii="Times New Roman" w:cs="Times New Roman" w:eastAsia="Times New Roman" w:hAnsi="Times New Roman"/>
          <w:sz w:val="22"/>
          <w:szCs w:val="22"/>
          <w:color w:val="auto"/>
        </w:rPr>
        <w:t>All Designated Persons are required to pre-clear any Trading in Securities by written request to Financial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Reporting. Approval or rejection should be communicated within 72 hours of the request and if approved, the Trade must be completed within five trading days, except in the case of a limit order.</w:t>
      </w:r>
    </w:p>
    <w:p>
      <w:pPr>
        <w:spacing w:after="0" w:line="167" w:lineRule="exact"/>
        <w:rPr>
          <w:sz w:val="20"/>
          <w:szCs w:val="20"/>
          <w:color w:val="auto"/>
        </w:rPr>
      </w:pPr>
    </w:p>
    <w:p>
      <w:pPr>
        <w:ind w:right="340"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Gifts</w:t>
      </w:r>
      <w:r>
        <w:rPr>
          <w:rFonts w:ascii="Times New Roman" w:cs="Times New Roman" w:eastAsia="Times New Roman" w:hAnsi="Times New Roman"/>
          <w:sz w:val="22"/>
          <w:szCs w:val="22"/>
          <w:color w:val="auto"/>
        </w:rPr>
        <w:t>. The restrictions on Trading in Securities set out in this Policy may apply equally to gifts of Securities, so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Employees and Directors must pre-clear proposed gifts with the General Counsel and Chief Financial Officer of the Company before the gift is made.</w:t>
      </w:r>
    </w:p>
    <w:p>
      <w:pPr>
        <w:spacing w:after="0" w:line="167" w:lineRule="exact"/>
        <w:rPr>
          <w:sz w:val="20"/>
          <w:szCs w:val="20"/>
          <w:color w:val="auto"/>
        </w:rPr>
      </w:pPr>
    </w:p>
    <w:p>
      <w:pPr>
        <w:ind w:right="4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Options, Derivatives and Short Sales</w:t>
      </w:r>
      <w:r>
        <w:rPr>
          <w:rFonts w:ascii="Times New Roman" w:cs="Times New Roman" w:eastAsia="Times New Roman" w:hAnsi="Times New Roman"/>
          <w:sz w:val="22"/>
          <w:szCs w:val="22"/>
          <w:color w:val="auto"/>
        </w:rPr>
        <w:t>. Neither Employees nor Directors may engage in transactions in options, puts, calls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other derivative Securities with respect to Securities or sell short Securities.</w:t>
      </w:r>
    </w:p>
    <w:p>
      <w:pPr>
        <w:spacing w:after="0" w:line="150" w:lineRule="exact"/>
        <w:rPr>
          <w:sz w:val="20"/>
          <w:szCs w:val="20"/>
          <w:color w:val="auto"/>
        </w:rPr>
      </w:pPr>
    </w:p>
    <w:p>
      <w:pPr>
        <w:ind w:right="6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Margin Accounts and Pledged Securities</w:t>
      </w:r>
      <w:r>
        <w:rPr>
          <w:rFonts w:ascii="Times New Roman" w:cs="Times New Roman" w:eastAsia="Times New Roman" w:hAnsi="Times New Roman"/>
          <w:sz w:val="22"/>
          <w:szCs w:val="22"/>
          <w:color w:val="auto"/>
        </w:rPr>
        <w:t>. Neither Employees nor Directors may keep Securities in a margin account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may not use Securities as collateral for a loan.</w:t>
      </w:r>
    </w:p>
    <w:p>
      <w:pPr>
        <w:spacing w:after="0" w:line="150" w:lineRule="exact"/>
        <w:rPr>
          <w:sz w:val="20"/>
          <w:szCs w:val="20"/>
          <w:color w:val="auto"/>
        </w:rPr>
      </w:pPr>
    </w:p>
    <w:p>
      <w:pPr>
        <w:ind w:right="180"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Hedging Transactions</w:t>
      </w:r>
      <w:r>
        <w:rPr>
          <w:rFonts w:ascii="Times New Roman" w:cs="Times New Roman" w:eastAsia="Times New Roman" w:hAnsi="Times New Roman"/>
          <w:sz w:val="22"/>
          <w:szCs w:val="22"/>
          <w:color w:val="auto"/>
        </w:rPr>
        <w:t>. Neither Employees nor Directors may, directly or indirectly through a designee, purchase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financial instruments (including prepaid variable forward contracts, equity swaps, collars and exchange funds) that are designed to hedge or offset any decrease in market value of Securities.</w:t>
      </w:r>
    </w:p>
    <w:p>
      <w:pPr>
        <w:spacing w:after="0" w:line="16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2.</w:t>
      </w:r>
      <w:r>
        <w:rPr>
          <w:sz w:val="20"/>
          <w:szCs w:val="20"/>
          <w:color w:val="auto"/>
        </w:rPr>
        <w:tab/>
      </w:r>
      <w:r>
        <w:rPr>
          <w:rFonts w:ascii="Times New Roman" w:cs="Times New Roman" w:eastAsia="Times New Roman" w:hAnsi="Times New Roman"/>
          <w:sz w:val="21"/>
          <w:szCs w:val="21"/>
          <w:b w:val="1"/>
          <w:bCs w:val="1"/>
          <w:color w:val="auto"/>
        </w:rPr>
        <w:t>Additional Restrictions for Officers, Directors and Other Designated Persons</w:t>
      </w:r>
    </w:p>
    <w:p>
      <w:pPr>
        <w:spacing w:after="0" w:line="210" w:lineRule="exact"/>
        <w:rPr>
          <w:sz w:val="20"/>
          <w:szCs w:val="20"/>
          <w:color w:val="auto"/>
        </w:rPr>
      </w:pPr>
    </w:p>
    <w:p>
      <w:pPr>
        <w:ind w:right="500" w:firstLine="749"/>
        <w:spacing w:after="0" w:line="244" w:lineRule="auto"/>
        <w:rPr>
          <w:sz w:val="20"/>
          <w:szCs w:val="20"/>
          <w:color w:val="auto"/>
        </w:rPr>
      </w:pPr>
      <w:r>
        <w:rPr>
          <w:rFonts w:ascii="Times New Roman" w:cs="Times New Roman" w:eastAsia="Times New Roman" w:hAnsi="Times New Roman"/>
          <w:sz w:val="22"/>
          <w:szCs w:val="22"/>
          <w:color w:val="auto"/>
        </w:rPr>
        <w:t>All Officers, Directors and other persons so identified by the General Counsel and Chief Financial Officer of the Company are “</w:t>
      </w:r>
      <w:r>
        <w:rPr>
          <w:rFonts w:ascii="Times New Roman" w:cs="Times New Roman" w:eastAsia="Times New Roman" w:hAnsi="Times New Roman"/>
          <w:sz w:val="22"/>
          <w:szCs w:val="22"/>
          <w:u w:val="single" w:color="auto"/>
          <w:color w:val="auto"/>
        </w:rPr>
        <w:t>Designated Persons</w:t>
      </w:r>
      <w:r>
        <w:rPr>
          <w:rFonts w:ascii="Times New Roman" w:cs="Times New Roman" w:eastAsia="Times New Roman" w:hAnsi="Times New Roman"/>
          <w:sz w:val="22"/>
          <w:szCs w:val="22"/>
          <w:color w:val="auto"/>
        </w:rPr>
        <w:t>” for purposes of this Policy. From time to time, the General Counsel and Chief Financial Officer may identify additional</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Designated Persons, and the General Counsel or Chief Financial Officer will notify such persons of their designation.</w:t>
      </w:r>
    </w:p>
    <w:p>
      <w:pPr>
        <w:spacing w:after="0" w:line="20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All Designated Persons must follow the restrictions and guidelines in Part 1. In addition, all Designated Persons will also need to comply with the restrictions and guidelines set forth below:</w:t>
      </w:r>
    </w:p>
    <w:p>
      <w:pPr>
        <w:spacing w:after="0" w:line="154" w:lineRule="exact"/>
        <w:rPr>
          <w:sz w:val="20"/>
          <w:szCs w:val="20"/>
          <w:color w:val="auto"/>
        </w:rPr>
      </w:pPr>
    </w:p>
    <w:p>
      <w:pPr>
        <w:ind w:right="220" w:firstLine="749"/>
        <w:spacing w:after="0" w:line="286" w:lineRule="auto"/>
        <w:rPr>
          <w:sz w:val="20"/>
          <w:szCs w:val="20"/>
          <w:color w:val="auto"/>
        </w:rPr>
      </w:pPr>
      <w:r>
        <w:rPr>
          <w:rFonts w:ascii="Times New Roman" w:cs="Times New Roman" w:eastAsia="Times New Roman" w:hAnsi="Times New Roman"/>
          <w:sz w:val="21"/>
          <w:szCs w:val="21"/>
          <w:i w:val="1"/>
          <w:iCs w:val="1"/>
          <w:color w:val="auto"/>
        </w:rPr>
        <w:t xml:space="preserve">Blackout Period. </w:t>
      </w:r>
      <w:r>
        <w:rPr>
          <w:rFonts w:ascii="Times New Roman" w:cs="Times New Roman" w:eastAsia="Times New Roman" w:hAnsi="Times New Roman"/>
          <w:sz w:val="21"/>
          <w:szCs w:val="21"/>
          <w:color w:val="auto"/>
        </w:rPr>
        <w:t>No Designated Person may Trade in Securities during the period commencing on the last day of each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fiscal quarter and ending after the close of the business day after the public release of earnings for the quarter or fiscal year.</w:t>
      </w:r>
    </w:p>
    <w:p>
      <w:pPr>
        <w:spacing w:after="0" w:line="126" w:lineRule="exact"/>
        <w:rPr>
          <w:sz w:val="20"/>
          <w:szCs w:val="20"/>
          <w:color w:val="auto"/>
        </w:rPr>
      </w:pPr>
    </w:p>
    <w:p>
      <w:pPr>
        <w:ind w:right="80"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Material Nonpublic Information. </w:t>
      </w:r>
      <w:r>
        <w:rPr>
          <w:rFonts w:ascii="Times New Roman" w:cs="Times New Roman" w:eastAsia="Times New Roman" w:hAnsi="Times New Roman"/>
          <w:sz w:val="22"/>
          <w:szCs w:val="22"/>
          <w:color w:val="auto"/>
        </w:rPr>
        <w:t>Designated Persons are encouraged to Trade only in periods of relative stability for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even when they do not know of Material Nonpublic Information. They should limit their transactions in Securities to periods shortly after all Material Nonpublic Information has been disclosed in a filing or otherwise, but no sooner than one full business day following any disclosure. See “Examples of Material, Nonpublic Information” below. Note that the pre-clearance requirement still applies.</w:t>
      </w:r>
    </w:p>
    <w:p>
      <w:pPr>
        <w:spacing w:after="0" w:line="17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3.</w:t>
      </w:r>
      <w:r>
        <w:rPr>
          <w:sz w:val="20"/>
          <w:szCs w:val="20"/>
          <w:color w:val="auto"/>
        </w:rPr>
        <w:tab/>
      </w:r>
      <w:r>
        <w:rPr>
          <w:rFonts w:ascii="Times New Roman" w:cs="Times New Roman" w:eastAsia="Times New Roman" w:hAnsi="Times New Roman"/>
          <w:sz w:val="21"/>
          <w:szCs w:val="21"/>
          <w:b w:val="1"/>
          <w:bCs w:val="1"/>
          <w:color w:val="auto"/>
        </w:rPr>
        <w:t>Special Circumstances</w:t>
      </w:r>
    </w:p>
    <w:p>
      <w:pPr>
        <w:spacing w:after="0" w:line="210" w:lineRule="exact"/>
        <w:rPr>
          <w:sz w:val="20"/>
          <w:szCs w:val="20"/>
          <w:color w:val="auto"/>
        </w:rPr>
      </w:pPr>
    </w:p>
    <w:p>
      <w:pPr>
        <w:ind w:right="520" w:firstLine="749"/>
        <w:spacing w:after="0" w:line="258" w:lineRule="auto"/>
        <w:rPr>
          <w:sz w:val="20"/>
          <w:szCs w:val="20"/>
          <w:color w:val="auto"/>
        </w:rPr>
      </w:pPr>
      <w:r>
        <w:rPr>
          <w:rFonts w:ascii="Times New Roman" w:cs="Times New Roman" w:eastAsia="Times New Roman" w:hAnsi="Times New Roman"/>
          <w:sz w:val="22"/>
          <w:szCs w:val="22"/>
          <w:color w:val="auto"/>
        </w:rPr>
        <w:t>At times, the Company may determine that it is prudent to restrict Trading by certain Employees or groups. Special notifications will be provided to applicable individuals.</w:t>
      </w:r>
    </w:p>
    <w:p>
      <w:pPr>
        <w:spacing w:after="0" w:line="15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4.</w:t>
      </w:r>
      <w:r>
        <w:rPr>
          <w:sz w:val="20"/>
          <w:szCs w:val="20"/>
          <w:color w:val="auto"/>
        </w:rPr>
        <w:tab/>
      </w:r>
      <w:r>
        <w:rPr>
          <w:rFonts w:ascii="Times New Roman" w:cs="Times New Roman" w:eastAsia="Times New Roman" w:hAnsi="Times New Roman"/>
          <w:sz w:val="21"/>
          <w:szCs w:val="21"/>
          <w:b w:val="1"/>
          <w:bCs w:val="1"/>
          <w:color w:val="auto"/>
        </w:rPr>
        <w:t>Transactions Under Company Plans</w:t>
      </w:r>
    </w:p>
    <w:p>
      <w:pPr>
        <w:spacing w:after="0" w:line="206" w:lineRule="exact"/>
        <w:rPr>
          <w:sz w:val="20"/>
          <w:szCs w:val="20"/>
          <w:color w:val="auto"/>
        </w:rPr>
      </w:pPr>
    </w:p>
    <w:p>
      <w:pPr>
        <w:jc w:val="both"/>
        <w:ind w:right="40"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Stock Option Exercises. </w:t>
      </w:r>
      <w:r>
        <w:rPr>
          <w:rFonts w:ascii="Times New Roman" w:cs="Times New Roman" w:eastAsia="Times New Roman" w:hAnsi="Times New Roman"/>
          <w:sz w:val="22"/>
          <w:szCs w:val="22"/>
          <w:color w:val="auto"/>
        </w:rPr>
        <w:t>This Policy does not apply to the exercise of an employee stock option under the cash purchase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option if the Employee holds the shares. The Policy does apply, however, to all sales of stock upon the exercise of a stock option, regardless of whether such sale is for the purpose of generating cash needed to pay the exercise price.</w:t>
      </w:r>
    </w:p>
    <w:p>
      <w:pPr>
        <w:spacing w:after="0" w:line="167"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Approved 10b5-1 Plans. </w:t>
      </w:r>
      <w:r>
        <w:rPr>
          <w:rFonts w:ascii="Times New Roman" w:cs="Times New Roman" w:eastAsia="Times New Roman" w:hAnsi="Times New Roman"/>
          <w:sz w:val="22"/>
          <w:szCs w:val="22"/>
          <w:color w:val="auto"/>
        </w:rPr>
        <w:t>Trades in Securities that are executed pursuant to an approved 10b5-1 plan are not subject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prohibition on Trading on the basis of Material Nonpublic Information contained in this Policy. The Company strongly encourages all Trading by Designated Persons to occur through 10b5-1 plans that comply with applicable law.</w:t>
      </w:r>
    </w:p>
    <w:p>
      <w:pPr>
        <w:spacing w:after="0" w:line="171"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Rule 10b5-l provides an affirmative defense from insider trading liability under the federal securities laws for trading plans that meet certain requirements. In general, a 10b5-1 plan must be entered into, modified, suspended, or terminated when the person is not aware of any Material Nonpublic Information and may not be adopted during a blackout period. Once the plan is adopted, such person must not exercise any influence over the amount of Securities to be Traded, the price at which they are to be Traded or the date of the Trade. The plan must either specify (including by formula) the amount, pricing and timing of transactions in advance or delegate discretion on those matters to an independent third party. Trades pursuant to a 10b5-1 plan may occur at any time, subject to a waiting period after adoption of the 10b5-1 plan during which time no transactions under the 10b5-1 plan can be made equal to the later of (i) 90 days following adoption or modification of a plan, or (ii) 2 business days after the disclosure of the company’s financial results in a Form 10-Q or Form 10-K for the completed fiscal period in which the plan was adopted or modified (subject to a maximum waiting period of 120 days after</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85"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adoption or modification); provided that if the individual adopting or modifying the 10b5-1 plan is not a director or officer, a shorter time period that complies with applicable law may be agreed to with the approval of the General Counsel and the Chief Financial Officer.</w:t>
      </w:r>
    </w:p>
    <w:p>
      <w:pPr>
        <w:spacing w:after="0" w:line="173"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The Company requires that all 10b5-1 plans, including any modifications or terminations, be approved in writing in advance by the General Counsel or the Chief Financial Officer of the Company. The Company expects that all 10b5-1 plans presented for adoption, modification, or termination comply with all applicable laws and reserves the right to request any changes it deems prudent prior to approval.</w:t>
      </w:r>
    </w:p>
    <w:p>
      <w:pPr>
        <w:spacing w:after="0" w:line="1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5.</w:t>
      </w:r>
      <w:r>
        <w:rPr>
          <w:sz w:val="20"/>
          <w:szCs w:val="20"/>
          <w:color w:val="auto"/>
        </w:rPr>
        <w:tab/>
      </w:r>
      <w:r>
        <w:rPr>
          <w:rFonts w:ascii="Times New Roman" w:cs="Times New Roman" w:eastAsia="Times New Roman" w:hAnsi="Times New Roman"/>
          <w:sz w:val="21"/>
          <w:szCs w:val="21"/>
          <w:b w:val="1"/>
          <w:bCs w:val="1"/>
          <w:color w:val="auto"/>
        </w:rPr>
        <w:t>Applicability of this Policy to Inside Information Regarding Other Companies</w:t>
      </w:r>
    </w:p>
    <w:p>
      <w:pPr>
        <w:spacing w:after="0" w:line="210"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This Policy and the guidelines described herein also apply to Material Nonpublic Information relating to other companies, including the Company’s vendors and suppliers (“</w:t>
      </w:r>
      <w:r>
        <w:rPr>
          <w:rFonts w:ascii="Times New Roman" w:cs="Times New Roman" w:eastAsia="Times New Roman" w:hAnsi="Times New Roman"/>
          <w:sz w:val="22"/>
          <w:szCs w:val="22"/>
          <w:u w:val="single" w:color="auto"/>
          <w:color w:val="auto"/>
        </w:rPr>
        <w:t>business partners</w:t>
      </w:r>
      <w:r>
        <w:rPr>
          <w:rFonts w:ascii="Times New Roman" w:cs="Times New Roman" w:eastAsia="Times New Roman" w:hAnsi="Times New Roman"/>
          <w:sz w:val="22"/>
          <w:szCs w:val="22"/>
          <w:color w:val="auto"/>
        </w:rPr>
        <w:t>”), when that information is obtained in the course of employment with, or the performance of services on behalf of, the Company. Civil and criminal penalties, and the termination of employment, may result from Trading on inside information regarding the Company’s business partners. All Employees and Directors should treat Material Nonpublic Information about the Company’s business partners with the same care required with respect to information related directly to the Company.</w:t>
      </w:r>
    </w:p>
    <w:p>
      <w:pPr>
        <w:spacing w:after="0" w:line="17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6.</w:t>
      </w:r>
      <w:r>
        <w:rPr>
          <w:sz w:val="20"/>
          <w:szCs w:val="20"/>
          <w:color w:val="auto"/>
        </w:rPr>
        <w:tab/>
      </w:r>
      <w:r>
        <w:rPr>
          <w:rFonts w:ascii="Times New Roman" w:cs="Times New Roman" w:eastAsia="Times New Roman" w:hAnsi="Times New Roman"/>
          <w:sz w:val="21"/>
          <w:szCs w:val="21"/>
          <w:b w:val="1"/>
          <w:bCs w:val="1"/>
          <w:color w:val="auto"/>
        </w:rPr>
        <w:t>Post-Termination Transactions</w:t>
      </w:r>
    </w:p>
    <w:p>
      <w:pPr>
        <w:spacing w:after="0" w:line="210"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color w:val="auto"/>
        </w:rPr>
        <w:t>This Policy continues to apply to transactions in Securities even after an Employee has terminated employment or a Director has ceased to be a director of the Company. If an Employee or Director is in possession of Material Nonpublic Information when his or her service terminates, such person may not Trade in Securities until that information has become public or is no longer Material. The pre-clearance procedures applicable to such individuals specified under the heading “Pre-Clearance” in Section 1 of this Policy, will cease to apply to transactions in Securities upon the expiration of any blackout period or other Company-imposed trading restrictions in force at the time of such individual’s termination of service.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Consequences</w:t>
      </w:r>
    </w:p>
    <w:p>
      <w:pPr>
        <w:spacing w:after="0" w:line="210" w:lineRule="exact"/>
        <w:rPr>
          <w:sz w:val="20"/>
          <w:szCs w:val="20"/>
          <w:color w:val="auto"/>
        </w:rPr>
      </w:pPr>
    </w:p>
    <w:p>
      <w:pPr>
        <w:ind w:right="60" w:firstLine="749"/>
        <w:spacing w:after="0" w:line="238" w:lineRule="auto"/>
        <w:rPr>
          <w:sz w:val="20"/>
          <w:szCs w:val="20"/>
          <w:color w:val="auto"/>
        </w:rPr>
      </w:pPr>
      <w:r>
        <w:rPr>
          <w:rFonts w:ascii="Times New Roman" w:cs="Times New Roman" w:eastAsia="Times New Roman" w:hAnsi="Times New Roman"/>
          <w:sz w:val="22"/>
          <w:szCs w:val="22"/>
          <w:color w:val="auto"/>
        </w:rPr>
        <w:t>You should be aware that securities market surveillance techniques are very sophisticated and the chance that federal authorities or Nasdaq officials will detect and prosecute even apparently minor insider trading violations is a significant one. The Securities and Exchange Commission has successfully prosecuted cases against employees trading through foreign accounts, trading by family members and friends, and trading involving only a small number of shares. The consequences of an insider trading violation can be severe.</w:t>
      </w:r>
    </w:p>
    <w:p>
      <w:pPr>
        <w:spacing w:after="0" w:line="177" w:lineRule="exact"/>
        <w:rPr>
          <w:sz w:val="20"/>
          <w:szCs w:val="20"/>
          <w:color w:val="auto"/>
        </w:rPr>
      </w:pPr>
    </w:p>
    <w:p>
      <w:pPr>
        <w:ind w:left="1500" w:right="240" w:hanging="369"/>
        <w:spacing w:after="0" w:line="258" w:lineRule="auto"/>
        <w:tabs>
          <w:tab w:leader="none" w:pos="150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by any Employee to abide by this Policy, whether or not the Employee’s failure to comply results in a violation of law, will result in sanctions, which may include dismissal for cause.</w:t>
      </w:r>
    </w:p>
    <w:p>
      <w:pPr>
        <w:spacing w:after="0" w:line="158" w:lineRule="exact"/>
        <w:rPr>
          <w:rFonts w:ascii="Times New Roman" w:cs="Times New Roman" w:eastAsia="Times New Roman" w:hAnsi="Times New Roman"/>
          <w:sz w:val="22"/>
          <w:szCs w:val="22"/>
          <w:color w:val="auto"/>
        </w:rPr>
      </w:pPr>
    </w:p>
    <w:p>
      <w:pPr>
        <w:ind w:left="1500" w:right="700" w:hanging="369"/>
        <w:spacing w:after="0" w:line="282" w:lineRule="auto"/>
        <w:tabs>
          <w:tab w:leader="none" w:pos="1500"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sanctions imposed upon or liabilities incurred by an Employee for insider trading will be the sole responsibility of the Employee. The Company will not cover or indemnify the Employee for these costs.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3" w:name="page184"/>
    <w:bookmarkEnd w:id="183"/>
    <w:p>
      <w:pPr>
        <w:spacing w:after="0" w:line="185" w:lineRule="exact"/>
        <w:rPr>
          <w:sz w:val="20"/>
          <w:szCs w:val="20"/>
          <w:color w:val="auto"/>
        </w:rPr>
      </w:pPr>
    </w:p>
    <w:p>
      <w:pPr>
        <w:ind w:left="1500" w:right="360" w:hanging="369"/>
        <w:spacing w:after="0" w:line="236" w:lineRule="auto"/>
        <w:tabs>
          <w:tab w:leader="none" w:pos="15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on Material Nonpublic Information is a crime subject to fines (no matter how small the profit of the Trade) of up to $5 million and jail terms of up to 20 years for individuals. In addition, the Securities and Exchange Commission may seek civil penalties of up to three times the profits made or losses avoided from insider trading. Inside traders must also disgorge any profits made, may be subject to civil liability to private plaintiffs and may be prohibited from serving as directors or officers of the Company or any other public company.</w:t>
      </w:r>
    </w:p>
    <w:p>
      <w:pPr>
        <w:spacing w:after="0" w:line="181" w:lineRule="exact"/>
        <w:rPr>
          <w:rFonts w:ascii="Times New Roman" w:cs="Times New Roman" w:eastAsia="Times New Roman" w:hAnsi="Times New Roman"/>
          <w:sz w:val="22"/>
          <w:szCs w:val="22"/>
          <w:color w:val="auto"/>
        </w:rPr>
      </w:pPr>
    </w:p>
    <w:p>
      <w:pPr>
        <w:ind w:left="1500" w:right="820" w:hanging="369"/>
        <w:spacing w:after="0" w:line="258" w:lineRule="auto"/>
        <w:tabs>
          <w:tab w:leader="none" w:pos="15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also at risk under federal law and may be fined if the Company recklessly fails to take preventive steps to control insider trading.</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Examples of Material Nonpublic Information</w:t>
      </w:r>
    </w:p>
    <w:p>
      <w:pPr>
        <w:spacing w:after="0" w:line="210"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22"/>
          <w:szCs w:val="22"/>
          <w:color w:val="auto"/>
        </w:rPr>
        <w:t>The following is a list of common types of information that might be considered Material Nonpublic Information (if it is not generally known or available to the public):</w:t>
      </w:r>
    </w:p>
    <w:p>
      <w:pPr>
        <w:spacing w:after="0" w:line="158" w:lineRule="exact"/>
        <w:rPr>
          <w:sz w:val="20"/>
          <w:szCs w:val="20"/>
          <w:color w:val="auto"/>
        </w:rPr>
      </w:pPr>
    </w:p>
    <w:p>
      <w:pPr>
        <w:ind w:left="1500" w:right="100" w:hanging="369"/>
        <w:spacing w:after="0" w:line="258" w:lineRule="auto"/>
        <w:tabs>
          <w:tab w:leader="none" w:pos="15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information or other operating data for the Company or a company doing business with the Company, including revenue results, sales data, or other revenue projections</w:t>
      </w:r>
    </w:p>
    <w:p>
      <w:pPr>
        <w:spacing w:after="0" w:line="158" w:lineRule="exact"/>
        <w:rPr>
          <w:rFonts w:ascii="Times New Roman" w:cs="Times New Roman" w:eastAsia="Times New Roman" w:hAnsi="Times New Roman"/>
          <w:sz w:val="22"/>
          <w:szCs w:val="22"/>
          <w:color w:val="auto"/>
        </w:rPr>
      </w:pPr>
    </w:p>
    <w:p>
      <w:pPr>
        <w:ind w:left="1500" w:hanging="369"/>
        <w:spacing w:after="0" w:line="258" w:lineRule="auto"/>
        <w:tabs>
          <w:tab w:leader="none" w:pos="15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potential merger, joint venture, acquisition, disposition, tender offer or other significant changes in assets by the Company or a company doing business with the Company</w:t>
      </w:r>
    </w:p>
    <w:p>
      <w:pPr>
        <w:spacing w:after="0" w:line="158" w:lineRule="exact"/>
        <w:rPr>
          <w:rFonts w:ascii="Times New Roman" w:cs="Times New Roman" w:eastAsia="Times New Roman" w:hAnsi="Times New Roman"/>
          <w:sz w:val="22"/>
          <w:szCs w:val="22"/>
          <w:color w:val="auto"/>
        </w:rPr>
      </w:pPr>
    </w:p>
    <w:p>
      <w:pPr>
        <w:ind w:left="1500" w:right="380" w:hanging="369"/>
        <w:spacing w:after="0" w:line="258" w:lineRule="auto"/>
        <w:tabs>
          <w:tab w:leader="none" w:pos="15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legal actions filed or threatened against the Company or Material developments with respect to any such actions</w:t>
      </w:r>
    </w:p>
    <w:p>
      <w:pPr>
        <w:spacing w:after="0" w:line="158" w:lineRule="exact"/>
        <w:rPr>
          <w:rFonts w:ascii="Times New Roman" w:cs="Times New Roman" w:eastAsia="Times New Roman" w:hAnsi="Times New Roman"/>
          <w:sz w:val="22"/>
          <w:szCs w:val="22"/>
          <w:color w:val="auto"/>
        </w:rPr>
      </w:pPr>
    </w:p>
    <w:p>
      <w:pPr>
        <w:ind w:left="1500" w:right="100" w:hanging="369"/>
        <w:spacing w:after="0" w:line="258" w:lineRule="auto"/>
        <w:tabs>
          <w:tab w:leader="none" w:pos="15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change, either up or down, in the Company’s business, financial condition or operating results, or in the business, financial condition or operating results of a company doing business with the Company</w:t>
      </w:r>
    </w:p>
    <w:p>
      <w:pPr>
        <w:spacing w:after="0" w:line="15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personnel or operations changes or restructuring</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related party transactions</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management</w:t>
      </w:r>
    </w:p>
    <w:p>
      <w:pPr>
        <w:spacing w:after="0" w:line="206" w:lineRule="exact"/>
        <w:rPr>
          <w:rFonts w:ascii="Times New Roman" w:cs="Times New Roman" w:eastAsia="Times New Roman" w:hAnsi="Times New Roman"/>
          <w:sz w:val="22"/>
          <w:szCs w:val="22"/>
          <w:color w:val="auto"/>
        </w:rPr>
      </w:pPr>
    </w:p>
    <w:p>
      <w:pPr>
        <w:ind w:left="1500" w:right="600" w:hanging="369"/>
        <w:spacing w:after="0" w:line="258" w:lineRule="auto"/>
        <w:tabs>
          <w:tab w:leader="none" w:pos="15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potential changes in dividend policy, or proposals for a stock split or the offering of additional Securities</w:t>
      </w:r>
    </w:p>
    <w:p>
      <w:pPr>
        <w:spacing w:after="0" w:line="15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Establishment by the Company of a repurchase program for its Securities</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about a major development, contract, lease or cancellation of an existing contract or lease</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cybersecurity incidents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85" w:lineRule="exact"/>
        <w:rPr>
          <w:sz w:val="20"/>
          <w:szCs w:val="20"/>
          <w:color w:val="auto"/>
        </w:rPr>
      </w:pPr>
    </w:p>
    <w:p>
      <w:pPr>
        <w:ind w:left="1500" w:hanging="369"/>
        <w:spacing w:after="0"/>
        <w:tabs>
          <w:tab w:leader="none" w:pos="150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liquidity issues (e.g., impending bankruptcy or the existence of severe liquidity problems)</w:t>
      </w:r>
    </w:p>
    <w:p>
      <w:pPr>
        <w:spacing w:after="0" w:line="206" w:lineRule="exact"/>
        <w:rPr>
          <w:rFonts w:ascii="Times New Roman" w:cs="Times New Roman" w:eastAsia="Times New Roman" w:hAnsi="Times New Roman"/>
          <w:sz w:val="22"/>
          <w:szCs w:val="22"/>
          <w:color w:val="auto"/>
        </w:rPr>
      </w:pPr>
    </w:p>
    <w:p>
      <w:pPr>
        <w:ind w:left="1500" w:hanging="369"/>
        <w:spacing w:after="0" w:line="258" w:lineRule="auto"/>
        <w:tabs>
          <w:tab w:leader="none" w:pos="150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the Company’s auditors or a notification from its auditors that the Company may no longer rely on the auditors’ report</w:t>
      </w:r>
    </w:p>
    <w:p>
      <w:pPr>
        <w:spacing w:after="0" w:line="15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financing transactions or bank borrowings out of the ordinary course</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write-offs</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Imposition of a ban on Trading in Securities or Securities of a business partner</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that is likely to affect the market price of the Company’s Securities, either negatively or positively</w:t>
      </w:r>
    </w:p>
    <w:p>
      <w:pPr>
        <w:spacing w:after="0" w:line="206" w:lineRule="exact"/>
        <w:rPr>
          <w:sz w:val="20"/>
          <w:szCs w:val="20"/>
          <w:color w:val="auto"/>
        </w:rPr>
      </w:pPr>
    </w:p>
    <w:p>
      <w:pPr>
        <w:jc w:val="both"/>
        <w:ind w:right="20" w:firstLine="749"/>
        <w:spacing w:after="0" w:line="239" w:lineRule="auto"/>
        <w:rPr>
          <w:sz w:val="20"/>
          <w:szCs w:val="20"/>
          <w:color w:val="auto"/>
        </w:rPr>
      </w:pPr>
      <w:r>
        <w:rPr>
          <w:rFonts w:ascii="Times New Roman" w:cs="Times New Roman" w:eastAsia="Times New Roman" w:hAnsi="Times New Roman"/>
          <w:sz w:val="22"/>
          <w:szCs w:val="22"/>
          <w:color w:val="auto"/>
        </w:rPr>
        <w:t>Both positive and negative information can be Material. Because Trading that receives scrutiny will be evaluated after the fact with the benefit of hindsight, questions concerning the Materiality of particular information should be resolved in favor of Materiality, and Trading should be avoided. The above list is provided for informational purposes only and is not intended to be exhaustive.</w:t>
      </w:r>
    </w:p>
    <w:p>
      <w:pPr>
        <w:spacing w:after="0" w:line="176" w:lineRule="exact"/>
        <w:rPr>
          <w:sz w:val="20"/>
          <w:szCs w:val="20"/>
          <w:color w:val="auto"/>
        </w:rPr>
      </w:pPr>
    </w:p>
    <w:p>
      <w:pPr>
        <w:jc w:val="center"/>
        <w:ind w:right="-179"/>
        <w:spacing w:after="0"/>
        <w:tabs>
          <w:tab w:leader="none" w:pos="300" w:val="left"/>
          <w:tab w:leader="none" w:pos="300" w:val="left"/>
          <w:tab w:leader="none" w:pos="300" w:val="left"/>
        </w:tabs>
        <w:rPr>
          <w:sz w:val="20"/>
          <w:szCs w:val="20"/>
          <w:color w:val="auto"/>
        </w:rPr>
      </w:pPr>
      <w:r>
        <w:rPr>
          <w:rFonts w:ascii="Times New Roman" w:cs="Times New Roman" w:eastAsia="Times New Roman" w:hAnsi="Times New Roman"/>
          <w:sz w:val="22"/>
          <w:szCs w:val="22"/>
          <w:b w:val="1"/>
          <w:bCs w:val="1"/>
          <w:color w:val="auto"/>
        </w:rPr>
        <w:t>*</w:t>
        <w:tab/>
        <w:t>*</w:t>
        <w:tab/>
        <w:t>*</w:t>
      </w:r>
      <w:r>
        <w:rPr>
          <w:sz w:val="20"/>
          <w:szCs w:val="20"/>
          <w:color w:val="auto"/>
        </w:rPr>
        <w:tab/>
      </w:r>
      <w:r>
        <w:rPr>
          <w:rFonts w:ascii="Times New Roman" w:cs="Times New Roman" w:eastAsia="Times New Roman" w:hAnsi="Times New Roman"/>
          <w:sz w:val="19"/>
          <w:szCs w:val="19"/>
          <w:b w:val="1"/>
          <w:bCs w:val="1"/>
          <w:color w:val="auto"/>
        </w:rPr>
        <w:t>*</w:t>
      </w:r>
    </w:p>
    <w:p>
      <w:pPr>
        <w:spacing w:after="0" w:line="210"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21"/>
          <w:szCs w:val="21"/>
          <w:color w:val="auto"/>
        </w:rPr>
        <w:t>This Policy supersedes any previous policy of the Company concerning Securities Trading. In the event of any conflict or inconsistency between this Policy and other materials previously distributed by the Company, this Policy shall govern.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APPROVED </w:t>
      </w:r>
      <w:r>
        <w:rPr>
          <w:rFonts w:ascii="Times New Roman" w:cs="Times New Roman" w:eastAsia="Times New Roman" w:hAnsi="Times New Roman"/>
          <w:sz w:val="22"/>
          <w:szCs w:val="22"/>
          <w:color w:val="auto"/>
        </w:rPr>
        <w:t>by the Board on January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SUBSIDIARIES OF NATIONAL CINEMEDIA,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CineMedia,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NCMI II,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NCM Blocker Parent,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NCM Blocker Sub 1,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NCM Blocker Sub 2,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We consent to the incorporation by reference in Registration Statement No. 333-267824 on Form S-3 and in Registration Statement No. 333-266717 on Form S-8 of our report dated March 18, 2024, (March 6, 2025, as to the effects of the adoption of ASU 2023-07, </w:t>
      </w:r>
      <w:r>
        <w:rPr>
          <w:rFonts w:ascii="Times New Roman" w:cs="Times New Roman" w:eastAsia="Times New Roman" w:hAnsi="Times New Roman"/>
          <w:sz w:val="18"/>
          <w:szCs w:val="18"/>
          <w:i w:val="1"/>
          <w:iCs w:val="1"/>
          <w:color w:val="auto"/>
        </w:rPr>
        <w:t>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described in Note 1 within the captions labeled Segment Reporting and Capital Expenditures), relating to the financial statements of 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CineMedia, Inc. and subsidiaries appearing in this Annual Report on Form 10-K of National CineMedia, Inc. for the period ended December 28,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815975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issued our reports dated March 6, 2025, with respect to the consolidated financial statements and internal control over financial reporting included in the Annual Report of National CineMedia, Inc. on Form 10-K for the year ended December 26, 2024. We consent to the incorporation by reference of said reports in the Registration Statements of National CineMedia, Inc. on Forms S-3 (File No. 333-265417, File No. 333-267824 and File No. 333-278038) and Forms S-8 (File No. 333-238733, File No. 333-266717 and File No. 333-278043).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THRONTON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8" w:lineRule="exact"/>
        <w:rPr>
          <w:sz w:val="20"/>
          <w:szCs w:val="20"/>
          <w:color w:val="auto"/>
        </w:rPr>
      </w:pPr>
    </w:p>
    <w:p>
      <w:pPr>
        <w:ind w:right="200" w:firstLine="749"/>
        <w:spacing w:after="0" w:line="243" w:lineRule="auto"/>
        <w:rPr>
          <w:sz w:val="20"/>
          <w:szCs w:val="20"/>
          <w:color w:val="auto"/>
        </w:rPr>
      </w:pPr>
      <w:r>
        <w:rPr>
          <w:rFonts w:ascii="Times New Roman" w:cs="Times New Roman" w:eastAsia="Times New Roman" w:hAnsi="Times New Roman"/>
          <w:sz w:val="21"/>
          <w:szCs w:val="21"/>
          <w:color w:val="auto"/>
        </w:rPr>
        <w:t>Each person whose signature appears below hereby constitutes and appoints Maria V. Woods, Ronnie Y. Ng, and Thomas F. Lesinski, and each of them severally, his or her true and lawful attorneys-in-fact and agents, with full power of substitution and resubstitution, for him or her and in his or her name, place and stead, in any and all capacities, to sign National CineMedia, Inc.’s Annual Report on Form 10-K for the fiscal year ended December 26, 2024, and any and all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her substitutes or substitute, may lawfully do or cause to be done by virtue hereof.</w:t>
      </w:r>
    </w:p>
    <w:p>
      <w:pPr>
        <w:sectPr>
          <w:pgSz w:w="11900" w:h="16838" w:orient="portrait"/>
          <w:cols w:equalWidth="0" w:num="1">
            <w:col w:w="11200"/>
          </w:cols>
          <w:pgMar w:left="320" w:top="887" w:right="379" w:bottom="1440" w:gutter="0" w:footer="0" w:header="0"/>
        </w:sectPr>
      </w:pPr>
    </w:p>
    <w:p>
      <w:pPr>
        <w:spacing w:after="0" w:line="34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 David E. Glazek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34290</wp:posOffset>
            </wp:positionV>
            <wp:extent cx="237426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2">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David E. Glazek</w:t>
      </w:r>
    </w:p>
    <w:p>
      <w:pPr>
        <w:spacing w:after="0" w:line="3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34290</wp:posOffset>
            </wp:positionV>
            <wp:extent cx="237426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Bernadette Aulestia</w:t>
      </w:r>
    </w:p>
    <w:p>
      <w:pPr>
        <w:spacing w:after="0" w:line="200" w:lineRule="exact"/>
        <w:rPr>
          <w:sz w:val="20"/>
          <w:szCs w:val="20"/>
          <w:color w:val="auto"/>
        </w:rPr>
      </w:pPr>
    </w:p>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 Nicholas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34290</wp:posOffset>
            </wp:positionV>
            <wp:extent cx="237426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4">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7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Nicholas Bell</w:t>
      </w:r>
    </w:p>
    <w:p>
      <w:pPr>
        <w:spacing w:after="0" w:line="200" w:lineRule="exact"/>
        <w:rPr>
          <w:sz w:val="20"/>
          <w:szCs w:val="20"/>
          <w:color w:val="auto"/>
        </w:rPr>
      </w:pPr>
    </w:p>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 Juliana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34290</wp:posOffset>
            </wp:positionV>
            <wp:extent cx="237426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5">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7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Juliana Hill</w:t>
      </w:r>
    </w:p>
    <w:p>
      <w:pPr>
        <w:spacing w:after="0" w:line="200" w:lineRule="exact"/>
        <w:rPr>
          <w:sz w:val="20"/>
          <w:szCs w:val="20"/>
          <w:color w:val="auto"/>
        </w:rPr>
      </w:pPr>
    </w:p>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 Nathan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34290</wp:posOffset>
            </wp:positionV>
            <wp:extent cx="237426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7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Nathan Lane</w:t>
      </w:r>
    </w:p>
    <w:p>
      <w:pPr>
        <w:spacing w:after="0" w:line="200" w:lineRule="exact"/>
        <w:rPr>
          <w:sz w:val="20"/>
          <w:szCs w:val="20"/>
          <w:color w:val="auto"/>
        </w:rPr>
      </w:pPr>
    </w:p>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34290</wp:posOffset>
            </wp:positionV>
            <wp:extent cx="237426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7">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70" w:lineRule="exact"/>
        <w:rPr>
          <w:sz w:val="20"/>
          <w:szCs w:val="20"/>
          <w:color w:val="auto"/>
        </w:rPr>
      </w:pPr>
    </w:p>
    <w:p>
      <w:pPr>
        <w:jc w:val="right"/>
        <w:ind w:right="1100"/>
        <w:spacing w:after="0"/>
        <w:rPr>
          <w:sz w:val="20"/>
          <w:szCs w:val="20"/>
          <w:color w:val="auto"/>
        </w:rPr>
      </w:pPr>
      <w:r>
        <w:rPr>
          <w:rFonts w:ascii="Times New Roman" w:cs="Times New Roman" w:eastAsia="Times New Roman" w:hAnsi="Times New Roman"/>
          <w:sz w:val="18"/>
          <w:szCs w:val="18"/>
          <w:color w:val="auto"/>
        </w:rPr>
        <w:t>Jean-Philippe Maheu</w:t>
      </w:r>
    </w:p>
    <w:p>
      <w:pPr>
        <w:spacing w:after="0" w:line="3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 Joseph Marchese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34290</wp:posOffset>
            </wp:positionV>
            <wp:extent cx="237426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8">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9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Joseph Marchese</w:t>
      </w:r>
    </w:p>
    <w:p>
      <w:pPr>
        <w:spacing w:after="0" w:line="3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34290</wp:posOffset>
            </wp:positionV>
            <wp:extent cx="237426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9">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7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Lauren Zalaznick</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20" w:type="dxa"/>
            <w:vAlign w:val="bottom"/>
            <w:gridSpan w:val="3"/>
          </w:tcPr>
          <w:p>
            <w:pPr>
              <w:ind w:left="16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00" w:type="dxa"/>
            <w:vAlign w:val="bottom"/>
          </w:tcPr>
          <w:p>
            <w:pPr>
              <w:spacing w:after="0"/>
              <w:rPr>
                <w:sz w:val="13"/>
                <w:szCs w:val="13"/>
                <w:color w:val="auto"/>
              </w:rPr>
            </w:pPr>
          </w:p>
        </w:tc>
        <w:tc>
          <w:tcPr>
            <w:tcW w:w="7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1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547"/>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Chair of the Board</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6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color w:val="auto"/>
              </w:rPr>
              <w:t>January 29, 2025</w:t>
            </w:r>
          </w:p>
        </w:tc>
      </w:tr>
      <w:tr>
        <w:trPr>
          <w:trHeight w:val="850"/>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918"/>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color w:val="auto"/>
              </w:rPr>
              <w:t>January 29, 2025</w:t>
            </w:r>
          </w:p>
        </w:tc>
      </w:tr>
      <w:tr>
        <w:trPr>
          <w:trHeight w:val="918"/>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color w:val="auto"/>
              </w:rPr>
              <w:t>January 29, 2025</w:t>
            </w:r>
          </w:p>
        </w:tc>
      </w:tr>
      <w:tr>
        <w:trPr>
          <w:trHeight w:val="918"/>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color w:val="auto"/>
              </w:rPr>
              <w:t>January 29, 2025</w:t>
            </w:r>
          </w:p>
        </w:tc>
      </w:tr>
      <w:tr>
        <w:trPr>
          <w:trHeight w:val="918"/>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877"/>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color w:val="auto"/>
              </w:rPr>
              <w:t>January 29, 2025</w:t>
            </w:r>
          </w:p>
        </w:tc>
      </w:tr>
      <w:tr>
        <w:trPr>
          <w:trHeight w:val="878"/>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1195705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080" w:space="720"/>
            <w:col w:w="6400"/>
          </w:cols>
          <w:pgMar w:left="320" w:top="887" w:right="379" w:bottom="1440" w:gutter="0" w:footer="0" w:header="0"/>
          <w:type w:val="continuous"/>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231F20"/>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CERTIFICATIONS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 Thomas F. Lesinski, certify that:</w:t>
      </w:r>
    </w:p>
    <w:p>
      <w:pPr>
        <w:spacing w:after="0" w:line="212" w:lineRule="exact"/>
        <w:rPr>
          <w:sz w:val="20"/>
          <w:szCs w:val="20"/>
          <w:color w:val="auto"/>
        </w:rPr>
      </w:pPr>
    </w:p>
    <w:p>
      <w:pPr>
        <w:ind w:left="760" w:hanging="214"/>
        <w:spacing w:after="0"/>
        <w:tabs>
          <w:tab w:leader="none" w:pos="760" w:val="left"/>
        </w:tabs>
        <w:numPr>
          <w:ilvl w:val="0"/>
          <w:numId w:val="1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 have reviewed this Annual Report on Form 10-K of National CineMedia, Inc.;</w:t>
      </w:r>
    </w:p>
    <w:p>
      <w:pPr>
        <w:spacing w:after="0" w:line="211" w:lineRule="exact"/>
        <w:rPr>
          <w:rFonts w:ascii="Times New Roman" w:cs="Times New Roman" w:eastAsia="Times New Roman" w:hAnsi="Times New Roman"/>
          <w:sz w:val="18"/>
          <w:szCs w:val="18"/>
          <w:color w:val="231F20"/>
        </w:rPr>
      </w:pPr>
    </w:p>
    <w:p>
      <w:pPr>
        <w:jc w:val="both"/>
        <w:ind w:right="360" w:firstLine="562"/>
        <w:spacing w:after="0" w:line="266" w:lineRule="auto"/>
        <w:tabs>
          <w:tab w:leader="none" w:pos="903" w:val="left"/>
        </w:tabs>
        <w:numPr>
          <w:ilvl w:val="1"/>
          <w:numId w:val="1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231F20"/>
        </w:rPr>
      </w:pPr>
    </w:p>
    <w:p>
      <w:pPr>
        <w:ind w:right="500" w:firstLine="562"/>
        <w:spacing w:after="0" w:line="282" w:lineRule="auto"/>
        <w:tabs>
          <w:tab w:leader="none" w:pos="908" w:val="left"/>
        </w:tabs>
        <w:numPr>
          <w:ilvl w:val="1"/>
          <w:numId w:val="1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231F20"/>
        </w:rPr>
      </w:pPr>
    </w:p>
    <w:p>
      <w:pPr>
        <w:jc w:val="both"/>
        <w:ind w:right="420" w:firstLine="562"/>
        <w:spacing w:after="0" w:line="266" w:lineRule="auto"/>
        <w:tabs>
          <w:tab w:leader="none" w:pos="900" w:val="left"/>
        </w:tabs>
        <w:numPr>
          <w:ilvl w:val="1"/>
          <w:numId w:val="1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231F20"/>
        </w:rPr>
      </w:pPr>
    </w:p>
    <w:p>
      <w:pPr>
        <w:ind w:left="1120" w:right="320" w:hanging="4"/>
        <w:spacing w:after="0" w:line="266" w:lineRule="auto"/>
        <w:tabs>
          <w:tab w:leader="none" w:pos="1412" w:val="left"/>
        </w:tabs>
        <w:numPr>
          <w:ilvl w:val="2"/>
          <w:numId w:val="1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231F20"/>
        </w:rPr>
      </w:pPr>
    </w:p>
    <w:p>
      <w:pPr>
        <w:ind w:left="1120" w:right="340" w:hanging="4"/>
        <w:spacing w:after="0" w:line="266" w:lineRule="auto"/>
        <w:tabs>
          <w:tab w:leader="none" w:pos="1413" w:val="left"/>
        </w:tabs>
        <w:numPr>
          <w:ilvl w:val="2"/>
          <w:numId w:val="1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231F20"/>
        </w:rPr>
      </w:pPr>
    </w:p>
    <w:p>
      <w:pPr>
        <w:jc w:val="both"/>
        <w:ind w:left="1120" w:right="160" w:hanging="4"/>
        <w:spacing w:after="0" w:line="266" w:lineRule="auto"/>
        <w:tabs>
          <w:tab w:leader="none" w:pos="1413" w:val="left"/>
        </w:tabs>
        <w:numPr>
          <w:ilvl w:val="2"/>
          <w:numId w:val="1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231F20"/>
        </w:rPr>
      </w:pPr>
    </w:p>
    <w:p>
      <w:pPr>
        <w:ind w:left="1120" w:right="260" w:hanging="4"/>
        <w:spacing w:after="0" w:line="266" w:lineRule="auto"/>
        <w:tabs>
          <w:tab w:leader="none" w:pos="1410" w:val="left"/>
        </w:tabs>
        <w:numPr>
          <w:ilvl w:val="2"/>
          <w:numId w:val="1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231F20"/>
        </w:rPr>
      </w:pPr>
    </w:p>
    <w:p>
      <w:pPr>
        <w:ind w:right="380" w:firstLine="562"/>
        <w:spacing w:after="0" w:line="312" w:lineRule="auto"/>
        <w:tabs>
          <w:tab w:leader="none" w:pos="909" w:val="left"/>
        </w:tabs>
        <w:numPr>
          <w:ilvl w:val="1"/>
          <w:numId w:val="17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Times New Roman" w:cs="Times New Roman" w:eastAsia="Times New Roman" w:hAnsi="Times New Roman"/>
          <w:sz w:val="17"/>
          <w:szCs w:val="17"/>
          <w:color w:val="231F20"/>
        </w:rPr>
      </w:pPr>
    </w:p>
    <w:p>
      <w:pPr>
        <w:ind w:left="1120" w:right="120" w:hanging="4"/>
        <w:spacing w:after="0" w:line="282" w:lineRule="auto"/>
        <w:tabs>
          <w:tab w:leader="none" w:pos="1413" w:val="left"/>
        </w:tabs>
        <w:numPr>
          <w:ilvl w:val="2"/>
          <w:numId w:val="1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231F20"/>
        </w:rPr>
      </w:pPr>
    </w:p>
    <w:p>
      <w:pPr>
        <w:ind w:left="1120" w:right="400" w:hanging="4"/>
        <w:spacing w:after="0" w:line="282" w:lineRule="auto"/>
        <w:tabs>
          <w:tab w:leader="none" w:pos="1412" w:val="left"/>
        </w:tabs>
        <w:numPr>
          <w:ilvl w:val="2"/>
          <w:numId w:val="17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0"/>
        <w:spacing w:after="0"/>
        <w:tabs>
          <w:tab w:leader="none" w:pos="2900" w:val="left"/>
        </w:tabs>
        <w:rPr>
          <w:sz w:val="20"/>
          <w:szCs w:val="20"/>
          <w:color w:val="auto"/>
        </w:rPr>
      </w:pPr>
      <w:r>
        <w:rPr>
          <w:rFonts w:ascii="Times New Roman" w:cs="Times New Roman" w:eastAsia="Times New Roman" w:hAnsi="Times New Roman"/>
          <w:sz w:val="18"/>
          <w:szCs w:val="18"/>
          <w:color w:val="auto"/>
        </w:rPr>
        <w:t>Date: March 6, 2025</w:t>
      </w:r>
      <w:r>
        <w:rPr>
          <w:sz w:val="20"/>
          <w:szCs w:val="20"/>
          <w:color w:val="auto"/>
        </w:rPr>
        <w:tab/>
      </w:r>
      <w:r>
        <w:rPr>
          <w:rFonts w:ascii="Times New Roman" w:cs="Times New Roman" w:eastAsia="Times New Roman" w:hAnsi="Times New Roman"/>
          <w:sz w:val="17"/>
          <w:szCs w:val="17"/>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-7620</wp:posOffset>
            </wp:positionV>
            <wp:extent cx="251333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1">
                      <a:extLst>
                        <a:ext uri="{28A0092B-C50C-407E-A947-70E740481C1C}"/>
                      </a:extLst>
                    </a:blip>
                    <a:srcRect/>
                    <a:stretch>
                      <a:fillRect/>
                    </a:stretch>
                  </pic:blipFill>
                  <pic:spPr bwMode="auto">
                    <a:xfrm>
                      <a:off x="0" y="0"/>
                      <a:ext cx="2513330" cy="8255"/>
                    </a:xfrm>
                    <a:prstGeom prst="rect">
                      <a:avLst/>
                    </a:prstGeom>
                    <a:noFill/>
                  </pic:spPr>
                </pic:pic>
              </a:graphicData>
            </a:graphic>
          </wp:anchor>
        </w:drawing>
      </w:r>
    </w:p>
    <w:p>
      <w:pPr>
        <w:spacing w:after="0" w:line="1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231F20"/>
        </w:rPr>
        <w:t>Thomas F. Lesinski</w:t>
      </w:r>
    </w:p>
    <w:p>
      <w:pPr>
        <w:spacing w:after="0" w:line="10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231F20"/>
        </w:rPr>
        <w:t>Chief Executive Officer and Director</w:t>
      </w:r>
    </w:p>
    <w:p>
      <w:pPr>
        <w:spacing w:after="0" w:line="10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i w:val="1"/>
          <w:iCs w:val="1"/>
          <w:color w:val="231F20"/>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228600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765" w:right="4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231F20"/>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CERTIFICATIONS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 Ronnie Y. Ng, certify that:</w:t>
      </w:r>
    </w:p>
    <w:p>
      <w:pPr>
        <w:spacing w:after="0" w:line="212" w:lineRule="exact"/>
        <w:rPr>
          <w:sz w:val="20"/>
          <w:szCs w:val="20"/>
          <w:color w:val="auto"/>
        </w:rPr>
      </w:pPr>
    </w:p>
    <w:p>
      <w:pPr>
        <w:ind w:left="760" w:hanging="214"/>
        <w:spacing w:after="0"/>
        <w:tabs>
          <w:tab w:leader="none" w:pos="760" w:val="left"/>
        </w:tabs>
        <w:numPr>
          <w:ilvl w:val="0"/>
          <w:numId w:val="1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 have reviewed this Annual Report on Form 10-K of National CineMedia, Inc.;</w:t>
      </w:r>
    </w:p>
    <w:p>
      <w:pPr>
        <w:spacing w:after="0" w:line="211" w:lineRule="exact"/>
        <w:rPr>
          <w:rFonts w:ascii="Times New Roman" w:cs="Times New Roman" w:eastAsia="Times New Roman" w:hAnsi="Times New Roman"/>
          <w:sz w:val="18"/>
          <w:szCs w:val="18"/>
          <w:color w:val="231F20"/>
        </w:rPr>
      </w:pPr>
    </w:p>
    <w:p>
      <w:pPr>
        <w:jc w:val="both"/>
        <w:ind w:right="360" w:firstLine="562"/>
        <w:spacing w:after="0" w:line="266" w:lineRule="auto"/>
        <w:tabs>
          <w:tab w:leader="none" w:pos="903" w:val="left"/>
        </w:tabs>
        <w:numPr>
          <w:ilvl w:val="1"/>
          <w:numId w:val="1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231F20"/>
        </w:rPr>
      </w:pPr>
    </w:p>
    <w:p>
      <w:pPr>
        <w:ind w:right="500" w:firstLine="562"/>
        <w:spacing w:after="0" w:line="282" w:lineRule="auto"/>
        <w:tabs>
          <w:tab w:leader="none" w:pos="908" w:val="left"/>
        </w:tabs>
        <w:numPr>
          <w:ilvl w:val="1"/>
          <w:numId w:val="1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231F20"/>
        </w:rPr>
      </w:pPr>
    </w:p>
    <w:p>
      <w:pPr>
        <w:jc w:val="both"/>
        <w:ind w:right="420" w:firstLine="562"/>
        <w:spacing w:after="0" w:line="266" w:lineRule="auto"/>
        <w:tabs>
          <w:tab w:leader="none" w:pos="900" w:val="left"/>
        </w:tabs>
        <w:numPr>
          <w:ilvl w:val="1"/>
          <w:numId w:val="1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231F20"/>
        </w:rPr>
      </w:pPr>
    </w:p>
    <w:p>
      <w:pPr>
        <w:ind w:left="1120" w:right="320" w:hanging="4"/>
        <w:spacing w:after="0" w:line="266" w:lineRule="auto"/>
        <w:tabs>
          <w:tab w:leader="none" w:pos="1412" w:val="left"/>
        </w:tabs>
        <w:numPr>
          <w:ilvl w:val="2"/>
          <w:numId w:val="1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231F20"/>
        </w:rPr>
      </w:pPr>
    </w:p>
    <w:p>
      <w:pPr>
        <w:ind w:left="1120" w:right="340" w:hanging="4"/>
        <w:spacing w:after="0" w:line="266" w:lineRule="auto"/>
        <w:tabs>
          <w:tab w:leader="none" w:pos="1413" w:val="left"/>
        </w:tabs>
        <w:numPr>
          <w:ilvl w:val="2"/>
          <w:numId w:val="1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231F20"/>
        </w:rPr>
      </w:pPr>
    </w:p>
    <w:p>
      <w:pPr>
        <w:jc w:val="both"/>
        <w:ind w:left="1120" w:right="160" w:hanging="4"/>
        <w:spacing w:after="0" w:line="266" w:lineRule="auto"/>
        <w:tabs>
          <w:tab w:leader="none" w:pos="1413" w:val="left"/>
        </w:tabs>
        <w:numPr>
          <w:ilvl w:val="2"/>
          <w:numId w:val="1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231F20"/>
        </w:rPr>
      </w:pPr>
    </w:p>
    <w:p>
      <w:pPr>
        <w:ind w:left="1120" w:right="260" w:hanging="4"/>
        <w:spacing w:after="0" w:line="266" w:lineRule="auto"/>
        <w:tabs>
          <w:tab w:leader="none" w:pos="1410" w:val="left"/>
        </w:tabs>
        <w:numPr>
          <w:ilvl w:val="2"/>
          <w:numId w:val="1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231F20"/>
        </w:rPr>
      </w:pPr>
    </w:p>
    <w:p>
      <w:pPr>
        <w:ind w:right="380" w:firstLine="562"/>
        <w:spacing w:after="0" w:line="312" w:lineRule="auto"/>
        <w:tabs>
          <w:tab w:leader="none" w:pos="909" w:val="left"/>
        </w:tabs>
        <w:numPr>
          <w:ilvl w:val="1"/>
          <w:numId w:val="17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Times New Roman" w:cs="Times New Roman" w:eastAsia="Times New Roman" w:hAnsi="Times New Roman"/>
          <w:sz w:val="17"/>
          <w:szCs w:val="17"/>
          <w:color w:val="231F20"/>
        </w:rPr>
      </w:pPr>
    </w:p>
    <w:p>
      <w:pPr>
        <w:ind w:left="1120" w:right="120" w:hanging="4"/>
        <w:spacing w:after="0" w:line="282" w:lineRule="auto"/>
        <w:tabs>
          <w:tab w:leader="none" w:pos="1413" w:val="left"/>
        </w:tabs>
        <w:numPr>
          <w:ilvl w:val="2"/>
          <w:numId w:val="1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231F20"/>
        </w:rPr>
      </w:pPr>
    </w:p>
    <w:p>
      <w:pPr>
        <w:ind w:left="1120" w:right="400" w:hanging="4"/>
        <w:spacing w:after="0" w:line="282" w:lineRule="auto"/>
        <w:tabs>
          <w:tab w:leader="none" w:pos="1412" w:val="left"/>
        </w:tabs>
        <w:numPr>
          <w:ilvl w:val="2"/>
          <w:numId w:val="17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0"/>
        <w:spacing w:after="0"/>
        <w:tabs>
          <w:tab w:leader="none" w:pos="2900" w:val="left"/>
        </w:tabs>
        <w:rPr>
          <w:sz w:val="20"/>
          <w:szCs w:val="20"/>
          <w:color w:val="auto"/>
        </w:rPr>
      </w:pPr>
      <w:r>
        <w:rPr>
          <w:rFonts w:ascii="Times New Roman" w:cs="Times New Roman" w:eastAsia="Times New Roman" w:hAnsi="Times New Roman"/>
          <w:sz w:val="18"/>
          <w:szCs w:val="18"/>
          <w:color w:val="auto"/>
        </w:rPr>
        <w:t>Date: March 6, 2025</w:t>
      </w:r>
      <w:r>
        <w:rPr>
          <w:sz w:val="20"/>
          <w:szCs w:val="20"/>
          <w:color w:val="auto"/>
        </w:rPr>
        <w:tab/>
      </w:r>
      <w:r>
        <w:rPr>
          <w:rFonts w:ascii="Times New Roman" w:cs="Times New Roman" w:eastAsia="Times New Roman" w:hAnsi="Times New Roman"/>
          <w:sz w:val="17"/>
          <w:szCs w:val="17"/>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-7620</wp:posOffset>
            </wp:positionV>
            <wp:extent cx="251333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3">
                      <a:extLst>
                        <a:ext uri="{28A0092B-C50C-407E-A947-70E740481C1C}"/>
                      </a:extLst>
                    </a:blip>
                    <a:srcRect/>
                    <a:stretch>
                      <a:fillRect/>
                    </a:stretch>
                  </pic:blipFill>
                  <pic:spPr bwMode="auto">
                    <a:xfrm>
                      <a:off x="0" y="0"/>
                      <a:ext cx="2513330" cy="8255"/>
                    </a:xfrm>
                    <a:prstGeom prst="rect">
                      <a:avLst/>
                    </a:prstGeom>
                    <a:noFill/>
                  </pic:spPr>
                </pic:pic>
              </a:graphicData>
            </a:graphic>
          </wp:anchor>
        </w:drawing>
      </w:r>
    </w:p>
    <w:p>
      <w:pPr>
        <w:spacing w:after="0" w:line="1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231F20"/>
        </w:rPr>
        <w:t>Ronnie Y. Ng</w:t>
      </w:r>
    </w:p>
    <w:p>
      <w:pPr>
        <w:spacing w:after="0" w:line="10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231F20"/>
        </w:rPr>
        <w:t>Chief Financial Officer</w:t>
      </w:r>
    </w:p>
    <w:p>
      <w:pPr>
        <w:spacing w:after="0" w:line="10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i w:val="1"/>
          <w:iCs w:val="1"/>
          <w:color w:val="231F20"/>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228600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765" w:right="439" w:bottom="1440" w:gutter="0" w:footer="0" w:header="0"/>
        </w:sectPr>
      </w:pPr>
    </w:p>
    <w:bookmarkStart w:id="191" w:name="page192"/>
    <w:bookmarkEnd w:id="191"/>
    <w:p>
      <w:pPr>
        <w:ind w:left="10080"/>
        <w:spacing w:after="0"/>
        <w:rPr>
          <w:sz w:val="20"/>
          <w:szCs w:val="20"/>
          <w:color w:val="auto"/>
        </w:rPr>
      </w:pPr>
      <w:r>
        <w:rPr>
          <w:rFonts w:ascii="Times New Roman" w:cs="Times New Roman" w:eastAsia="Times New Roman" w:hAnsi="Times New Roman"/>
          <w:sz w:val="18"/>
          <w:szCs w:val="18"/>
          <w:b w:val="1"/>
          <w:bCs w:val="1"/>
          <w:color w:val="231F20"/>
        </w:rPr>
        <w:t>Exhibit 32.1</w:t>
      </w:r>
    </w:p>
    <w:p>
      <w:pPr>
        <w:spacing w:after="0" w:line="2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231F20"/>
        </w:rPr>
        <w:t>CERTIFICATION PURSUANT TO 18</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231F20"/>
        </w:rPr>
        <w:t>U.S.C. SECTION 1350,</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231F20"/>
        </w:rPr>
        <w:t>AS ADOPTED PURSUANT TO</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231F20"/>
        </w:rPr>
        <w:t>SECTION 906 OF THE SARBANES-OXLEY ACT OF 2002</w:t>
      </w:r>
    </w:p>
    <w:p>
      <w:pPr>
        <w:spacing w:after="0" w:line="216" w:lineRule="exact"/>
        <w:rPr>
          <w:sz w:val="20"/>
          <w:szCs w:val="20"/>
          <w:color w:val="auto"/>
        </w:rPr>
      </w:pPr>
    </w:p>
    <w:p>
      <w:pPr>
        <w:ind w:right="440" w:firstLine="561"/>
        <w:spacing w:after="0" w:line="261" w:lineRule="auto"/>
        <w:rPr>
          <w:sz w:val="20"/>
          <w:szCs w:val="20"/>
          <w:color w:val="auto"/>
        </w:rPr>
      </w:pPr>
      <w:r>
        <w:rPr>
          <w:rFonts w:ascii="Times New Roman" w:cs="Times New Roman" w:eastAsia="Times New Roman" w:hAnsi="Times New Roman"/>
          <w:sz w:val="18"/>
          <w:szCs w:val="18"/>
          <w:color w:val="231F20"/>
        </w:rPr>
        <w:t>In connection with the Annual Report on Form 10-K for the period ending December 26, 2024 (the “Report”) of National CineMedia, Inc. (the “Registrant”) as filed with the Securities and Exchange Commission on the date hereof, I, Thomas F. Lesinski, the Chief Executive Officer and Director of the Registrant, certify, pursuant to 18 U.S.C. § 1350, as adopted pursuant to § 906 of the Sarbanes-Oxley Act of 2002, that to the best of my knowledge:</w:t>
      </w:r>
    </w:p>
    <w:p>
      <w:pPr>
        <w:spacing w:after="0" w:line="126" w:lineRule="exact"/>
        <w:rPr>
          <w:sz w:val="20"/>
          <w:szCs w:val="20"/>
          <w:color w:val="auto"/>
        </w:rPr>
      </w:pPr>
    </w:p>
    <w:p>
      <w:pPr>
        <w:ind w:left="880" w:hanging="333"/>
        <w:spacing w:after="0"/>
        <w:tabs>
          <w:tab w:leader="none" w:pos="880" w:val="left"/>
        </w:tabs>
        <w:numPr>
          <w:ilvl w:val="0"/>
          <w:numId w:val="1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Report fully complies with the requirements of section 13(a) or 15(d) of the Securities Exchange Act of 1934, as amended;</w:t>
      </w:r>
    </w:p>
    <w:p>
      <w:pPr>
        <w:spacing w:after="0" w:line="27" w:lineRule="exact"/>
        <w:rPr>
          <w:rFonts w:ascii="Times New Roman" w:cs="Times New Roman" w:eastAsia="Times New Roman" w:hAnsi="Times New Roman"/>
          <w:sz w:val="18"/>
          <w:szCs w:val="18"/>
          <w:color w:val="231F20"/>
        </w:rPr>
      </w:pPr>
    </w:p>
    <w:p>
      <w:pPr>
        <w:ind w:left="540"/>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and</w:t>
      </w:r>
    </w:p>
    <w:p>
      <w:pPr>
        <w:spacing w:after="0" w:line="152" w:lineRule="exact"/>
        <w:rPr>
          <w:rFonts w:ascii="Times New Roman" w:cs="Times New Roman" w:eastAsia="Times New Roman" w:hAnsi="Times New Roman"/>
          <w:sz w:val="18"/>
          <w:szCs w:val="18"/>
          <w:color w:val="231F20"/>
        </w:rPr>
      </w:pPr>
    </w:p>
    <w:p>
      <w:pPr>
        <w:ind w:left="540" w:right="800" w:firstLine="7"/>
        <w:spacing w:after="0" w:line="282" w:lineRule="auto"/>
        <w:tabs>
          <w:tab w:leader="none" w:pos="870" w:val="left"/>
        </w:tabs>
        <w:numPr>
          <w:ilvl w:val="0"/>
          <w:numId w:val="1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information contained in the Report fairly presents, in all material respects, the financial condition and results of operations of the Registrant.</w:t>
      </w:r>
    </w:p>
    <w:p>
      <w:pPr>
        <w:spacing w:after="0" w:line="162" w:lineRule="exact"/>
        <w:rPr>
          <w:sz w:val="20"/>
          <w:szCs w:val="20"/>
          <w:color w:val="auto"/>
        </w:rPr>
      </w:pPr>
    </w:p>
    <w:p>
      <w:pPr>
        <w:ind w:left="40"/>
        <w:spacing w:after="0"/>
        <w:tabs>
          <w:tab w:leader="none" w:pos="2900" w:val="left"/>
        </w:tabs>
        <w:rPr>
          <w:sz w:val="20"/>
          <w:szCs w:val="20"/>
          <w:color w:val="auto"/>
        </w:rPr>
      </w:pPr>
      <w:r>
        <w:rPr>
          <w:rFonts w:ascii="Times New Roman" w:cs="Times New Roman" w:eastAsia="Times New Roman" w:hAnsi="Times New Roman"/>
          <w:sz w:val="18"/>
          <w:szCs w:val="18"/>
          <w:color w:val="231F20"/>
        </w:rPr>
        <w:t>Dat</w:t>
      </w:r>
      <w:r>
        <w:rPr>
          <w:rFonts w:ascii="Times New Roman" w:cs="Times New Roman" w:eastAsia="Times New Roman" w:hAnsi="Times New Roman"/>
          <w:sz w:val="18"/>
          <w:szCs w:val="18"/>
          <w:color w:val="000000"/>
        </w:rPr>
        <w:t>e: March 6, 2025</w:t>
      </w:r>
      <w:r>
        <w:rPr>
          <w:sz w:val="20"/>
          <w:szCs w:val="20"/>
          <w:color w:val="auto"/>
        </w:rPr>
        <w:tab/>
      </w:r>
      <w:r>
        <w:rPr>
          <w:rFonts w:ascii="Times New Roman" w:cs="Times New Roman" w:eastAsia="Times New Roman" w:hAnsi="Times New Roman"/>
          <w:sz w:val="17"/>
          <w:szCs w:val="17"/>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-7620</wp:posOffset>
            </wp:positionV>
            <wp:extent cx="251333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5">
                      <a:extLst>
                        <a:ext uri="{28A0092B-C50C-407E-A947-70E740481C1C}"/>
                      </a:extLst>
                    </a:blip>
                    <a:srcRect/>
                    <a:stretch>
                      <a:fillRect/>
                    </a:stretch>
                  </pic:blipFill>
                  <pic:spPr bwMode="auto">
                    <a:xfrm>
                      <a:off x="0" y="0"/>
                      <a:ext cx="2513330" cy="8255"/>
                    </a:xfrm>
                    <a:prstGeom prst="rect">
                      <a:avLst/>
                    </a:prstGeom>
                    <a:noFill/>
                  </pic:spPr>
                </pic:pic>
              </a:graphicData>
            </a:graphic>
          </wp:anchor>
        </w:drawing>
      </w:r>
    </w:p>
    <w:p>
      <w:pPr>
        <w:spacing w:after="0" w:line="1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231F20"/>
        </w:rPr>
        <w:t>Thomas F. Lesinski</w:t>
      </w:r>
    </w:p>
    <w:p>
      <w:pPr>
        <w:spacing w:after="0" w:line="10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231F20"/>
        </w:rPr>
        <w:t>Chief Executive Officer and Director</w:t>
      </w:r>
    </w:p>
    <w:p>
      <w:pPr>
        <w:spacing w:after="0" w:line="10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i w:val="1"/>
          <w:iCs w:val="1"/>
          <w:color w:val="231F20"/>
        </w:rPr>
        <w:t>(Principal Executive Officer)</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207010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40" w:top="765" w:right="37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231F20"/>
        </w:rPr>
        <w:t>Exhibit 32.2</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231F20"/>
        </w:rPr>
        <w:t>CERTIFICATION PURSUANT TO 18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AS ADOPTED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SECTION 906 OF THE SARBANES-OXLEY ACT OF 2002</w:t>
      </w:r>
    </w:p>
    <w:p>
      <w:pPr>
        <w:spacing w:after="0" w:line="216" w:lineRule="exact"/>
        <w:rPr>
          <w:sz w:val="20"/>
          <w:szCs w:val="20"/>
          <w:color w:val="auto"/>
        </w:rPr>
      </w:pPr>
    </w:p>
    <w:p>
      <w:pPr>
        <w:jc w:val="both"/>
        <w:ind w:right="180" w:firstLine="561"/>
        <w:spacing w:after="0" w:line="266" w:lineRule="auto"/>
        <w:rPr>
          <w:sz w:val="20"/>
          <w:szCs w:val="20"/>
          <w:color w:val="auto"/>
        </w:rPr>
      </w:pPr>
      <w:r>
        <w:rPr>
          <w:rFonts w:ascii="Times New Roman" w:cs="Times New Roman" w:eastAsia="Times New Roman" w:hAnsi="Times New Roman"/>
          <w:sz w:val="18"/>
          <w:szCs w:val="18"/>
          <w:color w:val="231F20"/>
        </w:rPr>
        <w:t>In connection with the Annual Report on Form 10-K for the period ending December 26, 2024 (the “Report”) of National CineMedia, Inc. (the “Registrant”) as filed with the Securities and Exchange Commission on the date hereof, I, Ronnie Y. Ng, the Chief Financial Officer of the Registrant, certify, pursuant to 18 U.S.C. § 1350, as adopted pursuant to § 906 of the Sarbanes-Oxley Act of 2002, that to the best of my knowledge:</w:t>
      </w:r>
    </w:p>
    <w:p>
      <w:pPr>
        <w:spacing w:after="0" w:line="122" w:lineRule="exact"/>
        <w:rPr>
          <w:sz w:val="20"/>
          <w:szCs w:val="20"/>
          <w:color w:val="auto"/>
        </w:rPr>
      </w:pPr>
    </w:p>
    <w:p>
      <w:pPr>
        <w:ind w:left="880" w:hanging="333"/>
        <w:spacing w:after="0"/>
        <w:tabs>
          <w:tab w:leader="none" w:pos="880" w:val="left"/>
        </w:tabs>
        <w:numPr>
          <w:ilvl w:val="0"/>
          <w:numId w:val="17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Report fully complies with the requirements of section 13(a) or 15(d) of the Securities Exchange Act of 1934, as amended;</w:t>
      </w:r>
    </w:p>
    <w:p>
      <w:pPr>
        <w:spacing w:after="0" w:line="27" w:lineRule="exact"/>
        <w:rPr>
          <w:rFonts w:ascii="Times New Roman" w:cs="Times New Roman" w:eastAsia="Times New Roman" w:hAnsi="Times New Roman"/>
          <w:sz w:val="18"/>
          <w:szCs w:val="18"/>
          <w:color w:val="231F20"/>
        </w:rPr>
      </w:pPr>
    </w:p>
    <w:p>
      <w:pPr>
        <w:ind w:left="540"/>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and</w:t>
      </w:r>
    </w:p>
    <w:p>
      <w:pPr>
        <w:spacing w:after="0" w:line="152" w:lineRule="exact"/>
        <w:rPr>
          <w:rFonts w:ascii="Times New Roman" w:cs="Times New Roman" w:eastAsia="Times New Roman" w:hAnsi="Times New Roman"/>
          <w:sz w:val="18"/>
          <w:szCs w:val="18"/>
          <w:color w:val="231F20"/>
        </w:rPr>
      </w:pPr>
    </w:p>
    <w:p>
      <w:pPr>
        <w:ind w:left="540" w:right="740" w:firstLine="7"/>
        <w:spacing w:after="0" w:line="282" w:lineRule="auto"/>
        <w:tabs>
          <w:tab w:leader="none" w:pos="870" w:val="left"/>
        </w:tabs>
        <w:numPr>
          <w:ilvl w:val="0"/>
          <w:numId w:val="17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information contained in the Report fairly presents, in all material respects, the financial condition and results of operations of the Registrant.</w:t>
      </w:r>
    </w:p>
    <w:p>
      <w:pPr>
        <w:spacing w:after="0" w:line="162" w:lineRule="exact"/>
        <w:rPr>
          <w:sz w:val="20"/>
          <w:szCs w:val="20"/>
          <w:color w:val="auto"/>
        </w:rPr>
      </w:pPr>
    </w:p>
    <w:p>
      <w:pPr>
        <w:ind w:left="40"/>
        <w:spacing w:after="0"/>
        <w:tabs>
          <w:tab w:leader="none" w:pos="2900" w:val="left"/>
        </w:tabs>
        <w:rPr>
          <w:sz w:val="20"/>
          <w:szCs w:val="20"/>
          <w:color w:val="auto"/>
        </w:rPr>
      </w:pPr>
      <w:r>
        <w:rPr>
          <w:rFonts w:ascii="Times New Roman" w:cs="Times New Roman" w:eastAsia="Times New Roman" w:hAnsi="Times New Roman"/>
          <w:sz w:val="18"/>
          <w:szCs w:val="18"/>
          <w:color w:val="auto"/>
        </w:rPr>
        <w:t>Date: March 6, 2025</w:t>
      </w:r>
      <w:r>
        <w:rPr>
          <w:sz w:val="20"/>
          <w:szCs w:val="20"/>
          <w:color w:val="auto"/>
        </w:rPr>
        <w:tab/>
      </w:r>
      <w:r>
        <w:rPr>
          <w:rFonts w:ascii="Times New Roman" w:cs="Times New Roman" w:eastAsia="Times New Roman" w:hAnsi="Times New Roman"/>
          <w:sz w:val="17"/>
          <w:szCs w:val="17"/>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-7620</wp:posOffset>
            </wp:positionV>
            <wp:extent cx="251333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7">
                      <a:extLst>
                        <a:ext uri="{28A0092B-C50C-407E-A947-70E740481C1C}"/>
                      </a:extLst>
                    </a:blip>
                    <a:srcRect/>
                    <a:stretch>
                      <a:fillRect/>
                    </a:stretch>
                  </pic:blipFill>
                  <pic:spPr bwMode="auto">
                    <a:xfrm>
                      <a:off x="0" y="0"/>
                      <a:ext cx="2513330" cy="8890"/>
                    </a:xfrm>
                    <a:prstGeom prst="rect">
                      <a:avLst/>
                    </a:prstGeom>
                    <a:noFill/>
                  </pic:spPr>
                </pic:pic>
              </a:graphicData>
            </a:graphic>
          </wp:anchor>
        </w:drawing>
      </w:r>
    </w:p>
    <w:p>
      <w:pPr>
        <w:spacing w:after="0" w:line="1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231F20"/>
        </w:rPr>
        <w:t>Ronnie Y. Ng</w:t>
      </w:r>
    </w:p>
    <w:p>
      <w:pPr>
        <w:spacing w:after="0" w:line="10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231F20"/>
        </w:rPr>
        <w:t>Chief Financial Officer</w:t>
      </w:r>
    </w:p>
    <w:p>
      <w:pPr>
        <w:spacing w:after="0" w:line="10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i w:val="1"/>
          <w:iCs w:val="1"/>
          <w:color w:val="231F20"/>
        </w:rPr>
        <w:t>(Principal Financial and Accounting Officer)</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231F20"/>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207010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765" w:right="439" w:bottom="1440" w:gutter="0" w:footer="0" w:header="0"/>
        </w:sectPr>
      </w:pPr>
    </w:p>
    <w:bookmarkStart w:id="193" w:name="page194"/>
    <w:bookmarkEnd w:id="19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E17E33"/>
    <w:multiLevelType w:val="hybridMultilevel"/>
    <w:lvl w:ilvl="0">
      <w:lvlJc w:val="left"/>
      <w:lvlText w:val="☒"/>
      <w:numFmt w:val="bullet"/>
      <w:start w:val="1"/>
    </w:lvl>
  </w:abstractNum>
  <w:abstractNum w:abstractNumId="1">
    <w:nsid w:val="3222E7CD"/>
    <w:multiLevelType w:val="hybridMultilevel"/>
    <w:lvl w:ilvl="0">
      <w:lvlJc w:val="left"/>
      <w:lvlText w:val="☐"/>
      <w:numFmt w:val="bullet"/>
      <w:start w:val="1"/>
    </w:lvl>
  </w:abstractNum>
  <w:abstractNum w:abstractNumId="2">
    <w:nsid w:val="74DE0EE3"/>
    <w:multiLevelType w:val="hybridMultilevel"/>
    <w:lvl w:ilvl="0">
      <w:lvlJc w:val="left"/>
      <w:lvlText w:val="•"/>
      <w:numFmt w:val="bullet"/>
      <w:start w:val="1"/>
    </w:lvl>
  </w:abstractNum>
  <w:abstractNum w:abstractNumId="3">
    <w:nsid w:val="68EBC550"/>
    <w:multiLevelType w:val="hybridMultilevel"/>
    <w:lvl w:ilvl="0">
      <w:lvlJc w:val="left"/>
      <w:lvlText w:val="•"/>
      <w:numFmt w:val="bullet"/>
      <w:start w:val="1"/>
    </w:lvl>
  </w:abstractNum>
  <w:abstractNum w:abstractNumId="4">
    <w:nsid w:val="2DF6D648"/>
    <w:multiLevelType w:val="hybridMultilevel"/>
    <w:lvl w:ilvl="0">
      <w:lvlJc w:val="left"/>
      <w:lvlText w:val="•"/>
      <w:numFmt w:val="bullet"/>
      <w:start w:val="1"/>
    </w:lvl>
  </w:abstractNum>
  <w:abstractNum w:abstractNumId="5">
    <w:nsid w:val="46B7D447"/>
    <w:multiLevelType w:val="hybridMultilevel"/>
    <w:lvl w:ilvl="0">
      <w:lvlJc w:val="left"/>
      <w:lvlText w:val="•"/>
      <w:numFmt w:val="bullet"/>
      <w:start w:val="1"/>
    </w:lvl>
  </w:abstractNum>
  <w:abstractNum w:abstractNumId="6">
    <w:nsid w:val="4A2AC315"/>
    <w:multiLevelType w:val="hybridMultilevel"/>
    <w:lvl w:ilvl="0">
      <w:lvlJc w:val="left"/>
      <w:lvlText w:val="•"/>
      <w:numFmt w:val="bullet"/>
      <w:start w:val="1"/>
    </w:lvl>
  </w:abstractNum>
  <w:abstractNum w:abstractNumId="7">
    <w:nsid w:val="39EE015C"/>
    <w:multiLevelType w:val="hybridMultilevel"/>
    <w:lvl w:ilvl="0">
      <w:lvlJc w:val="left"/>
      <w:lvlText w:val="•"/>
      <w:numFmt w:val="bullet"/>
      <w:start w:val="1"/>
    </w:lvl>
  </w:abstractNum>
  <w:abstractNum w:abstractNumId="8">
    <w:nsid w:val="57FC4FBB"/>
    <w:multiLevelType w:val="hybridMultilevel"/>
    <w:lvl w:ilvl="0">
      <w:lvlJc w:val="left"/>
      <w:lvlText w:val="•"/>
      <w:numFmt w:val="bullet"/>
      <w:start w:val="1"/>
    </w:lvl>
  </w:abstractNum>
  <w:abstractNum w:abstractNumId="9">
    <w:nsid w:val="CC1016F"/>
    <w:multiLevelType w:val="hybridMultilevel"/>
    <w:lvl w:ilvl="0">
      <w:lvlJc w:val="left"/>
      <w:lvlText w:val="•"/>
      <w:numFmt w:val="bullet"/>
      <w:start w:val="1"/>
    </w:lvl>
  </w:abstractNum>
  <w:abstractNum w:abstractNumId="10">
    <w:nsid w:val="43F18422"/>
    <w:multiLevelType w:val="hybridMultilevel"/>
    <w:lvl w:ilvl="0">
      <w:lvlJc w:val="left"/>
      <w:lvlText w:val="•"/>
      <w:numFmt w:val="bullet"/>
      <w:start w:val="1"/>
    </w:lvl>
  </w:abstractNum>
  <w:abstractNum w:abstractNumId="11">
    <w:nsid w:val="60EF0119"/>
    <w:multiLevelType w:val="hybridMultilevel"/>
    <w:lvl w:ilvl="0">
      <w:lvlJc w:val="left"/>
      <w:lvlText w:val="•"/>
      <w:numFmt w:val="bullet"/>
      <w:start w:val="1"/>
    </w:lvl>
  </w:abstractNum>
  <w:abstractNum w:abstractNumId="12">
    <w:nsid w:val="26F324BA"/>
    <w:multiLevelType w:val="hybridMultilevel"/>
    <w:lvl w:ilvl="0">
      <w:lvlJc w:val="left"/>
      <w:lvlText w:val="•"/>
      <w:numFmt w:val="bullet"/>
      <w:start w:val="1"/>
    </w:lvl>
  </w:abstractNum>
  <w:abstractNum w:abstractNumId="13">
    <w:nsid w:val="7F01579B"/>
    <w:multiLevelType w:val="hybridMultilevel"/>
    <w:lvl w:ilvl="0">
      <w:lvlJc w:val="left"/>
      <w:lvlText w:val="•"/>
      <w:numFmt w:val="bullet"/>
      <w:start w:val="1"/>
    </w:lvl>
  </w:abstractNum>
  <w:abstractNum w:abstractNumId="14">
    <w:nsid w:val="49DA307D"/>
    <w:multiLevelType w:val="hybridMultilevel"/>
    <w:lvl w:ilvl="0">
      <w:lvlJc w:val="left"/>
      <w:lvlText w:val="•"/>
      <w:numFmt w:val="bullet"/>
      <w:start w:val="1"/>
    </w:lvl>
  </w:abstractNum>
  <w:abstractNum w:abstractNumId="15">
    <w:nsid w:val="7055A5F5"/>
    <w:multiLevelType w:val="hybridMultilevel"/>
    <w:lvl w:ilvl="0">
      <w:lvlJc w:val="left"/>
      <w:lvlText w:val="•"/>
      <w:numFmt w:val="bullet"/>
      <w:start w:val="1"/>
    </w:lvl>
  </w:abstractNum>
  <w:abstractNum w:abstractNumId="16">
    <w:nsid w:val="5FB8370B"/>
    <w:multiLevelType w:val="hybridMultilevel"/>
    <w:lvl w:ilvl="0">
      <w:lvlJc w:val="left"/>
      <w:lvlText w:val="•"/>
      <w:numFmt w:val="bullet"/>
      <w:start w:val="1"/>
    </w:lvl>
  </w:abstractNum>
  <w:abstractNum w:abstractNumId="17">
    <w:nsid w:val="50801EE1"/>
    <w:multiLevelType w:val="hybridMultilevel"/>
    <w:lvl w:ilvl="0">
      <w:lvlJc w:val="left"/>
      <w:lvlText w:val="•"/>
      <w:numFmt w:val="bullet"/>
      <w:start w:val="1"/>
    </w:lvl>
  </w:abstractNum>
  <w:abstractNum w:abstractNumId="18">
    <w:nsid w:val="488AC1A"/>
    <w:multiLevelType w:val="hybridMultilevel"/>
    <w:lvl w:ilvl="0">
      <w:lvlJc w:val="left"/>
      <w:lvlText w:val="•"/>
      <w:numFmt w:val="bullet"/>
      <w:start w:val="1"/>
    </w:lvl>
  </w:abstractNum>
  <w:abstractNum w:abstractNumId="19">
    <w:nsid w:val="5FB8011C"/>
    <w:multiLevelType w:val="hybridMultilevel"/>
    <w:lvl w:ilvl="0">
      <w:lvlJc w:val="left"/>
      <w:lvlText w:val="•"/>
      <w:numFmt w:val="bullet"/>
      <w:start w:val="1"/>
    </w:lvl>
  </w:abstractNum>
  <w:abstractNum w:abstractNumId="20">
    <w:nsid w:val="6AA78F7F"/>
    <w:multiLevelType w:val="hybridMultilevel"/>
    <w:lvl w:ilvl="0">
      <w:lvlJc w:val="left"/>
      <w:lvlText w:val="(%1)"/>
      <w:numFmt w:val="decimal"/>
      <w:start w:val="1"/>
    </w:lvl>
  </w:abstractNum>
  <w:abstractNum w:abstractNumId="21">
    <w:nsid w:val="7672BD23"/>
    <w:multiLevelType w:val="hybridMultilevel"/>
    <w:lvl w:ilvl="0">
      <w:lvlJc w:val="left"/>
      <w:lvlText w:val="(%1)"/>
      <w:numFmt w:val="decimal"/>
      <w:start w:val="1"/>
    </w:lvl>
  </w:abstractNum>
  <w:abstractNum w:abstractNumId="22">
    <w:nsid w:val="6FC75AF8"/>
    <w:multiLevelType w:val="hybridMultilevel"/>
    <w:lvl w:ilvl="0">
      <w:lvlJc w:val="left"/>
      <w:lvlText w:val="(%1)"/>
      <w:numFmt w:val="decimal"/>
      <w:start w:val="1"/>
    </w:lvl>
  </w:abstractNum>
  <w:abstractNum w:abstractNumId="23">
    <w:nsid w:val="6A5F7029"/>
    <w:multiLevelType w:val="hybridMultilevel"/>
    <w:lvl w:ilvl="0">
      <w:lvlJc w:val="left"/>
      <w:lvlText w:val="(%1)"/>
      <w:numFmt w:val="decimal"/>
      <w:start w:val="5"/>
    </w:lvl>
  </w:abstractNum>
  <w:abstractNum w:abstractNumId="24">
    <w:nsid w:val="7D5E18F8"/>
    <w:multiLevelType w:val="hybridMultilevel"/>
    <w:lvl w:ilvl="0">
      <w:lvlJc w:val="left"/>
      <w:lvlText w:val="(%1)"/>
      <w:numFmt w:val="decimal"/>
      <w:start w:val="1"/>
    </w:lvl>
  </w:abstractNum>
  <w:abstractNum w:abstractNumId="25">
    <w:nsid w:val="5F3534A4"/>
    <w:multiLevelType w:val="hybridMultilevel"/>
    <w:lvl w:ilvl="0">
      <w:lvlJc w:val="left"/>
      <w:lvlText w:val="(%1)"/>
      <w:numFmt w:val="lowerRoman"/>
      <w:start w:val="1"/>
    </w:lvl>
  </w:abstractNum>
  <w:abstractNum w:abstractNumId="26">
    <w:nsid w:val="73A1821B"/>
    <w:multiLevelType w:val="hybridMultilevel"/>
    <w:lvl w:ilvl="0">
      <w:lvlJc w:val="left"/>
      <w:lvlText w:val="%1."/>
      <w:numFmt w:val="lowerRoman"/>
      <w:start w:val="1"/>
    </w:lvl>
  </w:abstractNum>
  <w:abstractNum w:abstractNumId="27">
    <w:nsid w:val="7DE67713"/>
    <w:multiLevelType w:val="hybridMultilevel"/>
    <w:lvl w:ilvl="0">
      <w:lvlJc w:val="left"/>
      <w:lvlText w:val="%1."/>
      <w:numFmt w:val="decimal"/>
      <w:start w:val="1"/>
    </w:lvl>
  </w:abstractNum>
  <w:abstractNum w:abstractNumId="28">
    <w:nsid w:val="555C55B5"/>
    <w:multiLevelType w:val="hybridMultilevel"/>
    <w:lvl w:ilvl="0">
      <w:lvlJc w:val="left"/>
      <w:lvlText w:val="-"/>
      <w:numFmt w:val="bullet"/>
      <w:start w:val="1"/>
    </w:lvl>
  </w:abstractNum>
  <w:abstractNum w:abstractNumId="29">
    <w:nsid w:val="3FA62ACA"/>
    <w:multiLevelType w:val="hybridMultilevel"/>
    <w:lvl w:ilvl="0">
      <w:lvlJc w:val="left"/>
      <w:lvlText w:val="%1."/>
      <w:numFmt w:val="decimal"/>
      <w:start w:val="2"/>
    </w:lvl>
  </w:abstractNum>
  <w:abstractNum w:abstractNumId="30">
    <w:nsid w:val="14FCE74E"/>
    <w:multiLevelType w:val="hybridMultilevel"/>
    <w:lvl w:ilvl="0">
      <w:lvlJc w:val="left"/>
      <w:lvlText w:val="%1."/>
      <w:numFmt w:val="decimal"/>
      <w:start w:val="3"/>
    </w:lvl>
  </w:abstractNum>
  <w:abstractNum w:abstractNumId="31">
    <w:nsid w:val="6A3DD3E8"/>
    <w:multiLevelType w:val="hybridMultilevel"/>
    <w:lvl w:ilvl="0">
      <w:lvlJc w:val="left"/>
      <w:lvlText w:val="%1."/>
      <w:numFmt w:val="decimal"/>
      <w:start w:val="4"/>
    </w:lvl>
  </w:abstractNum>
  <w:abstractNum w:abstractNumId="32">
    <w:nsid w:val="71C91298"/>
    <w:multiLevelType w:val="hybridMultilevel"/>
    <w:lvl w:ilvl="0">
      <w:lvlJc w:val="left"/>
      <w:lvlText w:val="%1."/>
      <w:numFmt w:val="decimal"/>
      <w:start w:val="5"/>
    </w:lvl>
  </w:abstractNum>
  <w:abstractNum w:abstractNumId="33">
    <w:nsid w:val="9DAF632"/>
    <w:multiLevelType w:val="hybridMultilevel"/>
    <w:lvl w:ilvl="0">
      <w:lvlJc w:val="left"/>
      <w:lvlText w:val="(%1)"/>
      <w:numFmt w:val="decimal"/>
      <w:start w:val="1"/>
    </w:lvl>
  </w:abstractNum>
  <w:abstractNum w:abstractNumId="34">
    <w:nsid w:val="53299938"/>
    <w:multiLevelType w:val="hybridMultilevel"/>
    <w:lvl w:ilvl="0">
      <w:lvlJc w:val="left"/>
      <w:lvlText w:val="%1."/>
      <w:numFmt w:val="decimal"/>
      <w:start w:val="6"/>
    </w:lvl>
  </w:abstractNum>
  <w:abstractNum w:abstractNumId="35">
    <w:nsid w:val="1FBFE8E0"/>
    <w:multiLevelType w:val="hybridMultilevel"/>
    <w:lvl w:ilvl="0">
      <w:lvlJc w:val="left"/>
      <w:lvlText w:val="(%1)"/>
      <w:numFmt w:val="decimal"/>
      <w:start w:val="1"/>
    </w:lvl>
  </w:abstractNum>
  <w:abstractNum w:abstractNumId="36">
    <w:nsid w:val="5092CA79"/>
    <w:multiLevelType w:val="hybridMultilevel"/>
    <w:lvl w:ilvl="0">
      <w:lvlJc w:val="left"/>
      <w:lvlText w:val="%1."/>
      <w:numFmt w:val="decimal"/>
      <w:start w:val="7"/>
    </w:lvl>
  </w:abstractNum>
  <w:abstractNum w:abstractNumId="37">
    <w:nsid w:val="1D545C4D"/>
    <w:multiLevelType w:val="hybridMultilevel"/>
    <w:lvl w:ilvl="0">
      <w:lvlJc w:val="left"/>
      <w:lvlText w:val="(%1)"/>
      <w:numFmt w:val="decimal"/>
      <w:start w:val="1"/>
    </w:lvl>
  </w:abstractNum>
  <w:abstractNum w:abstractNumId="38">
    <w:nsid w:val="59ADEA3D"/>
    <w:multiLevelType w:val="hybridMultilevel"/>
    <w:lvl w:ilvl="0">
      <w:lvlJc w:val="left"/>
      <w:lvlText w:val="(%1)"/>
      <w:numFmt w:val="decimal"/>
      <w:start w:val="1"/>
    </w:lvl>
  </w:abstractNum>
  <w:abstractNum w:abstractNumId="39">
    <w:nsid w:val="288F1A34"/>
    <w:multiLevelType w:val="hybridMultilevel"/>
    <w:lvl w:ilvl="0">
      <w:lvlJc w:val="left"/>
      <w:lvlText w:val="(%1)"/>
      <w:numFmt w:val="decimal"/>
      <w:start w:val="1"/>
    </w:lvl>
  </w:abstractNum>
  <w:abstractNum w:abstractNumId="40">
    <w:nsid w:val="2A155DBC"/>
    <w:multiLevelType w:val="hybridMultilevel"/>
    <w:lvl w:ilvl="0">
      <w:lvlJc w:val="left"/>
      <w:lvlText w:val="(%1)"/>
      <w:numFmt w:val="decimal"/>
      <w:start w:val="1"/>
    </w:lvl>
  </w:abstractNum>
  <w:abstractNum w:abstractNumId="41">
    <w:nsid w:val="1D9F6E5F"/>
    <w:multiLevelType w:val="hybridMultilevel"/>
    <w:lvl w:ilvl="0">
      <w:lvlJc w:val="left"/>
      <w:lvlText w:val="(%1)"/>
      <w:numFmt w:val="decimal"/>
      <w:start w:val="1"/>
    </w:lvl>
  </w:abstractNum>
  <w:abstractNum w:abstractNumId="42">
    <w:nsid w:val="97E1B4E"/>
    <w:multiLevelType w:val="hybridMultilevel"/>
    <w:lvl w:ilvl="0">
      <w:lvlJc w:val="left"/>
      <w:lvlText w:val="%1."/>
      <w:numFmt w:val="decimal"/>
      <w:start w:val="8"/>
    </w:lvl>
  </w:abstractNum>
  <w:abstractNum w:abstractNumId="43">
    <w:nsid w:val="51088277"/>
    <w:multiLevelType w:val="hybridMultilevel"/>
    <w:lvl w:ilvl="0">
      <w:lvlJc w:val="left"/>
      <w:lvlText w:val="%1."/>
      <w:numFmt w:val="decimal"/>
      <w:start w:val="9"/>
    </w:lvl>
  </w:abstractNum>
  <w:abstractNum w:abstractNumId="44">
    <w:nsid w:val="1CA0C5FA"/>
    <w:multiLevelType w:val="hybridMultilevel"/>
    <w:lvl w:ilvl="0">
      <w:lvlJc w:val="left"/>
      <w:lvlText w:val="•"/>
      <w:numFmt w:val="bullet"/>
      <w:start w:val="1"/>
    </w:lvl>
  </w:abstractNum>
  <w:abstractNum w:abstractNumId="45">
    <w:nsid w:val="53584BCB"/>
    <w:multiLevelType w:val="hybridMultilevel"/>
    <w:lvl w:ilvl="0">
      <w:lvlJc w:val="left"/>
      <w:lvlText w:val="•"/>
      <w:numFmt w:val="bullet"/>
      <w:start w:val="1"/>
    </w:lvl>
  </w:abstractNum>
  <w:abstractNum w:abstractNumId="46">
    <w:nsid w:val="415E286C"/>
    <w:multiLevelType w:val="hybridMultilevel"/>
    <w:lvl w:ilvl="0">
      <w:lvlJc w:val="left"/>
      <w:lvlText w:val="(%1)"/>
      <w:numFmt w:val="decimal"/>
      <w:start w:val="1"/>
    </w:lvl>
  </w:abstractNum>
  <w:abstractNum w:abstractNumId="47">
    <w:nsid w:val="7C58FD05"/>
    <w:multiLevelType w:val="hybridMultilevel"/>
    <w:lvl w:ilvl="0">
      <w:lvlJc w:val="left"/>
      <w:lvlText w:val="%1."/>
      <w:numFmt w:val="decimal"/>
      <w:start w:val="10"/>
    </w:lvl>
  </w:abstractNum>
  <w:abstractNum w:abstractNumId="48">
    <w:nsid w:val="23D86AAC"/>
    <w:multiLevelType w:val="hybridMultilevel"/>
    <w:lvl w:ilvl="0">
      <w:lvlJc w:val="left"/>
      <w:lvlText w:val="(%1)"/>
      <w:numFmt w:val="decimal"/>
      <w:start w:val="1"/>
    </w:lvl>
  </w:abstractNum>
  <w:abstractNum w:abstractNumId="49">
    <w:nsid w:val="45E6D486"/>
    <w:multiLevelType w:val="hybridMultilevel"/>
    <w:lvl w:ilvl="0">
      <w:lvlJc w:val="left"/>
      <w:lvlText w:val="%1."/>
      <w:numFmt w:val="decimal"/>
      <w:start w:val="11"/>
    </w:lvl>
  </w:abstractNum>
  <w:abstractNum w:abstractNumId="50">
    <w:nsid w:val="5C10FE21"/>
    <w:multiLevelType w:val="hybridMultilevel"/>
    <w:lvl w:ilvl="0">
      <w:lvlJc w:val="left"/>
      <w:lvlText w:val="(%1)"/>
      <w:numFmt w:val="decimal"/>
      <w:start w:val="1"/>
    </w:lvl>
  </w:abstractNum>
  <w:abstractNum w:abstractNumId="51">
    <w:nsid w:val="E7FFA2B"/>
    <w:multiLevelType w:val="hybridMultilevel"/>
    <w:lvl w:ilvl="0">
      <w:lvlJc w:val="left"/>
      <w:lvlText w:val="(%1)"/>
      <w:numFmt w:val="decimal"/>
      <w:start w:val="2"/>
    </w:lvl>
  </w:abstractNum>
  <w:abstractNum w:abstractNumId="52">
    <w:nsid w:val="3C5991AA"/>
    <w:multiLevelType w:val="hybridMultilevel"/>
    <w:lvl w:ilvl="0">
      <w:lvlJc w:val="left"/>
      <w:lvlText w:val="%1."/>
      <w:numFmt w:val="decimal"/>
      <w:start w:val="12"/>
    </w:lvl>
  </w:abstractNum>
  <w:abstractNum w:abstractNumId="53">
    <w:nsid w:val="4BD8591A"/>
    <w:multiLevelType w:val="hybridMultilevel"/>
    <w:lvl w:ilvl="0">
      <w:lvlJc w:val="left"/>
      <w:lvlText w:val="%1."/>
      <w:numFmt w:val="decimal"/>
      <w:start w:val="13"/>
    </w:lvl>
  </w:abstractNum>
  <w:abstractNum w:abstractNumId="54">
    <w:nsid w:val="78DF6A55"/>
    <w:multiLevelType w:val="hybridMultilevel"/>
    <w:lvl w:ilvl="0">
      <w:lvlJc w:val="left"/>
      <w:lvlText w:val="%1."/>
      <w:numFmt w:val="decimal"/>
      <w:start w:val="14"/>
    </w:lvl>
  </w:abstractNum>
  <w:abstractNum w:abstractNumId="55">
    <w:nsid w:val="39B7AAA2"/>
    <w:multiLevelType w:val="hybridMultilevel"/>
    <w:lvl w:ilvl="0">
      <w:lvlJc w:val="left"/>
      <w:lvlText w:val="(%1)"/>
      <w:numFmt w:val="decimal"/>
      <w:start w:val="1"/>
    </w:lvl>
  </w:abstractNum>
  <w:abstractNum w:abstractNumId="56">
    <w:nsid w:val="2B0D8DBE"/>
    <w:multiLevelType w:val="hybridMultilevel"/>
    <w:lvl w:ilvl="0">
      <w:lvlJc w:val="left"/>
      <w:lvlText w:val="%1"/>
      <w:numFmt w:val="decimal"/>
      <w:start w:val="1"/>
    </w:lvl>
    <w:lvl w:ilvl="1">
      <w:lvlJc w:val="left"/>
      <w:lvlText w:val="(%2)"/>
      <w:numFmt w:val="decimal"/>
      <w:start w:val="1"/>
    </w:lvl>
  </w:abstractNum>
  <w:abstractNum w:abstractNumId="57">
    <w:nsid w:val="6C80EC70"/>
    <w:multiLevelType w:val="hybridMultilevel"/>
    <w:lvl w:ilvl="0">
      <w:lvlJc w:val="left"/>
      <w:lvlText w:val="%1."/>
      <w:numFmt w:val="decimal"/>
      <w:start w:val="15"/>
    </w:lvl>
    <w:lvl w:ilvl="1">
      <w:lvlJc w:val="left"/>
      <w:lvlText w:val="%2"/>
      <w:numFmt w:val="decimal"/>
      <w:start w:val="1"/>
    </w:lvl>
  </w:abstractNum>
  <w:abstractNum w:abstractNumId="58">
    <w:nsid w:val="379E21B5"/>
    <w:multiLevelType w:val="hybridMultilevel"/>
    <w:lvl w:ilvl="0">
      <w:lvlJc w:val="left"/>
      <w:lvlText w:val="%1"/>
      <w:numFmt w:val="decimal"/>
      <w:start w:val="1"/>
    </w:lvl>
    <w:lvl w:ilvl="1">
      <w:lvlJc w:val="left"/>
      <w:lvlText w:val="(%2)"/>
      <w:numFmt w:val="decimal"/>
      <w:start w:val="1"/>
    </w:lvl>
  </w:abstractNum>
  <w:abstractNum w:abstractNumId="59">
    <w:nsid w:val="69E373"/>
    <w:multiLevelType w:val="hybridMultilevel"/>
    <w:lvl w:ilvl="0">
      <w:lvlJc w:val="left"/>
      <w:lvlText w:val="%1."/>
      <w:numFmt w:val="decimal"/>
      <w:start w:val="16"/>
    </w:lvl>
    <w:lvl w:ilvl="1">
      <w:lvlJc w:val="left"/>
      <w:lvlText w:val="%2"/>
      <w:numFmt w:val="decimal"/>
      <w:start w:val="1"/>
    </w:lvl>
  </w:abstractNum>
  <w:abstractNum w:abstractNumId="60">
    <w:nsid w:val="2C27173B"/>
    <w:multiLevelType w:val="hybridMultilevel"/>
    <w:lvl w:ilvl="0">
      <w:lvlJc w:val="left"/>
      <w:lvlText w:val="(%1)"/>
      <w:numFmt w:val="lowerLetter"/>
      <w:start w:val="1"/>
    </w:lvl>
  </w:abstractNum>
  <w:abstractNum w:abstractNumId="61">
    <w:nsid w:val="4C9B0904"/>
    <w:multiLevelType w:val="hybridMultilevel"/>
    <w:lvl w:ilvl="0">
      <w:lvlJc w:val="left"/>
      <w:lvlText w:val="*"/>
      <w:numFmt w:val="bullet"/>
      <w:start w:val="1"/>
    </w:lvl>
    <w:lvl w:ilvl="1">
      <w:lvlJc w:val="left"/>
      <w:lvlText w:val="%2"/>
      <w:numFmt w:val="decimal"/>
      <w:start w:val="104"/>
    </w:lvl>
  </w:abstractNum>
  <w:abstractNum w:abstractNumId="62">
    <w:nsid w:val="6AA7B75C"/>
    <w:multiLevelType w:val="hybridMultilevel"/>
    <w:lvl w:ilvl="0">
      <w:lvlJc w:val="left"/>
      <w:lvlText w:val="**"/>
      <w:numFmt w:val="bullet"/>
      <w:start w:val="1"/>
    </w:lvl>
    <w:lvl w:ilvl="1">
      <w:lvlJc w:val="left"/>
      <w:lvlText w:val="%2"/>
      <w:numFmt w:val="decimal"/>
      <w:start w:val="1"/>
    </w:lvl>
  </w:abstractNum>
  <w:abstractNum w:abstractNumId="63">
    <w:nsid w:val="1DF029D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4">
    <w:nsid w:val="5675FF3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5">
    <w:nsid w:val="3DD15094"/>
    <w:multiLevelType w:val="hybridMultilevel"/>
    <w:lvl w:ilvl="0">
      <w:lvlJc w:val="left"/>
      <w:lvlText w:val="%1"/>
      <w:numFmt w:val="lowerLetter"/>
      <w:start w:val="1"/>
    </w:lvl>
    <w:lvl w:ilvl="1">
      <w:lvlJc w:val="left"/>
      <w:lvlText w:val="(%2)"/>
      <w:numFmt w:val="lowerLetter"/>
      <w:start w:val="1"/>
    </w:lvl>
  </w:abstractNum>
  <w:abstractNum w:abstractNumId="66">
    <w:nsid w:val="3DB012B3"/>
    <w:multiLevelType w:val="hybridMultilevel"/>
    <w:lvl w:ilvl="0">
      <w:lvlJc w:val="left"/>
      <w:lvlText w:val="(%1)"/>
      <w:numFmt w:val="lowerLetter"/>
      <w:start w:val="9"/>
    </w:lvl>
    <w:lvl w:ilvl="1">
      <w:lvlJc w:val="left"/>
      <w:lvlText w:val="(%2)"/>
      <w:numFmt w:val="lowerLetter"/>
      <w:start w:val="3"/>
    </w:lvl>
  </w:abstractNum>
  <w:abstractNum w:abstractNumId="67">
    <w:nsid w:val="2708C9AF"/>
    <w:multiLevelType w:val="hybridMultilevel"/>
    <w:lvl w:ilvl="0">
      <w:lvlJc w:val="left"/>
      <w:lvlText w:val="%1"/>
      <w:numFmt w:val="lowerLetter"/>
      <w:start w:val="1"/>
    </w:lvl>
    <w:lvl w:ilvl="1">
      <w:lvlJc w:val="left"/>
      <w:lvlText w:val="(%2)"/>
      <w:numFmt w:val="lowerLetter"/>
      <w:start w:val="6"/>
    </w:lvl>
  </w:abstractNum>
  <w:abstractNum w:abstractNumId="68">
    <w:nsid w:val="5B25ACE2"/>
    <w:multiLevelType w:val="hybridMultilevel"/>
    <w:lvl w:ilvl="0">
      <w:lvlJc w:val="left"/>
      <w:lvlText w:val="(%1)"/>
      <w:numFmt w:val="lowerLetter"/>
      <w:start w:val="22"/>
    </w:lvl>
    <w:lvl w:ilvl="1">
      <w:lvlJc w:val="left"/>
      <w:lvlText w:val="%2"/>
      <w:numFmt w:val="lowerLetter"/>
      <w:start w:val="1"/>
    </w:lvl>
  </w:abstractNum>
  <w:abstractNum w:abstractNumId="69">
    <w:nsid w:val="175DFCF0"/>
    <w:multiLevelType w:val="hybridMultilevel"/>
    <w:lvl w:ilvl="0">
      <w:lvlJc w:val="left"/>
      <w:lvlText w:val="(%1)"/>
      <w:numFmt w:val="lowerRoman"/>
      <w:start w:val="1"/>
    </w:lvl>
  </w:abstractNum>
  <w:abstractNum w:abstractNumId="70">
    <w:nsid w:val="4F97E3E4"/>
    <w:multiLevelType w:val="hybridMultilevel"/>
    <w:lvl w:ilvl="0">
      <w:lvlJc w:val="left"/>
      <w:lvlText w:val="(%1)"/>
      <w:numFmt w:val="lowerLetter"/>
      <w:start w:val="2"/>
    </w:lvl>
    <w:lvl w:ilvl="1">
      <w:lvlJc w:val="left"/>
      <w:lvlText w:val="(%2)"/>
      <w:numFmt w:val="lowerRoman"/>
      <w:start w:val="1"/>
    </w:lvl>
  </w:abstractNum>
  <w:abstractNum w:abstractNumId="71">
    <w:nsid w:val="53B0A9E"/>
    <w:multiLevelType w:val="hybridMultilevel"/>
    <w:lvl w:ilvl="0">
      <w:lvlJc w:val="left"/>
      <w:lvlText w:val="(%1)"/>
      <w:numFmt w:val="lowerLetter"/>
      <w:start w:val="3"/>
    </w:lvl>
  </w:abstractNum>
  <w:abstractNum w:abstractNumId="72">
    <w:nsid w:val="34FD6B4F"/>
    <w:multiLevelType w:val="hybridMultilevel"/>
    <w:lvl w:ilvl="0">
      <w:lvlJc w:val="left"/>
      <w:lvlText w:val="•"/>
      <w:numFmt w:val="bullet"/>
      <w:start w:val="1"/>
    </w:lvl>
  </w:abstractNum>
  <w:abstractNum w:abstractNumId="73">
    <w:nsid w:val="5915FF32"/>
    <w:multiLevelType w:val="hybridMultilevel"/>
    <w:lvl w:ilvl="0">
      <w:lvlJc w:val="left"/>
      <w:lvlText w:val="•"/>
      <w:numFmt w:val="bullet"/>
      <w:start w:val="1"/>
    </w:lvl>
  </w:abstractNum>
  <w:abstractNum w:abstractNumId="74">
    <w:nsid w:val="56438D15"/>
    <w:multiLevelType w:val="hybridMultilevel"/>
    <w:lvl w:ilvl="0">
      <w:lvlJc w:val="left"/>
      <w:lvlText w:val="•"/>
      <w:numFmt w:val="bullet"/>
      <w:start w:val="1"/>
    </w:lvl>
  </w:abstractNum>
  <w:abstractNum w:abstractNumId="75">
    <w:nsid w:val="519E3149"/>
    <w:multiLevelType w:val="hybridMultilevel"/>
    <w:lvl w:ilvl="0">
      <w:lvlJc w:val="left"/>
      <w:lvlText w:val="•"/>
      <w:numFmt w:val="bullet"/>
      <w:start w:val="1"/>
    </w:lvl>
  </w:abstractNum>
  <w:abstractNum w:abstractNumId="76">
    <w:nsid w:val="2C6E4AFD"/>
    <w:multiLevelType w:val="hybridMultilevel"/>
    <w:lvl w:ilvl="0">
      <w:lvlJc w:val="left"/>
      <w:lvlText w:val="(%1)"/>
      <w:numFmt w:val="lowerRoman"/>
      <w:start w:val="2"/>
    </w:lvl>
  </w:abstractNum>
  <w:abstractNum w:abstractNumId="77">
    <w:nsid w:val="17A1B582"/>
    <w:multiLevelType w:val="hybridMultilevel"/>
    <w:lvl w:ilvl="0">
      <w:lvlJc w:val="left"/>
      <w:lvlText w:val="(%1)"/>
      <w:numFmt w:val="lowerRoman"/>
      <w:start w:val="6"/>
    </w:lvl>
  </w:abstractNum>
  <w:abstractNum w:abstractNumId="78">
    <w:nsid w:val="4DF72E4E"/>
    <w:multiLevelType w:val="hybridMultilevel"/>
    <w:lvl w:ilvl="0">
      <w:lvlJc w:val="left"/>
      <w:lvlText w:val="(%1)"/>
      <w:numFmt w:val="lowerRoman"/>
      <w:start w:val="2"/>
    </w:lvl>
  </w:abstractNum>
  <w:abstractNum w:abstractNumId="79">
    <w:nsid w:val="5046B5A9"/>
    <w:multiLevelType w:val="hybridMultilevel"/>
    <w:lvl w:ilvl="0">
      <w:lvlJc w:val="left"/>
      <w:lvlText w:val="(%1)"/>
      <w:numFmt w:val="lowerLetter"/>
      <w:start w:val="1"/>
    </w:lvl>
  </w:abstractNum>
  <w:abstractNum w:abstractNumId="80">
    <w:nsid w:val="5D888A08"/>
    <w:multiLevelType w:val="hybridMultilevel"/>
    <w:lvl w:ilvl="0">
      <w:lvlJc w:val="left"/>
      <w:lvlText w:val="(%1)"/>
      <w:numFmt w:val="lowerLetter"/>
      <w:start w:val="1"/>
    </w:lvl>
  </w:abstractNum>
  <w:abstractNum w:abstractNumId="81">
    <w:nsid w:val="2A082C70"/>
    <w:multiLevelType w:val="hybridMultilevel"/>
    <w:lvl w:ilvl="0">
      <w:lvlJc w:val="left"/>
      <w:lvlText w:val="(%1)"/>
      <w:numFmt w:val="lowerLetter"/>
      <w:start w:val="1"/>
    </w:lvl>
  </w:abstractNum>
  <w:abstractNum w:abstractNumId="82">
    <w:nsid w:val="5EC6AFD4"/>
    <w:multiLevelType w:val="hybridMultilevel"/>
    <w:lvl w:ilvl="0">
      <w:lvlJc w:val="left"/>
      <w:lvlText w:val="(%1)"/>
      <w:numFmt w:val="lowerLetter"/>
      <w:start w:val="1"/>
    </w:lvl>
  </w:abstractNum>
  <w:abstractNum w:abstractNumId="83">
    <w:nsid w:val="19E21BB2"/>
    <w:multiLevelType w:val="hybridMultilevel"/>
    <w:lvl w:ilvl="0">
      <w:lvlJc w:val="left"/>
      <w:lvlText w:val="(%1)"/>
      <w:numFmt w:val="lowerLetter"/>
      <w:start w:val="4"/>
    </w:lvl>
  </w:abstractNum>
  <w:abstractNum w:abstractNumId="84">
    <w:nsid w:val="75E0858A"/>
    <w:multiLevelType w:val="hybridMultilevel"/>
    <w:lvl w:ilvl="0">
      <w:lvlJc w:val="left"/>
      <w:lvlText w:val="%1"/>
      <w:numFmt w:val="lowerLetter"/>
      <w:start w:val="1"/>
    </w:lvl>
    <w:lvl w:ilvl="1">
      <w:lvlJc w:val="left"/>
      <w:lvlText w:val="(%2)"/>
      <w:numFmt w:val="lowerLetter"/>
      <w:start w:val="1"/>
    </w:lvl>
  </w:abstractNum>
  <w:abstractNum w:abstractNumId="85">
    <w:nsid w:val="57A61A29"/>
    <w:multiLevelType w:val="hybridMultilevel"/>
    <w:lvl w:ilvl="0">
      <w:lvlJc w:val="left"/>
      <w:lvlText w:val="(%1)"/>
      <w:numFmt w:val="lowerLetter"/>
      <w:start w:val="9"/>
    </w:lvl>
    <w:lvl w:ilvl="1">
      <w:lvlJc w:val="left"/>
      <w:lvlText w:val="%2"/>
      <w:numFmt w:val="lowerLetter"/>
      <w:start w:val="1"/>
    </w:lvl>
  </w:abstractNum>
  <w:abstractNum w:abstractNumId="86">
    <w:nsid w:val="5399C654"/>
    <w:multiLevelType w:val="hybridMultilevel"/>
    <w:lvl w:ilvl="0">
      <w:lvlJc w:val="left"/>
      <w:lvlText w:val="(%1)"/>
      <w:numFmt w:val="lowerLetter"/>
      <w:start w:val="2"/>
    </w:lvl>
  </w:abstractNum>
  <w:abstractNum w:abstractNumId="87">
    <w:nsid w:val="20EE1348"/>
    <w:multiLevelType w:val="hybridMultilevel"/>
    <w:lvl w:ilvl="0">
      <w:lvlJc w:val="left"/>
      <w:lvlText w:val="(%1)"/>
      <w:numFmt w:val="lowerLetter"/>
      <w:start w:val="1"/>
    </w:lvl>
  </w:abstractNum>
  <w:abstractNum w:abstractNumId="88">
    <w:nsid w:val="4427069A"/>
    <w:multiLevelType w:val="hybridMultilevel"/>
    <w:lvl w:ilvl="0">
      <w:lvlJc w:val="left"/>
      <w:lvlText w:val="(%1)"/>
      <w:numFmt w:val="lowerLetter"/>
      <w:start w:val="2"/>
    </w:lvl>
  </w:abstractNum>
  <w:abstractNum w:abstractNumId="89">
    <w:nsid w:val="B37E80A"/>
    <w:multiLevelType w:val="hybridMultilevel"/>
    <w:lvl w:ilvl="0">
      <w:lvlJc w:val="left"/>
      <w:lvlText w:val="(%1)"/>
      <w:numFmt w:val="lowerLetter"/>
      <w:start w:val="4"/>
    </w:lvl>
  </w:abstractNum>
  <w:abstractNum w:abstractNumId="90">
    <w:nsid w:val="2157F6BC"/>
    <w:multiLevelType w:val="hybridMultilevel"/>
    <w:lvl w:ilvl="0">
      <w:lvlJc w:val="left"/>
      <w:lvlText w:val="%1"/>
      <w:numFmt w:val="lowerLetter"/>
      <w:start w:val="1"/>
    </w:lvl>
    <w:lvl w:ilvl="1">
      <w:lvlJc w:val="left"/>
      <w:lvlText w:val="(%2)"/>
      <w:numFmt w:val="lowerLetter"/>
      <w:start w:val="8"/>
    </w:lvl>
  </w:abstractNum>
  <w:abstractNum w:abstractNumId="91">
    <w:nsid w:val="704E1DD5"/>
    <w:multiLevelType w:val="hybridMultilevel"/>
    <w:lvl w:ilvl="0">
      <w:lvlJc w:val="left"/>
      <w:lvlText w:val="(%1)"/>
      <w:numFmt w:val="lowerLetter"/>
      <w:start w:val="9"/>
    </w:lvl>
    <w:lvl w:ilvl="1">
      <w:lvlJc w:val="left"/>
      <w:lvlText w:val="(%2)"/>
      <w:numFmt w:val="lowerLetter"/>
      <w:start w:val="9"/>
    </w:lvl>
  </w:abstractNum>
  <w:abstractNum w:abstractNumId="92">
    <w:nsid w:val="57D2F10E"/>
    <w:multiLevelType w:val="hybridMultilevel"/>
    <w:lvl w:ilvl="0">
      <w:lvlJc w:val="left"/>
      <w:lvlText w:val="(%1)"/>
      <w:numFmt w:val="lowerLetter"/>
      <w:start w:val="1"/>
    </w:lvl>
    <w:lvl w:ilvl="1">
      <w:lvlJc w:val="left"/>
      <w:lvlText w:val="(%2)"/>
      <w:numFmt w:val="lowerLetter"/>
      <w:start w:val="9"/>
    </w:lvl>
  </w:abstractNum>
  <w:abstractNum w:abstractNumId="93">
    <w:nsid w:val="BFFAE18"/>
    <w:multiLevelType w:val="hybridMultilevel"/>
    <w:lvl w:ilvl="0">
      <w:lvlJc w:val="left"/>
      <w:lvlText w:val="(%1)"/>
      <w:numFmt w:val="lowerRoman"/>
      <w:start w:val="2"/>
    </w:lvl>
  </w:abstractNum>
  <w:abstractNum w:abstractNumId="94">
    <w:nsid w:val="E3E47A8"/>
    <w:multiLevelType w:val="hybridMultilevel"/>
    <w:lvl w:ilvl="0">
      <w:lvlJc w:val="left"/>
      <w:lvlText w:val="(%1)"/>
      <w:numFmt w:val="lowerLetter"/>
      <w:start w:val="4"/>
    </w:lvl>
  </w:abstractNum>
  <w:abstractNum w:abstractNumId="95">
    <w:nsid w:val="2E48F044"/>
    <w:multiLevelType w:val="hybridMultilevel"/>
    <w:lvl w:ilvl="0">
      <w:lvlJc w:val="left"/>
      <w:lvlText w:val="(%1)"/>
      <w:numFmt w:val="lowerLetter"/>
      <w:start w:val="1"/>
    </w:lvl>
    <w:lvl w:ilvl="1">
      <w:lvlJc w:val="left"/>
      <w:lvlText w:val="(%2)"/>
      <w:numFmt w:val="lowerRoman"/>
      <w:start w:val="1"/>
    </w:lvl>
  </w:abstractNum>
  <w:abstractNum w:abstractNumId="96">
    <w:nsid w:val="49D0FEAC"/>
    <w:multiLevelType w:val="hybridMultilevel"/>
    <w:lvl w:ilvl="0">
      <w:lvlJc w:val="left"/>
      <w:lvlText w:val="(%1)"/>
      <w:numFmt w:val="lowerRoman"/>
      <w:start w:val="6"/>
    </w:lvl>
  </w:abstractNum>
  <w:abstractNum w:abstractNumId="97">
    <w:nsid w:val="4BEE5A5B"/>
    <w:multiLevelType w:val="hybridMultilevel"/>
    <w:lvl w:ilvl="0">
      <w:lvlJc w:val="left"/>
      <w:lvlText w:val="%1"/>
      <w:numFmt w:val="lowerLetter"/>
      <w:start w:val="1"/>
    </w:lvl>
    <w:lvl w:ilvl="1">
      <w:lvlJc w:val="left"/>
      <w:lvlText w:val="(%2)"/>
      <w:numFmt w:val="lowerLetter"/>
      <w:start w:val="50"/>
    </w:lvl>
  </w:abstractNum>
  <w:abstractNum w:abstractNumId="98">
    <w:nsid w:val="5551B9F3"/>
    <w:multiLevelType w:val="hybridMultilevel"/>
    <w:lvl w:ilvl="0">
      <w:lvlJc w:val="left"/>
      <w:lvlText w:val="(%1)"/>
      <w:numFmt w:val="lowerLetter"/>
      <w:start w:val="3"/>
    </w:lvl>
    <w:lvl w:ilvl="1">
      <w:lvlJc w:val="left"/>
      <w:lvlText w:val="%2"/>
      <w:numFmt w:val="lowerLetter"/>
      <w:start w:val="1"/>
    </w:lvl>
  </w:abstractNum>
  <w:abstractNum w:abstractNumId="99">
    <w:nsid w:val="24F6AB8E"/>
    <w:multiLevelType w:val="hybridMultilevel"/>
    <w:lvl w:ilvl="0">
      <w:lvlJc w:val="left"/>
      <w:lvlText w:val="(%1)"/>
      <w:numFmt w:val="lowerLetter"/>
      <w:start w:val="4"/>
    </w:lvl>
  </w:abstractNum>
  <w:abstractNum w:abstractNumId="100">
    <w:nsid w:val="634C574C"/>
    <w:multiLevelType w:val="hybridMultilevel"/>
    <w:lvl w:ilvl="0">
      <w:lvlJc w:val="left"/>
      <w:lvlText w:val="(%1)"/>
      <w:numFmt w:val="lowerLetter"/>
      <w:start w:val="1"/>
    </w:lvl>
  </w:abstractNum>
  <w:abstractNum w:abstractNumId="101">
    <w:nsid w:val="24E99DD7"/>
    <w:multiLevelType w:val="hybridMultilevel"/>
    <w:lvl w:ilvl="0">
      <w:lvlJc w:val="left"/>
      <w:lvlText w:val="(%1)"/>
      <w:numFmt w:val="lowerLetter"/>
      <w:start w:val="1"/>
    </w:lvl>
  </w:abstractNum>
  <w:abstractNum w:abstractNumId="102">
    <w:nsid w:val="2A31B62D"/>
    <w:multiLevelType w:val="hybridMultilevel"/>
    <w:lvl w:ilvl="0">
      <w:lvlJc w:val="left"/>
      <w:lvlText w:val="(%1)"/>
      <w:numFmt w:val="lowerLetter"/>
      <w:start w:val="2"/>
    </w:lvl>
  </w:abstractNum>
  <w:abstractNum w:abstractNumId="103">
    <w:nsid w:val="1849C29B"/>
    <w:multiLevelType w:val="hybridMultilevel"/>
    <w:lvl w:ilvl="0">
      <w:lvlJc w:val="left"/>
      <w:lvlText w:val="(%1)"/>
      <w:numFmt w:val="lowerLetter"/>
      <w:start w:val="1"/>
    </w:lvl>
  </w:abstractNum>
  <w:abstractNum w:abstractNumId="104">
    <w:nsid w:val="7DFF9D09"/>
    <w:multiLevelType w:val="hybridMultilevel"/>
    <w:lvl w:ilvl="0">
      <w:lvlJc w:val="left"/>
      <w:lvlText w:val="(%1)"/>
      <w:numFmt w:val="lowerLetter"/>
      <w:start w:val="2"/>
    </w:lvl>
  </w:abstractNum>
  <w:abstractNum w:abstractNumId="105">
    <w:nsid w:val="754342"/>
    <w:multiLevelType w:val="hybridMultilevel"/>
    <w:lvl w:ilvl="0">
      <w:lvlJc w:val="left"/>
      <w:lvlText w:val="(%1)"/>
      <w:numFmt w:val="lowerLetter"/>
      <w:start w:val="2"/>
    </w:lvl>
    <w:lvl w:ilvl="1">
      <w:lvlJc w:val="left"/>
      <w:lvlText w:val="(%2)"/>
      <w:numFmt w:val="lowerRoman"/>
      <w:start w:val="1"/>
    </w:lvl>
  </w:abstractNum>
  <w:abstractNum w:abstractNumId="106">
    <w:nsid w:val="69E7F3E5"/>
    <w:multiLevelType w:val="hybridMultilevel"/>
    <w:lvl w:ilvl="0">
      <w:lvlJc w:val="left"/>
      <w:lvlText w:val="%1"/>
      <w:numFmt w:val="upperLetter"/>
      <w:start w:val="1"/>
    </w:lvl>
    <w:lvl w:ilvl="1">
      <w:lvlJc w:val="left"/>
      <w:lvlText w:val="(%2)"/>
      <w:numFmt w:val="lowerRoman"/>
      <w:start w:val="1"/>
    </w:lvl>
  </w:abstractNum>
  <w:abstractNum w:abstractNumId="107">
    <w:nsid w:val="2A6DE806"/>
    <w:multiLevelType w:val="hybridMultilevel"/>
    <w:lvl w:ilvl="0">
      <w:lvlJc w:val="left"/>
      <w:lvlText w:val="(%1)"/>
      <w:numFmt w:val="upperLetter"/>
      <w:start w:val="1"/>
    </w:lvl>
    <w:lvl w:ilvl="1">
      <w:lvlJc w:val="left"/>
      <w:lvlText w:val="%2"/>
      <w:numFmt w:val="lowerRoman"/>
      <w:start w:val="1"/>
    </w:lvl>
  </w:abstractNum>
  <w:abstractNum w:abstractNumId="108">
    <w:nsid w:val="1816F8C4"/>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3"/>
    </w:lvl>
    <w:lvl w:ilvl="3">
      <w:lvlJc w:val="left"/>
      <w:lvlText w:val="(%4)"/>
      <w:numFmt w:val="lowerRoman"/>
      <w:start w:val="2"/>
    </w:lvl>
  </w:abstractNum>
  <w:abstractNum w:abstractNumId="109">
    <w:nsid w:val="37DF2233"/>
    <w:multiLevelType w:val="hybridMultilevel"/>
    <w:lvl w:ilvl="0">
      <w:lvlJc w:val="left"/>
      <w:lvlText w:val="(%1)"/>
      <w:numFmt w:val="lowerRoman"/>
      <w:start w:val="10"/>
    </w:lvl>
    <w:lvl w:ilvl="1">
      <w:lvlJc w:val="left"/>
      <w:lvlText w:val="(%2)"/>
      <w:numFmt w:val="lowerLetter"/>
      <w:start w:val="1"/>
    </w:lvl>
    <w:lvl w:ilvl="2">
      <w:lvlJc w:val="left"/>
      <w:lvlText w:val="%3"/>
      <w:numFmt w:val="upperLetter"/>
      <w:start w:val="1"/>
    </w:lvl>
    <w:lvl w:ilvl="3">
      <w:lvlJc w:val="left"/>
      <w:lvlText w:val="(%4)"/>
      <w:numFmt w:val="lowerRoman"/>
      <w:start w:val="3"/>
    </w:lvl>
  </w:abstractNum>
  <w:abstractNum w:abstractNumId="110">
    <w:nsid w:val="7AB49DAF"/>
    <w:multiLevelType w:val="hybridMultilevel"/>
    <w:lvl w:ilvl="0">
      <w:lvlJc w:val="left"/>
      <w:lvlText w:val="(%1)"/>
      <w:numFmt w:val="lowerLetter"/>
      <w:start w:val="1"/>
    </w:lvl>
  </w:abstractNum>
  <w:abstractNum w:abstractNumId="111">
    <w:nsid w:val="759F82CD"/>
    <w:multiLevelType w:val="hybridMultilevel"/>
    <w:lvl w:ilvl="0">
      <w:lvlJc w:val="left"/>
      <w:lvlText w:val="(%1)"/>
      <w:numFmt w:val="lowerLetter"/>
      <w:start w:val="1"/>
    </w:lvl>
  </w:abstractNum>
  <w:abstractNum w:abstractNumId="112">
    <w:nsid w:val="61E74EA3"/>
    <w:multiLevelType w:val="hybridMultilevel"/>
    <w:lvl w:ilvl="0">
      <w:lvlJc w:val="left"/>
      <w:lvlText w:val="(%1)"/>
      <w:numFmt w:val="lowerLetter"/>
      <w:start w:val="2"/>
    </w:lvl>
    <w:lvl w:ilvl="1">
      <w:lvlJc w:val="left"/>
      <w:lvlText w:val="(%2)"/>
      <w:numFmt w:val="lowerRoman"/>
      <w:start w:val="1"/>
    </w:lvl>
  </w:abstractNum>
  <w:abstractNum w:abstractNumId="113">
    <w:nsid w:val="597B4D84"/>
    <w:multiLevelType w:val="hybridMultilevel"/>
    <w:lvl w:ilvl="0">
      <w:lvlJc w:val="left"/>
      <w:lvlText w:val="(%1)"/>
      <w:numFmt w:val="lowerLetter"/>
      <w:start w:val="1"/>
    </w:lvl>
  </w:abstractNum>
  <w:abstractNum w:abstractNumId="114">
    <w:nsid w:val="F819E7F"/>
    <w:multiLevelType w:val="hybridMultilevel"/>
    <w:lvl w:ilvl="0">
      <w:lvlJc w:val="left"/>
      <w:lvlText w:val="(%1)"/>
      <w:numFmt w:val="lowerLetter"/>
      <w:start w:val="3"/>
    </w:lvl>
  </w:abstractNum>
  <w:abstractNum w:abstractNumId="115">
    <w:nsid w:val="57C7D42D"/>
    <w:multiLevelType w:val="hybridMultilevel"/>
    <w:lvl w:ilvl="0">
      <w:lvlJc w:val="left"/>
      <w:lvlText w:val="(%1)"/>
      <w:numFmt w:val="lowerLetter"/>
      <w:start w:val="1"/>
    </w:lvl>
  </w:abstractNum>
  <w:abstractNum w:abstractNumId="116">
    <w:nsid w:val="312167AD"/>
    <w:multiLevelType w:val="hybridMultilevel"/>
    <w:lvl w:ilvl="0">
      <w:lvlJc w:val="left"/>
      <w:lvlText w:val="(%1)"/>
      <w:numFmt w:val="lowerRoman"/>
      <w:start w:val="1"/>
    </w:lvl>
  </w:abstractNum>
  <w:abstractNum w:abstractNumId="117">
    <w:nsid w:val="631B64D4"/>
    <w:multiLevelType w:val="hybridMultilevel"/>
    <w:lvl w:ilvl="0">
      <w:lvlJc w:val="left"/>
      <w:lvlText w:val="%1"/>
      <w:numFmt w:val="lowerLetter"/>
      <w:start w:val="1"/>
    </w:lvl>
    <w:lvl w:ilvl="1">
      <w:lvlJc w:val="left"/>
      <w:lvlText w:val="(%2)"/>
      <w:numFmt w:val="lowerRoman"/>
      <w:start w:val="4"/>
    </w:lvl>
  </w:abstractNum>
  <w:abstractNum w:abstractNumId="118">
    <w:nsid w:val="78B5E776"/>
    <w:multiLevelType w:val="hybridMultilevel"/>
    <w:lvl w:ilvl="0">
      <w:lvlJc w:val="left"/>
      <w:lvlText w:val="(%1)"/>
      <w:numFmt w:val="lowerLetter"/>
      <w:start w:val="3"/>
    </w:lvl>
    <w:lvl w:ilvl="1">
      <w:lvlJc w:val="left"/>
      <w:lvlText w:val="%2"/>
      <w:numFmt w:val="lowerRoman"/>
      <w:start w:val="1"/>
    </w:lvl>
  </w:abstractNum>
  <w:abstractNum w:abstractNumId="119">
    <w:nsid w:val="75486E47"/>
    <w:multiLevelType w:val="hybridMultilevel"/>
    <w:lvl w:ilvl="0">
      <w:lvlJc w:val="left"/>
      <w:lvlText w:val="(%1)"/>
      <w:numFmt w:val="lowerLetter"/>
      <w:start w:val="1"/>
    </w:lvl>
    <w:lvl w:ilvl="1">
      <w:lvlJc w:val="left"/>
      <w:lvlText w:val="(%2)"/>
      <w:numFmt w:val="lowerRoman"/>
      <w:start w:val="1"/>
    </w:lvl>
  </w:abstractNum>
  <w:abstractNum w:abstractNumId="120">
    <w:nsid w:val="6E534CDE"/>
    <w:multiLevelType w:val="hybridMultilevel"/>
    <w:lvl w:ilvl="0">
      <w:lvlJc w:val="left"/>
      <w:lvlText w:val="(%1)"/>
      <w:numFmt w:val="lowerLetter"/>
      <w:start w:val="3"/>
    </w:lvl>
    <w:lvl w:ilvl="1">
      <w:lvlJc w:val="left"/>
      <w:lvlText w:val="(%2)"/>
      <w:numFmt w:val="lowerRoman"/>
      <w:start w:val="1"/>
    </w:lvl>
  </w:abstractNum>
  <w:abstractNum w:abstractNumId="121">
    <w:nsid w:val="1A0DDE3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22">
    <w:nsid w:val="65968C1C"/>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23">
    <w:nsid w:val="46263DEC"/>
    <w:multiLevelType w:val="hybridMultilevel"/>
    <w:lvl w:ilvl="0">
      <w:lvlJc w:val="left"/>
      <w:lvlText w:val="(%1)"/>
      <w:numFmt w:val="lowerLetter"/>
      <w:start w:val="3"/>
    </w:lvl>
  </w:abstractNum>
  <w:abstractNum w:abstractNumId="124">
    <w:nsid w:val="260D8C4A"/>
    <w:multiLevelType w:val="hybridMultilevel"/>
    <w:lvl w:ilvl="0">
      <w:lvlJc w:val="left"/>
      <w:lvlText w:val="(%1)"/>
      <w:numFmt w:val="lowerLetter"/>
      <w:start w:val="1"/>
    </w:lvl>
    <w:lvl w:ilvl="1">
      <w:lvlJc w:val="left"/>
      <w:lvlText w:val="(%2)"/>
      <w:numFmt w:val="lowerRoman"/>
      <w:start w:val="1"/>
    </w:lvl>
  </w:abstractNum>
  <w:abstractNum w:abstractNumId="125">
    <w:nsid w:val="73D4D3C4"/>
    <w:multiLevelType w:val="hybridMultilevel"/>
    <w:lvl w:ilvl="0">
      <w:lvlJc w:val="left"/>
      <w:lvlText w:val="(%1)"/>
      <w:numFmt w:val="lowerLetter"/>
      <w:start w:val="1"/>
    </w:lvl>
  </w:abstractNum>
  <w:abstractNum w:abstractNumId="126">
    <w:nsid w:val="746F2E3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7">
    <w:nsid w:val="6FDE8AF6"/>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abstractNum>
  <w:abstractNum w:abstractNumId="128">
    <w:nsid w:val="3FC32E20"/>
    <w:multiLevelType w:val="hybridMultilevel"/>
    <w:lvl w:ilvl="0">
      <w:lvlJc w:val="left"/>
      <w:lvlText w:val="(%1)"/>
      <w:numFmt w:val="lowerLetter"/>
      <w:start w:val="1"/>
    </w:lvl>
  </w:abstractNum>
  <w:abstractNum w:abstractNumId="129">
    <w:nsid w:val="49C0E823"/>
    <w:multiLevelType w:val="hybridMultilevel"/>
    <w:lvl w:ilvl="0">
      <w:lvlJc w:val="left"/>
      <w:lvlText w:val="(%1)"/>
      <w:numFmt w:val="lowerLetter"/>
      <w:start w:val="3"/>
    </w:lvl>
  </w:abstractNum>
  <w:abstractNum w:abstractNumId="130">
    <w:nsid w:val="14D53685"/>
    <w:multiLevelType w:val="hybridMultilevel"/>
    <w:lvl w:ilvl="0">
      <w:lvlJc w:val="left"/>
      <w:lvlText w:val="(%1)"/>
      <w:numFmt w:val="lowerLetter"/>
      <w:start w:val="1"/>
    </w:lvl>
    <w:lvl w:ilvl="1">
      <w:lvlJc w:val="left"/>
      <w:lvlText w:val="(%2)"/>
      <w:numFmt w:val="lowerRoman"/>
      <w:start w:val="1"/>
    </w:lvl>
  </w:abstractNum>
  <w:abstractNum w:abstractNumId="131">
    <w:nsid w:val="230F856C"/>
    <w:multiLevelType w:val="hybridMultilevel"/>
    <w:lvl w:ilvl="0">
      <w:lvlJc w:val="left"/>
      <w:lvlText w:val="(%1)"/>
      <w:numFmt w:val="lowerRoman"/>
      <w:start w:val="3"/>
    </w:lvl>
    <w:lvl w:ilvl="1">
      <w:lvlJc w:val="left"/>
      <w:lvlText w:val="(%2)"/>
      <w:numFmt w:val="lowerRoman"/>
      <w:start w:val="4"/>
    </w:lvl>
  </w:abstractNum>
  <w:abstractNum w:abstractNumId="132">
    <w:nsid w:val="6EAA85FB"/>
    <w:multiLevelType w:val="hybridMultilevel"/>
    <w:lvl w:ilvl="0">
      <w:lvlJc w:val="left"/>
      <w:lvlText w:val="%1"/>
      <w:numFmt w:val="lowerLetter"/>
      <w:start w:val="1"/>
    </w:lvl>
    <w:lvl w:ilvl="1">
      <w:lvlJc w:val="left"/>
      <w:lvlText w:val="(%2)"/>
      <w:numFmt w:val="lowerLetter"/>
      <w:start w:val="22"/>
    </w:lvl>
  </w:abstractNum>
  <w:abstractNum w:abstractNumId="133">
    <w:nsid w:val="3F06ECB2"/>
    <w:multiLevelType w:val="hybridMultilevel"/>
    <w:lvl w:ilvl="0">
      <w:lvlJc w:val="left"/>
      <w:lvlText w:val="(%1)"/>
      <w:numFmt w:val="lowerLetter"/>
      <w:start w:val="3"/>
    </w:lvl>
    <w:lvl w:ilvl="1">
      <w:lvlJc w:val="left"/>
      <w:lvlText w:val="%2"/>
      <w:numFmt w:val="lowerLetter"/>
      <w:start w:val="1"/>
    </w:lvl>
  </w:abstractNum>
  <w:abstractNum w:abstractNumId="134">
    <w:nsid w:val="3B594807"/>
    <w:multiLevelType w:val="hybridMultilevel"/>
    <w:lvl w:ilvl="0">
      <w:lvlJc w:val="left"/>
      <w:lvlText w:val="(%1)"/>
      <w:numFmt w:val="lowerLetter"/>
      <w:start w:val="4"/>
    </w:lvl>
  </w:abstractNum>
  <w:abstractNum w:abstractNumId="135">
    <w:nsid w:val="6CAA2304"/>
    <w:multiLevelType w:val="hybridMultilevel"/>
    <w:lvl w:ilvl="0">
      <w:lvlJc w:val="left"/>
      <w:lvlText w:val="(%1)"/>
      <w:numFmt w:val="lowerLetter"/>
      <w:start w:val="1"/>
    </w:lvl>
    <w:lvl w:ilvl="1">
      <w:lvlJc w:val="left"/>
      <w:lvlText w:val="(%2)"/>
      <w:numFmt w:val="lowerLetter"/>
      <w:start w:val="35"/>
    </w:lvl>
  </w:abstractNum>
  <w:abstractNum w:abstractNumId="136">
    <w:nsid w:val="3F7C2FF4"/>
    <w:multiLevelType w:val="hybridMultilevel"/>
    <w:lvl w:ilvl="0">
      <w:lvlJc w:val="left"/>
      <w:lvlText w:val="(%1)"/>
      <w:numFmt w:val="lowerLetter"/>
      <w:start w:val="4"/>
    </w:lvl>
  </w:abstractNum>
  <w:abstractNum w:abstractNumId="137">
    <w:nsid w:val="25413BEC"/>
    <w:multiLevelType w:val="hybridMultilevel"/>
    <w:lvl w:ilvl="0">
      <w:lvlJc w:val="left"/>
      <w:lvlText w:val="(%1)"/>
      <w:numFmt w:val="lowerLetter"/>
      <w:start w:val="1"/>
    </w:lvl>
    <w:lvl w:ilvl="1">
      <w:lvlJc w:val="left"/>
      <w:lvlText w:val="(%2)"/>
      <w:numFmt w:val="lowerRoman"/>
      <w:start w:val="1"/>
    </w:lvl>
  </w:abstractNum>
  <w:abstractNum w:abstractNumId="138">
    <w:nsid w:val="17180B0B"/>
    <w:multiLevelType w:val="hybridMultilevel"/>
    <w:lvl w:ilvl="0">
      <w:lvlJc w:val="left"/>
      <w:lvlText w:val="%1."/>
      <w:numFmt w:val="upperLetter"/>
      <w:start w:val="1"/>
    </w:lvl>
  </w:abstractNum>
  <w:abstractNum w:abstractNumId="139">
    <w:nsid w:val="579328B9"/>
    <w:multiLevelType w:val="hybridMultilevel"/>
    <w:lvl w:ilvl="0">
      <w:lvlJc w:val="left"/>
      <w:lvlText w:val="%1."/>
      <w:numFmt w:val="upperLetter"/>
      <w:start w:val="2"/>
    </w:lvl>
  </w:abstractNum>
  <w:abstractNum w:abstractNumId="140">
    <w:nsid w:val="5D205E20"/>
    <w:multiLevelType w:val="hybridMultilevel"/>
    <w:lvl w:ilvl="0">
      <w:lvlJc w:val="left"/>
      <w:lvlText w:val="%1."/>
      <w:numFmt w:val="decimal"/>
      <w:start w:val="1"/>
    </w:lvl>
  </w:abstractNum>
  <w:abstractNum w:abstractNumId="141">
    <w:nsid w:val="11CCA8BA"/>
    <w:multiLevelType w:val="hybridMultilevel"/>
    <w:lvl w:ilvl="0">
      <w:lvlJc w:val="left"/>
      <w:lvlText w:val="%1."/>
      <w:numFmt w:val="decimal"/>
      <w:start w:val="2"/>
    </w:lvl>
  </w:abstractNum>
  <w:abstractNum w:abstractNumId="142">
    <w:nsid w:val="4D32AB86"/>
    <w:multiLevelType w:val="hybridMultilevel"/>
    <w:lvl w:ilvl="0">
      <w:lvlJc w:val="left"/>
      <w:lvlText w:val="%1."/>
      <w:numFmt w:val="decimal"/>
      <w:start w:val="7"/>
    </w:lvl>
    <w:lvl w:ilvl="1">
      <w:lvlJc w:val="left"/>
      <w:lvlText w:val="(%2)"/>
      <w:numFmt w:val="lowerLetter"/>
      <w:start w:val="1"/>
    </w:lvl>
  </w:abstractNum>
  <w:abstractNum w:abstractNumId="143">
    <w:nsid w:val="3F07ACC3"/>
    <w:multiLevelType w:val="hybridMultilevel"/>
    <w:lvl w:ilvl="0">
      <w:lvlJc w:val="left"/>
      <w:lvlText w:val="%1."/>
      <w:numFmt w:val="decimal"/>
      <w:start w:val="8"/>
    </w:lvl>
  </w:abstractNum>
  <w:abstractNum w:abstractNumId="144">
    <w:nsid w:val="6B47F63E"/>
    <w:multiLevelType w:val="hybridMultilevel"/>
    <w:lvl w:ilvl="0">
      <w:lvlJc w:val="left"/>
      <w:lvlText w:val="%1."/>
      <w:numFmt w:val="decimal"/>
      <w:start w:val="9"/>
    </w:lvl>
  </w:abstractNum>
  <w:abstractNum w:abstractNumId="145">
    <w:nsid w:val="5CB44A05"/>
    <w:multiLevelType w:val="hybridMultilevel"/>
    <w:lvl w:ilvl="0">
      <w:lvlJc w:val="left"/>
      <w:lvlText w:val="%1."/>
      <w:numFmt w:val="decimal"/>
      <w:start w:val="14"/>
    </w:lvl>
  </w:abstractNum>
  <w:abstractNum w:abstractNumId="146">
    <w:nsid w:val="16CF80F1"/>
    <w:multiLevelType w:val="hybridMultilevel"/>
    <w:lvl w:ilvl="0">
      <w:lvlJc w:val="left"/>
      <w:lvlText w:val="(%1)"/>
      <w:numFmt w:val="lowerLetter"/>
      <w:start w:val="1"/>
    </w:lvl>
  </w:abstractNum>
  <w:abstractNum w:abstractNumId="147">
    <w:nsid w:val="1C695DEC"/>
    <w:multiLevelType w:val="hybridMultilevel"/>
    <w:lvl w:ilvl="0">
      <w:lvlJc w:val="left"/>
      <w:lvlText w:val="%1."/>
      <w:numFmt w:val="decimal"/>
      <w:start w:val="1"/>
    </w:lvl>
    <w:lvl w:ilvl="1">
      <w:lvlJc w:val="left"/>
      <w:lvlText w:val="(%2)"/>
      <w:numFmt w:val="lowerLetter"/>
      <w:start w:val="1"/>
    </w:lvl>
  </w:abstractNum>
  <w:abstractNum w:abstractNumId="148">
    <w:nsid w:val="3FCFAED9"/>
    <w:multiLevelType w:val="hybridMultilevel"/>
    <w:lvl w:ilvl="0">
      <w:lvlJc w:val="left"/>
      <w:lvlText w:val="(%1)"/>
      <w:numFmt w:val="lowerLetter"/>
      <w:start w:val="2"/>
    </w:lvl>
  </w:abstractNum>
  <w:abstractNum w:abstractNumId="149">
    <w:nsid w:val="F856867"/>
    <w:multiLevelType w:val="hybridMultilevel"/>
    <w:lvl w:ilvl="0">
      <w:lvlJc w:val="left"/>
      <w:lvlText w:val="(%1)"/>
      <w:numFmt w:val="lowerLetter"/>
      <w:start w:val="3"/>
    </w:lvl>
    <w:lvl w:ilvl="1">
      <w:lvlJc w:val="left"/>
      <w:lvlText w:val="%2."/>
      <w:numFmt w:val="lowerRoman"/>
      <w:start w:val="1"/>
    </w:lvl>
  </w:abstractNum>
  <w:abstractNum w:abstractNumId="150">
    <w:nsid w:val="11B1CC33"/>
    <w:multiLevelType w:val="hybridMultilevel"/>
    <w:lvl w:ilvl="0">
      <w:lvlJc w:val="left"/>
      <w:lvlText w:val="(%1)"/>
      <w:numFmt w:val="lowerLetter"/>
      <w:start w:val="5"/>
    </w:lvl>
  </w:abstractNum>
  <w:abstractNum w:abstractNumId="151">
    <w:nsid w:val="2E22FBB7"/>
    <w:multiLevelType w:val="hybridMultilevel"/>
    <w:lvl w:ilvl="0">
      <w:lvlJc w:val="left"/>
      <w:lvlText w:val="(%1)"/>
      <w:numFmt w:val="lowerLetter"/>
      <w:start w:val="8"/>
    </w:lvl>
  </w:abstractNum>
  <w:abstractNum w:abstractNumId="152">
    <w:nsid w:val="29934699"/>
    <w:multiLevelType w:val="hybridMultilevel"/>
    <w:lvl w:ilvl="0">
      <w:lvlJc w:val="left"/>
      <w:lvlText w:val="%1."/>
      <w:numFmt w:val="upperLetter"/>
      <w:start w:val="1"/>
    </w:lvl>
  </w:abstractNum>
  <w:abstractNum w:abstractNumId="153">
    <w:nsid w:val="77485850"/>
    <w:multiLevelType w:val="hybridMultilevel"/>
    <w:lvl w:ilvl="0">
      <w:lvlJc w:val="left"/>
      <w:lvlText w:val="%1"/>
      <w:numFmt w:val="decimal"/>
      <w:start w:val="1"/>
    </w:lvl>
    <w:lvl w:ilvl="1">
      <w:lvlJc w:val="left"/>
      <w:lvlText w:val="%2."/>
      <w:numFmt w:val="upperLetter"/>
      <w:start w:val="2"/>
    </w:lvl>
  </w:abstractNum>
  <w:abstractNum w:abstractNumId="154">
    <w:nsid w:val="744939A3"/>
    <w:multiLevelType w:val="hybridMultilevel"/>
    <w:lvl w:ilvl="0">
      <w:lvlJc w:val="left"/>
      <w:lvlText w:val="%1."/>
      <w:numFmt w:val="decimal"/>
      <w:start w:val="1"/>
    </w:lvl>
    <w:lvl w:ilvl="1">
      <w:lvlJc w:val="left"/>
      <w:lvlText w:val="%2"/>
      <w:numFmt w:val="upperLetter"/>
      <w:start w:val="1"/>
    </w:lvl>
  </w:abstractNum>
  <w:abstractNum w:abstractNumId="155">
    <w:nsid w:val="4FA0D2E3"/>
    <w:multiLevelType w:val="hybridMultilevel"/>
    <w:lvl w:ilvl="0">
      <w:lvlJc w:val="left"/>
      <w:lvlText w:val="%1."/>
      <w:numFmt w:val="decimal"/>
      <w:start w:val="4"/>
    </w:lvl>
  </w:abstractNum>
  <w:abstractNum w:abstractNumId="156">
    <w:nsid w:val="6B1D2C14"/>
    <w:multiLevelType w:val="hybridMultilevel"/>
    <w:lvl w:ilvl="0">
      <w:lvlJc w:val="left"/>
      <w:lvlText w:val="%1."/>
      <w:numFmt w:val="decimal"/>
      <w:start w:val="6"/>
    </w:lvl>
    <w:lvl w:ilvl="1">
      <w:lvlJc w:val="left"/>
      <w:lvlText w:val="(%2)"/>
      <w:numFmt w:val="lowerLetter"/>
      <w:start w:val="1"/>
    </w:lvl>
  </w:abstractNum>
  <w:abstractNum w:abstractNumId="157">
    <w:nsid w:val="68B867D3"/>
    <w:multiLevelType w:val="hybridMultilevel"/>
    <w:lvl w:ilvl="0">
      <w:lvlJc w:val="left"/>
      <w:lvlText w:val="%1."/>
      <w:numFmt w:val="decimal"/>
      <w:start w:val="8"/>
    </w:lvl>
  </w:abstractNum>
  <w:abstractNum w:abstractNumId="158">
    <w:nsid w:val="3F7F5DD9"/>
    <w:multiLevelType w:val="hybridMultilevel"/>
    <w:lvl w:ilvl="0">
      <w:lvlJc w:val="left"/>
      <w:lvlText w:val="%1."/>
      <w:numFmt w:val="decimal"/>
      <w:start w:val="14"/>
    </w:lvl>
  </w:abstractNum>
  <w:abstractNum w:abstractNumId="159">
    <w:nsid w:val="2AE05A34"/>
    <w:multiLevelType w:val="hybridMultilevel"/>
    <w:lvl w:ilvl="0">
      <w:lvlJc w:val="left"/>
      <w:lvlText w:val="(%1)"/>
      <w:numFmt w:val="lowerLetter"/>
      <w:start w:val="1"/>
    </w:lvl>
  </w:abstractNum>
  <w:abstractNum w:abstractNumId="160">
    <w:nsid w:val="32794FF7"/>
    <w:multiLevelType w:val="hybridMultilevel"/>
    <w:lvl w:ilvl="0">
      <w:lvlJc w:val="left"/>
      <w:lvlText w:val="%1."/>
      <w:numFmt w:val="decimal"/>
      <w:start w:val="1"/>
    </w:lvl>
    <w:lvl w:ilvl="1">
      <w:lvlJc w:val="left"/>
      <w:lvlText w:val="(%2)"/>
      <w:numFmt w:val="lowerLetter"/>
      <w:start w:val="1"/>
    </w:lvl>
  </w:abstractNum>
  <w:abstractNum w:abstractNumId="161">
    <w:nsid w:val="5454945E"/>
    <w:multiLevelType w:val="hybridMultilevel"/>
    <w:lvl w:ilvl="0">
      <w:lvlJc w:val="left"/>
      <w:lvlText w:val="(%1)"/>
      <w:numFmt w:val="lowerLetter"/>
      <w:start w:val="2"/>
    </w:lvl>
  </w:abstractNum>
  <w:abstractNum w:abstractNumId="162">
    <w:nsid w:val="4DEFDFA0"/>
    <w:multiLevelType w:val="hybridMultilevel"/>
    <w:lvl w:ilvl="0">
      <w:lvlJc w:val="left"/>
      <w:lvlText w:val="(%1)"/>
      <w:numFmt w:val="lowerLetter"/>
      <w:start w:val="3"/>
    </w:lvl>
    <w:lvl w:ilvl="1">
      <w:lvlJc w:val="left"/>
      <w:lvlText w:val="%2."/>
      <w:numFmt w:val="lowerRoman"/>
      <w:start w:val="1"/>
    </w:lvl>
  </w:abstractNum>
  <w:abstractNum w:abstractNumId="163">
    <w:nsid w:val="2123D5F2"/>
    <w:multiLevelType w:val="hybridMultilevel"/>
    <w:lvl w:ilvl="0">
      <w:lvlJc w:val="left"/>
      <w:lvlText w:val="(%1)"/>
      <w:numFmt w:val="lowerLetter"/>
      <w:start w:val="5"/>
    </w:lvl>
  </w:abstractNum>
  <w:abstractNum w:abstractNumId="164">
    <w:nsid w:val="135B8110"/>
    <w:multiLevelType w:val="hybridMultilevel"/>
    <w:lvl w:ilvl="0">
      <w:lvlJc w:val="left"/>
      <w:lvlText w:val="(%1)"/>
      <w:numFmt w:val="lowerLetter"/>
      <w:start w:val="8"/>
    </w:lvl>
  </w:abstractNum>
  <w:abstractNum w:abstractNumId="165">
    <w:nsid w:val="94927A8"/>
    <w:multiLevelType w:val="hybridMultilevel"/>
    <w:lvl w:ilvl="0">
      <w:lvlJc w:val="left"/>
      <w:lvlText w:val="%1."/>
      <w:numFmt w:val="decimal"/>
      <w:start w:val="1"/>
    </w:lvl>
    <w:lvl w:ilvl="1">
      <w:lvlJc w:val="left"/>
      <w:lvlText w:val="•"/>
      <w:numFmt w:val="bullet"/>
      <w:start w:val="1"/>
    </w:lvl>
  </w:abstractNum>
  <w:abstractNum w:abstractNumId="166">
    <w:nsid w:val="DCDF8F6"/>
    <w:multiLevelType w:val="hybridMultilevel"/>
    <w:lvl w:ilvl="0">
      <w:lvlJc w:val="left"/>
      <w:lvlText w:val="•"/>
      <w:numFmt w:val="bullet"/>
      <w:start w:val="1"/>
    </w:lvl>
  </w:abstractNum>
  <w:abstractNum w:abstractNumId="167">
    <w:nsid w:val="52D7B105"/>
    <w:multiLevelType w:val="hybridMultilevel"/>
    <w:lvl w:ilvl="0">
      <w:lvlJc w:val="left"/>
      <w:lvlText w:val="•"/>
      <w:numFmt w:val="bullet"/>
      <w:start w:val="1"/>
    </w:lvl>
  </w:abstractNum>
  <w:abstractNum w:abstractNumId="168">
    <w:nsid w:val="2E8A6394"/>
    <w:multiLevelType w:val="hybridMultilevel"/>
    <w:lvl w:ilvl="0">
      <w:lvlJc w:val="left"/>
      <w:lvlText w:val="•"/>
      <w:numFmt w:val="bullet"/>
      <w:start w:val="1"/>
    </w:lvl>
  </w:abstractNum>
  <w:abstractNum w:abstractNumId="169">
    <w:nsid w:val="24E60401"/>
    <w:multiLevelType w:val="hybridMultilevel"/>
    <w:lvl w:ilvl="0">
      <w:lvlJc w:val="left"/>
      <w:lvlText w:val="•"/>
      <w:numFmt w:val="bullet"/>
      <w:start w:val="1"/>
    </w:lvl>
  </w:abstractNum>
  <w:abstractNum w:abstractNumId="170">
    <w:nsid w:val="2A6AD9BE"/>
    <w:multiLevelType w:val="hybridMultilevel"/>
    <w:lvl w:ilvl="0">
      <w:lvlJc w:val="left"/>
      <w:lvlText w:val="•"/>
      <w:numFmt w:val="bullet"/>
      <w:start w:val="1"/>
    </w:lvl>
  </w:abstractNum>
  <w:abstractNum w:abstractNumId="171">
    <w:nsid w:val="BAAC1B4"/>
    <w:multiLevelType w:val="hybridMultilevel"/>
    <w:lvl w:ilvl="0">
      <w:lvlJc w:val="left"/>
      <w:lvlText w:val="•"/>
      <w:numFmt w:val="bullet"/>
      <w:start w:val="1"/>
    </w:lvl>
  </w:abstractNum>
  <w:abstractNum w:abstractNumId="172">
    <w:nsid w:val="36B2ACBC"/>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73">
    <w:nsid w:val="779D8544"/>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74">
    <w:nsid w:val="4AB26E78"/>
    <w:multiLevelType w:val="hybridMultilevel"/>
    <w:lvl w:ilvl="0">
      <w:lvlJc w:val="left"/>
      <w:lvlText w:val="%1."/>
      <w:numFmt w:val="decimal"/>
      <w:start w:val="1"/>
    </w:lvl>
  </w:abstractNum>
  <w:abstractNum w:abstractNumId="175">
    <w:nsid w:val="21FAA2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65" Type="http://schemas.openxmlformats.org/officeDocument/2006/relationships/image" Target="media/image249.png"/><Relationship Id="rId266" Type="http://schemas.openxmlformats.org/officeDocument/2006/relationships/image" Target="media/image250.png"/><Relationship Id="rId267" Type="http://schemas.openxmlformats.org/officeDocument/2006/relationships/image" Target="media/image251.png"/><Relationship Id="rId268" Type="http://schemas.openxmlformats.org/officeDocument/2006/relationships/image" Target="media/image252.png"/><Relationship Id="rId279" Type="http://schemas.openxmlformats.org/officeDocument/2006/relationships/image" Target="media/image253.png"/><Relationship Id="rId298" Type="http://schemas.openxmlformats.org/officeDocument/2006/relationships/image" Target="media/image254.png"/><Relationship Id="rId302" Type="http://schemas.openxmlformats.org/officeDocument/2006/relationships/image" Target="media/image255.png"/><Relationship Id="rId303" Type="http://schemas.openxmlformats.org/officeDocument/2006/relationships/image" Target="media/image256.png"/><Relationship Id="rId304" Type="http://schemas.openxmlformats.org/officeDocument/2006/relationships/image" Target="media/image257.png"/><Relationship Id="rId305" Type="http://schemas.openxmlformats.org/officeDocument/2006/relationships/image" Target="media/image258.png"/><Relationship Id="rId306" Type="http://schemas.openxmlformats.org/officeDocument/2006/relationships/image" Target="media/image259.png"/><Relationship Id="rId307" Type="http://schemas.openxmlformats.org/officeDocument/2006/relationships/image" Target="media/image260.png"/><Relationship Id="rId308" Type="http://schemas.openxmlformats.org/officeDocument/2006/relationships/image" Target="media/image261.png"/><Relationship Id="rId309" Type="http://schemas.openxmlformats.org/officeDocument/2006/relationships/image" Target="media/image262.png"/><Relationship Id="rId310" Type="http://schemas.openxmlformats.org/officeDocument/2006/relationships/image" Target="media/image263.png"/><Relationship Id="rId311" Type="http://schemas.openxmlformats.org/officeDocument/2006/relationships/image" Target="media/image264.png"/><Relationship Id="rId312" Type="http://schemas.openxmlformats.org/officeDocument/2006/relationships/image" Target="media/image265.png"/><Relationship Id="rId313" Type="http://schemas.openxmlformats.org/officeDocument/2006/relationships/image" Target="media/image266.png"/><Relationship Id="rId314" Type="http://schemas.openxmlformats.org/officeDocument/2006/relationships/image" Target="media/image267.png"/><Relationship Id="rId315" Type="http://schemas.openxmlformats.org/officeDocument/2006/relationships/image" Target="media/image268.png"/><Relationship Id="rId316" Type="http://schemas.openxmlformats.org/officeDocument/2006/relationships/image" Target="media/image269.png"/><Relationship Id="rId317" Type="http://schemas.openxmlformats.org/officeDocument/2006/relationships/image" Target="media/image270.png"/><Relationship Id="rId318" Type="http://schemas.openxmlformats.org/officeDocument/2006/relationships/image" Target="media/image271.png"/><Relationship Id="rId319" Type="http://schemas.openxmlformats.org/officeDocument/2006/relationships/image" Target="media/image272.png"/><Relationship Id="rId320" Type="http://schemas.openxmlformats.org/officeDocument/2006/relationships/image" Target="media/image273.png"/><Relationship Id="rId321" Type="http://schemas.openxmlformats.org/officeDocument/2006/relationships/image" Target="media/image274.png"/><Relationship Id="rId322" Type="http://schemas.openxmlformats.org/officeDocument/2006/relationships/image" Target="media/image275.png"/><Relationship Id="rId323" Type="http://schemas.openxmlformats.org/officeDocument/2006/relationships/image" Target="media/image276.png"/><Relationship Id="rId324" Type="http://schemas.openxmlformats.org/officeDocument/2006/relationships/image" Target="media/image277.png"/><Relationship Id="rId325" Type="http://schemas.openxmlformats.org/officeDocument/2006/relationships/image" Target="media/image278.png"/><Relationship Id="rId326" Type="http://schemas.openxmlformats.org/officeDocument/2006/relationships/image" Target="media/image279.png"/><Relationship Id="rId327" Type="http://schemas.openxmlformats.org/officeDocument/2006/relationships/image" Target="media/image280.png"/><Relationship Id="rId328" Type="http://schemas.openxmlformats.org/officeDocument/2006/relationships/image" Target="media/image281.png"/><Relationship Id="rId329" Type="http://schemas.openxmlformats.org/officeDocument/2006/relationships/image" Target="media/image282.png"/><Relationship Id="rId330" Type="http://schemas.openxmlformats.org/officeDocument/2006/relationships/image" Target="media/image283.png"/><Relationship Id="rId331" Type="http://schemas.openxmlformats.org/officeDocument/2006/relationships/image" Target="media/image284.png"/><Relationship Id="rId332" Type="http://schemas.openxmlformats.org/officeDocument/2006/relationships/image" Target="media/image285.png"/><Relationship Id="rId333" Type="http://schemas.openxmlformats.org/officeDocument/2006/relationships/image" Target="media/image286.png"/><Relationship Id="rId334" Type="http://schemas.openxmlformats.org/officeDocument/2006/relationships/image" Target="media/image287.png"/><Relationship Id="rId335" Type="http://schemas.openxmlformats.org/officeDocument/2006/relationships/image" Target="media/image288.png"/><Relationship Id="rId336" Type="http://schemas.openxmlformats.org/officeDocument/2006/relationships/image" Target="media/image289.png"/><Relationship Id="rId337" Type="http://schemas.openxmlformats.org/officeDocument/2006/relationships/image" Target="media/image290.png"/><Relationship Id="rId338" Type="http://schemas.openxmlformats.org/officeDocument/2006/relationships/image" Target="media/image291.png"/><Relationship Id="rId339" Type="http://schemas.openxmlformats.org/officeDocument/2006/relationships/image" Target="media/image292.png"/><Relationship Id="rId340" Type="http://schemas.openxmlformats.org/officeDocument/2006/relationships/image" Target="media/image293.png"/><Relationship Id="rId341" Type="http://schemas.openxmlformats.org/officeDocument/2006/relationships/image" Target="media/image294.png"/><Relationship Id="rId342" Type="http://schemas.openxmlformats.org/officeDocument/2006/relationships/image" Target="media/image295.png"/><Relationship Id="rId343" Type="http://schemas.openxmlformats.org/officeDocument/2006/relationships/image" Target="media/image296.png"/><Relationship Id="rId344" Type="http://schemas.openxmlformats.org/officeDocument/2006/relationships/image" Target="media/image297.png"/><Relationship Id="rId345" Type="http://schemas.openxmlformats.org/officeDocument/2006/relationships/image" Target="media/image298.png"/><Relationship Id="rId346" Type="http://schemas.openxmlformats.org/officeDocument/2006/relationships/image" Target="media/image299.png"/><Relationship Id="rId347" Type="http://schemas.openxmlformats.org/officeDocument/2006/relationships/image" Target="media/image300.png"/><Relationship Id="rId348" Type="http://schemas.openxmlformats.org/officeDocument/2006/relationships/image" Target="media/image301.png"/><Relationship Id="rId349" Type="http://schemas.openxmlformats.org/officeDocument/2006/relationships/image" Target="media/image302.png"/><Relationship Id="rId350" Type="http://schemas.openxmlformats.org/officeDocument/2006/relationships/image" Target="media/image303.png"/><Relationship Id="rId351" Type="http://schemas.openxmlformats.org/officeDocument/2006/relationships/image" Target="media/image304.png"/><Relationship Id="rId352" Type="http://schemas.openxmlformats.org/officeDocument/2006/relationships/image" Target="media/image305.png"/><Relationship Id="rId353" Type="http://schemas.openxmlformats.org/officeDocument/2006/relationships/image" Target="media/image306.png"/><Relationship Id="rId354" Type="http://schemas.openxmlformats.org/officeDocument/2006/relationships/image" Target="media/image307.png"/><Relationship Id="rId355" Type="http://schemas.openxmlformats.org/officeDocument/2006/relationships/image" Target="media/image308.png"/><Relationship Id="rId356" Type="http://schemas.openxmlformats.org/officeDocument/2006/relationships/image" Target="media/image309.png"/><Relationship Id="rId357" Type="http://schemas.openxmlformats.org/officeDocument/2006/relationships/image" Target="media/image310.png"/><Relationship Id="rId358" Type="http://schemas.openxmlformats.org/officeDocument/2006/relationships/image" Target="media/image311.png"/><Relationship Id="rId359" Type="http://schemas.openxmlformats.org/officeDocument/2006/relationships/image" Target="media/image312.png"/><Relationship Id="rId360" Type="http://schemas.openxmlformats.org/officeDocument/2006/relationships/image" Target="media/image313.png"/><Relationship Id="rId361" Type="http://schemas.openxmlformats.org/officeDocument/2006/relationships/image" Target="media/image314.png"/><Relationship Id="rId362" Type="http://schemas.openxmlformats.org/officeDocument/2006/relationships/image" Target="media/image315.png"/><Relationship Id="rId363" Type="http://schemas.openxmlformats.org/officeDocument/2006/relationships/image" Target="media/image316.png"/><Relationship Id="rId364" Type="http://schemas.openxmlformats.org/officeDocument/2006/relationships/image" Target="media/image317.png"/><Relationship Id="rId365" Type="http://schemas.openxmlformats.org/officeDocument/2006/relationships/image" Target="media/image318.png"/><Relationship Id="rId366" Type="http://schemas.openxmlformats.org/officeDocument/2006/relationships/image" Target="media/image319.png"/><Relationship Id="rId367" Type="http://schemas.openxmlformats.org/officeDocument/2006/relationships/image" Target="media/image320.png"/><Relationship Id="rId368" Type="http://schemas.openxmlformats.org/officeDocument/2006/relationships/image" Target="media/image321.png"/><Relationship Id="rId369" Type="http://schemas.openxmlformats.org/officeDocument/2006/relationships/image" Target="media/image322.png"/><Relationship Id="rId370" Type="http://schemas.openxmlformats.org/officeDocument/2006/relationships/image" Target="media/image323.png"/><Relationship Id="rId371" Type="http://schemas.openxmlformats.org/officeDocument/2006/relationships/image" Target="media/image324.png"/><Relationship Id="rId372" Type="http://schemas.openxmlformats.org/officeDocument/2006/relationships/image" Target="media/image325.png"/><Relationship Id="rId373" Type="http://schemas.openxmlformats.org/officeDocument/2006/relationships/image" Target="media/image326.png"/><Relationship Id="rId374" Type="http://schemas.openxmlformats.org/officeDocument/2006/relationships/image" Target="media/image327.png"/><Relationship Id="rId375" Type="http://schemas.openxmlformats.org/officeDocument/2006/relationships/image" Target="media/image328.png"/><Relationship Id="rId376" Type="http://schemas.openxmlformats.org/officeDocument/2006/relationships/image" Target="media/image329.png"/><Relationship Id="rId377" Type="http://schemas.openxmlformats.org/officeDocument/2006/relationships/image" Target="media/image330.png"/><Relationship Id="rId378" Type="http://schemas.openxmlformats.org/officeDocument/2006/relationships/image" Target="media/image331.png"/><Relationship Id="rId379" Type="http://schemas.openxmlformats.org/officeDocument/2006/relationships/image" Target="media/image332.png"/><Relationship Id="rId380" Type="http://schemas.openxmlformats.org/officeDocument/2006/relationships/image" Target="media/image333.png"/><Relationship Id="rId381" Type="http://schemas.openxmlformats.org/officeDocument/2006/relationships/image" Target="media/image334.png"/><Relationship Id="rId382" Type="http://schemas.openxmlformats.org/officeDocument/2006/relationships/image" Target="media/image335.png"/><Relationship Id="rId383" Type="http://schemas.openxmlformats.org/officeDocument/2006/relationships/image" Target="media/image336.png"/><Relationship Id="rId384" Type="http://schemas.openxmlformats.org/officeDocument/2006/relationships/image" Target="media/image337.png"/><Relationship Id="rId385" Type="http://schemas.openxmlformats.org/officeDocument/2006/relationships/image" Target="media/image338.png"/><Relationship Id="rId386" Type="http://schemas.openxmlformats.org/officeDocument/2006/relationships/image" Target="media/image339.png"/><Relationship Id="rId387" Type="http://schemas.openxmlformats.org/officeDocument/2006/relationships/image" Target="media/image340.png"/><Relationship Id="rId388" Type="http://schemas.openxmlformats.org/officeDocument/2006/relationships/image" Target="media/image341.png"/><Relationship Id="rId389" Type="http://schemas.openxmlformats.org/officeDocument/2006/relationships/image" Target="media/image342.png"/><Relationship Id="rId390" Type="http://schemas.openxmlformats.org/officeDocument/2006/relationships/image" Target="media/image343.png"/><Relationship Id="rId391" Type="http://schemas.openxmlformats.org/officeDocument/2006/relationships/image" Target="media/image344.png"/><Relationship Id="rId392" Type="http://schemas.openxmlformats.org/officeDocument/2006/relationships/image" Target="media/image345.png"/><Relationship Id="rId393" Type="http://schemas.openxmlformats.org/officeDocument/2006/relationships/image" Target="media/image346.png"/><Relationship Id="rId394" Type="http://schemas.openxmlformats.org/officeDocument/2006/relationships/image" Target="media/image347.png"/><Relationship Id="rId395" Type="http://schemas.openxmlformats.org/officeDocument/2006/relationships/image" Target="media/image348.png"/><Relationship Id="rId396" Type="http://schemas.openxmlformats.org/officeDocument/2006/relationships/image" Target="media/image349.png"/><Relationship Id="rId397" Type="http://schemas.openxmlformats.org/officeDocument/2006/relationships/image" Target="media/image350.png"/><Relationship Id="rId398" Type="http://schemas.openxmlformats.org/officeDocument/2006/relationships/image" Target="media/image351.png"/><Relationship Id="rId399" Type="http://schemas.openxmlformats.org/officeDocument/2006/relationships/image" Target="media/image352.png"/><Relationship Id="rId400" Type="http://schemas.openxmlformats.org/officeDocument/2006/relationships/image" Target="media/image353.png"/><Relationship Id="rId401" Type="http://schemas.openxmlformats.org/officeDocument/2006/relationships/image" Target="media/image354.png"/><Relationship Id="rId402" Type="http://schemas.openxmlformats.org/officeDocument/2006/relationships/image" Target="media/image355.png"/><Relationship Id="rId403" Type="http://schemas.openxmlformats.org/officeDocument/2006/relationships/image" Target="media/image356.png"/><Relationship Id="rId404" Type="http://schemas.openxmlformats.org/officeDocument/2006/relationships/image" Target="media/image357.png"/><Relationship Id="rId405" Type="http://schemas.openxmlformats.org/officeDocument/2006/relationships/image" Target="media/image358.png"/><Relationship Id="rId406" Type="http://schemas.openxmlformats.org/officeDocument/2006/relationships/image" Target="media/image359.png"/><Relationship Id="rId407" Type="http://schemas.openxmlformats.org/officeDocument/2006/relationships/image" Target="media/image360.png"/><Relationship Id="rId408" Type="http://schemas.openxmlformats.org/officeDocument/2006/relationships/image" Target="media/image361.png"/><Relationship Id="rId409" Type="http://schemas.openxmlformats.org/officeDocument/2006/relationships/image" Target="media/image362.png"/><Relationship Id="rId410" Type="http://schemas.openxmlformats.org/officeDocument/2006/relationships/image" Target="media/image363.png"/><Relationship Id="rId411" Type="http://schemas.openxmlformats.org/officeDocument/2006/relationships/image" Target="media/image364.png"/><Relationship Id="rId412" Type="http://schemas.openxmlformats.org/officeDocument/2006/relationships/image" Target="media/image365.png"/><Relationship Id="rId413" Type="http://schemas.openxmlformats.org/officeDocument/2006/relationships/image" Target="media/image366.png"/><Relationship Id="rId414" Type="http://schemas.openxmlformats.org/officeDocument/2006/relationships/image" Target="media/image367.png"/><Relationship Id="rId415" Type="http://schemas.openxmlformats.org/officeDocument/2006/relationships/image" Target="media/image368.png"/><Relationship Id="rId416" Type="http://schemas.openxmlformats.org/officeDocument/2006/relationships/image" Target="media/image369.png"/><Relationship Id="rId417" Type="http://schemas.openxmlformats.org/officeDocument/2006/relationships/image" Target="media/image370.png"/><Relationship Id="rId418" Type="http://schemas.openxmlformats.org/officeDocument/2006/relationships/image" Target="media/image371.png"/><Relationship Id="rId256" Type="http://schemas.openxmlformats.org/officeDocument/2006/relationships/hyperlink" Target="https://www.sec.gov/Archives/edgar/data/1377630/000137763023000087/ncm-confirmationorderpos.htm" TargetMode="External"/><Relationship Id="rId257" Type="http://schemas.openxmlformats.org/officeDocument/2006/relationships/hyperlink" Target="https://www.sec.gov/Archives/edgar/data/1377630/000137763023000189/secondamendedandrestatedce.htm" TargetMode="External"/><Relationship Id="rId258" Type="http://schemas.openxmlformats.org/officeDocument/2006/relationships/hyperlink" Target="https://www.sec.gov/Archives/edgar/data/1377630/000137763023000124/ncmicertificateofdesignati.htm" TargetMode="External"/><Relationship Id="rId259" Type="http://schemas.openxmlformats.org/officeDocument/2006/relationships/hyperlink" Target="https://www.sec.gov/Archives/edgar/data/1377630/000119312514062920/d630896dex1024.htm" TargetMode="External"/><Relationship Id="rId260" Type="http://schemas.openxmlformats.org/officeDocument/2006/relationships/hyperlink" Target="https://www.sec.gov/Archives/edgar/data/1377630/000156459017004375/ncmi-ex101_32.htm" TargetMode="External"/><Relationship Id="rId261" Type="http://schemas.openxmlformats.org/officeDocument/2006/relationships/hyperlink" Target="https://www.sec.gov/Archives/edgar/data/1377630/000119312514062920/d630896dex1034.htm" TargetMode="External"/><Relationship Id="rId262" Type="http://schemas.openxmlformats.org/officeDocument/2006/relationships/hyperlink" Target="https://www.sec.gov/Archives/edgar/data/1377630/000137763019000108/ex101cinemarkesaamendment.htm" TargetMode="External"/><Relationship Id="rId263" Type="http://schemas.openxmlformats.org/officeDocument/2006/relationships/hyperlink" Target="https://www.sec.gov/Archives/edgar/data/1377630/000137763022000119/cinemark-ncmxamendtoesatoe.htm" TargetMode="External"/><Relationship Id="rId264" Type="http://schemas.openxmlformats.org/officeDocument/2006/relationships/hyperlink" Target="https://www.sec.gov/Archives/edgar/data/1377630/000119312507034062/dex106.htm" TargetMode="External"/><Relationship Id="rId269" Type="http://schemas.openxmlformats.org/officeDocument/2006/relationships/hyperlink" Target="https://www.sec.gov/Archives/edgar/data/1377630/000119312507034062/dex107.htm" TargetMode="External"/><Relationship Id="rId270" Type="http://schemas.openxmlformats.org/officeDocument/2006/relationships/hyperlink" Target="https://www.sec.gov/Archives/edgar/data/1377630/000119312508101806/dex101.htm" TargetMode="External"/><Relationship Id="rId271" Type="http://schemas.openxmlformats.org/officeDocument/2006/relationships/hyperlink" Target="https://www.sec.gov/Archives/edgar/data/1377630/000119312507034062/dex109.htm" TargetMode="External"/><Relationship Id="rId272" Type="http://schemas.openxmlformats.org/officeDocument/2006/relationships/hyperlink" Target="https://www.sec.gov/Archives/edgar/data/1377630/000119312507034062/dex1010.htm" TargetMode="External"/><Relationship Id="rId273" Type="http://schemas.openxmlformats.org/officeDocument/2006/relationships/hyperlink" Target="https://www.sec.gov/Archives/edgar/data/1377630/000119312507034062/dex1011.htm" TargetMode="External"/><Relationship Id="rId274" Type="http://schemas.openxmlformats.org/officeDocument/2006/relationships/hyperlink" Target="https://www.sec.gov/Archives/edgar/data/1377630/000119312507034062/dex1012.htm" TargetMode="External"/><Relationship Id="rId275" Type="http://schemas.openxmlformats.org/officeDocument/2006/relationships/hyperlink" Target="https://www.sec.gov/Archives/edgar/data/1377630/000137763023000056/restructuringsupportagreem.htm" TargetMode="External"/><Relationship Id="rId276" Type="http://schemas.openxmlformats.org/officeDocument/2006/relationships/hyperlink" Target="https://www.sec.gov/Archives/edgar/data/1377630/000137763023000124/directordesignationagreeme.htm" TargetMode="External"/><Relationship Id="rId277" Type="http://schemas.openxmlformats.org/officeDocument/2006/relationships/hyperlink" Target="https://www.sec.gov/Archives/edgar/data/1377630/000137763023000124/loansecurityandguaranteeag.htm" TargetMode="External"/><Relationship Id="rId278" Type="http://schemas.openxmlformats.org/officeDocument/2006/relationships/hyperlink" Target="https://www.sec.gov/Archives/edgar/data/1377630/000137763023000109/jointventureterminationand.htm" TargetMode="External"/><Relationship Id="rId280" Type="http://schemas.openxmlformats.org/officeDocument/2006/relationships/hyperlink" Target="https://www.sec.gov/Archives/edgar/data/1377630/000137763023000109/networkaffiliatetransactio.htm" TargetMode="External"/><Relationship Id="rId281" Type="http://schemas.openxmlformats.org/officeDocument/2006/relationships/hyperlink" Target="https://www.sec.gov/Archives/edgar/data/1377630/000137763022000119/arncmceoemploymentagreemen.htm" TargetMode="External"/><Relationship Id="rId282" Type="http://schemas.openxmlformats.org/officeDocument/2006/relationships/hyperlink" Target="https://www.sec.gov/Archives/edgar/data/1377630/000095017024121466/ncmi-ex10_1.htm" TargetMode="External"/><Relationship Id="rId283" Type="http://schemas.openxmlformats.org/officeDocument/2006/relationships/hyperlink" Target="https://www.sec.gov/Archives/edgar/data/1377630/000137763024000097/revisedemploymentagreement.htm" TargetMode="External"/><Relationship Id="rId284" Type="http://schemas.openxmlformats.org/officeDocument/2006/relationships/hyperlink" Target="https://www.sec.gov/Archives/edgar/data/1377630/000119312507028592/dex101.htm" TargetMode="External"/><Relationship Id="rId285" Type="http://schemas.openxmlformats.org/officeDocument/2006/relationships/hyperlink" Target="https://www.sec.gov/Archives/edgar/data/1377630/000137763018000022/ncmiexhibit103.htm" TargetMode="External"/><Relationship Id="rId286" Type="http://schemas.openxmlformats.org/officeDocument/2006/relationships/hyperlink" Target="https://www.sec.gov/Archives/edgar/data/1377630/000119312513196011/d530599dex102.htm" TargetMode="External"/><Relationship Id="rId287" Type="http://schemas.openxmlformats.org/officeDocument/2006/relationships/hyperlink" Target="https://www.sec.gov/Archives/edgar/data/1377630/000119312516567279/d165713dex41.htm" TargetMode="External"/><Relationship Id="rId288" Type="http://schemas.openxmlformats.org/officeDocument/2006/relationships/hyperlink" Target="https://www.sec.gov/Archives/edgar/data/1377630/000137763020000089/exhibit102equityplan.htm" TargetMode="External"/><Relationship Id="rId289" Type="http://schemas.openxmlformats.org/officeDocument/2006/relationships/hyperlink" Target="https://www.sec.gov/Archives/edgar/data/1377630/000137763022000080/ncm-amendmentno1to2020omni.htm" TargetMode="External"/><Relationship Id="rId290" Type="http://schemas.openxmlformats.org/officeDocument/2006/relationships/hyperlink" Target="https://www.sec.gov/Archives/edgar/data/1377630/000137763023000188/ncm-amendmentno2to2020omni.htm" TargetMode="External"/><Relationship Id="rId291" Type="http://schemas.openxmlformats.org/officeDocument/2006/relationships/hyperlink" Target="https://www.sec.gov/Archives/edgar/data/1377630/000137763019000132/a2019stockoptionagreement.htm" TargetMode="External"/><Relationship Id="rId292" Type="http://schemas.openxmlformats.org/officeDocument/2006/relationships/hyperlink" Target="https://www.sec.gov/Archives/edgar/data/1377630/000137763020000141/formof2020stockoptiona.htm" TargetMode="External"/><Relationship Id="rId293" Type="http://schemas.openxmlformats.org/officeDocument/2006/relationships/hyperlink" Target="https://www.sec.gov/Archives/edgar/data/1377630/000119312516567279/d165713dex44.htm" TargetMode="External"/><Relationship Id="rId294" Type="http://schemas.openxmlformats.org/officeDocument/2006/relationships/hyperlink" Target="https://www.sec.gov/Archives/edgar/data/1377630/000156459017002300/ncmi-ex10272_363.htm" TargetMode="External"/><Relationship Id="rId295" Type="http://schemas.openxmlformats.org/officeDocument/2006/relationships/hyperlink" Target="https://www.sec.gov/Archives/edgar/data/1377630/000137763020000141/directortime-basedrsua.htm" TargetMode="External"/><Relationship Id="rId296" Type="http://schemas.openxmlformats.org/officeDocument/2006/relationships/hyperlink" Target="https://www.sec.gov/Archives/edgar/data/1377630/000137763024000008/formoftimebasedrsuagreemen.htm" TargetMode="External"/><Relationship Id="rId297" Type="http://schemas.openxmlformats.org/officeDocument/2006/relationships/hyperlink" Target="https://www.sec.gov/Archives/edgar/data/1377630/000137763024000008/formofperformancebasedrsua.htm" TargetMode="External"/><Relationship Id="rId299" Type="http://schemas.openxmlformats.org/officeDocument/2006/relationships/hyperlink" Target="https://www.sec.gov/Archives/edgar/data/1377630/000095017025008998/ncmi-ex10.htm" TargetMode="External"/><Relationship Id="rId300" Type="http://schemas.openxmlformats.org/officeDocument/2006/relationships/hyperlink" Target="https://www.sec.gov/Archives/edgar/data/1377630/000137763024000042/ncmincentivecompensationre.htm" TargetMode="External"/><Relationship Id="rId301" Type="http://schemas.openxmlformats.org/officeDocument/2006/relationships/hyperlink" Target="https://www.sec.gov/Archives/edgar/data/1377630/000137763023000087/ncm-planofreorganizat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2025-03-06T16:10:52Z</dcterms:created>
  <dcterms:modified xsi:type="dcterms:W3CDTF">2025-03-06T16:10:52Z</dcterms:modified>
</cp:coreProperties>
</file>